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drawings/drawing1.xml" ContentType="application/vnd.openxmlformats-officedocument.drawingml.chartshapes+xml"/>
  <Override PartName="/word/charts/chart26.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D7C" w:rsidRPr="00317245" w:rsidRDefault="00731D7C" w:rsidP="00731D7C">
      <w:pPr>
        <w:jc w:val="center"/>
        <w:rPr>
          <w:sz w:val="36"/>
          <w:szCs w:val="36"/>
          <w:lang w:val="en-CA"/>
        </w:rPr>
      </w:pPr>
      <w:proofErr w:type="gramStart"/>
      <w:r w:rsidRPr="00317245">
        <w:rPr>
          <w:sz w:val="36"/>
          <w:szCs w:val="36"/>
          <w:lang w:val="en-CA"/>
        </w:rPr>
        <w:t>The revolution before the Revolution?</w:t>
      </w:r>
      <w:proofErr w:type="gramEnd"/>
      <w:r w:rsidRPr="00317245">
        <w:rPr>
          <w:sz w:val="36"/>
          <w:szCs w:val="36"/>
          <w:lang w:val="en-CA"/>
        </w:rPr>
        <w:t xml:space="preserve"> </w:t>
      </w:r>
    </w:p>
    <w:p w:rsidR="00731D7C" w:rsidRPr="00317245" w:rsidRDefault="00731D7C" w:rsidP="00731D7C">
      <w:pPr>
        <w:jc w:val="center"/>
        <w:rPr>
          <w:sz w:val="36"/>
          <w:szCs w:val="36"/>
          <w:lang w:val="en-CA"/>
        </w:rPr>
      </w:pPr>
      <w:r w:rsidRPr="00317245">
        <w:rPr>
          <w:sz w:val="36"/>
          <w:szCs w:val="36"/>
          <w:lang w:val="en-CA"/>
        </w:rPr>
        <w:t xml:space="preserve">A Material Culture Approach to Consumerism </w:t>
      </w:r>
    </w:p>
    <w:p w:rsidR="00731D7C" w:rsidRPr="00317245" w:rsidRDefault="00731D7C" w:rsidP="00731D7C">
      <w:pPr>
        <w:tabs>
          <w:tab w:val="center" w:pos="4320"/>
          <w:tab w:val="left" w:pos="7484"/>
        </w:tabs>
        <w:rPr>
          <w:b/>
          <w:sz w:val="36"/>
          <w:szCs w:val="36"/>
          <w:lang w:val="en-CA"/>
        </w:rPr>
      </w:pPr>
      <w:r>
        <w:rPr>
          <w:sz w:val="36"/>
          <w:szCs w:val="36"/>
          <w:lang w:val="en-CA"/>
        </w:rPr>
        <w:tab/>
      </w:r>
      <w:proofErr w:type="gramStart"/>
      <w:r>
        <w:rPr>
          <w:sz w:val="36"/>
          <w:szCs w:val="36"/>
          <w:lang w:val="en-CA"/>
        </w:rPr>
        <w:t>at</w:t>
      </w:r>
      <w:proofErr w:type="gramEnd"/>
      <w:r>
        <w:rPr>
          <w:sz w:val="36"/>
          <w:szCs w:val="36"/>
          <w:lang w:val="en-CA"/>
        </w:rPr>
        <w:t xml:space="preserve"> George Washington’s</w:t>
      </w:r>
      <w:r w:rsidRPr="00317245">
        <w:rPr>
          <w:sz w:val="36"/>
          <w:szCs w:val="36"/>
          <w:lang w:val="en-CA"/>
        </w:rPr>
        <w:t xml:space="preserve"> Mount Vernon</w:t>
      </w:r>
      <w:r>
        <w:rPr>
          <w:sz w:val="36"/>
          <w:szCs w:val="36"/>
          <w:lang w:val="en-CA"/>
        </w:rPr>
        <w:t>, VA</w:t>
      </w:r>
      <w:r w:rsidRPr="00317245">
        <w:rPr>
          <w:b/>
          <w:sz w:val="36"/>
          <w:szCs w:val="36"/>
          <w:lang w:val="en-CA"/>
        </w:rPr>
        <w:tab/>
      </w: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Default="00731D7C" w:rsidP="00731D7C">
      <w:pPr>
        <w:jc w:val="center"/>
        <w:rPr>
          <w:sz w:val="36"/>
          <w:szCs w:val="36"/>
        </w:rPr>
      </w:pPr>
      <w:r w:rsidRPr="00317245">
        <w:rPr>
          <w:sz w:val="36"/>
          <w:szCs w:val="36"/>
        </w:rPr>
        <w:t xml:space="preserve">A Dissertation Presented for </w:t>
      </w:r>
      <w:r>
        <w:rPr>
          <w:sz w:val="36"/>
          <w:szCs w:val="36"/>
        </w:rPr>
        <w:t>t</w:t>
      </w:r>
      <w:r w:rsidRPr="00317245">
        <w:rPr>
          <w:sz w:val="36"/>
          <w:szCs w:val="36"/>
        </w:rPr>
        <w:t xml:space="preserve">he </w:t>
      </w:r>
    </w:p>
    <w:p w:rsidR="00731D7C" w:rsidRDefault="00731D7C" w:rsidP="00731D7C">
      <w:pPr>
        <w:jc w:val="center"/>
        <w:rPr>
          <w:sz w:val="36"/>
          <w:szCs w:val="36"/>
        </w:rPr>
      </w:pPr>
      <w:r w:rsidRPr="00317245">
        <w:rPr>
          <w:sz w:val="36"/>
          <w:szCs w:val="36"/>
        </w:rPr>
        <w:t xml:space="preserve">Doctor of Philosophy </w:t>
      </w:r>
    </w:p>
    <w:p w:rsidR="00731D7C" w:rsidRPr="00317245" w:rsidRDefault="00731D7C" w:rsidP="00731D7C">
      <w:pPr>
        <w:jc w:val="center"/>
        <w:rPr>
          <w:sz w:val="36"/>
          <w:szCs w:val="36"/>
        </w:rPr>
      </w:pPr>
      <w:r w:rsidRPr="00317245">
        <w:rPr>
          <w:sz w:val="36"/>
          <w:szCs w:val="36"/>
        </w:rPr>
        <w:t>Degree</w:t>
      </w:r>
    </w:p>
    <w:p w:rsidR="00731D7C" w:rsidRPr="00317245" w:rsidRDefault="00731D7C" w:rsidP="00731D7C">
      <w:pPr>
        <w:jc w:val="center"/>
        <w:rPr>
          <w:sz w:val="36"/>
          <w:szCs w:val="36"/>
        </w:rPr>
      </w:pPr>
      <w:r w:rsidRPr="00317245">
        <w:rPr>
          <w:sz w:val="36"/>
          <w:szCs w:val="36"/>
        </w:rPr>
        <w:t>The University of Tennessee, Knoxville</w:t>
      </w: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p>
    <w:p w:rsidR="00731D7C" w:rsidRPr="00317245" w:rsidRDefault="00731D7C" w:rsidP="00731D7C">
      <w:pPr>
        <w:jc w:val="center"/>
        <w:rPr>
          <w:sz w:val="36"/>
          <w:szCs w:val="36"/>
        </w:rPr>
      </w:pPr>
      <w:r w:rsidRPr="00317245">
        <w:rPr>
          <w:sz w:val="36"/>
          <w:szCs w:val="36"/>
        </w:rPr>
        <w:t>Eleanor E. Breen</w:t>
      </w:r>
    </w:p>
    <w:p w:rsidR="00731D7C" w:rsidRPr="00317245" w:rsidRDefault="00731D7C" w:rsidP="00731D7C">
      <w:pPr>
        <w:jc w:val="center"/>
        <w:rPr>
          <w:sz w:val="36"/>
          <w:szCs w:val="36"/>
        </w:rPr>
      </w:pPr>
      <w:r w:rsidRPr="00317245">
        <w:rPr>
          <w:sz w:val="36"/>
          <w:szCs w:val="36"/>
        </w:rPr>
        <w:t>December 2013</w:t>
      </w:r>
    </w:p>
    <w:p w:rsidR="00731D7C" w:rsidRPr="00317245" w:rsidRDefault="00731D7C" w:rsidP="00731D7C">
      <w:pPr>
        <w:jc w:val="center"/>
      </w:pPr>
      <w:r w:rsidRPr="00317245">
        <w:br w:type="page"/>
      </w:r>
      <w:proofErr w:type="gramStart"/>
      <w:r w:rsidRPr="00317245">
        <w:lastRenderedPageBreak/>
        <w:t>Copyright © 2013 by Eleanor Breen.</w:t>
      </w:r>
      <w:proofErr w:type="gramEnd"/>
      <w:r w:rsidRPr="00317245">
        <w:t xml:space="preserve"> </w:t>
      </w:r>
    </w:p>
    <w:p w:rsidR="00731D7C" w:rsidRPr="00317245" w:rsidRDefault="00731D7C" w:rsidP="00731D7C">
      <w:pPr>
        <w:jc w:val="center"/>
      </w:pPr>
      <w:r w:rsidRPr="00317245">
        <w:t>All rights reserved.</w:t>
      </w: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pPr>
    </w:p>
    <w:p w:rsidR="00731D7C" w:rsidRPr="00317245" w:rsidRDefault="00731D7C" w:rsidP="00731D7C">
      <w:pPr>
        <w:jc w:val="center"/>
        <w:rPr>
          <w:b/>
          <w:sz w:val="28"/>
          <w:szCs w:val="28"/>
        </w:rPr>
      </w:pPr>
      <w:r w:rsidRPr="00317245">
        <w:rPr>
          <w:sz w:val="36"/>
          <w:szCs w:val="36"/>
        </w:rPr>
        <w:br w:type="page"/>
      </w:r>
      <w:r w:rsidRPr="00317245">
        <w:rPr>
          <w:b/>
          <w:sz w:val="28"/>
          <w:szCs w:val="28"/>
        </w:rPr>
        <w:lastRenderedPageBreak/>
        <w:t>ACKNOWLEDGEMENTS</w:t>
      </w:r>
    </w:p>
    <w:p w:rsidR="000E182D" w:rsidRPr="00317245" w:rsidRDefault="000E182D" w:rsidP="00754FB1"/>
    <w:p w:rsidR="000E182D" w:rsidRDefault="000E182D" w:rsidP="000E182D">
      <w:pPr>
        <w:spacing w:line="480" w:lineRule="auto"/>
        <w:ind w:firstLine="720"/>
      </w:pPr>
      <w:r>
        <w:t>I want to celebrate the numerous people and institutions who contributed to this dissertation beginning with my committee members. The possibility of studying with Dr. Barbara Heath, my committee chair, compelled me to take the PhD plunge. She is a consummate field archaeologist, material culture specialist, historian, and anthropologist and every aspect of my professional development has improved by working with her. She carefully helped to craft my research and writing and inspired my thinking on Mount Vernon’s enslav</w:t>
      </w:r>
      <w:r w:rsidR="00FD2646">
        <w:t>ed community while supporting the</w:t>
      </w:r>
      <w:r>
        <w:t xml:space="preserve"> development of independent work. Dr. David Anderson, who needs no introduction, provided the encouragement I needed to persevere though the dissertation process and offered salient comments and questions along the way. Dr. Elizabeth Kellar’s work with enslaved communities in the Caribbean expanded my view of the application of material culture theory in archaeology and her editorial contributions to the final dissertation product are significant. Everyone should have an English professor on their committee for obvious reasons. Dr. Katy Chiles also offered sage advice about finding a balance between nurturing a dissertation and a baby and introduced me to works that had profound influence</w:t>
      </w:r>
      <w:r w:rsidR="00386C10">
        <w:t xml:space="preserve"> on how I conceived</w:t>
      </w:r>
      <w:r>
        <w:t xml:space="preserve"> of broad processes of culture change.</w:t>
      </w:r>
    </w:p>
    <w:p w:rsidR="000E182D" w:rsidRDefault="000E182D" w:rsidP="000E182D">
      <w:pPr>
        <w:spacing w:line="480" w:lineRule="auto"/>
        <w:ind w:firstLine="720"/>
      </w:pPr>
      <w:r>
        <w:t xml:space="preserve">Nestled in the cozy confines of the football stadium, the UTK Anthropology Department has assembled an inspirational group of applied cultural anthropologists and </w:t>
      </w:r>
      <w:r w:rsidR="00FD2646">
        <w:t xml:space="preserve">biological </w:t>
      </w:r>
      <w:r>
        <w:t xml:space="preserve">and </w:t>
      </w:r>
      <w:r w:rsidR="00FD2646">
        <w:t xml:space="preserve">anthropological </w:t>
      </w:r>
      <w:r>
        <w:t xml:space="preserve">archaeologists and I am proud to be disciplinarily related to these scholars.  I am also grateful to members of UTK’s historical archaeology cohort (especially Kimberly Pyszka) and its affiliates (especially Kari Saylor Smith) who made moments of coursework and prelim prep more than just bearable.  Outside the department, Dr. Robert Morrissey’s history seminars facilitated and expanded the development of my historiography.    </w:t>
      </w:r>
    </w:p>
    <w:p w:rsidR="000E182D" w:rsidRDefault="000E182D" w:rsidP="000E182D">
      <w:pPr>
        <w:spacing w:line="480" w:lineRule="auto"/>
        <w:ind w:firstLine="720"/>
      </w:pPr>
      <w:r>
        <w:lastRenderedPageBreak/>
        <w:t xml:space="preserve">Informal committee members and work/life mentors Drs. Dennis “Buddy, Buddy” Pogue and Esther “Smart Girl Scientist” White have gone out of their way to encourage, support, and challenge my research and career trajectory and this dissertation truly could not have happened without them. The lessons I have learned and continued to learn from them – variously taught at the bottom of wells, back of conference hotel bars, or inside minivans on the way to Bardstown, KY – make me the professional archaeologist I am today. </w:t>
      </w:r>
    </w:p>
    <w:p w:rsidR="000E182D" w:rsidRDefault="000E182D" w:rsidP="000E182D">
      <w:pPr>
        <w:spacing w:line="480" w:lineRule="auto"/>
        <w:ind w:firstLine="720"/>
      </w:pPr>
      <w:r>
        <w:t>Members of the greater Mount Vernon Archaeology community (volunteers, interns, and staff) generously devoted their time, mental energy, and special talents to my research. Wendy Miervaldis made major contributions to the statistical components of this dissertation and proves that archaeology is a discipline that benefits greatly from volunteers of all walks of life.</w:t>
      </w:r>
    </w:p>
    <w:p w:rsidR="000E182D" w:rsidRDefault="000E182D" w:rsidP="000E182D">
      <w:pPr>
        <w:spacing w:line="480" w:lineRule="auto"/>
        <w:ind w:firstLine="720"/>
      </w:pPr>
      <w:r>
        <w:t>UTK provided financ</w:t>
      </w:r>
      <w:r w:rsidR="00386C10">
        <w:t xml:space="preserve">ial support for my coursework. </w:t>
      </w:r>
      <w:r>
        <w:t xml:space="preserve">Additionally, the Archeological Society of Virginia, through the Sandra Speiden Scholarship, provided funding early on in the process and the Mount Vernon Ladies’ Association did so in the later stages through a pre-doctoral fellowship.     </w:t>
      </w:r>
    </w:p>
    <w:p w:rsidR="000E182D" w:rsidRDefault="000E182D" w:rsidP="000E182D">
      <w:pPr>
        <w:spacing w:line="480" w:lineRule="auto"/>
        <w:ind w:firstLine="720"/>
      </w:pPr>
      <w:r>
        <w:t xml:space="preserve">Jillian Galle, Fraser Neiman, Derek Wheeler, and the DAACS staff generously devoted hours to database training and support and object table design and development that made data collection and analysis possible. Monticello provided housing during this work.  </w:t>
      </w:r>
    </w:p>
    <w:p w:rsidR="000E182D" w:rsidRDefault="00CD7BDC" w:rsidP="000E182D">
      <w:pPr>
        <w:spacing w:line="480" w:lineRule="auto"/>
        <w:ind w:firstLine="720"/>
      </w:pPr>
      <w:r>
        <w:t>Finally</w:t>
      </w:r>
      <w:r w:rsidR="000E182D">
        <w:t>, I would like to thank my famil</w:t>
      </w:r>
      <w:r w:rsidR="00386C10">
        <w:t>y for their unflagging support.</w:t>
      </w:r>
      <w:r w:rsidR="000E182D">
        <w:t xml:space="preserve"> I owe my parents an enormous debt of gratitude to which I know they will say, “That’s just what the Breen family does.” Denis Breen, my full time dad and part-time research assistant, edited many early drafts and eagerly answered my statistical inquiries on time and on budget. Margaret Breen is the most tireless, positive, and enthusiastic cheerleader (</w:t>
      </w:r>
      <w:r w:rsidR="00386C10">
        <w:t>mom) that I have ever heard of.</w:t>
      </w:r>
      <w:r w:rsidR="000E182D">
        <w:t xml:space="preserve"> Ike Wardian helped this dissertation come to complet</w:t>
      </w:r>
      <w:r w:rsidR="00386C10">
        <w:t>ion in ways he will never know.</w:t>
      </w:r>
      <w:r w:rsidR="000E182D">
        <w:t xml:space="preserve"> Matthew Wardian </w:t>
      </w:r>
      <w:r w:rsidR="000E182D">
        <w:lastRenderedPageBreak/>
        <w:t xml:space="preserve">knows well all the ways he helped me during this process, reminding me why “we shall stick by each other as long as we live.” </w:t>
      </w:r>
    </w:p>
    <w:p w:rsidR="000E182D" w:rsidRDefault="000E182D" w:rsidP="000E182D">
      <w:pPr>
        <w:spacing w:line="480" w:lineRule="auto"/>
        <w:ind w:firstLine="720"/>
      </w:pPr>
    </w:p>
    <w:p w:rsidR="00731D7C" w:rsidRPr="00317245" w:rsidRDefault="00731D7C" w:rsidP="00731D7C">
      <w:pPr>
        <w:jc w:val="center"/>
      </w:pPr>
      <w:r w:rsidRPr="000E182D">
        <w:rPr>
          <w:b/>
        </w:rPr>
        <w:br w:type="page"/>
      </w:r>
      <w:r w:rsidRPr="00317245">
        <w:rPr>
          <w:b/>
          <w:bCs/>
          <w:sz w:val="28"/>
          <w:szCs w:val="28"/>
        </w:rPr>
        <w:lastRenderedPageBreak/>
        <w:t>ABSTRACT</w:t>
      </w:r>
    </w:p>
    <w:p w:rsidR="00731D7C" w:rsidRPr="00317245" w:rsidRDefault="00731D7C" w:rsidP="00731D7C"/>
    <w:p w:rsidR="00731D7C" w:rsidRDefault="00731D7C" w:rsidP="000E182D">
      <w:pPr>
        <w:spacing w:line="480" w:lineRule="auto"/>
        <w:ind w:firstLine="720"/>
      </w:pPr>
      <w:r>
        <w:t>Before the American Revolutionary War (1775-1783) profoundly impacted the lives of colonial Americans, another revolut</w:t>
      </w:r>
      <w:r w:rsidR="002A3202">
        <w:t xml:space="preserve">ion of sorts was taking place. </w:t>
      </w:r>
      <w:r>
        <w:t>This one occurred in the realm of the daily lives of all colonial Americans – free a</w:t>
      </w:r>
      <w:r w:rsidR="002A3202">
        <w:t xml:space="preserve">nd enslaved, poor and wealthy. </w:t>
      </w:r>
      <w:r>
        <w:t>What made the 40-year period before the American Revolution unique was that access to consumer goods appe</w:t>
      </w:r>
      <w:r w:rsidR="00F61DA8">
        <w:t>ars to have opened up for large</w:t>
      </w:r>
      <w:r>
        <w:t xml:space="preserve"> segments of the colonial population through a more sophisticated and far-reaching system of di</w:t>
      </w:r>
      <w:r w:rsidR="002A3202">
        <w:t xml:space="preserve">stribution for imported items. </w:t>
      </w:r>
      <w:r>
        <w:t>But j</w:t>
      </w:r>
      <w:r w:rsidR="002A3202">
        <w:t xml:space="preserve">ust how equal was this access? </w:t>
      </w:r>
      <w:r>
        <w:t>What can be learned about colonial culture and the maintenance of power relationships if this issue of equality of access to the material world is thoroughly an</w:t>
      </w:r>
      <w:r w:rsidR="002A3202">
        <w:t xml:space="preserve">d systematically investigated? </w:t>
      </w:r>
      <w:r>
        <w:t>This dissertation begins most simply with the question</w:t>
      </w:r>
      <w:r w:rsidRPr="00317245">
        <w:t>, what comprised the world of goods for individuals living in the upper Chesapeake region in the decades before the American Revolution?</w:t>
      </w:r>
      <w:r w:rsidR="002A3202">
        <w:t xml:space="preserve"> </w:t>
      </w:r>
      <w:r>
        <w:t>The research then progresses towards a set of questions that penetrates issues of power and acces</w:t>
      </w:r>
      <w:r w:rsidR="002A3202">
        <w:t>s inherent in material culture.</w:t>
      </w:r>
      <w:r>
        <w:t xml:space="preserve"> </w:t>
      </w:r>
      <w:r w:rsidRPr="00317245">
        <w:t>How was this world of goods different for individuals of separate socio-e</w:t>
      </w:r>
      <w:r w:rsidR="002A3202">
        <w:t xml:space="preserve">conomic and racial categories? </w:t>
      </w:r>
      <w:r w:rsidRPr="00317245">
        <w:t xml:space="preserve">Why did individuals like George Washington maintain a commitment to the consignment system when stores offered the ease and </w:t>
      </w:r>
      <w:r w:rsidR="002A3202">
        <w:t xml:space="preserve">convenience of local shopping? </w:t>
      </w:r>
      <w:r w:rsidRPr="00317245">
        <w:t>Who had access to which objects and what implications did this have for how material culture was employed or deployed towards the maintenance or destabilization of the colonial social order?</w:t>
      </w:r>
      <w:r w:rsidR="002A3202">
        <w:t xml:space="preserve"> </w:t>
      </w:r>
      <w:r>
        <w:t>I triangulate between three primary sources – Washington’s orders to and invoices from his agents in England; the store inventories from a local Scottish-owned retail outlet; and the archaeological record at Mount Vernon – to address these questions using a material culture approach that draws upon these compatible datasets on historical consumerism.</w:t>
      </w:r>
    </w:p>
    <w:p w:rsidR="00731D7C" w:rsidRDefault="00731D7C" w:rsidP="00731D7C">
      <w:r>
        <w:br w:type="page"/>
      </w:r>
    </w:p>
    <w:p w:rsidR="00731D7C" w:rsidRDefault="00731D7C" w:rsidP="00731D7C">
      <w:pPr>
        <w:spacing w:line="480" w:lineRule="auto"/>
        <w:jc w:val="center"/>
        <w:rPr>
          <w:b/>
          <w:bCs/>
          <w:sz w:val="28"/>
          <w:szCs w:val="28"/>
        </w:rPr>
      </w:pPr>
      <w:r>
        <w:rPr>
          <w:b/>
          <w:bCs/>
          <w:sz w:val="28"/>
          <w:szCs w:val="28"/>
        </w:rPr>
        <w:lastRenderedPageBreak/>
        <w:t>TABLE OF CONTENTS</w:t>
      </w:r>
    </w:p>
    <w:p w:rsidR="00731D7C" w:rsidRDefault="00731D7C" w:rsidP="00731D7C">
      <w:pPr>
        <w:tabs>
          <w:tab w:val="right" w:leader="dot" w:pos="8640"/>
        </w:tabs>
        <w:jc w:val="both"/>
      </w:pPr>
      <w:r>
        <w:t>CHAPTER</w:t>
      </w:r>
      <w:r w:rsidRPr="006A0EDC">
        <w:t xml:space="preserve"> 1: Introduction</w:t>
      </w:r>
      <w:r>
        <w:tab/>
        <w:t>1</w:t>
      </w:r>
    </w:p>
    <w:p w:rsidR="00731D7C" w:rsidRDefault="00731D7C" w:rsidP="00731D7C">
      <w:pPr>
        <w:tabs>
          <w:tab w:val="right" w:leader="dot" w:pos="8640"/>
        </w:tabs>
        <w:ind w:firstLine="720"/>
        <w:jc w:val="both"/>
      </w:pPr>
      <w:r>
        <w:t>George Washington: Founde</w:t>
      </w:r>
      <w:r w:rsidR="00CC624B">
        <w:t>r, Father, Consumer</w:t>
      </w:r>
      <w:r w:rsidR="00CC624B">
        <w:tab/>
        <w:t>7</w:t>
      </w:r>
    </w:p>
    <w:p w:rsidR="00731D7C" w:rsidRDefault="00CC624B" w:rsidP="00731D7C">
      <w:pPr>
        <w:tabs>
          <w:tab w:val="right" w:leader="dot" w:pos="8640"/>
        </w:tabs>
        <w:ind w:left="720"/>
        <w:jc w:val="both"/>
      </w:pPr>
      <w:r>
        <w:t xml:space="preserve">Statement of Purpose </w:t>
      </w:r>
      <w:r>
        <w:tab/>
        <w:t>10</w:t>
      </w:r>
    </w:p>
    <w:p w:rsidR="00731D7C" w:rsidRDefault="00CC624B" w:rsidP="00731D7C">
      <w:pPr>
        <w:tabs>
          <w:tab w:val="right" w:leader="dot" w:pos="8640"/>
        </w:tabs>
        <w:ind w:left="720"/>
        <w:jc w:val="both"/>
      </w:pPr>
      <w:r>
        <w:t>Significance</w:t>
      </w:r>
      <w:r>
        <w:tab/>
        <w:t>12</w:t>
      </w:r>
    </w:p>
    <w:p w:rsidR="00731D7C" w:rsidRDefault="00731D7C" w:rsidP="00731D7C">
      <w:pPr>
        <w:tabs>
          <w:tab w:val="right" w:leader="dot" w:pos="8640"/>
        </w:tabs>
        <w:ind w:left="720"/>
        <w:jc w:val="both"/>
      </w:pPr>
      <w:r>
        <w:t>Ap</w:t>
      </w:r>
      <w:r w:rsidR="00CC624B">
        <w:t xml:space="preserve">proach and Units of Analysis </w:t>
      </w:r>
      <w:r w:rsidR="00CC624B">
        <w:tab/>
        <w:t>17</w:t>
      </w:r>
    </w:p>
    <w:p w:rsidR="00731D7C" w:rsidRPr="006A0EDC" w:rsidRDefault="00CC624B" w:rsidP="00731D7C">
      <w:pPr>
        <w:tabs>
          <w:tab w:val="right" w:leader="dot" w:pos="8640"/>
        </w:tabs>
        <w:ind w:left="720"/>
        <w:jc w:val="both"/>
      </w:pPr>
      <w:r>
        <w:t xml:space="preserve">Organization </w:t>
      </w:r>
      <w:r>
        <w:tab/>
        <w:t>22</w:t>
      </w:r>
    </w:p>
    <w:p w:rsidR="00731D7C" w:rsidRPr="006A0EDC" w:rsidRDefault="00731D7C" w:rsidP="00731D7C">
      <w:pPr>
        <w:jc w:val="both"/>
      </w:pPr>
    </w:p>
    <w:p w:rsidR="00731D7C" w:rsidRPr="006A0EDC" w:rsidRDefault="00731D7C" w:rsidP="00731D7C">
      <w:pPr>
        <w:tabs>
          <w:tab w:val="right" w:leader="dot" w:pos="8640"/>
        </w:tabs>
        <w:jc w:val="both"/>
      </w:pPr>
      <w:r>
        <w:t>CHAPTER</w:t>
      </w:r>
      <w:r w:rsidRPr="006A0EDC">
        <w:t xml:space="preserve"> 2: Material Culture Studies and Consumerism</w:t>
      </w:r>
      <w:r w:rsidR="00CC624B">
        <w:tab/>
        <w:t>24</w:t>
      </w:r>
    </w:p>
    <w:p w:rsidR="00731D7C" w:rsidRPr="006A0EDC" w:rsidRDefault="00731D7C" w:rsidP="00731D7C">
      <w:pPr>
        <w:tabs>
          <w:tab w:val="right" w:leader="dot" w:pos="8640"/>
        </w:tabs>
        <w:ind w:firstLine="720"/>
        <w:jc w:val="both"/>
        <w:rPr>
          <w:i/>
        </w:rPr>
      </w:pPr>
      <w:r w:rsidRPr="006A0EDC">
        <w:t>The Changing Landscape of Material Culture Theory</w:t>
      </w:r>
      <w:r w:rsidR="00CC624B">
        <w:tab/>
        <w:t>24</w:t>
      </w:r>
    </w:p>
    <w:p w:rsidR="00731D7C" w:rsidRPr="006A0EDC" w:rsidRDefault="00731D7C" w:rsidP="00731D7C">
      <w:pPr>
        <w:jc w:val="both"/>
      </w:pPr>
    </w:p>
    <w:p w:rsidR="00731D7C" w:rsidRPr="006A0EDC" w:rsidRDefault="00731D7C" w:rsidP="00731D7C">
      <w:pPr>
        <w:tabs>
          <w:tab w:val="right" w:leader="dot" w:pos="8640"/>
        </w:tabs>
        <w:jc w:val="both"/>
      </w:pPr>
      <w:r>
        <w:t>CHAPTER</w:t>
      </w:r>
      <w:r w:rsidRPr="006A0EDC">
        <w:t xml:space="preserve"> 3: Consumerism and the Chesapeake</w:t>
      </w:r>
      <w:r w:rsidR="00CC624B">
        <w:tab/>
        <w:t>41</w:t>
      </w:r>
    </w:p>
    <w:p w:rsidR="00731D7C" w:rsidRPr="0027035C" w:rsidRDefault="00731D7C" w:rsidP="00731D7C">
      <w:pPr>
        <w:tabs>
          <w:tab w:val="right" w:leader="dot" w:pos="8640"/>
        </w:tabs>
        <w:ind w:firstLine="720"/>
        <w:jc w:val="both"/>
        <w:rPr>
          <w:rFonts w:eastAsia="Calibri"/>
        </w:rPr>
      </w:pPr>
      <w:r w:rsidRPr="006A0EDC">
        <w:rPr>
          <w:rFonts w:eastAsia="Calibri"/>
        </w:rPr>
        <w:t>Comparative Consumer Motivations</w:t>
      </w:r>
      <w:r w:rsidR="00CC624B">
        <w:rPr>
          <w:rFonts w:eastAsia="Calibri"/>
        </w:rPr>
        <w:tab/>
        <w:t>42</w:t>
      </w:r>
    </w:p>
    <w:p w:rsidR="00731D7C" w:rsidRDefault="00731D7C" w:rsidP="00731D7C">
      <w:pPr>
        <w:tabs>
          <w:tab w:val="right" w:leader="dot" w:pos="8640"/>
        </w:tabs>
        <w:ind w:firstLine="720"/>
        <w:jc w:val="both"/>
      </w:pPr>
      <w:r w:rsidRPr="006A0EDC">
        <w:t>Materiality of Motivation</w:t>
      </w:r>
      <w:r w:rsidR="00CC624B">
        <w:tab/>
        <w:t>65</w:t>
      </w:r>
    </w:p>
    <w:p w:rsidR="00731D7C" w:rsidRPr="006A0EDC" w:rsidRDefault="00731D7C" w:rsidP="00731D7C">
      <w:pPr>
        <w:tabs>
          <w:tab w:val="right" w:leader="dot" w:pos="8640"/>
        </w:tabs>
        <w:ind w:firstLine="720"/>
        <w:jc w:val="both"/>
      </w:pPr>
      <w:r w:rsidRPr="006A0EDC">
        <w:t>Development of the Consumer Economy</w:t>
      </w:r>
      <w:r w:rsidR="00CC624B">
        <w:tab/>
        <w:t>70</w:t>
      </w:r>
    </w:p>
    <w:p w:rsidR="00731D7C" w:rsidRDefault="00731D7C" w:rsidP="00731D7C">
      <w:pPr>
        <w:tabs>
          <w:tab w:val="right" w:leader="dot" w:pos="8640"/>
        </w:tabs>
        <w:ind w:firstLine="720"/>
        <w:jc w:val="both"/>
      </w:pPr>
      <w:r w:rsidRPr="006A0EDC">
        <w:t>Forms of Eighteenth-Century Commodity Exchange</w:t>
      </w:r>
      <w:r w:rsidR="00CC624B">
        <w:tab/>
        <w:t>73</w:t>
      </w:r>
    </w:p>
    <w:p w:rsidR="00731D7C" w:rsidRDefault="00CC624B" w:rsidP="00CC624B">
      <w:pPr>
        <w:tabs>
          <w:tab w:val="right" w:leader="dot" w:pos="8640"/>
        </w:tabs>
        <w:ind w:left="720"/>
        <w:jc w:val="both"/>
      </w:pPr>
      <w:r>
        <w:t xml:space="preserve">Conclusion </w:t>
      </w:r>
      <w:r>
        <w:tab/>
        <w:t>90</w:t>
      </w:r>
    </w:p>
    <w:p w:rsidR="00CC624B" w:rsidRPr="006A0EDC" w:rsidRDefault="00CC624B" w:rsidP="00731D7C">
      <w:pPr>
        <w:ind w:firstLine="720"/>
        <w:jc w:val="both"/>
      </w:pPr>
    </w:p>
    <w:p w:rsidR="00731D7C" w:rsidRPr="006A0EDC" w:rsidRDefault="00731D7C" w:rsidP="00731D7C">
      <w:pPr>
        <w:tabs>
          <w:tab w:val="right" w:leader="dot" w:pos="8640"/>
        </w:tabs>
        <w:jc w:val="both"/>
      </w:pPr>
      <w:r>
        <w:t>CHAPTER</w:t>
      </w:r>
      <w:r w:rsidRPr="006A0EDC">
        <w:t xml:space="preserve"> 4: The Development of the Upper Chesapeake Region through 1775</w:t>
      </w:r>
      <w:r w:rsidR="00CC624B">
        <w:tab/>
        <w:t>92</w:t>
      </w:r>
    </w:p>
    <w:p w:rsidR="00731D7C" w:rsidRPr="006A0EDC" w:rsidRDefault="00731D7C" w:rsidP="00731D7C">
      <w:pPr>
        <w:tabs>
          <w:tab w:val="right" w:leader="dot" w:pos="8640"/>
        </w:tabs>
        <w:ind w:firstLine="720"/>
        <w:jc w:val="both"/>
      </w:pPr>
      <w:r w:rsidRPr="006A0EDC">
        <w:t>Regional Development</w:t>
      </w:r>
      <w:r w:rsidR="00CC624B">
        <w:tab/>
        <w:t>92</w:t>
      </w:r>
      <w:r w:rsidRPr="006A0EDC">
        <w:t xml:space="preserve">  </w:t>
      </w:r>
    </w:p>
    <w:p w:rsidR="00731D7C" w:rsidRPr="006A0EDC" w:rsidRDefault="00731D7C" w:rsidP="00731D7C">
      <w:pPr>
        <w:tabs>
          <w:tab w:val="right" w:leader="dot" w:pos="8640"/>
        </w:tabs>
        <w:ind w:firstLine="720"/>
        <w:jc w:val="both"/>
      </w:pPr>
      <w:r w:rsidRPr="006A0EDC">
        <w:t>Washington Families</w:t>
      </w:r>
      <w:r w:rsidR="00CC624B">
        <w:tab/>
        <w:t>107</w:t>
      </w:r>
    </w:p>
    <w:p w:rsidR="00731D7C" w:rsidRPr="006A0EDC" w:rsidRDefault="00731D7C" w:rsidP="00731D7C">
      <w:pPr>
        <w:tabs>
          <w:tab w:val="right" w:leader="dot" w:pos="8640"/>
        </w:tabs>
        <w:ind w:firstLine="720"/>
        <w:jc w:val="both"/>
      </w:pPr>
      <w:r w:rsidRPr="006A0EDC">
        <w:t>Mount Vernon’s Changing Landscape and Architecture</w:t>
      </w:r>
      <w:r w:rsidR="00CC624B">
        <w:tab/>
        <w:t>123</w:t>
      </w:r>
      <w:r w:rsidRPr="006A0EDC">
        <w:t xml:space="preserve">  </w:t>
      </w:r>
    </w:p>
    <w:p w:rsidR="00731D7C" w:rsidRDefault="00731D7C" w:rsidP="00731D7C">
      <w:pPr>
        <w:tabs>
          <w:tab w:val="right" w:leader="dot" w:pos="8640"/>
        </w:tabs>
        <w:ind w:firstLine="720"/>
        <w:jc w:val="both"/>
      </w:pPr>
      <w:r w:rsidRPr="006A0EDC">
        <w:t>The Enslaved Community’s Mount Vernon</w:t>
      </w:r>
      <w:r w:rsidR="00CC624B">
        <w:tab/>
        <w:t>135</w:t>
      </w:r>
    </w:p>
    <w:p w:rsidR="00CC624B" w:rsidRDefault="00CC624B" w:rsidP="00CC624B">
      <w:pPr>
        <w:tabs>
          <w:tab w:val="right" w:leader="dot" w:pos="8640"/>
        </w:tabs>
        <w:ind w:left="720"/>
        <w:jc w:val="both"/>
      </w:pPr>
      <w:r>
        <w:t xml:space="preserve">Conclusion </w:t>
      </w:r>
      <w:r>
        <w:tab/>
        <w:t>161</w:t>
      </w:r>
    </w:p>
    <w:p w:rsidR="00731D7C" w:rsidRPr="006A0EDC" w:rsidRDefault="00731D7C" w:rsidP="00731D7C">
      <w:pPr>
        <w:ind w:firstLine="720"/>
        <w:jc w:val="both"/>
        <w:rPr>
          <w:rFonts w:eastAsia="Calibri"/>
        </w:rPr>
      </w:pPr>
    </w:p>
    <w:p w:rsidR="00731D7C" w:rsidRPr="006A0EDC" w:rsidRDefault="00731D7C" w:rsidP="00731D7C">
      <w:pPr>
        <w:tabs>
          <w:tab w:val="right" w:leader="dot" w:pos="8640"/>
        </w:tabs>
        <w:jc w:val="both"/>
      </w:pPr>
      <w:r>
        <w:t>CHAPTER</w:t>
      </w:r>
      <w:r w:rsidRPr="006A0EDC">
        <w:t xml:space="preserve"> 5</w:t>
      </w:r>
      <w:r>
        <w:t>: George Wash</w:t>
      </w:r>
      <w:r w:rsidR="00CC624B">
        <w:t>ington’s Invoices and Orders</w:t>
      </w:r>
      <w:r w:rsidR="00CC624B">
        <w:tab/>
        <w:t>163</w:t>
      </w:r>
    </w:p>
    <w:p w:rsidR="00731D7C" w:rsidRPr="006A0EDC" w:rsidRDefault="00731D7C" w:rsidP="00731D7C">
      <w:pPr>
        <w:tabs>
          <w:tab w:val="right" w:leader="dot" w:pos="8640"/>
        </w:tabs>
        <w:ind w:firstLine="720"/>
        <w:jc w:val="both"/>
        <w:rPr>
          <w:bCs/>
        </w:rPr>
      </w:pPr>
      <w:r w:rsidRPr="006A0EDC">
        <w:rPr>
          <w:bCs/>
        </w:rPr>
        <w:t>Compiling the Dataset</w:t>
      </w:r>
      <w:r w:rsidR="00CC624B">
        <w:rPr>
          <w:bCs/>
        </w:rPr>
        <w:tab/>
        <w:t>164</w:t>
      </w:r>
    </w:p>
    <w:p w:rsidR="00731D7C" w:rsidRPr="006A0EDC" w:rsidRDefault="00731D7C" w:rsidP="00731D7C">
      <w:pPr>
        <w:tabs>
          <w:tab w:val="right" w:leader="dot" w:pos="8640"/>
        </w:tabs>
        <w:ind w:firstLine="720"/>
        <w:jc w:val="both"/>
        <w:rPr>
          <w:bCs/>
        </w:rPr>
      </w:pPr>
      <w:r w:rsidRPr="006A0EDC">
        <w:rPr>
          <w:bCs/>
        </w:rPr>
        <w:t>Summary of the Dataset</w:t>
      </w:r>
      <w:r w:rsidR="00CC624B">
        <w:rPr>
          <w:bCs/>
        </w:rPr>
        <w:tab/>
        <w:t>172</w:t>
      </w:r>
    </w:p>
    <w:p w:rsidR="00731D7C" w:rsidRPr="006A0EDC" w:rsidRDefault="00731D7C" w:rsidP="00731D7C">
      <w:pPr>
        <w:tabs>
          <w:tab w:val="right" w:leader="dot" w:pos="8640"/>
        </w:tabs>
        <w:ind w:firstLine="720"/>
        <w:jc w:val="both"/>
        <w:rPr>
          <w:bCs/>
        </w:rPr>
      </w:pPr>
      <w:r w:rsidRPr="006A0EDC">
        <w:rPr>
          <w:bCs/>
        </w:rPr>
        <w:t>Category and Subcategory Analysis</w:t>
      </w:r>
      <w:r w:rsidR="00CC624B">
        <w:rPr>
          <w:bCs/>
        </w:rPr>
        <w:tab/>
        <w:t>181</w:t>
      </w:r>
    </w:p>
    <w:p w:rsidR="00731D7C" w:rsidRPr="006A0EDC" w:rsidRDefault="00731D7C" w:rsidP="00731D7C">
      <w:pPr>
        <w:tabs>
          <w:tab w:val="right" w:leader="dot" w:pos="8640"/>
        </w:tabs>
        <w:ind w:firstLine="720"/>
        <w:jc w:val="both"/>
      </w:pPr>
      <w:r w:rsidRPr="006A0EDC">
        <w:t>George Washington’s Factors and Vendors</w:t>
      </w:r>
      <w:r w:rsidR="00CC624B">
        <w:tab/>
        <w:t>187</w:t>
      </w:r>
    </w:p>
    <w:p w:rsidR="00731D7C" w:rsidRPr="006A0EDC" w:rsidRDefault="00731D7C" w:rsidP="00731D7C">
      <w:pPr>
        <w:tabs>
          <w:tab w:val="right" w:leader="dot" w:pos="8640"/>
        </w:tabs>
        <w:ind w:firstLine="720"/>
        <w:jc w:val="both"/>
      </w:pPr>
      <w:r w:rsidRPr="006A0EDC">
        <w:t>Fee Analysis</w:t>
      </w:r>
      <w:r w:rsidR="00CC624B">
        <w:tab/>
        <w:t>193</w:t>
      </w:r>
    </w:p>
    <w:p w:rsidR="00731D7C" w:rsidRDefault="00731D7C" w:rsidP="00731D7C">
      <w:pPr>
        <w:tabs>
          <w:tab w:val="right" w:leader="dot" w:pos="8640"/>
        </w:tabs>
        <w:ind w:firstLine="720"/>
        <w:jc w:val="both"/>
        <w:rPr>
          <w:bCs/>
        </w:rPr>
      </w:pPr>
      <w:r w:rsidRPr="006A0EDC">
        <w:rPr>
          <w:bCs/>
        </w:rPr>
        <w:t>Conclusion</w:t>
      </w:r>
      <w:r w:rsidR="00CC624B">
        <w:rPr>
          <w:bCs/>
        </w:rPr>
        <w:tab/>
        <w:t>197</w:t>
      </w:r>
    </w:p>
    <w:p w:rsidR="00731D7C" w:rsidRPr="006A0EDC" w:rsidRDefault="00731D7C" w:rsidP="00731D7C">
      <w:pPr>
        <w:ind w:firstLine="720"/>
        <w:jc w:val="both"/>
        <w:rPr>
          <w:bCs/>
        </w:rPr>
      </w:pPr>
    </w:p>
    <w:p w:rsidR="00731D7C" w:rsidRPr="006A0EDC" w:rsidRDefault="00731D7C" w:rsidP="00731D7C">
      <w:pPr>
        <w:tabs>
          <w:tab w:val="right" w:leader="dot" w:pos="8640"/>
        </w:tabs>
        <w:jc w:val="both"/>
      </w:pPr>
      <w:r>
        <w:t>CHAPTER</w:t>
      </w:r>
      <w:r w:rsidRPr="006A0EDC">
        <w:t xml:space="preserve"> 6: Alexander Henderson’s Colchester Schemes of Goods</w:t>
      </w:r>
      <w:r w:rsidR="00CC624B">
        <w:tab/>
        <w:t>199</w:t>
      </w:r>
    </w:p>
    <w:p w:rsidR="00731D7C" w:rsidRPr="006A0EDC" w:rsidRDefault="00731D7C" w:rsidP="00731D7C">
      <w:pPr>
        <w:tabs>
          <w:tab w:val="right" w:leader="dot" w:pos="8640"/>
        </w:tabs>
        <w:ind w:firstLine="720"/>
        <w:jc w:val="both"/>
        <w:rPr>
          <w:bCs/>
        </w:rPr>
      </w:pPr>
      <w:r w:rsidRPr="006A0EDC">
        <w:rPr>
          <w:bCs/>
        </w:rPr>
        <w:t>Compiling the Dataset</w:t>
      </w:r>
      <w:r w:rsidR="00CC624B">
        <w:rPr>
          <w:bCs/>
        </w:rPr>
        <w:tab/>
        <w:t>200</w:t>
      </w:r>
    </w:p>
    <w:p w:rsidR="00731D7C" w:rsidRPr="006A0EDC" w:rsidRDefault="00731D7C" w:rsidP="00731D7C">
      <w:pPr>
        <w:tabs>
          <w:tab w:val="right" w:leader="dot" w:pos="8640"/>
        </w:tabs>
        <w:ind w:firstLine="720"/>
        <w:jc w:val="both"/>
      </w:pPr>
      <w:r w:rsidRPr="006A0EDC">
        <w:rPr>
          <w:bCs/>
        </w:rPr>
        <w:t>Summary of the Dataset</w:t>
      </w:r>
      <w:r w:rsidR="00CC624B">
        <w:rPr>
          <w:bCs/>
        </w:rPr>
        <w:tab/>
        <w:t>212</w:t>
      </w:r>
    </w:p>
    <w:p w:rsidR="00CC624B" w:rsidRDefault="00CC624B" w:rsidP="00CC624B">
      <w:pPr>
        <w:tabs>
          <w:tab w:val="right" w:leader="dot" w:pos="8640"/>
        </w:tabs>
        <w:ind w:firstLine="720"/>
        <w:jc w:val="both"/>
        <w:rPr>
          <w:bCs/>
        </w:rPr>
      </w:pPr>
      <w:r w:rsidRPr="006A0EDC">
        <w:rPr>
          <w:bCs/>
        </w:rPr>
        <w:t>Category and Subcategory Analysis</w:t>
      </w:r>
      <w:r>
        <w:rPr>
          <w:bCs/>
        </w:rPr>
        <w:tab/>
        <w:t>216</w:t>
      </w:r>
    </w:p>
    <w:p w:rsidR="00731D7C" w:rsidRPr="006A0EDC" w:rsidRDefault="00731D7C" w:rsidP="00731D7C">
      <w:pPr>
        <w:tabs>
          <w:tab w:val="right" w:leader="dot" w:pos="8640"/>
        </w:tabs>
        <w:ind w:firstLine="720"/>
        <w:jc w:val="both"/>
        <w:rPr>
          <w:bCs/>
        </w:rPr>
      </w:pPr>
      <w:r w:rsidRPr="006A0EDC">
        <w:rPr>
          <w:bCs/>
        </w:rPr>
        <w:t>Comments</w:t>
      </w:r>
      <w:r w:rsidR="00CC624B">
        <w:rPr>
          <w:bCs/>
        </w:rPr>
        <w:tab/>
        <w:t>222</w:t>
      </w:r>
      <w:r w:rsidRPr="006A0EDC">
        <w:rPr>
          <w:bCs/>
        </w:rPr>
        <w:t xml:space="preserve">  </w:t>
      </w:r>
    </w:p>
    <w:p w:rsidR="00731D7C" w:rsidRDefault="00731D7C" w:rsidP="00731D7C">
      <w:pPr>
        <w:tabs>
          <w:tab w:val="right" w:leader="dot" w:pos="8640"/>
        </w:tabs>
        <w:ind w:firstLine="720"/>
        <w:jc w:val="both"/>
        <w:rPr>
          <w:bCs/>
        </w:rPr>
      </w:pPr>
      <w:r w:rsidRPr="006A0EDC">
        <w:rPr>
          <w:bCs/>
        </w:rPr>
        <w:t>Conclusion</w:t>
      </w:r>
      <w:r w:rsidR="00CC624B">
        <w:rPr>
          <w:bCs/>
        </w:rPr>
        <w:tab/>
        <w:t>224</w:t>
      </w:r>
    </w:p>
    <w:p w:rsidR="00731D7C" w:rsidRPr="006A0EDC" w:rsidRDefault="00731D7C" w:rsidP="00731D7C">
      <w:pPr>
        <w:ind w:firstLine="720"/>
        <w:jc w:val="both"/>
        <w:rPr>
          <w:bCs/>
        </w:rPr>
      </w:pPr>
    </w:p>
    <w:p w:rsidR="00731D7C" w:rsidRDefault="00731D7C" w:rsidP="00731D7C">
      <w:pPr>
        <w:tabs>
          <w:tab w:val="right" w:leader="dot" w:pos="8640"/>
        </w:tabs>
        <w:jc w:val="both"/>
      </w:pPr>
      <w:r w:rsidRPr="0022390D">
        <w:t xml:space="preserve">CHAPTER 7: The Materiality of </w:t>
      </w:r>
      <w:r>
        <w:t>Acces</w:t>
      </w:r>
      <w:r w:rsidR="00CC624B">
        <w:t xml:space="preserve">s, </w:t>
      </w:r>
      <w:proofErr w:type="gramStart"/>
      <w:r w:rsidR="00CC624B">
        <w:t>The</w:t>
      </w:r>
      <w:proofErr w:type="gramEnd"/>
      <w:r w:rsidR="00CC624B">
        <w:t xml:space="preserve"> Constraints of Choice</w:t>
      </w:r>
      <w:r w:rsidR="00CC624B">
        <w:tab/>
        <w:t>226</w:t>
      </w:r>
    </w:p>
    <w:p w:rsidR="00731D7C" w:rsidRDefault="00CC624B" w:rsidP="00731D7C">
      <w:pPr>
        <w:tabs>
          <w:tab w:val="right" w:leader="dot" w:pos="8640"/>
        </w:tabs>
        <w:ind w:firstLine="720"/>
        <w:jc w:val="both"/>
      </w:pPr>
      <w:r>
        <w:t>Archaeology at Mount Vernon</w:t>
      </w:r>
      <w:r>
        <w:tab/>
        <w:t>227</w:t>
      </w:r>
    </w:p>
    <w:p w:rsidR="00731D7C" w:rsidRDefault="00CC624B" w:rsidP="00731D7C">
      <w:pPr>
        <w:tabs>
          <w:tab w:val="right" w:leader="dot" w:pos="8640"/>
        </w:tabs>
        <w:ind w:firstLine="720"/>
        <w:jc w:val="both"/>
      </w:pPr>
      <w:r>
        <w:t>Compiling the Database</w:t>
      </w:r>
      <w:r>
        <w:tab/>
        <w:t>237</w:t>
      </w:r>
    </w:p>
    <w:p w:rsidR="00731D7C" w:rsidRDefault="00CC624B" w:rsidP="00731D7C">
      <w:pPr>
        <w:tabs>
          <w:tab w:val="right" w:leader="dot" w:pos="8640"/>
        </w:tabs>
        <w:ind w:firstLine="720"/>
        <w:jc w:val="both"/>
      </w:pPr>
      <w:r>
        <w:t>Developing the Dataset</w:t>
      </w:r>
      <w:r>
        <w:tab/>
        <w:t>241</w:t>
      </w:r>
    </w:p>
    <w:p w:rsidR="00731D7C" w:rsidRDefault="00731D7C" w:rsidP="00731D7C">
      <w:pPr>
        <w:tabs>
          <w:tab w:val="right" w:leader="dot" w:pos="8640"/>
        </w:tabs>
        <w:ind w:firstLine="720"/>
        <w:jc w:val="both"/>
      </w:pPr>
      <w:r>
        <w:t>Revealing Consumerism through</w:t>
      </w:r>
      <w:r w:rsidR="00CC624B">
        <w:t xml:space="preserve"> a Material Culture Approach</w:t>
      </w:r>
      <w:r w:rsidR="00CC624B">
        <w:tab/>
        <w:t>244</w:t>
      </w:r>
    </w:p>
    <w:p w:rsidR="00731D7C" w:rsidRDefault="00CC624B" w:rsidP="00731D7C">
      <w:pPr>
        <w:tabs>
          <w:tab w:val="right" w:leader="dot" w:pos="8640"/>
        </w:tabs>
        <w:ind w:firstLine="720"/>
        <w:jc w:val="both"/>
      </w:pPr>
      <w:r>
        <w:lastRenderedPageBreak/>
        <w:t>Conclusion</w:t>
      </w:r>
      <w:r>
        <w:tab/>
        <w:t>340</w:t>
      </w:r>
    </w:p>
    <w:p w:rsidR="00731D7C" w:rsidRDefault="00731D7C" w:rsidP="00731D7C">
      <w:pPr>
        <w:jc w:val="both"/>
      </w:pPr>
    </w:p>
    <w:p w:rsidR="00731D7C" w:rsidRDefault="00731D7C" w:rsidP="00731D7C">
      <w:pPr>
        <w:tabs>
          <w:tab w:val="right" w:leader="dot" w:pos="8640"/>
        </w:tabs>
        <w:jc w:val="both"/>
      </w:pPr>
      <w:r>
        <w:t>CHAPTER 8: Conclusio</w:t>
      </w:r>
      <w:r w:rsidR="00CC624B">
        <w:t>n</w:t>
      </w:r>
      <w:r w:rsidR="00CC624B">
        <w:tab/>
        <w:t>349</w:t>
      </w:r>
    </w:p>
    <w:p w:rsidR="00731D7C" w:rsidRDefault="00731D7C" w:rsidP="00731D7C">
      <w:pPr>
        <w:jc w:val="both"/>
      </w:pPr>
    </w:p>
    <w:p w:rsidR="00731D7C" w:rsidRDefault="00CC624B" w:rsidP="00731D7C">
      <w:pPr>
        <w:tabs>
          <w:tab w:val="right" w:leader="dot" w:pos="8640"/>
        </w:tabs>
        <w:jc w:val="both"/>
      </w:pPr>
      <w:r>
        <w:t>LIST OF REFERENCES</w:t>
      </w:r>
      <w:r>
        <w:tab/>
        <w:t>358</w:t>
      </w:r>
    </w:p>
    <w:p w:rsidR="00731D7C" w:rsidRDefault="00731D7C" w:rsidP="00731D7C">
      <w:pPr>
        <w:jc w:val="both"/>
      </w:pPr>
    </w:p>
    <w:p w:rsidR="00731D7C" w:rsidRDefault="00CC624B" w:rsidP="00731D7C">
      <w:pPr>
        <w:tabs>
          <w:tab w:val="right" w:leader="dot" w:pos="8640"/>
        </w:tabs>
        <w:jc w:val="both"/>
      </w:pPr>
      <w:r>
        <w:t>APPENDIX</w:t>
      </w:r>
      <w:r>
        <w:tab/>
        <w:t>391</w:t>
      </w:r>
    </w:p>
    <w:p w:rsidR="00731D7C" w:rsidRDefault="00731D7C" w:rsidP="00731D7C">
      <w:pPr>
        <w:jc w:val="both"/>
      </w:pPr>
    </w:p>
    <w:p w:rsidR="00731D7C" w:rsidRDefault="00CC624B" w:rsidP="00731D7C">
      <w:pPr>
        <w:tabs>
          <w:tab w:val="right" w:leader="dot" w:pos="8640"/>
        </w:tabs>
        <w:jc w:val="both"/>
      </w:pPr>
      <w:r>
        <w:t>VITA</w:t>
      </w:r>
      <w:r>
        <w:tab/>
        <w:t>436</w:t>
      </w:r>
    </w:p>
    <w:p w:rsidR="00731D7C" w:rsidRDefault="00731D7C" w:rsidP="00731D7C">
      <w:r>
        <w:br w:type="page"/>
      </w:r>
    </w:p>
    <w:p w:rsidR="00731D7C" w:rsidRPr="000B3357" w:rsidRDefault="00731D7C" w:rsidP="00731D7C">
      <w:pPr>
        <w:spacing w:line="480" w:lineRule="auto"/>
        <w:jc w:val="center"/>
        <w:rPr>
          <w:b/>
        </w:rPr>
      </w:pPr>
      <w:r w:rsidRPr="000B3357">
        <w:rPr>
          <w:b/>
        </w:rPr>
        <w:lastRenderedPageBreak/>
        <w:t>LIST OF TABLES</w:t>
      </w:r>
    </w:p>
    <w:p w:rsidR="00731D7C" w:rsidRDefault="00AE1C49" w:rsidP="00731D7C">
      <w:pPr>
        <w:tabs>
          <w:tab w:val="right" w:leader="dot" w:pos="8640"/>
        </w:tabs>
        <w:jc w:val="both"/>
      </w:pPr>
      <w:r>
        <w:rPr>
          <w:rFonts w:eastAsia="Calibri"/>
        </w:rPr>
        <w:t>Table 1-</w:t>
      </w:r>
      <w:r w:rsidR="00731D7C">
        <w:rPr>
          <w:rFonts w:eastAsia="Calibri"/>
        </w:rPr>
        <w:t>1</w:t>
      </w:r>
      <w:r>
        <w:rPr>
          <w:rFonts w:eastAsia="Calibri"/>
        </w:rPr>
        <w:t>.</w:t>
      </w:r>
      <w:r w:rsidR="00731D7C">
        <w:rPr>
          <w:rFonts w:eastAsia="Calibri"/>
        </w:rPr>
        <w:t xml:space="preserve"> </w:t>
      </w:r>
      <w:r w:rsidR="00731D7C" w:rsidRPr="005530CA">
        <w:t>Brief timeline of domestic events occurring</w:t>
      </w:r>
      <w:r w:rsidR="00731D7C">
        <w:t xml:space="preserve"> at Mount Vernon, </w:t>
      </w:r>
    </w:p>
    <w:p w:rsidR="00731D7C" w:rsidRPr="005530CA" w:rsidRDefault="00CC624B" w:rsidP="00731D7C">
      <w:pPr>
        <w:tabs>
          <w:tab w:val="right" w:leader="dot" w:pos="8640"/>
        </w:tabs>
        <w:jc w:val="both"/>
        <w:rPr>
          <w:rFonts w:eastAsia="Calibri"/>
        </w:rPr>
      </w:pPr>
      <w:r>
        <w:t>ca. 1735-1775</w:t>
      </w:r>
      <w:r>
        <w:tab/>
        <w:t>19</w:t>
      </w:r>
    </w:p>
    <w:p w:rsidR="00731D7C" w:rsidRDefault="00731D7C" w:rsidP="00731D7C">
      <w:pPr>
        <w:tabs>
          <w:tab w:val="right" w:leader="dot" w:pos="8640"/>
        </w:tabs>
        <w:jc w:val="both"/>
        <w:rPr>
          <w:rFonts w:eastAsia="Calibri"/>
        </w:rPr>
      </w:pPr>
    </w:p>
    <w:p w:rsidR="00731D7C" w:rsidRPr="00995EB5" w:rsidRDefault="00731D7C" w:rsidP="00731D7C">
      <w:pPr>
        <w:tabs>
          <w:tab w:val="right" w:leader="dot" w:pos="8640"/>
        </w:tabs>
        <w:jc w:val="both"/>
        <w:rPr>
          <w:rFonts w:eastAsia="Calibri"/>
        </w:rPr>
      </w:pPr>
      <w:r>
        <w:rPr>
          <w:rFonts w:eastAsia="Calibri"/>
        </w:rPr>
        <w:t>Table 2-1. Moments in m</w:t>
      </w:r>
      <w:r w:rsidRPr="00995EB5">
        <w:rPr>
          <w:rFonts w:eastAsia="Calibri"/>
        </w:rPr>
        <w:t>ater</w:t>
      </w:r>
      <w:r>
        <w:rPr>
          <w:rFonts w:eastAsia="Calibri"/>
        </w:rPr>
        <w:t>ial</w:t>
      </w:r>
      <w:r w:rsidR="00CC624B">
        <w:rPr>
          <w:rFonts w:eastAsia="Calibri"/>
        </w:rPr>
        <w:t xml:space="preserve"> culture history through 2011</w:t>
      </w:r>
      <w:r w:rsidR="00CC624B">
        <w:rPr>
          <w:rFonts w:eastAsia="Calibri"/>
        </w:rPr>
        <w:tab/>
        <w:t>27</w:t>
      </w:r>
    </w:p>
    <w:p w:rsidR="00731D7C" w:rsidRPr="00995EB5" w:rsidRDefault="00731D7C" w:rsidP="00731D7C">
      <w:pPr>
        <w:tabs>
          <w:tab w:val="right" w:leader="dot" w:pos="8640"/>
        </w:tabs>
        <w:jc w:val="both"/>
        <w:rPr>
          <w:rFonts w:eastAsia="Calibri"/>
        </w:rPr>
      </w:pPr>
    </w:p>
    <w:p w:rsidR="00731D7C" w:rsidRDefault="00731D7C" w:rsidP="00731D7C">
      <w:pPr>
        <w:tabs>
          <w:tab w:val="right" w:leader="dot" w:pos="8640"/>
        </w:tabs>
        <w:jc w:val="both"/>
      </w:pPr>
      <w:r>
        <w:rPr>
          <w:rFonts w:eastAsia="Calibri"/>
        </w:rPr>
        <w:t xml:space="preserve">Table </w:t>
      </w:r>
      <w:r>
        <w:t>3-1.</w:t>
      </w:r>
      <w:r w:rsidRPr="00995EB5">
        <w:t xml:space="preserve"> Systematic studies of eighteenth- and</w:t>
      </w:r>
      <w:r>
        <w:t xml:space="preserve"> ni</w:t>
      </w:r>
      <w:r w:rsidR="00CC624B">
        <w:t>neteenth-century consumerism</w:t>
      </w:r>
      <w:r w:rsidR="00CC624B">
        <w:tab/>
        <w:t>66</w:t>
      </w:r>
    </w:p>
    <w:p w:rsidR="00731D7C" w:rsidRDefault="00731D7C" w:rsidP="00731D7C">
      <w:pPr>
        <w:tabs>
          <w:tab w:val="right" w:leader="dot" w:pos="8640"/>
        </w:tabs>
        <w:jc w:val="both"/>
        <w:rPr>
          <w:rFonts w:eastAsia="Calibri"/>
        </w:rPr>
      </w:pPr>
    </w:p>
    <w:p w:rsidR="00731D7C" w:rsidRDefault="00731D7C" w:rsidP="00731D7C">
      <w:pPr>
        <w:tabs>
          <w:tab w:val="right" w:leader="dot" w:pos="8640"/>
        </w:tabs>
        <w:ind w:left="720" w:hanging="720"/>
      </w:pPr>
      <w:r>
        <w:rPr>
          <w:rFonts w:eastAsia="Calibri"/>
        </w:rPr>
        <w:t xml:space="preserve">Table </w:t>
      </w:r>
      <w:r w:rsidR="00AE1C49">
        <w:t>3-2.</w:t>
      </w:r>
      <w:r>
        <w:t xml:space="preserve"> Transcription of the i</w:t>
      </w:r>
      <w:r w:rsidRPr="00B70B86">
        <w:t xml:space="preserve">nventory of house furniture bought by George </w:t>
      </w:r>
    </w:p>
    <w:p w:rsidR="00731D7C" w:rsidRPr="00B70B86" w:rsidRDefault="00731D7C" w:rsidP="00731D7C">
      <w:pPr>
        <w:tabs>
          <w:tab w:val="right" w:leader="dot" w:pos="8640"/>
        </w:tabs>
        <w:ind w:left="720" w:hanging="720"/>
      </w:pPr>
      <w:r w:rsidRPr="00B70B86">
        <w:t xml:space="preserve">Washington from Colonel Fairfax’s Belvoir </w:t>
      </w:r>
      <w:r>
        <w:t>est</w:t>
      </w:r>
      <w:r w:rsidR="00CC624B">
        <w:t>ate auction, August 15, 1774</w:t>
      </w:r>
      <w:r w:rsidR="00CC624B">
        <w:tab/>
        <w:t>86</w:t>
      </w:r>
      <w:r w:rsidRPr="00B70B86">
        <w:t xml:space="preserve"> </w:t>
      </w:r>
    </w:p>
    <w:p w:rsidR="00731D7C" w:rsidRDefault="00731D7C" w:rsidP="00731D7C">
      <w:pPr>
        <w:tabs>
          <w:tab w:val="right" w:leader="dot" w:pos="8640"/>
        </w:tabs>
        <w:jc w:val="both"/>
        <w:rPr>
          <w:rFonts w:eastAsia="Calibri"/>
        </w:rPr>
      </w:pPr>
    </w:p>
    <w:p w:rsidR="00731D7C" w:rsidRDefault="00731D7C" w:rsidP="00731D7C">
      <w:pPr>
        <w:tabs>
          <w:tab w:val="right" w:leader="dot" w:pos="8640"/>
        </w:tabs>
        <w:jc w:val="both"/>
      </w:pPr>
      <w:r>
        <w:rPr>
          <w:rFonts w:eastAsia="Calibri"/>
        </w:rPr>
        <w:t xml:space="preserve">Table </w:t>
      </w:r>
      <w:r w:rsidR="00AE1C49">
        <w:t xml:space="preserve">3-3. </w:t>
      </w:r>
      <w:r w:rsidRPr="00B70B86">
        <w:t xml:space="preserve">List of goods purchased by George Washington from John Posey, </w:t>
      </w:r>
    </w:p>
    <w:p w:rsidR="00731D7C" w:rsidRPr="00B70B86" w:rsidRDefault="00CC624B" w:rsidP="00731D7C">
      <w:pPr>
        <w:tabs>
          <w:tab w:val="right" w:leader="dot" w:pos="8640"/>
        </w:tabs>
        <w:jc w:val="both"/>
      </w:pPr>
      <w:r>
        <w:t>October 2, 1767</w:t>
      </w:r>
      <w:r>
        <w:tab/>
        <w:t>87</w:t>
      </w:r>
    </w:p>
    <w:p w:rsidR="00731D7C" w:rsidRDefault="00731D7C" w:rsidP="00731D7C">
      <w:pPr>
        <w:tabs>
          <w:tab w:val="right" w:leader="dot" w:pos="8640"/>
        </w:tabs>
        <w:jc w:val="both"/>
      </w:pPr>
    </w:p>
    <w:p w:rsidR="00731D7C" w:rsidRDefault="00731D7C" w:rsidP="00731D7C">
      <w:pPr>
        <w:tabs>
          <w:tab w:val="right" w:leader="dot" w:pos="8640"/>
        </w:tabs>
        <w:spacing w:line="480" w:lineRule="auto"/>
        <w:jc w:val="both"/>
      </w:pPr>
      <w:r>
        <w:rPr>
          <w:rFonts w:eastAsia="Calibri"/>
        </w:rPr>
        <w:t xml:space="preserve">Table </w:t>
      </w:r>
      <w:r w:rsidR="00AE1C49">
        <w:t xml:space="preserve">4-1. </w:t>
      </w:r>
      <w:r>
        <w:t>Counties encompassing</w:t>
      </w:r>
      <w:r w:rsidR="00CC624B">
        <w:t xml:space="preserve"> Fairfax before its creation</w:t>
      </w:r>
      <w:r w:rsidR="00CC624B">
        <w:tab/>
        <w:t>93</w:t>
      </w:r>
      <w:r w:rsidRPr="00995EB5">
        <w:t xml:space="preserve"> </w:t>
      </w:r>
    </w:p>
    <w:p w:rsidR="008D4C63" w:rsidRDefault="00731D7C" w:rsidP="00731D7C">
      <w:pPr>
        <w:tabs>
          <w:tab w:val="right" w:leader="dot" w:pos="8640"/>
        </w:tabs>
        <w:jc w:val="both"/>
      </w:pPr>
      <w:r>
        <w:rPr>
          <w:rFonts w:eastAsia="Calibri"/>
        </w:rPr>
        <w:t xml:space="preserve">Table </w:t>
      </w:r>
      <w:r>
        <w:t>4-2.</w:t>
      </w:r>
      <w:r w:rsidR="00AE1C49">
        <w:t xml:space="preserve"> </w:t>
      </w:r>
      <w:r w:rsidRPr="00995EB5">
        <w:t xml:space="preserve">Demographic makeup of Lawrence </w:t>
      </w:r>
      <w:r>
        <w:t>Washington’s enslaved community</w:t>
      </w:r>
    </w:p>
    <w:p w:rsidR="00731D7C" w:rsidRPr="00995EB5" w:rsidRDefault="008D4C63" w:rsidP="00731D7C">
      <w:pPr>
        <w:tabs>
          <w:tab w:val="right" w:leader="dot" w:pos="8640"/>
        </w:tabs>
        <w:jc w:val="both"/>
      </w:pPr>
      <w:proofErr w:type="gramStart"/>
      <w:r>
        <w:t>sorted</w:t>
      </w:r>
      <w:proofErr w:type="gramEnd"/>
      <w:r>
        <w:t xml:space="preserve"> on sex and age category</w:t>
      </w:r>
      <w:r w:rsidR="00CC624B">
        <w:tab/>
        <w:t>101</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Pr="00995EB5">
        <w:t xml:space="preserve">4-3. Washington family genealogy and ownership history on </w:t>
      </w:r>
    </w:p>
    <w:p w:rsidR="00731D7C" w:rsidRPr="00995EB5" w:rsidRDefault="00731D7C" w:rsidP="00731D7C">
      <w:pPr>
        <w:tabs>
          <w:tab w:val="right" w:leader="dot" w:pos="8640"/>
        </w:tabs>
        <w:jc w:val="both"/>
      </w:pPr>
      <w:r w:rsidRPr="00995EB5">
        <w:t>Mount Ver</w:t>
      </w:r>
      <w:r w:rsidR="00F61DA8">
        <w:t>non N</w:t>
      </w:r>
      <w:r w:rsidR="00CC624B">
        <w:t>eck</w:t>
      </w:r>
      <w:r w:rsidR="00CC624B">
        <w:tab/>
        <w:t>108</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rPr>
          <w:rFonts w:eastAsia="Calibri"/>
        </w:rPr>
        <w:t xml:space="preserve">Table </w:t>
      </w:r>
      <w:r w:rsidRPr="00995EB5">
        <w:t xml:space="preserve">4-4. Slave purchases recorded </w:t>
      </w:r>
      <w:r>
        <w:t xml:space="preserve">in </w:t>
      </w:r>
      <w:r w:rsidR="00CC624B">
        <w:t>George Washington’s Ledger A</w:t>
      </w:r>
      <w:r w:rsidR="00CC624B">
        <w:tab/>
        <w:t>121</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Pr="00995EB5">
        <w:t xml:space="preserve">4-5. </w:t>
      </w:r>
      <w:r>
        <w:t>Historical c</w:t>
      </w:r>
      <w:r w:rsidRPr="00995EB5">
        <w:t>reo</w:t>
      </w:r>
      <w:r>
        <w:t>lization model for the Madison slave c</w:t>
      </w:r>
      <w:r w:rsidRPr="00995EB5">
        <w:t xml:space="preserve">ommunity, </w:t>
      </w:r>
    </w:p>
    <w:p w:rsidR="00731D7C" w:rsidRPr="00995EB5" w:rsidRDefault="00731D7C" w:rsidP="00731D7C">
      <w:pPr>
        <w:tabs>
          <w:tab w:val="right" w:leader="dot" w:pos="8640"/>
        </w:tabs>
        <w:jc w:val="both"/>
      </w:pPr>
      <w:r>
        <w:t xml:space="preserve">1720s-1850s </w:t>
      </w:r>
      <w:r w:rsidRPr="004F7425">
        <w:t>(Chambers 2005:98-99)</w:t>
      </w:r>
      <w:r w:rsidR="00CC624B">
        <w:tab/>
        <w:t>138</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Pr="00995EB5">
        <w:t>4-6</w:t>
      </w:r>
      <w:r>
        <w:t>.</w:t>
      </w:r>
      <w:r w:rsidRPr="00995EB5">
        <w:t xml:space="preserve"> Importation of slaves to the upper Potomac Region, ca. 1735-1775,</w:t>
      </w:r>
    </w:p>
    <w:p w:rsidR="00731D7C" w:rsidRPr="00995EB5" w:rsidRDefault="00731D7C" w:rsidP="00731D7C">
      <w:pPr>
        <w:tabs>
          <w:tab w:val="right" w:leader="dot" w:pos="8640"/>
        </w:tabs>
        <w:jc w:val="both"/>
      </w:pPr>
      <w:proofErr w:type="gramStart"/>
      <w:r w:rsidRPr="00995EB5">
        <w:t>broken</w:t>
      </w:r>
      <w:proofErr w:type="gramEnd"/>
      <w:r w:rsidR="00CC624B">
        <w:t xml:space="preserve"> down by household</w:t>
      </w:r>
      <w:r w:rsidR="00CC624B">
        <w:tab/>
        <w:t>144</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Pr="00995EB5">
        <w:t xml:space="preserve">4-7. Importation of slaves to the upper Potomac region, ca. 1735-1775, </w:t>
      </w:r>
    </w:p>
    <w:p w:rsidR="00731D7C" w:rsidRPr="00995EB5" w:rsidRDefault="00CC624B" w:rsidP="00731D7C">
      <w:pPr>
        <w:tabs>
          <w:tab w:val="right" w:leader="dot" w:pos="8640"/>
        </w:tabs>
        <w:jc w:val="both"/>
      </w:pPr>
      <w:r>
        <w:t>Aggregated</w:t>
      </w:r>
      <w:r>
        <w:tab/>
        <w:t>147</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Pr="00995EB5">
        <w:t xml:space="preserve">4-8. Documents with citations pertaining to Mount Vernon’s early </w:t>
      </w:r>
    </w:p>
    <w:p w:rsidR="00731D7C" w:rsidRPr="00995EB5" w:rsidRDefault="00CC624B" w:rsidP="00731D7C">
      <w:pPr>
        <w:tabs>
          <w:tab w:val="right" w:leader="dot" w:pos="8640"/>
        </w:tabs>
        <w:jc w:val="both"/>
      </w:pPr>
      <w:proofErr w:type="gramStart"/>
      <w:r>
        <w:t>enslaved</w:t>
      </w:r>
      <w:proofErr w:type="gramEnd"/>
      <w:r>
        <w:t xml:space="preserve"> community</w:t>
      </w:r>
      <w:r>
        <w:tab/>
        <w:t>152</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rPr>
          <w:rFonts w:eastAsia="Calibri"/>
        </w:rPr>
        <w:t xml:space="preserve">Table </w:t>
      </w:r>
      <w:r>
        <w:t>4-9</w:t>
      </w:r>
      <w:r w:rsidRPr="00995EB5">
        <w:t>. Fields and descriptions recorded in the Mo</w:t>
      </w:r>
      <w:r w:rsidR="00CC624B">
        <w:t>unt Vernon slave dataset</w:t>
      </w:r>
      <w:r w:rsidR="00CC624B">
        <w:tab/>
        <w:t>153</w:t>
      </w:r>
    </w:p>
    <w:p w:rsidR="00731D7C" w:rsidRPr="00995EB5"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Pr="00995EB5">
        <w:t xml:space="preserve">5-1. List of George Washington’s orders for goods and corresponding </w:t>
      </w:r>
    </w:p>
    <w:p w:rsidR="00731D7C" w:rsidRPr="00995EB5" w:rsidRDefault="00CC624B" w:rsidP="00731D7C">
      <w:pPr>
        <w:tabs>
          <w:tab w:val="right" w:leader="dot" w:pos="8640"/>
        </w:tabs>
        <w:jc w:val="both"/>
      </w:pPr>
      <w:proofErr w:type="gramStart"/>
      <w:r>
        <w:t>invoices</w:t>
      </w:r>
      <w:proofErr w:type="gramEnd"/>
      <w:r>
        <w:tab/>
        <w:t>167</w:t>
      </w:r>
    </w:p>
    <w:p w:rsidR="00731D7C" w:rsidRDefault="00731D7C" w:rsidP="00731D7C">
      <w:pPr>
        <w:tabs>
          <w:tab w:val="right" w:leader="dot" w:pos="8640"/>
        </w:tabs>
        <w:jc w:val="both"/>
        <w:rPr>
          <w:rFonts w:eastAsia="Calibri"/>
        </w:rPr>
      </w:pPr>
    </w:p>
    <w:p w:rsidR="00731D7C" w:rsidRPr="00995EB5" w:rsidRDefault="00731D7C" w:rsidP="00731D7C">
      <w:pPr>
        <w:tabs>
          <w:tab w:val="right" w:leader="dot" w:pos="8640"/>
        </w:tabs>
        <w:jc w:val="both"/>
      </w:pPr>
      <w:r>
        <w:rPr>
          <w:rFonts w:eastAsia="Calibri"/>
        </w:rPr>
        <w:t xml:space="preserve">Table </w:t>
      </w:r>
      <w:r w:rsidRPr="00995EB5">
        <w:t xml:space="preserve">5-2. Data entry fields for the Invoices and Orders </w:t>
      </w:r>
      <w:r w:rsidR="00CC624B">
        <w:t>Project</w:t>
      </w:r>
      <w:r w:rsidR="00CC624B">
        <w:tab/>
        <w:t>171</w:t>
      </w:r>
    </w:p>
    <w:p w:rsidR="00731D7C" w:rsidRDefault="00731D7C" w:rsidP="00731D7C">
      <w:pPr>
        <w:tabs>
          <w:tab w:val="right" w:leader="dot" w:pos="8640"/>
        </w:tabs>
        <w:jc w:val="both"/>
        <w:rPr>
          <w:rFonts w:eastAsia="Calibri"/>
        </w:rPr>
      </w:pPr>
    </w:p>
    <w:p w:rsidR="00731D7C" w:rsidRPr="00995EB5" w:rsidRDefault="00731D7C" w:rsidP="00731D7C">
      <w:pPr>
        <w:tabs>
          <w:tab w:val="right" w:leader="dot" w:pos="8640"/>
        </w:tabs>
        <w:jc w:val="both"/>
      </w:pPr>
      <w:r>
        <w:rPr>
          <w:rFonts w:eastAsia="Calibri"/>
        </w:rPr>
        <w:t xml:space="preserve">Table </w:t>
      </w:r>
      <w:r>
        <w:t xml:space="preserve">5-3. </w:t>
      </w:r>
      <w:r w:rsidRPr="00995EB5">
        <w:t>Breakdown of individual invoices totals and invoices totals per ye</w:t>
      </w:r>
      <w:r w:rsidR="00CC624B">
        <w:t>ar</w:t>
      </w:r>
      <w:r w:rsidR="00CC624B">
        <w:tab/>
        <w:t>179</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lastRenderedPageBreak/>
        <w:t xml:space="preserve">Table </w:t>
      </w:r>
      <w:r>
        <w:t xml:space="preserve">5-4. </w:t>
      </w:r>
      <w:r w:rsidRPr="00995EB5">
        <w:t>F</w:t>
      </w:r>
      <w:r>
        <w:t>req</w:t>
      </w:r>
      <w:r w:rsidR="00CC624B">
        <w:t>uency of categories of goods</w:t>
      </w:r>
      <w:r w:rsidR="00CC624B">
        <w:tab/>
        <w:t>182</w:t>
      </w:r>
    </w:p>
    <w:p w:rsidR="00731D7C" w:rsidRDefault="00731D7C" w:rsidP="00731D7C">
      <w:pPr>
        <w:tabs>
          <w:tab w:val="right" w:leader="dot" w:pos="8640"/>
        </w:tabs>
        <w:jc w:val="both"/>
        <w:rPr>
          <w:rFonts w:eastAsia="Calibri"/>
        </w:rPr>
      </w:pPr>
    </w:p>
    <w:p w:rsidR="00731D7C" w:rsidRPr="00B9201C" w:rsidRDefault="00731D7C" w:rsidP="00731D7C">
      <w:pPr>
        <w:tabs>
          <w:tab w:val="right" w:leader="dot" w:pos="8640"/>
        </w:tabs>
        <w:jc w:val="both"/>
      </w:pPr>
      <w:r>
        <w:rPr>
          <w:rFonts w:eastAsia="Calibri"/>
        </w:rPr>
        <w:t xml:space="preserve">Table </w:t>
      </w:r>
      <w:r w:rsidRPr="00B9201C">
        <w:t>5-5. Freq</w:t>
      </w:r>
      <w:r>
        <w:t>uen</w:t>
      </w:r>
      <w:r w:rsidR="00CC624B">
        <w:t>cy of subcategories of goods</w:t>
      </w:r>
      <w:r w:rsidR="00CC624B">
        <w:tab/>
        <w:t>184</w:t>
      </w:r>
      <w:r w:rsidRPr="00B9201C">
        <w:t xml:space="preserve">  </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rPr>
          <w:rFonts w:eastAsia="Calibri"/>
        </w:rPr>
        <w:t xml:space="preserve">Table </w:t>
      </w:r>
      <w:r>
        <w:t xml:space="preserve">5-6. </w:t>
      </w:r>
      <w:r w:rsidRPr="00995EB5">
        <w:t>List of Geo</w:t>
      </w:r>
      <w:r>
        <w:t>rge Washington’s agents by y</w:t>
      </w:r>
      <w:r w:rsidR="00CC624B">
        <w:t>ear</w:t>
      </w:r>
      <w:r w:rsidR="00CC624B">
        <w:tab/>
        <w:t>188</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t xml:space="preserve">5-7. </w:t>
      </w:r>
      <w:r w:rsidRPr="00995EB5">
        <w:t>Documented wait times ex</w:t>
      </w:r>
      <w:r>
        <w:t>pe</w:t>
      </w:r>
      <w:r w:rsidR="00CC624B">
        <w:t>rienced by George Washington</w:t>
      </w:r>
      <w:r w:rsidR="00CC624B">
        <w:tab/>
        <w:t>191</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Pr="00B9201C">
        <w:t>6-1</w:t>
      </w:r>
      <w:r>
        <w:t>.</w:t>
      </w:r>
      <w:r w:rsidRPr="00B9201C">
        <w:t xml:space="preserve"> List of the schemes of goods entered into the catalogue, the date they </w:t>
      </w:r>
    </w:p>
    <w:p w:rsidR="00731D7C" w:rsidRDefault="00731D7C" w:rsidP="00731D7C">
      <w:pPr>
        <w:tabs>
          <w:tab w:val="right" w:leader="dot" w:pos="8640"/>
        </w:tabs>
        <w:jc w:val="both"/>
      </w:pPr>
      <w:r w:rsidRPr="00B9201C">
        <w:t xml:space="preserve">were recorded in the letterbook, and the year Henderson intended to have the </w:t>
      </w:r>
    </w:p>
    <w:p w:rsidR="00731D7C" w:rsidRPr="00B9201C" w:rsidRDefault="00731D7C" w:rsidP="00731D7C">
      <w:pPr>
        <w:tabs>
          <w:tab w:val="right" w:leader="dot" w:pos="8640"/>
        </w:tabs>
        <w:jc w:val="both"/>
      </w:pPr>
      <w:proofErr w:type="gramStart"/>
      <w:r w:rsidRPr="00B9201C">
        <w:t>inventory</w:t>
      </w:r>
      <w:proofErr w:type="gramEnd"/>
      <w:r w:rsidRPr="00B9201C">
        <w:t xml:space="preserve"> stocked in his Colchester store (also </w:t>
      </w:r>
      <w:r>
        <w:t>the</w:t>
      </w:r>
      <w:r w:rsidR="00CC624B">
        <w:t xml:space="preserve"> designation in the dataset)</w:t>
      </w:r>
      <w:r w:rsidR="00CC624B">
        <w:tab/>
        <w:t>201</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Pr="00B9201C">
        <w:t>6-2</w:t>
      </w:r>
      <w:r>
        <w:t>.</w:t>
      </w:r>
      <w:r w:rsidRPr="00B9201C">
        <w:t xml:space="preserve"> Foodways-related items transacted at Henderson’s Colchester store </w:t>
      </w:r>
    </w:p>
    <w:p w:rsidR="00731D7C" w:rsidRDefault="00731D7C" w:rsidP="00731D7C">
      <w:pPr>
        <w:tabs>
          <w:tab w:val="right" w:leader="dot" w:pos="8640"/>
        </w:tabs>
        <w:jc w:val="both"/>
      </w:pPr>
      <w:r w:rsidRPr="00B9201C">
        <w:t xml:space="preserve">from 1766 to 1768 (from Walsh et al. 1997:291) and their presence in the </w:t>
      </w:r>
    </w:p>
    <w:p w:rsidR="00731D7C" w:rsidRPr="00B9201C" w:rsidRDefault="00CC624B" w:rsidP="00731D7C">
      <w:pPr>
        <w:tabs>
          <w:tab w:val="right" w:leader="dot" w:pos="8640"/>
        </w:tabs>
        <w:jc w:val="both"/>
      </w:pPr>
      <w:proofErr w:type="gramStart"/>
      <w:r>
        <w:t>schemes</w:t>
      </w:r>
      <w:proofErr w:type="gramEnd"/>
      <w:r>
        <w:t xml:space="preserve"> of goods</w:t>
      </w:r>
      <w:r>
        <w:tab/>
        <w:t>204</w:t>
      </w:r>
      <w:r w:rsidR="00731D7C" w:rsidRPr="00B9201C">
        <w:t xml:space="preserve"> </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Pr="00B9201C">
        <w:t>6-3</w:t>
      </w:r>
      <w:r>
        <w:t>.</w:t>
      </w:r>
      <w:r w:rsidRPr="00B9201C">
        <w:t xml:space="preserve"> Land ownership distribution for Henderson’s Fairfax County clients </w:t>
      </w:r>
    </w:p>
    <w:p w:rsidR="00731D7C" w:rsidRPr="00B9201C" w:rsidRDefault="00731D7C" w:rsidP="00731D7C">
      <w:pPr>
        <w:tabs>
          <w:tab w:val="right" w:leader="dot" w:pos="8640"/>
        </w:tabs>
        <w:jc w:val="both"/>
      </w:pPr>
      <w:proofErr w:type="gramStart"/>
      <w:r w:rsidRPr="00B9201C">
        <w:t>from</w:t>
      </w:r>
      <w:proofErr w:type="gramEnd"/>
      <w:r w:rsidRPr="00B9201C">
        <w:t xml:space="preserve"> 1760 to 176</w:t>
      </w:r>
      <w:r>
        <w:t>1 (</w:t>
      </w:r>
      <w:r w:rsidR="00CC624B">
        <w:t>from Reber 2003:23, table 1)</w:t>
      </w:r>
      <w:r w:rsidR="00CC624B">
        <w:tab/>
        <w:t>205</w:t>
      </w:r>
      <w:r w:rsidRPr="00B9201C">
        <w:t xml:space="preserve">  </w:t>
      </w:r>
    </w:p>
    <w:p w:rsidR="00731D7C" w:rsidRDefault="00731D7C" w:rsidP="00731D7C">
      <w:pPr>
        <w:tabs>
          <w:tab w:val="right" w:leader="dot" w:pos="8640"/>
        </w:tabs>
        <w:jc w:val="both"/>
      </w:pPr>
    </w:p>
    <w:p w:rsidR="00731D7C" w:rsidRPr="00B9201C" w:rsidRDefault="00731D7C" w:rsidP="00731D7C">
      <w:pPr>
        <w:tabs>
          <w:tab w:val="right" w:leader="dot" w:pos="8640"/>
        </w:tabs>
        <w:jc w:val="both"/>
      </w:pPr>
      <w:r>
        <w:rPr>
          <w:rFonts w:eastAsia="Calibri"/>
        </w:rPr>
        <w:t xml:space="preserve">Table </w:t>
      </w:r>
      <w:r w:rsidRPr="00B9201C">
        <w:t xml:space="preserve">6-4. Data entry fields </w:t>
      </w:r>
      <w:r>
        <w:t>for</w:t>
      </w:r>
      <w:r w:rsidR="00CC624B">
        <w:t xml:space="preserve"> the Scheme of Goods Project</w:t>
      </w:r>
      <w:r w:rsidR="00CC624B">
        <w:tab/>
        <w:t>209</w:t>
      </w:r>
    </w:p>
    <w:p w:rsidR="00731D7C" w:rsidRDefault="00731D7C" w:rsidP="00731D7C">
      <w:pPr>
        <w:tabs>
          <w:tab w:val="right" w:leader="dot" w:pos="8640"/>
        </w:tabs>
        <w:jc w:val="both"/>
      </w:pPr>
    </w:p>
    <w:p w:rsidR="00731D7C" w:rsidRPr="00B9201C" w:rsidRDefault="00731D7C" w:rsidP="00731D7C">
      <w:pPr>
        <w:tabs>
          <w:tab w:val="right" w:leader="dot" w:pos="8640"/>
        </w:tabs>
        <w:jc w:val="both"/>
      </w:pPr>
      <w:r>
        <w:rPr>
          <w:rFonts w:eastAsia="Calibri"/>
        </w:rPr>
        <w:t xml:space="preserve">Table </w:t>
      </w:r>
      <w:r w:rsidRPr="00B9201C">
        <w:t>6-5</w:t>
      </w:r>
      <w:r>
        <w:t>.</w:t>
      </w:r>
      <w:r w:rsidRPr="00B9201C">
        <w:t xml:space="preserve"> Value of m</w:t>
      </w:r>
      <w:r>
        <w:t>erc</w:t>
      </w:r>
      <w:r w:rsidR="00CC624B">
        <w:t>handise ordered by Henderson</w:t>
      </w:r>
      <w:r w:rsidR="00CC624B">
        <w:tab/>
        <w:t>215</w:t>
      </w:r>
    </w:p>
    <w:p w:rsidR="00731D7C" w:rsidRDefault="00731D7C" w:rsidP="00731D7C">
      <w:pPr>
        <w:tabs>
          <w:tab w:val="right" w:leader="dot" w:pos="8640"/>
        </w:tabs>
        <w:jc w:val="both"/>
      </w:pPr>
    </w:p>
    <w:p w:rsidR="00731D7C" w:rsidRPr="00B9201C" w:rsidRDefault="00731D7C" w:rsidP="00731D7C">
      <w:pPr>
        <w:tabs>
          <w:tab w:val="right" w:leader="dot" w:pos="8640"/>
        </w:tabs>
        <w:jc w:val="both"/>
      </w:pPr>
      <w:r>
        <w:rPr>
          <w:rFonts w:eastAsia="Calibri"/>
        </w:rPr>
        <w:t xml:space="preserve">Table </w:t>
      </w:r>
      <w:r w:rsidRPr="00B9201C">
        <w:t>6-6</w:t>
      </w:r>
      <w:r>
        <w:t>.</w:t>
      </w:r>
      <w:r w:rsidRPr="00B9201C">
        <w:t xml:space="preserve"> F</w:t>
      </w:r>
      <w:r>
        <w:t>req</w:t>
      </w:r>
      <w:r w:rsidR="00CC624B">
        <w:t>uency of categories of goods</w:t>
      </w:r>
      <w:r w:rsidR="00CC624B">
        <w:tab/>
        <w:t>217</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Pr="00B9201C">
        <w:t>6-7</w:t>
      </w:r>
      <w:r>
        <w:t>.</w:t>
      </w:r>
      <w:r w:rsidRPr="00B9201C">
        <w:t xml:space="preserve"> Freq</w:t>
      </w:r>
      <w:r>
        <w:t>uen</w:t>
      </w:r>
      <w:r w:rsidR="00CC624B">
        <w:t>cy of subcategories of goods</w:t>
      </w:r>
      <w:r w:rsidR="00CC624B">
        <w:tab/>
        <w:t>219</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7-1</w:t>
      </w:r>
      <w:r w:rsidRPr="00D835EB">
        <w:t xml:space="preserve">. </w:t>
      </w:r>
      <w:r>
        <w:t>Ph</w:t>
      </w:r>
      <w:r w:rsidR="00CC624B">
        <w:t>asing the South Grove Midden</w:t>
      </w:r>
      <w:r w:rsidR="00CC624B">
        <w:tab/>
        <w:t>233</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7-2</w:t>
      </w:r>
      <w:r w:rsidRPr="00D835EB">
        <w:t xml:space="preserve">. </w:t>
      </w:r>
      <w:r>
        <w:t>Ph</w:t>
      </w:r>
      <w:r w:rsidR="00CC624B">
        <w:t>asing the House for Families</w:t>
      </w:r>
      <w:r w:rsidR="00CC624B">
        <w:tab/>
        <w:t>236</w:t>
      </w:r>
      <w:r w:rsidRPr="00D835EB">
        <w:t xml:space="preserve">    </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7-3</w:t>
      </w:r>
      <w:r w:rsidR="00AE1C49">
        <w:t xml:space="preserve">. </w:t>
      </w:r>
      <w:r w:rsidRPr="00D835EB">
        <w:t>Ceramic dates fo</w:t>
      </w:r>
      <w:r>
        <w:t>r t</w:t>
      </w:r>
      <w:r w:rsidR="00CC624B">
        <w:t>he South Grove Midden phases</w:t>
      </w:r>
      <w:r w:rsidR="00CC624B">
        <w:tab/>
        <w:t>240</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7-4</w:t>
      </w:r>
      <w:r w:rsidR="00AE1C49">
        <w:t xml:space="preserve">. </w:t>
      </w:r>
      <w:r w:rsidRPr="00D835EB">
        <w:t>Ceramic dates fo</w:t>
      </w:r>
      <w:r>
        <w:t>r t</w:t>
      </w:r>
      <w:r w:rsidR="00CC624B">
        <w:t>he House for Families phases</w:t>
      </w:r>
      <w:r w:rsidR="00CC624B">
        <w:tab/>
        <w:t>240</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7-5</w:t>
      </w:r>
      <w:r w:rsidR="00AE1C49">
        <w:t xml:space="preserve">. </w:t>
      </w:r>
      <w:r w:rsidRPr="00D835EB">
        <w:t>Pipe</w:t>
      </w:r>
      <w:r w:rsidR="00E91746">
        <w:t xml:space="preserve"> </w:t>
      </w:r>
      <w:r w:rsidRPr="00D835EB">
        <w:t>stem dates for the South Grove Mi</w:t>
      </w:r>
      <w:r>
        <w:t>dde</w:t>
      </w:r>
      <w:r w:rsidR="00CC624B">
        <w:t>n and the House for Families</w:t>
      </w:r>
      <w:r w:rsidR="00CC624B">
        <w:tab/>
        <w:t>240</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7-6</w:t>
      </w:r>
      <w:r w:rsidR="00AE1C49">
        <w:t xml:space="preserve">. </w:t>
      </w:r>
      <w:r w:rsidRPr="00D835EB">
        <w:t>George Washington’s orde</w:t>
      </w:r>
      <w:r>
        <w:t xml:space="preserve">rs </w:t>
      </w:r>
      <w:r w:rsidR="00CC624B">
        <w:t>for table services, pre-1775</w:t>
      </w:r>
      <w:r w:rsidR="00CC624B">
        <w:tab/>
        <w:t>247</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t>7-7</w:t>
      </w:r>
      <w:r w:rsidR="00AE1C49">
        <w:t>.</w:t>
      </w:r>
      <w:r w:rsidRPr="00D835EB">
        <w:t xml:space="preserve"> Comparison of total tableware vessel forms by ware type ordered by </w:t>
      </w:r>
    </w:p>
    <w:p w:rsidR="00731D7C" w:rsidRPr="00D835EB" w:rsidRDefault="00731D7C" w:rsidP="00731D7C">
      <w:pPr>
        <w:tabs>
          <w:tab w:val="right" w:leader="dot" w:pos="8640"/>
        </w:tabs>
        <w:jc w:val="both"/>
      </w:pPr>
      <w:r w:rsidRPr="00D835EB">
        <w:t>George Washington (green) and Alexander Hende</w:t>
      </w:r>
      <w:r>
        <w:t>rso</w:t>
      </w:r>
      <w:r w:rsidR="00CC624B">
        <w:t>n (blue) in descending order</w:t>
      </w:r>
      <w:r w:rsidR="00CC624B">
        <w:tab/>
        <w:t>251</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7-8</w:t>
      </w:r>
      <w:r w:rsidR="00AE1C49">
        <w:t xml:space="preserve">. </w:t>
      </w:r>
      <w:r w:rsidRPr="00D835EB">
        <w:t>George Washington’s Pur</w:t>
      </w:r>
      <w:r>
        <w:t>cha</w:t>
      </w:r>
      <w:r w:rsidR="00CC624B">
        <w:t>ses of Punch Bowls, pre-1775</w:t>
      </w:r>
      <w:r w:rsidR="00CC624B">
        <w:tab/>
        <w:t>257</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7-9</w:t>
      </w:r>
      <w:r w:rsidR="00AE1C49">
        <w:t xml:space="preserve">. </w:t>
      </w:r>
      <w:r w:rsidRPr="00D835EB">
        <w:t>Estimating punch bowl capaci</w:t>
      </w:r>
      <w:r>
        <w:t>ty in the archaeologi</w:t>
      </w:r>
      <w:r w:rsidR="00CC624B">
        <w:t>cal record</w:t>
      </w:r>
      <w:r w:rsidR="00CC624B">
        <w:tab/>
        <w:t>265</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lastRenderedPageBreak/>
        <w:t xml:space="preserve">Table </w:t>
      </w:r>
      <w:r>
        <w:t>7-10</w:t>
      </w:r>
      <w:r w:rsidR="00AE1C49">
        <w:t xml:space="preserve">. </w:t>
      </w:r>
      <w:r w:rsidRPr="00D835EB">
        <w:t>Capacity estimate</w:t>
      </w:r>
      <w:r>
        <w:t>s for mugs from the South Grove</w:t>
      </w:r>
      <w:r w:rsidR="002709F8">
        <w:t xml:space="preserve"> Midden</w:t>
      </w:r>
      <w:r w:rsidR="00CC624B">
        <w:tab/>
        <w:t>270</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7-11</w:t>
      </w:r>
      <w:r w:rsidR="00AE1C49">
        <w:t xml:space="preserve">. </w:t>
      </w:r>
      <w:r w:rsidRPr="00D835EB">
        <w:t>Ceramic mugs sent</w:t>
      </w:r>
      <w:r>
        <w:t xml:space="preserve"> to</w:t>
      </w:r>
      <w:r w:rsidR="00CC624B">
        <w:t xml:space="preserve"> George Washington, pre-1775</w:t>
      </w:r>
      <w:r w:rsidR="00CC624B">
        <w:tab/>
        <w:t>270</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7-12</w:t>
      </w:r>
      <w:r w:rsidR="00AE1C49">
        <w:t xml:space="preserve">. </w:t>
      </w:r>
      <w:r w:rsidRPr="00D835EB">
        <w:t>Mugs</w:t>
      </w:r>
      <w:r>
        <w:t xml:space="preserve"> st</w:t>
      </w:r>
      <w:r w:rsidR="00CC624B">
        <w:t>ocked by Alexander Henderson</w:t>
      </w:r>
      <w:r w:rsidR="00CC624B">
        <w:tab/>
        <w:t>271</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7-13</w:t>
      </w:r>
      <w:r w:rsidR="00AE1C49">
        <w:t xml:space="preserve">. </w:t>
      </w:r>
      <w:r w:rsidRPr="00D835EB">
        <w:t>Buck</w:t>
      </w:r>
      <w:r>
        <w:t>les from the South Grove Midden</w:t>
      </w:r>
      <w:r>
        <w:tab/>
      </w:r>
      <w:r w:rsidR="00CC624B">
        <w:t>283</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7-14</w:t>
      </w:r>
      <w:r w:rsidR="00AE1C49">
        <w:t xml:space="preserve">. </w:t>
      </w:r>
      <w:r w:rsidRPr="00D835EB">
        <w:t>Buckles from George W</w:t>
      </w:r>
      <w:r>
        <w:t>ash</w:t>
      </w:r>
      <w:r w:rsidR="00CC624B">
        <w:t>ington’s invoices and orders</w:t>
      </w:r>
      <w:r w:rsidR="00CC624B">
        <w:tab/>
        <w:t>284</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7-15</w:t>
      </w:r>
      <w:r w:rsidR="00AE1C49">
        <w:t xml:space="preserve">. </w:t>
      </w:r>
      <w:r w:rsidRPr="00D835EB">
        <w:t xml:space="preserve">Buckles ordered </w:t>
      </w:r>
      <w:r>
        <w:t>for</w:t>
      </w:r>
      <w:r w:rsidR="00CC624B">
        <w:t xml:space="preserve"> Alexander Henderson’s store</w:t>
      </w:r>
      <w:r w:rsidR="00CC624B">
        <w:tab/>
        <w:t>284</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t>7-16</w:t>
      </w:r>
      <w:r w:rsidR="00AE1C49">
        <w:t xml:space="preserve">. </w:t>
      </w:r>
      <w:r w:rsidRPr="00D835EB">
        <w:t>Identifiable clothing buckles from the H</w:t>
      </w:r>
      <w:r>
        <w:t xml:space="preserve">ouse for Families </w:t>
      </w:r>
    </w:p>
    <w:p w:rsidR="00731D7C" w:rsidRDefault="00CC624B" w:rsidP="00731D7C">
      <w:pPr>
        <w:tabs>
          <w:tab w:val="right" w:leader="dot" w:pos="8640"/>
        </w:tabs>
        <w:jc w:val="both"/>
      </w:pPr>
      <w:proofErr w:type="gramStart"/>
      <w:r>
        <w:t>slave</w:t>
      </w:r>
      <w:proofErr w:type="gramEnd"/>
      <w:r>
        <w:t xml:space="preserve"> quarter</w:t>
      </w:r>
      <w:r>
        <w:tab/>
        <w:t>287</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rsidR="00AE1C49">
        <w:t xml:space="preserve">7-17. </w:t>
      </w:r>
      <w:r>
        <w:t xml:space="preserve">Breakdown of bead color from the South Grove Midden and the </w:t>
      </w:r>
    </w:p>
    <w:p w:rsidR="00731D7C" w:rsidRPr="00D835EB" w:rsidRDefault="00CC624B" w:rsidP="00731D7C">
      <w:pPr>
        <w:tabs>
          <w:tab w:val="right" w:leader="dot" w:pos="8640"/>
        </w:tabs>
        <w:jc w:val="both"/>
      </w:pPr>
      <w:r>
        <w:t>House for Families</w:t>
      </w:r>
      <w:r>
        <w:tab/>
        <w:t>298</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t>7-18</w:t>
      </w:r>
      <w:r w:rsidR="00AE1C49">
        <w:t xml:space="preserve">. </w:t>
      </w:r>
      <w:r w:rsidRPr="00D835EB">
        <w:t xml:space="preserve">Lawrence Washington’s library at the time of his death </w:t>
      </w:r>
    </w:p>
    <w:p w:rsidR="00731D7C" w:rsidRPr="00D835EB" w:rsidRDefault="00CC624B" w:rsidP="00731D7C">
      <w:pPr>
        <w:tabs>
          <w:tab w:val="right" w:leader="dot" w:pos="8640"/>
        </w:tabs>
        <w:jc w:val="both"/>
      </w:pPr>
      <w:r>
        <w:t>(</w:t>
      </w:r>
      <w:proofErr w:type="gramStart"/>
      <w:r>
        <w:t>book</w:t>
      </w:r>
      <w:proofErr w:type="gramEnd"/>
      <w:r>
        <w:t xml:space="preserve"> size in bold)</w:t>
      </w:r>
      <w:r>
        <w:tab/>
        <w:t>308</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7-19</w:t>
      </w:r>
      <w:r w:rsidR="00AE1C49">
        <w:t xml:space="preserve">. </w:t>
      </w:r>
      <w:r w:rsidRPr="00D835EB">
        <w:t>George Washington’s charge</w:t>
      </w:r>
      <w:r>
        <w:t>s f</w:t>
      </w:r>
      <w:r w:rsidR="00CC624B">
        <w:t>or books (book size in bold)</w:t>
      </w:r>
      <w:r w:rsidR="00CC624B">
        <w:tab/>
        <w:t>310</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7-20</w:t>
      </w:r>
      <w:r w:rsidR="00AE1C49">
        <w:t xml:space="preserve">. </w:t>
      </w:r>
      <w:r w:rsidRPr="00D835EB">
        <w:t>Books stocked by Alexande</w:t>
      </w:r>
      <w:r>
        <w:t>r H</w:t>
      </w:r>
      <w:r w:rsidR="00CC624B">
        <w:t>enderson (book size in bold)</w:t>
      </w:r>
      <w:r w:rsidR="00CC624B">
        <w:tab/>
        <w:t>313</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t>7-21</w:t>
      </w:r>
      <w:r w:rsidR="00AE1C49">
        <w:t xml:space="preserve">. </w:t>
      </w:r>
      <w:r w:rsidRPr="00D835EB">
        <w:t xml:space="preserve">Shot descriptions, diameters, and common names (Hanson 2001), </w:t>
      </w:r>
    </w:p>
    <w:p w:rsidR="00731D7C" w:rsidRDefault="00731D7C" w:rsidP="00731D7C">
      <w:pPr>
        <w:tabs>
          <w:tab w:val="right" w:leader="dot" w:pos="8640"/>
        </w:tabs>
        <w:jc w:val="both"/>
      </w:pPr>
      <w:r w:rsidRPr="00D835EB">
        <w:t xml:space="preserve">linked to the South Grove Midden shot assemblage and period documentary </w:t>
      </w:r>
    </w:p>
    <w:p w:rsidR="00731D7C" w:rsidRPr="00D835EB" w:rsidRDefault="00CC624B" w:rsidP="00731D7C">
      <w:pPr>
        <w:tabs>
          <w:tab w:val="right" w:leader="dot" w:pos="8640"/>
        </w:tabs>
        <w:jc w:val="both"/>
      </w:pPr>
      <w:proofErr w:type="gramStart"/>
      <w:r>
        <w:t>references</w:t>
      </w:r>
      <w:proofErr w:type="gramEnd"/>
      <w:r>
        <w:tab/>
        <w:t>326</w:t>
      </w:r>
      <w:r w:rsidR="00731D7C" w:rsidRPr="00D835EB">
        <w:t xml:space="preserve"> </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7-22</w:t>
      </w:r>
      <w:r w:rsidR="00AE1C49">
        <w:t xml:space="preserve">. </w:t>
      </w:r>
      <w:r w:rsidRPr="00D835EB">
        <w:t>Pins types manufacture in</w:t>
      </w:r>
      <w:r>
        <w:t xml:space="preserve"> Fra</w:t>
      </w:r>
      <w:r w:rsidR="00CC624B">
        <w:t>nce, ca. 1761 (Réaumur 1761)</w:t>
      </w:r>
      <w:r w:rsidR="00CC624B">
        <w:tab/>
        <w:t>329</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7-23</w:t>
      </w:r>
      <w:r w:rsidR="00AE1C49">
        <w:t xml:space="preserve">. </w:t>
      </w:r>
      <w:r w:rsidRPr="00D835EB">
        <w:t>K-means cluster analysis on the So</w:t>
      </w:r>
      <w:r>
        <w:t>uth</w:t>
      </w:r>
      <w:r w:rsidR="00CC624B">
        <w:t xml:space="preserve"> Grove Midden pin assemblage</w:t>
      </w:r>
      <w:r w:rsidR="00CC624B">
        <w:tab/>
        <w:t>333</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7-24</w:t>
      </w:r>
      <w:r w:rsidRPr="00D835EB">
        <w:t>. Types of straight pi</w:t>
      </w:r>
      <w:r>
        <w:t xml:space="preserve">ns </w:t>
      </w:r>
      <w:r w:rsidR="00CC624B">
        <w:t>ordered by George Washington</w:t>
      </w:r>
      <w:r w:rsidR="00CC624B">
        <w:tab/>
        <w:t>334</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rPr>
          <w:rFonts w:eastAsia="Calibri"/>
        </w:rPr>
        <w:t xml:space="preserve">Table </w:t>
      </w:r>
      <w:r>
        <w:t>7-25</w:t>
      </w:r>
      <w:r w:rsidR="00AE1C49">
        <w:t xml:space="preserve">. </w:t>
      </w:r>
      <w:r w:rsidRPr="00D835EB">
        <w:t>Pins ordered by Alexander Hender</w:t>
      </w:r>
      <w:r>
        <w:t>son for his store i</w:t>
      </w:r>
      <w:r w:rsidR="00CC624B">
        <w:t>n Colchester</w:t>
      </w:r>
      <w:r w:rsidR="00CC624B">
        <w:tab/>
        <w:t>336</w:t>
      </w:r>
    </w:p>
    <w:p w:rsidR="00731D7C" w:rsidRDefault="00731D7C" w:rsidP="00731D7C">
      <w:pPr>
        <w:tabs>
          <w:tab w:val="right" w:leader="dot" w:pos="8640"/>
        </w:tabs>
        <w:jc w:val="both"/>
      </w:pPr>
    </w:p>
    <w:p w:rsidR="00731D7C" w:rsidRDefault="00731D7C" w:rsidP="00731D7C">
      <w:pPr>
        <w:tabs>
          <w:tab w:val="right" w:leader="dot" w:pos="8640"/>
        </w:tabs>
        <w:jc w:val="both"/>
      </w:pPr>
      <w:r>
        <w:rPr>
          <w:rFonts w:eastAsia="Calibri"/>
        </w:rPr>
        <w:t xml:space="preserve">Table </w:t>
      </w:r>
      <w:r>
        <w:t>7-26</w:t>
      </w:r>
      <w:r w:rsidR="00AE1C49">
        <w:t xml:space="preserve">. </w:t>
      </w:r>
      <w:r w:rsidRPr="00D835EB">
        <w:t>K-means cluster analysis on the Ho</w:t>
      </w:r>
      <w:r>
        <w:t>use</w:t>
      </w:r>
      <w:r w:rsidR="00CC624B">
        <w:t xml:space="preserve"> for Families pin assemblage</w:t>
      </w:r>
      <w:r w:rsidR="00CC624B">
        <w:tab/>
        <w:t>337</w:t>
      </w:r>
    </w:p>
    <w:p w:rsidR="00731D7C" w:rsidRDefault="00731D7C" w:rsidP="00731D7C">
      <w:pPr>
        <w:tabs>
          <w:tab w:val="right" w:leader="dot" w:pos="8640"/>
        </w:tabs>
        <w:jc w:val="both"/>
      </w:pPr>
    </w:p>
    <w:p w:rsidR="00731D7C" w:rsidRDefault="00AE1C49" w:rsidP="00731D7C">
      <w:pPr>
        <w:tabs>
          <w:tab w:val="right" w:leader="dot" w:pos="8640"/>
        </w:tabs>
        <w:jc w:val="both"/>
      </w:pPr>
      <w:r>
        <w:t xml:space="preserve">Table A-1. </w:t>
      </w:r>
      <w:r w:rsidR="00731D7C">
        <w:t>A transcription of the inventory of the e</w:t>
      </w:r>
      <w:r w:rsidR="00731D7C" w:rsidRPr="00C57C34">
        <w:t xml:space="preserve">state of Lawrence Washington </w:t>
      </w:r>
    </w:p>
    <w:p w:rsidR="00731D7C" w:rsidRDefault="00731D7C" w:rsidP="00731D7C">
      <w:pPr>
        <w:tabs>
          <w:tab w:val="right" w:leader="dot" w:pos="8640"/>
        </w:tabs>
        <w:jc w:val="both"/>
      </w:pPr>
      <w:proofErr w:type="gramStart"/>
      <w:r>
        <w:t>appraised</w:t>
      </w:r>
      <w:proofErr w:type="gramEnd"/>
      <w:r>
        <w:t xml:space="preserve"> by the s</w:t>
      </w:r>
      <w:r w:rsidRPr="00C57C34">
        <w:t xml:space="preserve">ubscribers March </w:t>
      </w:r>
      <w:r>
        <w:t>7 a</w:t>
      </w:r>
      <w:r w:rsidR="00CC624B">
        <w:t>nd 8, 1753 (Washington 1753)</w:t>
      </w:r>
      <w:r w:rsidR="00CC624B">
        <w:tab/>
        <w:t>392</w:t>
      </w:r>
    </w:p>
    <w:p w:rsidR="00731D7C" w:rsidRDefault="00731D7C" w:rsidP="00731D7C">
      <w:pPr>
        <w:tabs>
          <w:tab w:val="right" w:leader="dot" w:pos="8640"/>
        </w:tabs>
        <w:jc w:val="both"/>
      </w:pPr>
    </w:p>
    <w:p w:rsidR="00731D7C" w:rsidRDefault="00AE1C49" w:rsidP="00731D7C">
      <w:pPr>
        <w:tabs>
          <w:tab w:val="right" w:leader="dot" w:pos="8640"/>
        </w:tabs>
        <w:jc w:val="both"/>
      </w:pPr>
      <w:r>
        <w:t xml:space="preserve">Table A-2. </w:t>
      </w:r>
      <w:r w:rsidR="00731D7C">
        <w:t xml:space="preserve">Items and assigned categories and subcategories in George </w:t>
      </w:r>
    </w:p>
    <w:p w:rsidR="00731D7C" w:rsidRPr="00DA55A1" w:rsidRDefault="00731D7C" w:rsidP="00731D7C">
      <w:pPr>
        <w:tabs>
          <w:tab w:val="right" w:leader="dot" w:pos="8640"/>
        </w:tabs>
        <w:jc w:val="both"/>
      </w:pPr>
      <w:r>
        <w:t>Wash</w:t>
      </w:r>
      <w:r w:rsidR="00CC624B">
        <w:t>ington’s invoices and orders</w:t>
      </w:r>
      <w:r w:rsidR="00CC624B">
        <w:tab/>
        <w:t>405</w:t>
      </w:r>
      <w:r>
        <w:rPr>
          <w:b/>
        </w:rPr>
        <w:t xml:space="preserve">  </w:t>
      </w:r>
    </w:p>
    <w:p w:rsidR="00731D7C" w:rsidRDefault="00731D7C" w:rsidP="00731D7C">
      <w:pPr>
        <w:tabs>
          <w:tab w:val="right" w:leader="dot" w:pos="8640"/>
        </w:tabs>
        <w:jc w:val="both"/>
        <w:rPr>
          <w:b/>
        </w:rPr>
      </w:pPr>
    </w:p>
    <w:p w:rsidR="00731D7C" w:rsidRDefault="00AE1C49" w:rsidP="00731D7C">
      <w:pPr>
        <w:tabs>
          <w:tab w:val="right" w:leader="dot" w:pos="8640"/>
        </w:tabs>
        <w:jc w:val="both"/>
      </w:pPr>
      <w:r>
        <w:t xml:space="preserve">Table A-3. </w:t>
      </w:r>
      <w:r w:rsidR="00731D7C">
        <w:t xml:space="preserve">Items and assigned categories and subcategories in Alexander </w:t>
      </w:r>
    </w:p>
    <w:p w:rsidR="00731D7C" w:rsidRDefault="00CC624B" w:rsidP="00731D7C">
      <w:pPr>
        <w:tabs>
          <w:tab w:val="right" w:leader="dot" w:pos="8640"/>
        </w:tabs>
        <w:jc w:val="both"/>
        <w:rPr>
          <w:b/>
        </w:rPr>
      </w:pPr>
      <w:r>
        <w:lastRenderedPageBreak/>
        <w:t>Henderson’s schemes of goods</w:t>
      </w:r>
      <w:r>
        <w:tab/>
        <w:t>423</w:t>
      </w:r>
      <w:r w:rsidR="00731D7C">
        <w:rPr>
          <w:b/>
        </w:rPr>
        <w:t xml:space="preserve">  </w:t>
      </w:r>
    </w:p>
    <w:p w:rsidR="00731D7C" w:rsidRDefault="00731D7C" w:rsidP="00731D7C">
      <w:pPr>
        <w:tabs>
          <w:tab w:val="right" w:leader="dot" w:pos="8640"/>
        </w:tabs>
        <w:jc w:val="both"/>
        <w:rPr>
          <w:b/>
        </w:rPr>
      </w:pPr>
    </w:p>
    <w:p w:rsidR="00731D7C" w:rsidRDefault="00AE1C49" w:rsidP="00731D7C">
      <w:pPr>
        <w:tabs>
          <w:tab w:val="right" w:leader="dot" w:pos="8640"/>
        </w:tabs>
        <w:jc w:val="both"/>
      </w:pPr>
      <w:r>
        <w:t xml:space="preserve">Table A-4. </w:t>
      </w:r>
      <w:r w:rsidR="00731D7C">
        <w:t>Books owned by George Washington</w:t>
      </w:r>
      <w:r w:rsidR="00CC624B">
        <w:t xml:space="preserve"> at Mount Vernon before 1775</w:t>
      </w:r>
      <w:r w:rsidR="00CC624B">
        <w:tab/>
        <w:t>431</w:t>
      </w:r>
      <w:r w:rsidR="00731D7C">
        <w:br w:type="page"/>
      </w:r>
    </w:p>
    <w:p w:rsidR="00731D7C" w:rsidRPr="000B3357" w:rsidRDefault="00731D7C" w:rsidP="00731D7C">
      <w:pPr>
        <w:spacing w:line="480" w:lineRule="auto"/>
        <w:jc w:val="center"/>
        <w:rPr>
          <w:b/>
        </w:rPr>
      </w:pPr>
      <w:r w:rsidRPr="000B3357">
        <w:rPr>
          <w:b/>
        </w:rPr>
        <w:lastRenderedPageBreak/>
        <w:t xml:space="preserve">LIST OF </w:t>
      </w:r>
      <w:r>
        <w:rPr>
          <w:b/>
        </w:rPr>
        <w:t>FIGURES</w:t>
      </w:r>
    </w:p>
    <w:p w:rsidR="00731D7C" w:rsidRDefault="00731D7C" w:rsidP="00731D7C">
      <w:pPr>
        <w:tabs>
          <w:tab w:val="right" w:leader="dot" w:pos="8640"/>
        </w:tabs>
        <w:jc w:val="both"/>
        <w:rPr>
          <w:rFonts w:eastAsia="Calibri"/>
        </w:rPr>
      </w:pPr>
      <w:r>
        <w:t>Figure 1-1.</w:t>
      </w:r>
      <w:r w:rsidRPr="005530CA">
        <w:t xml:space="preserve"> </w:t>
      </w:r>
      <w:r w:rsidRPr="005530CA">
        <w:rPr>
          <w:rFonts w:eastAsia="Calibri"/>
        </w:rPr>
        <w:t xml:space="preserve">George Washington’s first known order for goods placed to Richard </w:t>
      </w:r>
    </w:p>
    <w:p w:rsidR="00731D7C" w:rsidRDefault="00974B48" w:rsidP="00731D7C">
      <w:pPr>
        <w:tabs>
          <w:tab w:val="right" w:leader="dot" w:pos="8640"/>
        </w:tabs>
        <w:jc w:val="both"/>
        <w:rPr>
          <w:rFonts w:eastAsia="Calibri"/>
        </w:rPr>
      </w:pPr>
      <w:r>
        <w:rPr>
          <w:rFonts w:eastAsia="Calibri"/>
        </w:rPr>
        <w:t>Washington in 1755</w:t>
      </w:r>
      <w:r>
        <w:rPr>
          <w:rFonts w:eastAsia="Calibri"/>
        </w:rPr>
        <w:tab/>
        <w:t>2</w:t>
      </w:r>
    </w:p>
    <w:p w:rsidR="00731D7C" w:rsidRDefault="00731D7C" w:rsidP="00731D7C">
      <w:pPr>
        <w:tabs>
          <w:tab w:val="right" w:leader="dot" w:pos="8640"/>
        </w:tabs>
        <w:jc w:val="both"/>
        <w:rPr>
          <w:rFonts w:eastAsia="Calibri"/>
        </w:rPr>
      </w:pPr>
    </w:p>
    <w:p w:rsidR="00731D7C" w:rsidRDefault="00731D7C" w:rsidP="00731D7C">
      <w:pPr>
        <w:tabs>
          <w:tab w:val="right" w:leader="dot" w:pos="8640"/>
        </w:tabs>
        <w:jc w:val="both"/>
        <w:rPr>
          <w:rFonts w:eastAsia="Calibri"/>
        </w:rPr>
      </w:pPr>
      <w:r>
        <w:t xml:space="preserve">Figure </w:t>
      </w:r>
      <w:r w:rsidR="00AE1C49">
        <w:rPr>
          <w:rFonts w:eastAsia="Calibri"/>
        </w:rPr>
        <w:t xml:space="preserve">1-2. </w:t>
      </w:r>
      <w:r w:rsidRPr="005530CA">
        <w:rPr>
          <w:rFonts w:eastAsia="Calibri"/>
        </w:rPr>
        <w:t xml:space="preserve">Eighteenth-century denier gauge excavated from the South Grove </w:t>
      </w:r>
    </w:p>
    <w:p w:rsidR="00731D7C" w:rsidRDefault="00E91746" w:rsidP="00731D7C">
      <w:pPr>
        <w:tabs>
          <w:tab w:val="right" w:leader="dot" w:pos="8640"/>
        </w:tabs>
        <w:jc w:val="both"/>
      </w:pPr>
      <w:r>
        <w:rPr>
          <w:rFonts w:eastAsia="Calibri"/>
        </w:rPr>
        <w:t xml:space="preserve">Midden site (44FX762/17) </w:t>
      </w:r>
      <w:r w:rsidR="00731D7C" w:rsidRPr="005530CA">
        <w:rPr>
          <w:rFonts w:eastAsia="Calibri"/>
        </w:rPr>
        <w:t>made of copper alloy</w:t>
      </w:r>
      <w:r w:rsidR="00974B48">
        <w:rPr>
          <w:rFonts w:eastAsia="Calibri"/>
        </w:rPr>
        <w:t xml:space="preserve"> and glass with two iron pins</w:t>
      </w:r>
      <w:r w:rsidR="00974B48">
        <w:rPr>
          <w:rFonts w:eastAsia="Calibri"/>
        </w:rPr>
        <w:tab/>
        <w:t>5</w:t>
      </w:r>
    </w:p>
    <w:p w:rsidR="00731D7C" w:rsidRDefault="00731D7C" w:rsidP="00731D7C">
      <w:pPr>
        <w:tabs>
          <w:tab w:val="right" w:leader="dot" w:pos="8640"/>
        </w:tabs>
        <w:jc w:val="both"/>
      </w:pPr>
    </w:p>
    <w:p w:rsidR="00731D7C" w:rsidRDefault="00731D7C" w:rsidP="00731D7C">
      <w:pPr>
        <w:tabs>
          <w:tab w:val="right" w:leader="dot" w:pos="8640"/>
        </w:tabs>
        <w:jc w:val="both"/>
      </w:pPr>
      <w:r>
        <w:t xml:space="preserve">Figure </w:t>
      </w:r>
      <w:r w:rsidR="00AE1C49">
        <w:t xml:space="preserve">1-3. </w:t>
      </w:r>
      <w:r w:rsidRPr="005530CA">
        <w:t xml:space="preserve">“The George Washington Look for the Ladies” inspired by his </w:t>
      </w:r>
    </w:p>
    <w:p w:rsidR="00731D7C" w:rsidRPr="005530CA" w:rsidRDefault="00731D7C" w:rsidP="00731D7C">
      <w:pPr>
        <w:tabs>
          <w:tab w:val="right" w:leader="dot" w:pos="8640"/>
        </w:tabs>
        <w:jc w:val="both"/>
      </w:pPr>
      <w:proofErr w:type="gramStart"/>
      <w:r w:rsidRPr="005530CA">
        <w:t>Revolutionary War uniform.</w:t>
      </w:r>
      <w:proofErr w:type="gramEnd"/>
      <w:r w:rsidR="00974B48">
        <w:tab/>
        <w:t>9</w:t>
      </w:r>
      <w:r w:rsidRPr="005530CA">
        <w:rPr>
          <w:rFonts w:eastAsia="Calibri"/>
        </w:rPr>
        <w:t xml:space="preserve"> </w:t>
      </w:r>
    </w:p>
    <w:p w:rsidR="00731D7C" w:rsidRDefault="00731D7C" w:rsidP="00731D7C">
      <w:pPr>
        <w:tabs>
          <w:tab w:val="right" w:leader="dot" w:pos="8640"/>
        </w:tabs>
        <w:jc w:val="both"/>
      </w:pPr>
    </w:p>
    <w:p w:rsidR="00731D7C" w:rsidRPr="005530CA" w:rsidRDefault="00731D7C" w:rsidP="00731D7C">
      <w:pPr>
        <w:tabs>
          <w:tab w:val="right" w:leader="dot" w:pos="8640"/>
        </w:tabs>
        <w:jc w:val="both"/>
      </w:pPr>
      <w:r>
        <w:t xml:space="preserve">Figure </w:t>
      </w:r>
      <w:r w:rsidRPr="005530CA">
        <w:t>1-4.</w:t>
      </w:r>
      <w:r>
        <w:t xml:space="preserve"> The Chesapeake Bay region</w:t>
      </w:r>
      <w:r w:rsidR="00974B48">
        <w:t xml:space="preserve"> today</w:t>
      </w:r>
      <w:r w:rsidR="00974B48">
        <w:tab/>
        <w:t>14</w:t>
      </w:r>
    </w:p>
    <w:p w:rsidR="00731D7C" w:rsidRDefault="00731D7C" w:rsidP="00731D7C">
      <w:pPr>
        <w:tabs>
          <w:tab w:val="right" w:leader="dot" w:pos="8640"/>
        </w:tabs>
        <w:jc w:val="both"/>
      </w:pPr>
    </w:p>
    <w:p w:rsidR="00731D7C" w:rsidRPr="005530CA" w:rsidRDefault="00731D7C" w:rsidP="00731D7C">
      <w:pPr>
        <w:tabs>
          <w:tab w:val="right" w:leader="dot" w:pos="8640"/>
        </w:tabs>
        <w:jc w:val="both"/>
        <w:rPr>
          <w:rFonts w:eastAsia="Calibri"/>
        </w:rPr>
      </w:pPr>
      <w:r>
        <w:t xml:space="preserve">Figure </w:t>
      </w:r>
      <w:r w:rsidRPr="005530CA">
        <w:t>1-5. T</w:t>
      </w:r>
      <w:r>
        <w:t>he U</w:t>
      </w:r>
      <w:r w:rsidR="00974B48">
        <w:t>pper Chesapeake region today</w:t>
      </w:r>
      <w:r w:rsidR="00974B48">
        <w:tab/>
        <w:t>16</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t xml:space="preserve">Figure </w:t>
      </w:r>
      <w:r w:rsidR="00AE1C49">
        <w:t xml:space="preserve">4-1. </w:t>
      </w:r>
      <w:r w:rsidRPr="00995EB5">
        <w:t>Elements of the Mou</w:t>
      </w:r>
      <w:r>
        <w:t xml:space="preserve">nt </w:t>
      </w:r>
      <w:r w:rsidR="00974B48">
        <w:t>Vernon neighborhood ca. 1749</w:t>
      </w:r>
      <w:r w:rsidR="00974B48">
        <w:tab/>
        <w:t>96</w:t>
      </w:r>
    </w:p>
    <w:p w:rsidR="00731D7C" w:rsidRDefault="00731D7C" w:rsidP="00731D7C">
      <w:pPr>
        <w:tabs>
          <w:tab w:val="right" w:leader="dot" w:pos="8640"/>
        </w:tabs>
        <w:jc w:val="both"/>
      </w:pPr>
    </w:p>
    <w:p w:rsidR="00731D7C" w:rsidRDefault="00731D7C" w:rsidP="00731D7C">
      <w:pPr>
        <w:tabs>
          <w:tab w:val="right" w:leader="dot" w:pos="8640"/>
        </w:tabs>
        <w:jc w:val="both"/>
      </w:pPr>
      <w:r>
        <w:t xml:space="preserve">Figure </w:t>
      </w:r>
      <w:r w:rsidR="00AE1C49">
        <w:t xml:space="preserve">4-2. </w:t>
      </w:r>
      <w:r w:rsidRPr="00995EB5">
        <w:t xml:space="preserve">Numbers of enslaved individuals entering the upper Potomac region </w:t>
      </w:r>
    </w:p>
    <w:p w:rsidR="00731D7C" w:rsidRPr="00995EB5" w:rsidRDefault="00974B48" w:rsidP="00731D7C">
      <w:pPr>
        <w:tabs>
          <w:tab w:val="right" w:leader="dot" w:pos="8640"/>
        </w:tabs>
        <w:jc w:val="both"/>
      </w:pPr>
      <w:proofErr w:type="gramStart"/>
      <w:r>
        <w:t>by</w:t>
      </w:r>
      <w:proofErr w:type="gramEnd"/>
      <w:r>
        <w:t xml:space="preserve"> decade</w:t>
      </w:r>
      <w:r>
        <w:tab/>
        <w:t>105</w:t>
      </w:r>
    </w:p>
    <w:p w:rsidR="00731D7C" w:rsidRDefault="00731D7C" w:rsidP="00731D7C">
      <w:pPr>
        <w:tabs>
          <w:tab w:val="right" w:leader="dot" w:pos="8640"/>
        </w:tabs>
        <w:jc w:val="both"/>
      </w:pPr>
    </w:p>
    <w:p w:rsidR="00731D7C" w:rsidRDefault="00731D7C" w:rsidP="00731D7C">
      <w:pPr>
        <w:tabs>
          <w:tab w:val="right" w:leader="dot" w:pos="8640"/>
        </w:tabs>
        <w:jc w:val="both"/>
      </w:pPr>
      <w:r>
        <w:t xml:space="preserve">Figure </w:t>
      </w:r>
      <w:r w:rsidRPr="00995EB5">
        <w:t>4-3. Mount Vernon Neck with the approximate location of Spencer/</w:t>
      </w:r>
    </w:p>
    <w:p w:rsidR="00731D7C" w:rsidRPr="00995EB5" w:rsidRDefault="00731D7C" w:rsidP="00731D7C">
      <w:pPr>
        <w:tabs>
          <w:tab w:val="right" w:leader="dot" w:pos="8640"/>
        </w:tabs>
        <w:jc w:val="both"/>
      </w:pPr>
      <w:r w:rsidRPr="00995EB5">
        <w:t xml:space="preserve">Washington </w:t>
      </w:r>
      <w:r w:rsidR="00974B48">
        <w:t>dividing line, ca. 1690</w:t>
      </w:r>
      <w:r w:rsidR="00974B48">
        <w:tab/>
        <w:t>109</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t xml:space="preserve">Figure </w:t>
      </w:r>
      <w:r w:rsidRPr="00995EB5">
        <w:t>4-4. Hous</w:t>
      </w:r>
      <w:r>
        <w:t>eho</w:t>
      </w:r>
      <w:r w:rsidR="00974B48">
        <w:t>ld change by year, 1735-1775</w:t>
      </w:r>
      <w:r w:rsidR="00974B48">
        <w:tab/>
        <w:t>113</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t xml:space="preserve">Figure </w:t>
      </w:r>
      <w:r w:rsidRPr="00995EB5">
        <w:t>4-5. Seating chart, Pohick Chur</w:t>
      </w:r>
      <w:r w:rsidR="00974B48">
        <w:t>ch, ca. 1770</w:t>
      </w:r>
      <w:r w:rsidR="00974B48">
        <w:tab/>
        <w:t>119</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t xml:space="preserve">Figure </w:t>
      </w:r>
      <w:r w:rsidRPr="00995EB5">
        <w:t>4-6. Layout o</w:t>
      </w:r>
      <w:r>
        <w:t>f M</w:t>
      </w:r>
      <w:r w:rsidR="00974B48">
        <w:t>ount Vernon homelot ca. 1758</w:t>
      </w:r>
      <w:r w:rsidR="00974B48">
        <w:tab/>
        <w:t>125</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t xml:space="preserve">Figure </w:t>
      </w:r>
      <w:r w:rsidRPr="00995EB5">
        <w:t>4-7. Layout of M</w:t>
      </w:r>
      <w:r>
        <w:t>oun</w:t>
      </w:r>
      <w:r w:rsidR="00974B48">
        <w:t>t Vernon’s homelot, ca. 1775</w:t>
      </w:r>
      <w:r w:rsidR="00974B48">
        <w:tab/>
        <w:t>131</w:t>
      </w:r>
    </w:p>
    <w:p w:rsidR="00731D7C" w:rsidRDefault="00731D7C" w:rsidP="00731D7C">
      <w:pPr>
        <w:tabs>
          <w:tab w:val="right" w:leader="dot" w:pos="8640"/>
        </w:tabs>
        <w:jc w:val="both"/>
      </w:pPr>
    </w:p>
    <w:p w:rsidR="00731D7C" w:rsidRPr="00995EB5" w:rsidRDefault="00731D7C" w:rsidP="00731D7C">
      <w:pPr>
        <w:tabs>
          <w:tab w:val="right" w:leader="dot" w:pos="8640"/>
        </w:tabs>
        <w:jc w:val="both"/>
        <w:rPr>
          <w:rFonts w:eastAsia="Calibri"/>
        </w:rPr>
      </w:pPr>
      <w:r>
        <w:t xml:space="preserve">Figure </w:t>
      </w:r>
      <w:r w:rsidRPr="00995EB5">
        <w:rPr>
          <w:rFonts w:eastAsia="Calibri"/>
        </w:rPr>
        <w:t>4-8. Layout of M</w:t>
      </w:r>
      <w:r>
        <w:rPr>
          <w:rFonts w:eastAsia="Calibri"/>
        </w:rPr>
        <w:t>oun</w:t>
      </w:r>
      <w:r w:rsidR="00974B48">
        <w:rPr>
          <w:rFonts w:eastAsia="Calibri"/>
        </w:rPr>
        <w:t>t Vernon’s homelot, ca. 1793</w:t>
      </w:r>
      <w:r w:rsidR="00974B48">
        <w:rPr>
          <w:rFonts w:eastAsia="Calibri"/>
        </w:rPr>
        <w:tab/>
        <w:t>134</w:t>
      </w:r>
    </w:p>
    <w:p w:rsidR="00731D7C" w:rsidRPr="00995EB5" w:rsidRDefault="00731D7C" w:rsidP="00731D7C">
      <w:pPr>
        <w:tabs>
          <w:tab w:val="right" w:leader="dot" w:pos="8640"/>
        </w:tabs>
        <w:jc w:val="both"/>
      </w:pPr>
    </w:p>
    <w:p w:rsidR="00731D7C" w:rsidRDefault="00731D7C" w:rsidP="00731D7C">
      <w:pPr>
        <w:tabs>
          <w:tab w:val="right" w:leader="dot" w:pos="8640"/>
        </w:tabs>
        <w:jc w:val="both"/>
      </w:pPr>
      <w:r>
        <w:t xml:space="preserve">Figure 5-1. </w:t>
      </w:r>
      <w:r w:rsidRPr="00995EB5">
        <w:t>Nu</w:t>
      </w:r>
      <w:r>
        <w:t>mbe</w:t>
      </w:r>
      <w:r w:rsidR="00974B48">
        <w:t>r of items invoiced per year</w:t>
      </w:r>
      <w:r w:rsidR="00974B48">
        <w:tab/>
        <w:t>174</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t xml:space="preserve">Figure 5-2. </w:t>
      </w:r>
      <w:r w:rsidRPr="00995EB5">
        <w:t>Number of item</w:t>
      </w:r>
      <w:r>
        <w:t>s o</w:t>
      </w:r>
      <w:r w:rsidR="00974B48">
        <w:t>rdered and invoiced per year</w:t>
      </w:r>
      <w:r w:rsidR="00974B48">
        <w:tab/>
        <w:t>175</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t xml:space="preserve">Figure 5-3. </w:t>
      </w:r>
      <w:r w:rsidRPr="00995EB5">
        <w:t>N</w:t>
      </w:r>
      <w:r>
        <w:t>umber of items orde</w:t>
      </w:r>
      <w:r w:rsidR="00974B48">
        <w:t>red per year</w:t>
      </w:r>
      <w:r w:rsidR="00974B48">
        <w:tab/>
        <w:t>177</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t xml:space="preserve">Figure </w:t>
      </w:r>
      <w:r w:rsidRPr="00995EB5">
        <w:t>5-4. R</w:t>
      </w:r>
      <w:r>
        <w:t>ela</w:t>
      </w:r>
      <w:r w:rsidR="00974B48">
        <w:t>tive invoice totals per year</w:t>
      </w:r>
      <w:r w:rsidR="00974B48">
        <w:tab/>
        <w:t>179</w:t>
      </w:r>
    </w:p>
    <w:p w:rsidR="00731D7C" w:rsidRDefault="00731D7C" w:rsidP="00731D7C">
      <w:pPr>
        <w:tabs>
          <w:tab w:val="right" w:leader="dot" w:pos="8640"/>
        </w:tabs>
        <w:jc w:val="both"/>
      </w:pPr>
    </w:p>
    <w:p w:rsidR="00731D7C" w:rsidRPr="00995EB5" w:rsidRDefault="00731D7C" w:rsidP="00731D7C">
      <w:pPr>
        <w:tabs>
          <w:tab w:val="right" w:leader="dot" w:pos="8640"/>
        </w:tabs>
        <w:jc w:val="both"/>
      </w:pPr>
      <w:r>
        <w:t xml:space="preserve">Figure 5-5. </w:t>
      </w:r>
      <w:r w:rsidRPr="00995EB5">
        <w:t>Top most freque</w:t>
      </w:r>
      <w:r>
        <w:t>ntl</w:t>
      </w:r>
      <w:r w:rsidR="00974B48">
        <w:t>y ordered categories by year</w:t>
      </w:r>
      <w:r w:rsidR="00974B48">
        <w:tab/>
        <w:t>183</w:t>
      </w:r>
    </w:p>
    <w:p w:rsidR="00731D7C" w:rsidRDefault="00731D7C" w:rsidP="00731D7C">
      <w:pPr>
        <w:tabs>
          <w:tab w:val="right" w:leader="dot" w:pos="8640"/>
        </w:tabs>
        <w:jc w:val="both"/>
      </w:pPr>
    </w:p>
    <w:p w:rsidR="00731D7C" w:rsidRDefault="00731D7C" w:rsidP="00731D7C">
      <w:pPr>
        <w:tabs>
          <w:tab w:val="right" w:leader="dot" w:pos="8640"/>
        </w:tabs>
        <w:jc w:val="both"/>
      </w:pPr>
      <w:r>
        <w:t xml:space="preserve">Figure 5-6. </w:t>
      </w:r>
      <w:r w:rsidRPr="00995EB5">
        <w:t>Portion of the total invoice made up of packaging fees</w:t>
      </w:r>
      <w:r w:rsidR="00974B48">
        <w:tab/>
        <w:t>196</w:t>
      </w:r>
      <w:r w:rsidRPr="00995EB5">
        <w:t xml:space="preserve">  </w:t>
      </w:r>
    </w:p>
    <w:p w:rsidR="00731D7C" w:rsidRDefault="00731D7C" w:rsidP="00731D7C">
      <w:pPr>
        <w:tabs>
          <w:tab w:val="right" w:leader="dot" w:pos="8640"/>
        </w:tabs>
        <w:jc w:val="both"/>
      </w:pPr>
    </w:p>
    <w:p w:rsidR="00731D7C" w:rsidRPr="00B9201C" w:rsidRDefault="00731D7C" w:rsidP="00731D7C">
      <w:pPr>
        <w:tabs>
          <w:tab w:val="right" w:leader="dot" w:pos="8640"/>
        </w:tabs>
        <w:jc w:val="both"/>
      </w:pPr>
      <w:r>
        <w:t xml:space="preserve">Figure 5-7. </w:t>
      </w:r>
      <w:r w:rsidRPr="00B9201C">
        <w:t>Portion of the total invo</w:t>
      </w:r>
      <w:r>
        <w:t>ice made up o</w:t>
      </w:r>
      <w:r w:rsidR="00974B48">
        <w:t>f shipping charges</w:t>
      </w:r>
      <w:r w:rsidR="00974B48">
        <w:tab/>
        <w:t>197</w:t>
      </w:r>
      <w:r w:rsidRPr="00B9201C">
        <w:t xml:space="preserve">   </w:t>
      </w:r>
    </w:p>
    <w:p w:rsidR="00731D7C" w:rsidRDefault="00731D7C" w:rsidP="00731D7C">
      <w:pPr>
        <w:tabs>
          <w:tab w:val="right" w:leader="dot" w:pos="8640"/>
        </w:tabs>
        <w:jc w:val="both"/>
      </w:pPr>
    </w:p>
    <w:p w:rsidR="00731D7C" w:rsidRPr="00B9201C" w:rsidRDefault="00731D7C" w:rsidP="00731D7C">
      <w:pPr>
        <w:tabs>
          <w:tab w:val="right" w:leader="dot" w:pos="8640"/>
        </w:tabs>
        <w:jc w:val="both"/>
      </w:pPr>
      <w:r>
        <w:t xml:space="preserve">Figure </w:t>
      </w:r>
      <w:r w:rsidRPr="00B9201C">
        <w:t>6-1</w:t>
      </w:r>
      <w:r>
        <w:t>.</w:t>
      </w:r>
      <w:r w:rsidRPr="00B9201C">
        <w:t xml:space="preserve"> N</w:t>
      </w:r>
      <w:r>
        <w:t>umb</w:t>
      </w:r>
      <w:r w:rsidR="00974B48">
        <w:t>er of items ordered per year</w:t>
      </w:r>
      <w:r w:rsidR="00974B48">
        <w:tab/>
        <w:t>215</w:t>
      </w:r>
    </w:p>
    <w:p w:rsidR="00731D7C" w:rsidRDefault="00731D7C" w:rsidP="00731D7C">
      <w:pPr>
        <w:tabs>
          <w:tab w:val="right" w:leader="dot" w:pos="8640"/>
        </w:tabs>
        <w:jc w:val="both"/>
      </w:pPr>
    </w:p>
    <w:p w:rsidR="00731D7C" w:rsidRDefault="00731D7C" w:rsidP="00731D7C">
      <w:pPr>
        <w:tabs>
          <w:tab w:val="right" w:leader="dot" w:pos="8640"/>
        </w:tabs>
        <w:jc w:val="both"/>
      </w:pPr>
      <w:r>
        <w:t xml:space="preserve">Figure </w:t>
      </w:r>
      <w:r w:rsidRPr="00B9201C">
        <w:t>6-2</w:t>
      </w:r>
      <w:r>
        <w:t>.</w:t>
      </w:r>
      <w:r w:rsidRPr="00B9201C">
        <w:t xml:space="preserve"> Minimum value of merchandise ordered by the year Henderson </w:t>
      </w:r>
    </w:p>
    <w:p w:rsidR="00731D7C" w:rsidRPr="00B9201C" w:rsidRDefault="00731D7C" w:rsidP="00731D7C">
      <w:pPr>
        <w:tabs>
          <w:tab w:val="right" w:leader="dot" w:pos="8640"/>
        </w:tabs>
        <w:jc w:val="both"/>
      </w:pPr>
      <w:proofErr w:type="gramStart"/>
      <w:r w:rsidRPr="00B9201C">
        <w:t>intended</w:t>
      </w:r>
      <w:proofErr w:type="gramEnd"/>
      <w:r w:rsidRPr="00B9201C">
        <w:t xml:space="preserve"> to have the inventory stocked with estimates for 1</w:t>
      </w:r>
      <w:r w:rsidR="00974B48">
        <w:t>763 and 1765</w:t>
      </w:r>
      <w:r w:rsidR="00974B48">
        <w:tab/>
        <w:t>216</w:t>
      </w:r>
      <w:r w:rsidRPr="00B9201C">
        <w:t xml:space="preserve">  </w:t>
      </w:r>
    </w:p>
    <w:p w:rsidR="00731D7C" w:rsidRDefault="00731D7C" w:rsidP="00731D7C">
      <w:pPr>
        <w:tabs>
          <w:tab w:val="right" w:leader="dot" w:pos="8640"/>
        </w:tabs>
        <w:jc w:val="both"/>
      </w:pPr>
    </w:p>
    <w:p w:rsidR="00731D7C" w:rsidRPr="00B9201C" w:rsidRDefault="00731D7C" w:rsidP="00731D7C">
      <w:pPr>
        <w:tabs>
          <w:tab w:val="right" w:leader="dot" w:pos="8640"/>
        </w:tabs>
        <w:jc w:val="both"/>
      </w:pPr>
      <w:r>
        <w:t xml:space="preserve">Figure </w:t>
      </w:r>
      <w:r w:rsidRPr="00B9201C">
        <w:t>6-3</w:t>
      </w:r>
      <w:r>
        <w:t xml:space="preserve">. </w:t>
      </w:r>
      <w:r w:rsidRPr="00B9201C">
        <w:t>Top most freque</w:t>
      </w:r>
      <w:r>
        <w:t>ntl</w:t>
      </w:r>
      <w:r w:rsidR="00974B48">
        <w:t>y ordered categories by year</w:t>
      </w:r>
      <w:r w:rsidR="00974B48">
        <w:tab/>
        <w:t>218</w:t>
      </w:r>
    </w:p>
    <w:p w:rsidR="00731D7C" w:rsidRDefault="00731D7C" w:rsidP="00731D7C">
      <w:pPr>
        <w:tabs>
          <w:tab w:val="right" w:leader="dot" w:pos="8640"/>
        </w:tabs>
        <w:jc w:val="both"/>
      </w:pPr>
    </w:p>
    <w:p w:rsidR="00731D7C" w:rsidRDefault="00731D7C" w:rsidP="00731D7C">
      <w:pPr>
        <w:tabs>
          <w:tab w:val="right" w:leader="dot" w:pos="8640"/>
        </w:tabs>
        <w:jc w:val="both"/>
      </w:pPr>
      <w:r>
        <w:t xml:space="preserve">Figure 6-4. </w:t>
      </w:r>
      <w:r w:rsidRPr="00B9201C">
        <w:t xml:space="preserve">Side by side top category comparison of George Washington’s invoices </w:t>
      </w:r>
    </w:p>
    <w:p w:rsidR="00731D7C" w:rsidRPr="00B9201C" w:rsidRDefault="00731D7C" w:rsidP="00731D7C">
      <w:pPr>
        <w:tabs>
          <w:tab w:val="right" w:leader="dot" w:pos="8640"/>
        </w:tabs>
        <w:jc w:val="both"/>
      </w:pPr>
      <w:proofErr w:type="gramStart"/>
      <w:r w:rsidRPr="00B9201C">
        <w:t>and</w:t>
      </w:r>
      <w:proofErr w:type="gramEnd"/>
      <w:r w:rsidRPr="00B9201C">
        <w:t xml:space="preserve"> orders (left) and Hende</w:t>
      </w:r>
      <w:r>
        <w:t>rso</w:t>
      </w:r>
      <w:r w:rsidR="00974B48">
        <w:t>n’s schemes of goods (right)</w:t>
      </w:r>
      <w:r w:rsidR="00974B48">
        <w:tab/>
        <w:t>221</w:t>
      </w:r>
      <w:r w:rsidRPr="00B9201C">
        <w:t xml:space="preserve"> </w:t>
      </w:r>
    </w:p>
    <w:p w:rsidR="00731D7C" w:rsidRDefault="00731D7C" w:rsidP="00731D7C">
      <w:pPr>
        <w:tabs>
          <w:tab w:val="right" w:leader="dot" w:pos="8640"/>
        </w:tabs>
        <w:jc w:val="both"/>
      </w:pPr>
    </w:p>
    <w:p w:rsidR="00731D7C" w:rsidRDefault="00731D7C" w:rsidP="00731D7C">
      <w:pPr>
        <w:tabs>
          <w:tab w:val="right" w:leader="dot" w:pos="8640"/>
        </w:tabs>
        <w:jc w:val="both"/>
      </w:pPr>
      <w:r>
        <w:t xml:space="preserve">Figure 6-5. </w:t>
      </w:r>
      <w:r w:rsidRPr="00B9201C">
        <w:t xml:space="preserve">Side by side top subcategory comparison of George Washington’s </w:t>
      </w:r>
    </w:p>
    <w:p w:rsidR="00731D7C" w:rsidRPr="00B9201C" w:rsidRDefault="00731D7C" w:rsidP="00731D7C">
      <w:pPr>
        <w:tabs>
          <w:tab w:val="right" w:leader="dot" w:pos="8640"/>
        </w:tabs>
        <w:jc w:val="both"/>
      </w:pPr>
      <w:proofErr w:type="gramStart"/>
      <w:r w:rsidRPr="00B9201C">
        <w:t>invoices</w:t>
      </w:r>
      <w:proofErr w:type="gramEnd"/>
      <w:r w:rsidRPr="00B9201C">
        <w:t xml:space="preserve"> and orders (left) and Hende</w:t>
      </w:r>
      <w:r>
        <w:t>rso</w:t>
      </w:r>
      <w:r w:rsidR="00974B48">
        <w:t>n’s schemes of goods (right)</w:t>
      </w:r>
      <w:r w:rsidR="00974B48">
        <w:tab/>
        <w:t>221</w:t>
      </w:r>
      <w:r w:rsidRPr="00B9201C">
        <w:t xml:space="preserve">  </w:t>
      </w:r>
    </w:p>
    <w:p w:rsidR="00731D7C" w:rsidRDefault="00731D7C" w:rsidP="00731D7C">
      <w:pPr>
        <w:tabs>
          <w:tab w:val="right" w:leader="dot" w:pos="8640"/>
        </w:tabs>
        <w:jc w:val="both"/>
      </w:pPr>
    </w:p>
    <w:p w:rsidR="00731D7C" w:rsidRDefault="00731D7C" w:rsidP="00731D7C">
      <w:pPr>
        <w:tabs>
          <w:tab w:val="right" w:leader="dot" w:pos="8640"/>
        </w:tabs>
        <w:contextualSpacing/>
        <w:jc w:val="both"/>
      </w:pPr>
      <w:r>
        <w:t xml:space="preserve">Figure </w:t>
      </w:r>
      <w:r w:rsidR="00AE1C49">
        <w:t xml:space="preserve">7-1. </w:t>
      </w:r>
      <w:r w:rsidRPr="006241CB">
        <w:t xml:space="preserve">Locations of the House for Families slave quarter (left red “x”) and the </w:t>
      </w:r>
    </w:p>
    <w:p w:rsidR="00731D7C" w:rsidRDefault="00731D7C" w:rsidP="00731D7C">
      <w:pPr>
        <w:tabs>
          <w:tab w:val="right" w:leader="dot" w:pos="8640"/>
        </w:tabs>
        <w:contextualSpacing/>
        <w:jc w:val="both"/>
      </w:pPr>
      <w:r w:rsidRPr="006241CB">
        <w:t xml:space="preserve">South Grove Midden (right red “x”) on the plan of Mount Vernon drawn by Samuel </w:t>
      </w:r>
    </w:p>
    <w:p w:rsidR="00731D7C" w:rsidRPr="006241CB" w:rsidRDefault="00731D7C" w:rsidP="00731D7C">
      <w:pPr>
        <w:tabs>
          <w:tab w:val="right" w:leader="dot" w:pos="8640"/>
        </w:tabs>
        <w:contextualSpacing/>
        <w:jc w:val="both"/>
      </w:pPr>
      <w:proofErr w:type="gramStart"/>
      <w:r w:rsidRPr="006241CB">
        <w:t>Vaughan, 1787.</w:t>
      </w:r>
      <w:proofErr w:type="gramEnd"/>
      <w:r w:rsidR="00974B48">
        <w:tab/>
        <w:t>229</w:t>
      </w:r>
    </w:p>
    <w:p w:rsidR="00731D7C" w:rsidRDefault="00731D7C" w:rsidP="00731D7C">
      <w:pPr>
        <w:tabs>
          <w:tab w:val="right" w:leader="dot" w:pos="8640"/>
        </w:tabs>
        <w:autoSpaceDE w:val="0"/>
        <w:autoSpaceDN w:val="0"/>
        <w:adjustRightInd w:val="0"/>
        <w:jc w:val="both"/>
      </w:pPr>
    </w:p>
    <w:p w:rsidR="00731D7C" w:rsidRPr="00D835EB" w:rsidRDefault="00731D7C" w:rsidP="00731D7C">
      <w:pPr>
        <w:tabs>
          <w:tab w:val="right" w:leader="dot" w:pos="8640"/>
        </w:tabs>
        <w:autoSpaceDE w:val="0"/>
        <w:autoSpaceDN w:val="0"/>
        <w:adjustRightInd w:val="0"/>
        <w:jc w:val="both"/>
      </w:pPr>
      <w:r>
        <w:t>Figure 7-2</w:t>
      </w:r>
      <w:r w:rsidR="00AE1C49">
        <w:t xml:space="preserve">. </w:t>
      </w:r>
      <w:r w:rsidRPr="00D835EB">
        <w:t>Plan</w:t>
      </w:r>
      <w:r>
        <w:t xml:space="preserve"> </w:t>
      </w:r>
      <w:r w:rsidRPr="00D835EB">
        <w:t>view of the South Grove Midd</w:t>
      </w:r>
      <w:r>
        <w:t xml:space="preserve">en </w:t>
      </w:r>
      <w:r w:rsidR="00974B48">
        <w:t>(44FX762/17) post-excavation</w:t>
      </w:r>
      <w:r w:rsidR="00974B48">
        <w:tab/>
        <w:t>230</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t>Figure 7-3</w:t>
      </w:r>
      <w:r w:rsidR="00AE1C49">
        <w:t xml:space="preserve">. </w:t>
      </w:r>
      <w:r w:rsidRPr="00D835EB">
        <w:t>Plan</w:t>
      </w:r>
      <w:r>
        <w:t xml:space="preserve"> </w:t>
      </w:r>
      <w:r w:rsidRPr="00D835EB">
        <w:t xml:space="preserve">view of the House for Families </w:t>
      </w:r>
      <w:r w:rsidR="00974B48">
        <w:t>(44FX762/40&amp;47) cellar</w:t>
      </w:r>
      <w:r w:rsidR="00974B48">
        <w:tab/>
        <w:t>235</w:t>
      </w:r>
    </w:p>
    <w:p w:rsidR="00731D7C" w:rsidRDefault="00731D7C" w:rsidP="00731D7C">
      <w:pPr>
        <w:tabs>
          <w:tab w:val="right" w:leader="dot" w:pos="8640"/>
        </w:tabs>
        <w:jc w:val="both"/>
      </w:pPr>
    </w:p>
    <w:p w:rsidR="00731D7C" w:rsidRDefault="00731D7C" w:rsidP="00731D7C">
      <w:pPr>
        <w:tabs>
          <w:tab w:val="right" w:leader="dot" w:pos="8640"/>
        </w:tabs>
        <w:jc w:val="both"/>
      </w:pPr>
      <w:r>
        <w:t>Figure 7-4</w:t>
      </w:r>
      <w:r w:rsidR="00AE1C49">
        <w:t xml:space="preserve">. </w:t>
      </w:r>
      <w:r w:rsidRPr="00D835EB">
        <w:t xml:space="preserve">Two sets of porcelain plates excavated from the midden (left: later </w:t>
      </w:r>
    </w:p>
    <w:p w:rsidR="00731D7C" w:rsidRPr="00D835EB" w:rsidRDefault="00731D7C" w:rsidP="00731D7C">
      <w:pPr>
        <w:tabs>
          <w:tab w:val="right" w:leader="dot" w:pos="8640"/>
        </w:tabs>
        <w:jc w:val="both"/>
      </w:pPr>
      <w:r w:rsidRPr="00D835EB">
        <w:t>Flower Basket pattern; right: earlier Grape, Bamboo, and Squirrel pattern)</w:t>
      </w:r>
      <w:r w:rsidR="00974B48">
        <w:tab/>
        <w:t>248</w:t>
      </w:r>
      <w:r w:rsidRPr="00D835EB">
        <w:t xml:space="preserve"> </w:t>
      </w:r>
    </w:p>
    <w:p w:rsidR="00731D7C" w:rsidRDefault="00731D7C" w:rsidP="00731D7C">
      <w:pPr>
        <w:tabs>
          <w:tab w:val="right" w:leader="dot" w:pos="8640"/>
        </w:tabs>
        <w:jc w:val="both"/>
      </w:pPr>
    </w:p>
    <w:p w:rsidR="00731D7C" w:rsidRPr="00D835EB" w:rsidRDefault="00731D7C" w:rsidP="00731D7C">
      <w:pPr>
        <w:tabs>
          <w:tab w:val="right" w:leader="dot" w:pos="8640"/>
        </w:tabs>
        <w:jc w:val="both"/>
      </w:pPr>
      <w:r>
        <w:t>Figure 7-5</w:t>
      </w:r>
      <w:r w:rsidR="00AE1C49">
        <w:t xml:space="preserve">. </w:t>
      </w:r>
      <w:r w:rsidRPr="00D835EB">
        <w:t xml:space="preserve">Alexander Henderson’s orders for </w:t>
      </w:r>
      <w:r>
        <w:t>tea</w:t>
      </w:r>
      <w:r w:rsidR="00974B48">
        <w:t xml:space="preserve"> and tablewares by ware type</w:t>
      </w:r>
      <w:r w:rsidR="00974B48">
        <w:tab/>
        <w:t>249</w:t>
      </w:r>
      <w:r w:rsidRPr="00D835EB">
        <w:t xml:space="preserve"> </w:t>
      </w:r>
    </w:p>
    <w:p w:rsidR="00731D7C" w:rsidRDefault="00731D7C" w:rsidP="00731D7C">
      <w:pPr>
        <w:tabs>
          <w:tab w:val="right" w:leader="dot" w:pos="8640"/>
        </w:tabs>
        <w:jc w:val="both"/>
      </w:pPr>
    </w:p>
    <w:p w:rsidR="00731D7C" w:rsidRDefault="00731D7C" w:rsidP="00731D7C">
      <w:pPr>
        <w:tabs>
          <w:tab w:val="right" w:leader="dot" w:pos="8640"/>
        </w:tabs>
        <w:jc w:val="both"/>
      </w:pPr>
      <w:r>
        <w:t>Figure 7-6</w:t>
      </w:r>
      <w:r w:rsidR="00AE1C49">
        <w:t xml:space="preserve">. </w:t>
      </w:r>
      <w:r w:rsidRPr="00D835EB">
        <w:t xml:space="preserve">“The catch singers,” publications attributed to Robert Sayer, second </w:t>
      </w:r>
    </w:p>
    <w:p w:rsidR="00731D7C" w:rsidRPr="00D835EB" w:rsidRDefault="00731D7C" w:rsidP="00731D7C">
      <w:pPr>
        <w:tabs>
          <w:tab w:val="right" w:leader="dot" w:pos="8640"/>
        </w:tabs>
        <w:jc w:val="both"/>
      </w:pPr>
      <w:proofErr w:type="gramStart"/>
      <w:r>
        <w:t>half</w:t>
      </w:r>
      <w:proofErr w:type="gramEnd"/>
      <w:r>
        <w:t xml:space="preserve"> of the eightee</w:t>
      </w:r>
      <w:r w:rsidR="00974B48">
        <w:t>nth century</w:t>
      </w:r>
      <w:r w:rsidR="00974B48">
        <w:tab/>
        <w:t>258</w:t>
      </w:r>
      <w:r w:rsidRPr="00D835EB">
        <w:t xml:space="preserve">  </w:t>
      </w:r>
    </w:p>
    <w:p w:rsidR="00731D7C" w:rsidRDefault="00731D7C" w:rsidP="00731D7C">
      <w:pPr>
        <w:tabs>
          <w:tab w:val="right" w:leader="dot" w:pos="8640"/>
        </w:tabs>
        <w:jc w:val="both"/>
      </w:pPr>
    </w:p>
    <w:p w:rsidR="00731D7C" w:rsidRDefault="00731D7C" w:rsidP="00731D7C">
      <w:pPr>
        <w:tabs>
          <w:tab w:val="right" w:leader="dot" w:pos="8640"/>
        </w:tabs>
        <w:jc w:val="both"/>
      </w:pPr>
      <w:r>
        <w:t>Figure 7-7</w:t>
      </w:r>
      <w:r w:rsidR="00AE1C49">
        <w:t xml:space="preserve">. </w:t>
      </w:r>
      <w:r w:rsidRPr="00D835EB">
        <w:t xml:space="preserve">“Glee singers executing a catch,” drawn by Robert Dighton, second </w:t>
      </w:r>
    </w:p>
    <w:p w:rsidR="00731D7C" w:rsidRPr="00D835EB" w:rsidRDefault="00731D7C" w:rsidP="00731D7C">
      <w:pPr>
        <w:tabs>
          <w:tab w:val="right" w:leader="dot" w:pos="8640"/>
        </w:tabs>
        <w:jc w:val="both"/>
      </w:pPr>
      <w:proofErr w:type="gramStart"/>
      <w:r w:rsidRPr="00D835EB">
        <w:t>half</w:t>
      </w:r>
      <w:proofErr w:type="gramEnd"/>
      <w:r w:rsidRPr="00D835EB">
        <w:t xml:space="preserve"> of the eighteenth century</w:t>
      </w:r>
      <w:r w:rsidR="00974B48">
        <w:tab/>
        <w:t>259</w:t>
      </w:r>
    </w:p>
    <w:p w:rsidR="00731D7C" w:rsidRDefault="00731D7C" w:rsidP="00731D7C">
      <w:pPr>
        <w:tabs>
          <w:tab w:val="right" w:leader="dot" w:pos="8640"/>
        </w:tabs>
        <w:jc w:val="both"/>
      </w:pPr>
    </w:p>
    <w:p w:rsidR="00B527AF" w:rsidRPr="00D835EB" w:rsidRDefault="00B527AF" w:rsidP="00B527AF">
      <w:pPr>
        <w:tabs>
          <w:tab w:val="right" w:leader="dot" w:pos="8640"/>
        </w:tabs>
        <w:jc w:val="both"/>
      </w:pPr>
      <w:r>
        <w:t>Figure 7-8. An assortment of linked buttons</w:t>
      </w:r>
      <w:r w:rsidR="00974B48">
        <w:t xml:space="preserve"> from the House for Families</w:t>
      </w:r>
      <w:r w:rsidR="00974B48">
        <w:tab/>
        <w:t>280</w:t>
      </w:r>
    </w:p>
    <w:p w:rsidR="00B527AF" w:rsidRDefault="00B527AF" w:rsidP="00B527AF">
      <w:pPr>
        <w:tabs>
          <w:tab w:val="right" w:leader="dot" w:pos="8640"/>
        </w:tabs>
        <w:jc w:val="both"/>
      </w:pPr>
    </w:p>
    <w:p w:rsidR="00482E4F" w:rsidRDefault="00482E4F" w:rsidP="00482E4F">
      <w:pPr>
        <w:tabs>
          <w:tab w:val="right" w:leader="dot" w:pos="8640"/>
        </w:tabs>
        <w:jc w:val="both"/>
        <w:rPr>
          <w:rFonts w:eastAsia="Times New Roman"/>
          <w:color w:val="000000"/>
        </w:rPr>
      </w:pPr>
      <w:r>
        <w:t>Figure 7-9. Buc</w:t>
      </w:r>
      <w:r w:rsidRPr="00D70B8B">
        <w:t xml:space="preserve">kles from the House for Families (left, </w:t>
      </w:r>
      <w:r w:rsidR="00974B48">
        <w:rPr>
          <w:rFonts w:eastAsia="Times New Roman"/>
          <w:color w:val="000000"/>
        </w:rPr>
        <w:t>1007-40BB-WTS--</w:t>
      </w:r>
      <w:r w:rsidRPr="00D70B8B">
        <w:rPr>
          <w:rFonts w:eastAsia="Times New Roman"/>
          <w:color w:val="000000"/>
        </w:rPr>
        <w:t xml:space="preserve">00082; </w:t>
      </w:r>
    </w:p>
    <w:p w:rsidR="00482E4F" w:rsidRPr="00D835EB" w:rsidRDefault="00974B48" w:rsidP="00482E4F">
      <w:pPr>
        <w:tabs>
          <w:tab w:val="right" w:leader="dot" w:pos="8640"/>
        </w:tabs>
        <w:jc w:val="both"/>
      </w:pPr>
      <w:proofErr w:type="gramStart"/>
      <w:r>
        <w:rPr>
          <w:rFonts w:eastAsia="Times New Roman"/>
          <w:color w:val="000000"/>
        </w:rPr>
        <w:t>right</w:t>
      </w:r>
      <w:proofErr w:type="gramEnd"/>
      <w:r>
        <w:rPr>
          <w:rFonts w:eastAsia="Times New Roman"/>
          <w:color w:val="000000"/>
        </w:rPr>
        <w:t>, 1007-47K-FLT--</w:t>
      </w:r>
      <w:r w:rsidR="00482E4F" w:rsidRPr="00D70B8B">
        <w:rPr>
          <w:rFonts w:eastAsia="Times New Roman"/>
          <w:color w:val="000000"/>
        </w:rPr>
        <w:t>00053)</w:t>
      </w:r>
      <w:r>
        <w:tab/>
        <w:t>287</w:t>
      </w:r>
    </w:p>
    <w:p w:rsidR="00482E4F" w:rsidRDefault="00482E4F" w:rsidP="00482E4F">
      <w:pPr>
        <w:tabs>
          <w:tab w:val="right" w:leader="dot" w:pos="8640"/>
        </w:tabs>
        <w:jc w:val="both"/>
      </w:pPr>
    </w:p>
    <w:p w:rsidR="00731D7C" w:rsidRDefault="00482E4F" w:rsidP="00731D7C">
      <w:pPr>
        <w:tabs>
          <w:tab w:val="right" w:leader="dot" w:pos="8640"/>
        </w:tabs>
        <w:jc w:val="both"/>
      </w:pPr>
      <w:r>
        <w:t>Figure 7-10</w:t>
      </w:r>
      <w:r w:rsidR="00AE1C49">
        <w:t xml:space="preserve">. </w:t>
      </w:r>
      <w:r w:rsidR="00731D7C" w:rsidRPr="00D835EB">
        <w:t xml:space="preserve">Carved bone fan blades excavated from the South Grove Midden </w:t>
      </w:r>
    </w:p>
    <w:p w:rsidR="00731D7C" w:rsidRPr="00D835EB" w:rsidRDefault="00731D7C" w:rsidP="00731D7C">
      <w:pPr>
        <w:tabs>
          <w:tab w:val="right" w:leader="dot" w:pos="8640"/>
        </w:tabs>
        <w:jc w:val="both"/>
      </w:pPr>
      <w:r w:rsidRPr="00D835EB">
        <w:t>(</w:t>
      </w:r>
      <w:proofErr w:type="gramStart"/>
      <w:r w:rsidRPr="00D835EB">
        <w:t>left</w:t>
      </w:r>
      <w:proofErr w:type="gramEnd"/>
      <w:r w:rsidRPr="00D835EB">
        <w:t>) and the House for Families (right)</w:t>
      </w:r>
      <w:r w:rsidR="00974B48">
        <w:tab/>
        <w:t>291</w:t>
      </w:r>
    </w:p>
    <w:p w:rsidR="00731D7C" w:rsidRDefault="00731D7C" w:rsidP="00731D7C">
      <w:pPr>
        <w:tabs>
          <w:tab w:val="right" w:leader="dot" w:pos="8640"/>
        </w:tabs>
        <w:jc w:val="both"/>
      </w:pPr>
    </w:p>
    <w:p w:rsidR="00731D7C" w:rsidRDefault="00482E4F" w:rsidP="00731D7C">
      <w:pPr>
        <w:tabs>
          <w:tab w:val="right" w:leader="dot" w:pos="8640"/>
        </w:tabs>
        <w:jc w:val="both"/>
      </w:pPr>
      <w:r>
        <w:t>Figure 7-11</w:t>
      </w:r>
      <w:r w:rsidR="00AE1C49">
        <w:t xml:space="preserve">. </w:t>
      </w:r>
      <w:r w:rsidR="00731D7C" w:rsidRPr="00D835EB">
        <w:t>Histogram of beads by len</w:t>
      </w:r>
      <w:r w:rsidR="00731D7C">
        <w:t>gth from the South Grove Midden</w:t>
      </w:r>
      <w:r w:rsidR="00731D7C">
        <w:tab/>
      </w:r>
      <w:r w:rsidR="00974B48">
        <w:t>297</w:t>
      </w:r>
    </w:p>
    <w:p w:rsidR="00731D7C" w:rsidRDefault="00731D7C" w:rsidP="00731D7C">
      <w:pPr>
        <w:tabs>
          <w:tab w:val="right" w:leader="dot" w:pos="8640"/>
        </w:tabs>
        <w:jc w:val="both"/>
      </w:pPr>
    </w:p>
    <w:p w:rsidR="00731D7C" w:rsidRDefault="00482E4F" w:rsidP="00731D7C">
      <w:pPr>
        <w:tabs>
          <w:tab w:val="right" w:leader="dot" w:pos="8640"/>
        </w:tabs>
        <w:jc w:val="both"/>
      </w:pPr>
      <w:r>
        <w:t>Figure 7-12</w:t>
      </w:r>
      <w:r w:rsidR="00AE1C49">
        <w:t xml:space="preserve">. </w:t>
      </w:r>
      <w:r w:rsidR="00731D7C" w:rsidRPr="00D835EB">
        <w:t xml:space="preserve">Histogram of beads by length from the </w:t>
      </w:r>
      <w:r w:rsidR="00974B48">
        <w:t>House for Families</w:t>
      </w:r>
      <w:r w:rsidR="00974B48">
        <w:tab/>
        <w:t>298</w:t>
      </w:r>
    </w:p>
    <w:p w:rsidR="00731D7C" w:rsidRDefault="00731D7C" w:rsidP="00731D7C">
      <w:pPr>
        <w:tabs>
          <w:tab w:val="right" w:leader="dot" w:pos="8640"/>
        </w:tabs>
        <w:jc w:val="both"/>
      </w:pPr>
    </w:p>
    <w:p w:rsidR="00731D7C" w:rsidRDefault="00482E4F" w:rsidP="00731D7C">
      <w:pPr>
        <w:tabs>
          <w:tab w:val="right" w:leader="dot" w:pos="8640"/>
        </w:tabs>
        <w:jc w:val="both"/>
      </w:pPr>
      <w:r>
        <w:t>Figure 7-13</w:t>
      </w:r>
      <w:r w:rsidR="00AE1C49">
        <w:t xml:space="preserve">. </w:t>
      </w:r>
      <w:r w:rsidR="00731D7C" w:rsidRPr="00D835EB">
        <w:t xml:space="preserve">George Washington’s monogram as engraved on a scabbard mount </w:t>
      </w:r>
    </w:p>
    <w:p w:rsidR="00731D7C" w:rsidRPr="00D835EB" w:rsidRDefault="00731D7C" w:rsidP="00731D7C">
      <w:pPr>
        <w:tabs>
          <w:tab w:val="right" w:leader="dot" w:pos="8640"/>
        </w:tabs>
        <w:jc w:val="both"/>
      </w:pPr>
      <w:proofErr w:type="gramStart"/>
      <w:r w:rsidRPr="00D835EB">
        <w:lastRenderedPageBreak/>
        <w:t>fragment</w:t>
      </w:r>
      <w:proofErr w:type="gramEnd"/>
      <w:r w:rsidRPr="00D835EB">
        <w:t xml:space="preserve"> (left) and the but</w:t>
      </w:r>
      <w:r>
        <w:t>t e</w:t>
      </w:r>
      <w:r w:rsidR="00974B48">
        <w:t>nd of a hunting whip (right)</w:t>
      </w:r>
      <w:r w:rsidR="00974B48">
        <w:tab/>
        <w:t>301</w:t>
      </w:r>
      <w:r w:rsidRPr="00D835EB">
        <w:t xml:space="preserve">  </w:t>
      </w:r>
    </w:p>
    <w:p w:rsidR="00731D7C" w:rsidRDefault="00731D7C" w:rsidP="00731D7C">
      <w:pPr>
        <w:tabs>
          <w:tab w:val="right" w:leader="dot" w:pos="8640"/>
        </w:tabs>
        <w:jc w:val="both"/>
      </w:pPr>
    </w:p>
    <w:p w:rsidR="00731D7C" w:rsidRPr="0088457C" w:rsidRDefault="00482E4F" w:rsidP="00731D7C">
      <w:pPr>
        <w:tabs>
          <w:tab w:val="right" w:leader="dot" w:pos="8640"/>
        </w:tabs>
        <w:jc w:val="both"/>
      </w:pPr>
      <w:r>
        <w:t>Figure 7- 14</w:t>
      </w:r>
      <w:r w:rsidR="00731D7C" w:rsidRPr="0088457C">
        <w:t>.</w:t>
      </w:r>
      <w:r w:rsidR="00AE1C49">
        <w:t xml:space="preserve"> </w:t>
      </w:r>
      <w:r w:rsidR="00731D7C" w:rsidRPr="0088457C">
        <w:t xml:space="preserve">Objects marked with George Washington’s name, coat of arms and/or </w:t>
      </w:r>
    </w:p>
    <w:p w:rsidR="00731D7C" w:rsidRPr="0088457C" w:rsidRDefault="00731D7C" w:rsidP="00731D7C">
      <w:pPr>
        <w:tabs>
          <w:tab w:val="right" w:leader="dot" w:pos="8640"/>
        </w:tabs>
        <w:jc w:val="both"/>
      </w:pPr>
      <w:proofErr w:type="gramStart"/>
      <w:r w:rsidRPr="0088457C">
        <w:t>monogram</w:t>
      </w:r>
      <w:proofErr w:type="gramEnd"/>
      <w:r w:rsidRPr="0088457C">
        <w:t xml:space="preserve"> from the earliest known date of occ</w:t>
      </w:r>
      <w:r w:rsidR="00974B48">
        <w:t>urrence to his death in 1799</w:t>
      </w:r>
      <w:r w:rsidR="00974B48">
        <w:tab/>
        <w:t>304</w:t>
      </w:r>
      <w:r w:rsidRPr="0088457C">
        <w:t xml:space="preserve">    </w:t>
      </w:r>
    </w:p>
    <w:p w:rsidR="00731D7C" w:rsidRPr="0088457C" w:rsidRDefault="00731D7C" w:rsidP="00731D7C">
      <w:pPr>
        <w:pStyle w:val="NormalWeb"/>
        <w:tabs>
          <w:tab w:val="right" w:leader="dot" w:pos="8640"/>
        </w:tabs>
        <w:spacing w:before="0" w:beforeAutospacing="0" w:after="0" w:afterAutospacing="0"/>
        <w:jc w:val="both"/>
        <w:rPr>
          <w:rFonts w:ascii="Times New Roman" w:hAnsi="Times New Roman"/>
          <w:sz w:val="24"/>
          <w:szCs w:val="24"/>
        </w:rPr>
      </w:pPr>
    </w:p>
    <w:p w:rsidR="00482E4F" w:rsidRPr="0088457C" w:rsidRDefault="00482E4F" w:rsidP="00482E4F">
      <w:pPr>
        <w:tabs>
          <w:tab w:val="right" w:leader="dot" w:pos="8640"/>
        </w:tabs>
        <w:jc w:val="both"/>
      </w:pPr>
      <w:r>
        <w:t>Figure 7-15</w:t>
      </w:r>
      <w:r w:rsidRPr="0088457C">
        <w:t>.</w:t>
      </w:r>
      <w:r>
        <w:t xml:space="preserve"> Washington family crest as seen on a bookplate, 1783</w:t>
      </w:r>
      <w:r w:rsidR="00974B48">
        <w:tab/>
        <w:t>305</w:t>
      </w:r>
      <w:r w:rsidRPr="0088457C">
        <w:t xml:space="preserve">    </w:t>
      </w:r>
    </w:p>
    <w:p w:rsidR="00482E4F" w:rsidRDefault="00482E4F" w:rsidP="00731D7C">
      <w:pPr>
        <w:pStyle w:val="NormalWeb"/>
        <w:tabs>
          <w:tab w:val="right" w:leader="dot" w:pos="8640"/>
        </w:tabs>
        <w:spacing w:before="0" w:beforeAutospacing="0" w:after="0" w:afterAutospacing="0"/>
        <w:jc w:val="both"/>
        <w:rPr>
          <w:rFonts w:ascii="Times New Roman" w:hAnsi="Times New Roman"/>
          <w:sz w:val="24"/>
          <w:szCs w:val="24"/>
        </w:rPr>
      </w:pPr>
    </w:p>
    <w:p w:rsidR="00731D7C" w:rsidRPr="0088457C" w:rsidRDefault="00AE1C49" w:rsidP="00731D7C">
      <w:pPr>
        <w:pStyle w:val="NormalWeb"/>
        <w:tabs>
          <w:tab w:val="right" w:leader="dot" w:pos="8640"/>
        </w:tabs>
        <w:spacing w:before="0" w:beforeAutospacing="0" w:after="0" w:afterAutospacing="0"/>
        <w:jc w:val="both"/>
        <w:rPr>
          <w:rFonts w:ascii="Times New Roman" w:hAnsi="Times New Roman"/>
          <w:sz w:val="24"/>
          <w:szCs w:val="24"/>
        </w:rPr>
      </w:pPr>
      <w:r>
        <w:rPr>
          <w:rFonts w:ascii="Times New Roman" w:hAnsi="Times New Roman"/>
          <w:sz w:val="24"/>
          <w:szCs w:val="24"/>
        </w:rPr>
        <w:t>Fi</w:t>
      </w:r>
      <w:r w:rsidR="00482E4F">
        <w:rPr>
          <w:rFonts w:ascii="Times New Roman" w:hAnsi="Times New Roman"/>
          <w:sz w:val="24"/>
          <w:szCs w:val="24"/>
        </w:rPr>
        <w:t>gure 7-16</w:t>
      </w:r>
      <w:r>
        <w:rPr>
          <w:rFonts w:ascii="Times New Roman" w:hAnsi="Times New Roman"/>
          <w:sz w:val="24"/>
          <w:szCs w:val="24"/>
        </w:rPr>
        <w:t xml:space="preserve">. </w:t>
      </w:r>
      <w:r w:rsidR="00731D7C" w:rsidRPr="0088457C">
        <w:rPr>
          <w:rFonts w:ascii="Times New Roman" w:hAnsi="Times New Roman"/>
          <w:sz w:val="24"/>
          <w:szCs w:val="24"/>
        </w:rPr>
        <w:t xml:space="preserve">Subject to book title ratio represented in the libraries of Lawrence </w:t>
      </w:r>
    </w:p>
    <w:p w:rsidR="00731D7C" w:rsidRPr="0088457C" w:rsidRDefault="00731D7C" w:rsidP="00731D7C">
      <w:pPr>
        <w:pStyle w:val="NormalWeb"/>
        <w:tabs>
          <w:tab w:val="right" w:leader="dot" w:pos="8640"/>
        </w:tabs>
        <w:spacing w:before="0" w:beforeAutospacing="0" w:after="0" w:afterAutospacing="0"/>
        <w:jc w:val="both"/>
        <w:rPr>
          <w:rFonts w:ascii="Times New Roman" w:hAnsi="Times New Roman"/>
          <w:sz w:val="24"/>
          <w:szCs w:val="24"/>
        </w:rPr>
      </w:pPr>
      <w:proofErr w:type="gramStart"/>
      <w:r w:rsidRPr="0088457C">
        <w:rPr>
          <w:rFonts w:ascii="Times New Roman" w:hAnsi="Times New Roman"/>
          <w:sz w:val="24"/>
          <w:szCs w:val="24"/>
        </w:rPr>
        <w:t>and</w:t>
      </w:r>
      <w:proofErr w:type="gramEnd"/>
      <w:r w:rsidRPr="0088457C">
        <w:rPr>
          <w:rFonts w:ascii="Times New Roman" w:hAnsi="Times New Roman"/>
          <w:sz w:val="24"/>
          <w:szCs w:val="24"/>
        </w:rPr>
        <w:t xml:space="preserve"> George Washington and for </w:t>
      </w:r>
      <w:r w:rsidR="00974B48">
        <w:rPr>
          <w:rFonts w:ascii="Times New Roman" w:hAnsi="Times New Roman"/>
          <w:sz w:val="24"/>
          <w:szCs w:val="24"/>
        </w:rPr>
        <w:t>sale in the Colchester store</w:t>
      </w:r>
      <w:r w:rsidR="00974B48">
        <w:rPr>
          <w:rFonts w:ascii="Times New Roman" w:hAnsi="Times New Roman"/>
          <w:sz w:val="24"/>
          <w:szCs w:val="24"/>
        </w:rPr>
        <w:tab/>
        <w:t>316</w:t>
      </w:r>
    </w:p>
    <w:p w:rsidR="00731D7C" w:rsidRPr="0088457C" w:rsidRDefault="00731D7C" w:rsidP="00731D7C">
      <w:pPr>
        <w:tabs>
          <w:tab w:val="right" w:leader="dot" w:pos="8640"/>
        </w:tabs>
        <w:jc w:val="both"/>
      </w:pPr>
    </w:p>
    <w:p w:rsidR="00731D7C" w:rsidRPr="0088457C" w:rsidRDefault="00482E4F" w:rsidP="00731D7C">
      <w:pPr>
        <w:tabs>
          <w:tab w:val="right" w:leader="dot" w:pos="8640"/>
        </w:tabs>
        <w:jc w:val="both"/>
      </w:pPr>
      <w:r>
        <w:t>Figure 7-17</w:t>
      </w:r>
      <w:r w:rsidR="00AE1C49">
        <w:t xml:space="preserve">. </w:t>
      </w:r>
      <w:r w:rsidR="00731D7C" w:rsidRPr="0088457C">
        <w:t>Diameter of tacks excavated</w:t>
      </w:r>
      <w:r w:rsidR="00974B48">
        <w:t xml:space="preserve"> from the South Grove Midden</w:t>
      </w:r>
      <w:r w:rsidR="00974B48">
        <w:tab/>
        <w:t>323</w:t>
      </w:r>
    </w:p>
    <w:p w:rsidR="00731D7C" w:rsidRPr="0088457C" w:rsidRDefault="00731D7C" w:rsidP="00731D7C">
      <w:pPr>
        <w:tabs>
          <w:tab w:val="right" w:leader="dot" w:pos="8640"/>
        </w:tabs>
        <w:jc w:val="both"/>
      </w:pPr>
    </w:p>
    <w:p w:rsidR="00731D7C" w:rsidRDefault="00482E4F" w:rsidP="00731D7C">
      <w:pPr>
        <w:tabs>
          <w:tab w:val="right" w:leader="dot" w:pos="8640"/>
        </w:tabs>
        <w:jc w:val="both"/>
      </w:pPr>
      <w:r>
        <w:t>Figure 7-18</w:t>
      </w:r>
      <w:r w:rsidR="00AE1C49">
        <w:t xml:space="preserve">. </w:t>
      </w:r>
      <w:r w:rsidR="00731D7C" w:rsidRPr="00D835EB">
        <w:t>Scatterplot of straight pin measureme</w:t>
      </w:r>
      <w:r w:rsidR="00731D7C">
        <w:t xml:space="preserve">nts from the South Grove </w:t>
      </w:r>
    </w:p>
    <w:p w:rsidR="00731D7C" w:rsidRPr="00D835EB" w:rsidRDefault="00974B48" w:rsidP="00731D7C">
      <w:pPr>
        <w:tabs>
          <w:tab w:val="right" w:leader="dot" w:pos="8640"/>
        </w:tabs>
        <w:jc w:val="both"/>
      </w:pPr>
      <w:r>
        <w:t>Midden</w:t>
      </w:r>
      <w:r>
        <w:tab/>
        <w:t>332</w:t>
      </w:r>
    </w:p>
    <w:p w:rsidR="00731D7C" w:rsidRDefault="00731D7C" w:rsidP="00731D7C">
      <w:pPr>
        <w:tabs>
          <w:tab w:val="right" w:leader="dot" w:pos="8640"/>
        </w:tabs>
        <w:jc w:val="both"/>
      </w:pPr>
    </w:p>
    <w:p w:rsidR="00731D7C" w:rsidRPr="00D835EB" w:rsidRDefault="00482E4F" w:rsidP="00731D7C">
      <w:pPr>
        <w:tabs>
          <w:tab w:val="right" w:leader="dot" w:pos="8640"/>
        </w:tabs>
        <w:jc w:val="both"/>
      </w:pPr>
      <w:r>
        <w:t>Figure 7-19</w:t>
      </w:r>
      <w:r w:rsidR="00AE1C49">
        <w:t xml:space="preserve">. </w:t>
      </w:r>
      <w:r w:rsidR="00731D7C" w:rsidRPr="00D835EB">
        <w:t>Distribution of straight pin leng</w:t>
      </w:r>
      <w:r w:rsidR="00731D7C">
        <w:t>ths</w:t>
      </w:r>
      <w:r w:rsidR="00974B48">
        <w:t xml:space="preserve"> from the South Grove Midden</w:t>
      </w:r>
      <w:r w:rsidR="00974B48">
        <w:tab/>
        <w:t>332</w:t>
      </w:r>
      <w:r w:rsidR="00731D7C" w:rsidRPr="00D835EB">
        <w:t xml:space="preserve">  </w:t>
      </w:r>
    </w:p>
    <w:p w:rsidR="00731D7C" w:rsidRDefault="00731D7C" w:rsidP="00731D7C">
      <w:pPr>
        <w:tabs>
          <w:tab w:val="right" w:leader="dot" w:pos="8640"/>
        </w:tabs>
        <w:jc w:val="both"/>
      </w:pPr>
    </w:p>
    <w:p w:rsidR="00731D7C" w:rsidRPr="00D835EB" w:rsidRDefault="00482E4F" w:rsidP="00731D7C">
      <w:pPr>
        <w:tabs>
          <w:tab w:val="right" w:leader="dot" w:pos="8640"/>
        </w:tabs>
        <w:jc w:val="both"/>
      </w:pPr>
      <w:r>
        <w:t>Figure 7-20</w:t>
      </w:r>
      <w:r w:rsidR="00AE1C49">
        <w:t xml:space="preserve">. </w:t>
      </w:r>
      <w:r w:rsidR="00731D7C" w:rsidRPr="00D835EB">
        <w:t>George Washin</w:t>
      </w:r>
      <w:r w:rsidR="00731D7C">
        <w:t>gto</w:t>
      </w:r>
      <w:r w:rsidR="00974B48">
        <w:t>n’s orders for straight pins</w:t>
      </w:r>
      <w:r w:rsidR="00974B48">
        <w:tab/>
        <w:t>334</w:t>
      </w:r>
    </w:p>
    <w:p w:rsidR="00731D7C" w:rsidRDefault="00731D7C" w:rsidP="00731D7C">
      <w:pPr>
        <w:tabs>
          <w:tab w:val="right" w:leader="dot" w:pos="8640"/>
        </w:tabs>
        <w:jc w:val="both"/>
      </w:pPr>
    </w:p>
    <w:p w:rsidR="00731D7C" w:rsidRPr="00D835EB" w:rsidRDefault="00482E4F" w:rsidP="00731D7C">
      <w:pPr>
        <w:tabs>
          <w:tab w:val="right" w:leader="dot" w:pos="8640"/>
        </w:tabs>
        <w:jc w:val="both"/>
      </w:pPr>
      <w:r>
        <w:t>Figure 7-21</w:t>
      </w:r>
      <w:r w:rsidR="00AE1C49">
        <w:t xml:space="preserve">. </w:t>
      </w:r>
      <w:r w:rsidR="00731D7C" w:rsidRPr="00D835EB">
        <w:t>Distribution of straight pin leng</w:t>
      </w:r>
      <w:r w:rsidR="00731D7C">
        <w:t>ths</w:t>
      </w:r>
      <w:r w:rsidR="00974B48">
        <w:t xml:space="preserve"> from the House for Families</w:t>
      </w:r>
      <w:r w:rsidR="00974B48">
        <w:tab/>
        <w:t>337</w:t>
      </w:r>
    </w:p>
    <w:p w:rsidR="00731D7C" w:rsidRDefault="00731D7C" w:rsidP="00731D7C">
      <w:pPr>
        <w:tabs>
          <w:tab w:val="right" w:leader="dot" w:pos="8640"/>
        </w:tabs>
        <w:jc w:val="both"/>
      </w:pPr>
    </w:p>
    <w:p w:rsidR="00731D7C" w:rsidRPr="00D835EB" w:rsidRDefault="00482E4F" w:rsidP="00731D7C">
      <w:pPr>
        <w:tabs>
          <w:tab w:val="right" w:leader="dot" w:pos="8640"/>
        </w:tabs>
        <w:jc w:val="both"/>
      </w:pPr>
      <w:r>
        <w:t>Figure 7-22</w:t>
      </w:r>
      <w:r w:rsidR="00AE1C49">
        <w:t xml:space="preserve">. </w:t>
      </w:r>
      <w:r w:rsidR="00731D7C" w:rsidRPr="00D835EB">
        <w:t>Distribution of straight pin lengths from the Fairfield Qua</w:t>
      </w:r>
      <w:r w:rsidR="00974B48">
        <w:t>rter</w:t>
      </w:r>
      <w:r w:rsidR="00974B48">
        <w:tab/>
        <w:t>338</w:t>
      </w:r>
    </w:p>
    <w:p w:rsidR="00731D7C" w:rsidRPr="00D835EB" w:rsidRDefault="00731D7C" w:rsidP="00731D7C"/>
    <w:p w:rsidR="00731D7C" w:rsidRPr="00D835EB" w:rsidRDefault="00731D7C" w:rsidP="00731D7C"/>
    <w:p w:rsidR="00731D7C" w:rsidRDefault="00731D7C" w:rsidP="00731D7C"/>
    <w:p w:rsidR="00731D7C" w:rsidRPr="00FD1A8B" w:rsidRDefault="00731D7C" w:rsidP="00731D7C">
      <w:pPr>
        <w:spacing w:line="480" w:lineRule="auto"/>
      </w:pPr>
    </w:p>
    <w:p w:rsidR="00731D7C" w:rsidRDefault="00731D7C" w:rsidP="00731D7C">
      <w:r>
        <w:br w:type="page"/>
      </w:r>
    </w:p>
    <w:p w:rsidR="00731D7C" w:rsidRDefault="00731D7C" w:rsidP="00731D7C">
      <w:pPr>
        <w:spacing w:line="480" w:lineRule="auto"/>
        <w:outlineLvl w:val="0"/>
        <w:rPr>
          <w:b/>
        </w:rPr>
        <w:sectPr w:rsidR="00731D7C" w:rsidSect="00E91746">
          <w:footerReference w:type="default" r:id="rId8"/>
          <w:pgSz w:w="12240" w:h="15840"/>
          <w:pgMar w:top="1440" w:right="1440" w:bottom="1440" w:left="1440" w:header="720" w:footer="720" w:gutter="0"/>
          <w:pgNumType w:fmt="lowerRoman"/>
          <w:cols w:space="720"/>
          <w:titlePg/>
          <w:docGrid w:linePitch="360"/>
        </w:sectPr>
      </w:pPr>
    </w:p>
    <w:p w:rsidR="00731D7C" w:rsidRPr="000070FB" w:rsidRDefault="00731D7C" w:rsidP="00BE6873">
      <w:pPr>
        <w:spacing w:line="480" w:lineRule="auto"/>
        <w:jc w:val="center"/>
        <w:outlineLvl w:val="0"/>
        <w:rPr>
          <w:b/>
        </w:rPr>
      </w:pPr>
      <w:r>
        <w:rPr>
          <w:b/>
        </w:rPr>
        <w:lastRenderedPageBreak/>
        <w:t>Chapter 1: Introduction</w:t>
      </w:r>
    </w:p>
    <w:p w:rsidR="00731D7C" w:rsidRDefault="00731D7C" w:rsidP="00731D7C">
      <w:pPr>
        <w:spacing w:line="480" w:lineRule="auto"/>
        <w:ind w:firstLine="720"/>
        <w:rPr>
          <w:rFonts w:eastAsia="Calibri"/>
        </w:rPr>
      </w:pPr>
      <w:r>
        <w:rPr>
          <w:rFonts w:eastAsia="Calibri"/>
        </w:rPr>
        <w:t>On a winter day before Christmas in 1755, a young George Washington sat down in his new home called Mount Vernon and penned a letter to a tobacco agent in London, England, a man by t</w:t>
      </w:r>
      <w:r w:rsidR="002A3202">
        <w:rPr>
          <w:rFonts w:eastAsia="Calibri"/>
        </w:rPr>
        <w:t xml:space="preserve">he name of Richard Washington. </w:t>
      </w:r>
      <w:r>
        <w:rPr>
          <w:rFonts w:eastAsia="Calibri"/>
        </w:rPr>
        <w:t xml:space="preserve">The letter dispensed with introductions and platitudes, for which George Washington subsequently apologized, and instead got right down to business.  George Washington informed the agent that three hogsheads of tobacco were London bound and that he hoped Richard Washington would sell them for a most favorable </w:t>
      </w:r>
      <w:r w:rsidR="002A3202">
        <w:rPr>
          <w:rFonts w:eastAsia="Calibri"/>
        </w:rPr>
        <w:t xml:space="preserve">price (Abbot 1983[2]:207-208). </w:t>
      </w:r>
      <w:r>
        <w:rPr>
          <w:rFonts w:eastAsia="Calibri"/>
        </w:rPr>
        <w:t xml:space="preserve">Enclosed in this correspondence was a list of goods (Figure 1-1) which he asked Richard Washington to buy using the credit from the sale of the tobacco “with this only desire, that you will choose agreeable to the present taste, and send things good of their </w:t>
      </w:r>
      <w:r w:rsidR="002A3202">
        <w:rPr>
          <w:rFonts w:eastAsia="Calibri"/>
        </w:rPr>
        <w:t xml:space="preserve">kind” (Abbot 1983[2]:207-208). </w:t>
      </w:r>
      <w:r>
        <w:rPr>
          <w:rFonts w:eastAsia="Calibri"/>
        </w:rPr>
        <w:t xml:space="preserve">Among the goods that George Washington ordered were two complete suits of livery bearing the Washington family coat of arms to be worn by his attendants in the French and </w:t>
      </w:r>
      <w:r w:rsidR="002A3202">
        <w:rPr>
          <w:rFonts w:eastAsia="Calibri"/>
        </w:rPr>
        <w:t xml:space="preserve">Indian War (Cadou 2006:27-28). </w:t>
      </w:r>
      <w:r>
        <w:rPr>
          <w:rFonts w:eastAsia="Calibri"/>
        </w:rPr>
        <w:t xml:space="preserve">The return invoice dated four months later shows that George Washington owed £70 for these “sundries,” roughly equal to over $4000 </w:t>
      </w:r>
      <w:r w:rsidR="002A3202">
        <w:rPr>
          <w:rFonts w:eastAsia="Calibri"/>
        </w:rPr>
        <w:t xml:space="preserve">in the year 2000 (Crews 2002). </w:t>
      </w:r>
      <w:r>
        <w:rPr>
          <w:rFonts w:eastAsia="Calibri"/>
        </w:rPr>
        <w:t xml:space="preserve">This correspondence represents </w:t>
      </w:r>
      <w:r w:rsidR="00E91746">
        <w:rPr>
          <w:rFonts w:eastAsia="Calibri"/>
        </w:rPr>
        <w:t xml:space="preserve">our earliest documentation of an order and matched invoice recording </w:t>
      </w:r>
      <w:r>
        <w:rPr>
          <w:rFonts w:eastAsia="Calibri"/>
        </w:rPr>
        <w:t xml:space="preserve">George Washington’s participation in the consignment system – the primary method through which plantation owners </w:t>
      </w:r>
      <w:r w:rsidR="00E91746">
        <w:rPr>
          <w:rFonts w:eastAsia="Calibri"/>
        </w:rPr>
        <w:t xml:space="preserve">who grew tobacco on a large scale </w:t>
      </w:r>
      <w:r>
        <w:rPr>
          <w:rFonts w:eastAsia="Calibri"/>
        </w:rPr>
        <w:t>accessed the world of consumer goods in the eighteenth century by selling their crops for credit.</w:t>
      </w:r>
    </w:p>
    <w:p w:rsidR="00731D7C" w:rsidRDefault="00731D7C" w:rsidP="00731D7C">
      <w:pPr>
        <w:jc w:val="center"/>
        <w:rPr>
          <w:rFonts w:eastAsia="Calibri"/>
        </w:rPr>
      </w:pPr>
      <w:r>
        <w:rPr>
          <w:rFonts w:eastAsia="Calibri"/>
          <w:noProof/>
        </w:rPr>
        <w:lastRenderedPageBreak/>
        <w:drawing>
          <wp:inline distT="0" distB="0" distL="0" distR="0">
            <wp:extent cx="5277345" cy="6432890"/>
            <wp:effectExtent l="19050" t="0" r="0" b="0"/>
            <wp:docPr id="43" name="Picture 0" descr="figure 1.1 GW first or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 GW first order.jpg"/>
                    <pic:cNvPicPr/>
                  </pic:nvPicPr>
                  <pic:blipFill>
                    <a:blip r:embed="rId9" cstate="print"/>
                    <a:srcRect t="5333" b="16762"/>
                    <a:stretch>
                      <a:fillRect/>
                    </a:stretch>
                  </pic:blipFill>
                  <pic:spPr>
                    <a:xfrm>
                      <a:off x="0" y="0"/>
                      <a:ext cx="5277345" cy="6432890"/>
                    </a:xfrm>
                    <a:prstGeom prst="rect">
                      <a:avLst/>
                    </a:prstGeom>
                  </pic:spPr>
                </pic:pic>
              </a:graphicData>
            </a:graphic>
          </wp:inline>
        </w:drawing>
      </w:r>
    </w:p>
    <w:p w:rsidR="00731D7C" w:rsidRDefault="00731D7C" w:rsidP="00731D7C">
      <w:pPr>
        <w:rPr>
          <w:rFonts w:eastAsia="Calibri"/>
        </w:rPr>
      </w:pPr>
      <w:r w:rsidRPr="006004F4">
        <w:rPr>
          <w:rFonts w:eastAsia="Calibri"/>
          <w:b/>
        </w:rPr>
        <w:t>Figure 1-</w:t>
      </w:r>
      <w:r w:rsidR="00AE1C49">
        <w:rPr>
          <w:rFonts w:eastAsia="Calibri"/>
          <w:b/>
        </w:rPr>
        <w:t>1.</w:t>
      </w:r>
      <w:r w:rsidRPr="006004F4">
        <w:rPr>
          <w:rFonts w:eastAsia="Calibri"/>
          <w:b/>
        </w:rPr>
        <w:t xml:space="preserve"> </w:t>
      </w:r>
      <w:r w:rsidRPr="00E522C3">
        <w:rPr>
          <w:rFonts w:eastAsia="Calibri"/>
        </w:rPr>
        <w:t xml:space="preserve">George Washington’s first known order for goods placed </w:t>
      </w:r>
      <w:r w:rsidR="00AE1C49">
        <w:rPr>
          <w:rFonts w:eastAsia="Calibri"/>
        </w:rPr>
        <w:t xml:space="preserve">to Richard Washington in 1755. </w:t>
      </w:r>
      <w:r w:rsidRPr="00E522C3">
        <w:rPr>
          <w:rFonts w:eastAsia="Calibri"/>
        </w:rPr>
        <w:t>(Courtesy of the Library of Congress.)</w:t>
      </w:r>
    </w:p>
    <w:p w:rsidR="00731D7C" w:rsidRDefault="00731D7C" w:rsidP="00731D7C">
      <w:pPr>
        <w:rPr>
          <w:rFonts w:eastAsia="Calibri"/>
        </w:rPr>
      </w:pPr>
    </w:p>
    <w:p w:rsidR="00731D7C" w:rsidRPr="00E522C3" w:rsidRDefault="00731D7C" w:rsidP="00731D7C">
      <w:pPr>
        <w:rPr>
          <w:rFonts w:eastAsia="Calibri"/>
        </w:rPr>
      </w:pPr>
    </w:p>
    <w:p w:rsidR="00731D7C" w:rsidRDefault="00731D7C" w:rsidP="00731D7C">
      <w:pPr>
        <w:rPr>
          <w:rFonts w:eastAsia="Calibri"/>
          <w:b/>
        </w:rPr>
      </w:pPr>
    </w:p>
    <w:p w:rsidR="00731D7C" w:rsidRDefault="00731D7C" w:rsidP="00731D7C">
      <w:pPr>
        <w:spacing w:line="480" w:lineRule="auto"/>
        <w:rPr>
          <w:rFonts w:eastAsia="Calibri"/>
        </w:rPr>
      </w:pPr>
      <w:r>
        <w:rPr>
          <w:rFonts w:eastAsia="Calibri"/>
        </w:rPr>
        <w:tab/>
      </w:r>
    </w:p>
    <w:p w:rsidR="00731D7C" w:rsidRDefault="00731D7C" w:rsidP="00731D7C">
      <w:pPr>
        <w:rPr>
          <w:rFonts w:eastAsia="Calibri"/>
        </w:rPr>
      </w:pPr>
      <w:r>
        <w:rPr>
          <w:rFonts w:eastAsia="Calibri"/>
        </w:rPr>
        <w:br w:type="page"/>
      </w:r>
    </w:p>
    <w:p w:rsidR="00731D7C" w:rsidRPr="006004F4" w:rsidRDefault="00731D7C" w:rsidP="00731D7C">
      <w:pPr>
        <w:spacing w:line="480" w:lineRule="auto"/>
        <w:ind w:firstLine="720"/>
        <w:rPr>
          <w:rFonts w:eastAsia="Calibri"/>
        </w:rPr>
      </w:pPr>
      <w:r>
        <w:rPr>
          <w:rFonts w:eastAsia="Calibri"/>
        </w:rPr>
        <w:lastRenderedPageBreak/>
        <w:t xml:space="preserve">Just four years later, </w:t>
      </w:r>
      <w:r w:rsidR="005D3FBB">
        <w:rPr>
          <w:rFonts w:eastAsia="Calibri"/>
        </w:rPr>
        <w:t>George Washington resigned</w:t>
      </w:r>
      <w:r>
        <w:rPr>
          <w:rFonts w:eastAsia="Calibri"/>
        </w:rPr>
        <w:t xml:space="preserve"> from military service and </w:t>
      </w:r>
      <w:r w:rsidR="005D3FBB">
        <w:rPr>
          <w:rFonts w:eastAsia="Calibri"/>
        </w:rPr>
        <w:t>committed himself</w:t>
      </w:r>
      <w:r w:rsidR="002A3202">
        <w:rPr>
          <w:rFonts w:eastAsia="Calibri"/>
        </w:rPr>
        <w:t xml:space="preserve"> to the pursuits of a planter. </w:t>
      </w:r>
      <w:r w:rsidR="005D3FBB">
        <w:rPr>
          <w:rFonts w:eastAsia="Calibri"/>
        </w:rPr>
        <w:t>At this time</w:t>
      </w:r>
      <w:r>
        <w:rPr>
          <w:rFonts w:eastAsia="Calibri"/>
        </w:rPr>
        <w:t xml:space="preserve"> another act of consumerism occurred, this one about 20 miles down the road from Mount Vernon in a bustling tobacco town on the upper Potomac Ri</w:t>
      </w:r>
      <w:r w:rsidR="002A3202">
        <w:rPr>
          <w:rFonts w:eastAsia="Calibri"/>
        </w:rPr>
        <w:t xml:space="preserve">ver called Dumfries, Virginia. </w:t>
      </w:r>
      <w:r>
        <w:rPr>
          <w:rFonts w:eastAsia="Calibri"/>
        </w:rPr>
        <w:t xml:space="preserve">On a spring day after Easter in 1759, an enslaved individual named Juby entered the </w:t>
      </w:r>
      <w:r w:rsidR="005D3FBB">
        <w:rPr>
          <w:rFonts w:eastAsia="Calibri"/>
        </w:rPr>
        <w:t xml:space="preserve">store of </w:t>
      </w:r>
      <w:r>
        <w:rPr>
          <w:rFonts w:eastAsia="Calibri"/>
        </w:rPr>
        <w:t xml:space="preserve">merchant Daniel Payne and purchased 15 bars of iron weighing 506 pounds for £8.8.8, roughly equal to over $500 in the year 2000 (Crews 2000; </w:t>
      </w:r>
      <w:r w:rsidR="002A3202">
        <w:rPr>
          <w:rFonts w:eastAsia="Calibri"/>
        </w:rPr>
        <w:t xml:space="preserve">Hamrick and Hamrick 2007:10) . </w:t>
      </w:r>
      <w:r>
        <w:rPr>
          <w:rFonts w:eastAsia="Calibri"/>
        </w:rPr>
        <w:t>The name “Negro Juby” appeared under the account of Colonel George Washington, an infrequent customer of Payne’s Dumfries store as indicated by only two purchases made there over a six-year peri</w:t>
      </w:r>
      <w:r w:rsidR="002A3202">
        <w:rPr>
          <w:rFonts w:eastAsia="Calibri"/>
        </w:rPr>
        <w:t xml:space="preserve">od (Hamrick and Hamrick 2007). </w:t>
      </w:r>
      <w:r>
        <w:rPr>
          <w:rFonts w:eastAsia="Calibri"/>
        </w:rPr>
        <w:t xml:space="preserve">While Washington bought the bulk of his goods via the consignment system, a rapidly developing local retail trade could have met some consumer needs as they arose (Carr and Walsh </w:t>
      </w:r>
      <w:r w:rsidR="002A3202">
        <w:rPr>
          <w:rFonts w:eastAsia="Calibri"/>
        </w:rPr>
        <w:t xml:space="preserve">1994). </w:t>
      </w:r>
      <w:r>
        <w:rPr>
          <w:rFonts w:eastAsia="Calibri"/>
        </w:rPr>
        <w:t>Juby was not the only enslaved individual sent to the Dumfries store on owners’ errands (Hamrick a</w:t>
      </w:r>
      <w:r w:rsidR="002A3202">
        <w:rPr>
          <w:rFonts w:eastAsia="Calibri"/>
        </w:rPr>
        <w:t xml:space="preserve">nd Hamrick 2007; Martin 2008). </w:t>
      </w:r>
      <w:r w:rsidR="005D3FBB">
        <w:rPr>
          <w:rFonts w:eastAsia="Calibri"/>
        </w:rPr>
        <w:t>D</w:t>
      </w:r>
      <w:r>
        <w:rPr>
          <w:rFonts w:eastAsia="Calibri"/>
        </w:rPr>
        <w:t xml:space="preserve">ocumentation from other local stores suggests that slaves were </w:t>
      </w:r>
      <w:r w:rsidR="005D3FBB">
        <w:rPr>
          <w:rFonts w:eastAsia="Calibri"/>
        </w:rPr>
        <w:t xml:space="preserve">also </w:t>
      </w:r>
      <w:r>
        <w:rPr>
          <w:rFonts w:eastAsia="Calibri"/>
        </w:rPr>
        <w:t xml:space="preserve">beginning to enter the marketplace on their own behalf.         </w:t>
      </w:r>
    </w:p>
    <w:p w:rsidR="00731D7C" w:rsidRPr="0039640B" w:rsidRDefault="00731D7C" w:rsidP="00731D7C">
      <w:pPr>
        <w:spacing w:line="480" w:lineRule="auto"/>
        <w:ind w:firstLine="720"/>
        <w:rPr>
          <w:rFonts w:eastAsia="Calibri"/>
        </w:rPr>
      </w:pPr>
      <w:r>
        <w:rPr>
          <w:rFonts w:eastAsia="Calibri"/>
        </w:rPr>
        <w:t>These acts of consumerism undertaken by</w:t>
      </w:r>
      <w:r w:rsidRPr="0039640B">
        <w:rPr>
          <w:rFonts w:eastAsia="Calibri"/>
        </w:rPr>
        <w:t xml:space="preserve"> George Washington and </w:t>
      </w:r>
      <w:r>
        <w:rPr>
          <w:rFonts w:eastAsia="Calibri"/>
        </w:rPr>
        <w:t>Juby</w:t>
      </w:r>
      <w:r w:rsidRPr="0039640B">
        <w:rPr>
          <w:rFonts w:eastAsia="Calibri"/>
        </w:rPr>
        <w:t xml:space="preserve"> </w:t>
      </w:r>
      <w:r>
        <w:rPr>
          <w:rFonts w:eastAsia="Calibri"/>
        </w:rPr>
        <w:t>in this bifurcated system of trade exemplify the development of a movement called the “consumer revolution,” wherein access to goods app</w:t>
      </w:r>
      <w:r w:rsidR="005D3FBB">
        <w:rPr>
          <w:rFonts w:eastAsia="Calibri"/>
        </w:rPr>
        <w:t>ears to have opened up to large</w:t>
      </w:r>
      <w:r>
        <w:rPr>
          <w:rFonts w:eastAsia="Calibri"/>
        </w:rPr>
        <w:t xml:space="preserve"> segments of the colonial population, in part fueling an increase in the quantities and varieties of goods f</w:t>
      </w:r>
      <w:r w:rsidR="005D3FBB">
        <w:rPr>
          <w:rFonts w:eastAsia="Calibri"/>
        </w:rPr>
        <w:t>lowing throughout the Atlantic W</w:t>
      </w:r>
      <w:r>
        <w:rPr>
          <w:rFonts w:eastAsia="Calibri"/>
        </w:rPr>
        <w:t xml:space="preserve">orld (Reber 2003). </w:t>
      </w:r>
      <w:r w:rsidRPr="0039640B">
        <w:rPr>
          <w:rFonts w:eastAsia="Calibri"/>
        </w:rPr>
        <w:t>For men like George Washington, and his elder half-brother Lawrence, conforming to a code of refined, genteel behavior was central to their sense of self and crucial to how they pres</w:t>
      </w:r>
      <w:r w:rsidR="002A3202">
        <w:rPr>
          <w:rFonts w:eastAsia="Calibri"/>
        </w:rPr>
        <w:t xml:space="preserve">ented themselves to the world. </w:t>
      </w:r>
      <w:r w:rsidRPr="0039640B">
        <w:rPr>
          <w:rFonts w:eastAsia="Calibri"/>
        </w:rPr>
        <w:t>Among the ways that the Washingtons and their peers demonstrated their refinement and respectability was by acquiring and displaying a wide range of fashionable household goods, building architecturally ambi</w:t>
      </w:r>
      <w:r>
        <w:rPr>
          <w:rFonts w:eastAsia="Calibri"/>
        </w:rPr>
        <w:t xml:space="preserve">tious </w:t>
      </w:r>
      <w:r>
        <w:rPr>
          <w:rFonts w:eastAsia="Calibri"/>
        </w:rPr>
        <w:lastRenderedPageBreak/>
        <w:t>houses, creating elaborately</w:t>
      </w:r>
      <w:r w:rsidRPr="0039640B">
        <w:rPr>
          <w:rFonts w:eastAsia="Calibri"/>
        </w:rPr>
        <w:t xml:space="preserve"> </w:t>
      </w:r>
      <w:r>
        <w:rPr>
          <w:rFonts w:eastAsia="Calibri"/>
        </w:rPr>
        <w:t>modified</w:t>
      </w:r>
      <w:r w:rsidRPr="0039640B">
        <w:rPr>
          <w:rFonts w:eastAsia="Calibri"/>
        </w:rPr>
        <w:t xml:space="preserve"> landscapes, and knowing and following the rules for proper behavior</w:t>
      </w:r>
      <w:r w:rsidR="002A3202">
        <w:rPr>
          <w:rFonts w:eastAsia="Calibri"/>
        </w:rPr>
        <w:t xml:space="preserve"> appropriate to such settings. </w:t>
      </w:r>
      <w:r w:rsidRPr="0039640B">
        <w:rPr>
          <w:rFonts w:eastAsia="Calibri"/>
        </w:rPr>
        <w:t>These displays are visible over two centuries later in the architectural</w:t>
      </w:r>
      <w:r>
        <w:rPr>
          <w:rFonts w:eastAsia="Calibri"/>
        </w:rPr>
        <w:t xml:space="preserve"> and</w:t>
      </w:r>
      <w:r w:rsidRPr="0039640B">
        <w:rPr>
          <w:rFonts w:eastAsia="Calibri"/>
        </w:rPr>
        <w:t xml:space="preserve"> documentary</w:t>
      </w:r>
      <w:r>
        <w:rPr>
          <w:rFonts w:eastAsia="Calibri"/>
        </w:rPr>
        <w:t xml:space="preserve"> records and in material survivals that</w:t>
      </w:r>
      <w:r w:rsidRPr="0039640B">
        <w:rPr>
          <w:rFonts w:eastAsia="Calibri"/>
        </w:rPr>
        <w:t xml:space="preserve"> conform to a c</w:t>
      </w:r>
      <w:r>
        <w:rPr>
          <w:rFonts w:eastAsia="Calibri"/>
        </w:rPr>
        <w:t>olonial elite planter aesthetic called “high-style vernacular</w:t>
      </w:r>
      <w:r w:rsidRPr="0039640B">
        <w:rPr>
          <w:rFonts w:eastAsia="Calibri"/>
        </w:rPr>
        <w:t>”</w:t>
      </w:r>
      <w:r>
        <w:rPr>
          <w:rFonts w:eastAsia="Calibri"/>
        </w:rPr>
        <w:t xml:space="preserve"> (Sweeney </w:t>
      </w:r>
      <w:r w:rsidRPr="0039640B">
        <w:rPr>
          <w:rFonts w:eastAsia="Calibri"/>
        </w:rPr>
        <w:t>1994)</w:t>
      </w:r>
      <w:r>
        <w:rPr>
          <w:rFonts w:eastAsia="Calibri"/>
        </w:rPr>
        <w:t>.</w:t>
      </w:r>
      <w:r w:rsidRPr="0039640B">
        <w:rPr>
          <w:rFonts w:eastAsia="Calibri"/>
        </w:rPr>
        <w:t xml:space="preserve">     </w:t>
      </w:r>
    </w:p>
    <w:p w:rsidR="00731D7C" w:rsidRDefault="00731D7C" w:rsidP="00731D7C">
      <w:pPr>
        <w:spacing w:line="480" w:lineRule="auto"/>
        <w:ind w:firstLine="720"/>
        <w:rPr>
          <w:rFonts w:eastAsia="Calibri"/>
        </w:rPr>
      </w:pPr>
      <w:r>
        <w:rPr>
          <w:rFonts w:eastAsia="Calibri"/>
        </w:rPr>
        <w:t>A</w:t>
      </w:r>
      <w:r w:rsidRPr="0039640B">
        <w:rPr>
          <w:rFonts w:eastAsia="Calibri"/>
        </w:rPr>
        <w:t>rtifacts excavated from the soil layers at Mount Vernon</w:t>
      </w:r>
      <w:r>
        <w:rPr>
          <w:rFonts w:eastAsia="Calibri"/>
        </w:rPr>
        <w:t>, George Washington’s home plantation,</w:t>
      </w:r>
      <w:r w:rsidRPr="0039640B">
        <w:rPr>
          <w:rFonts w:eastAsia="Calibri"/>
        </w:rPr>
        <w:t xml:space="preserve"> give us pause to consider how </w:t>
      </w:r>
      <w:r>
        <w:rPr>
          <w:rFonts w:eastAsia="Calibri"/>
        </w:rPr>
        <w:t>he</w:t>
      </w:r>
      <w:r w:rsidRPr="0039640B">
        <w:rPr>
          <w:rFonts w:eastAsia="Calibri"/>
        </w:rPr>
        <w:t xml:space="preserve"> and </w:t>
      </w:r>
      <w:r>
        <w:rPr>
          <w:rFonts w:eastAsia="Calibri"/>
        </w:rPr>
        <w:t xml:space="preserve">other </w:t>
      </w:r>
      <w:r w:rsidRPr="0039640B">
        <w:rPr>
          <w:rFonts w:eastAsia="Calibri"/>
        </w:rPr>
        <w:t>elite planters afforded this</w:t>
      </w:r>
      <w:r w:rsidR="002A3202">
        <w:rPr>
          <w:rFonts w:eastAsia="Calibri"/>
        </w:rPr>
        <w:t xml:space="preserve"> burgeoning genteel lifestyle. </w:t>
      </w:r>
      <w:r w:rsidRPr="0039640B">
        <w:rPr>
          <w:rFonts w:eastAsia="Calibri"/>
        </w:rPr>
        <w:t>A singular artifact called a denier gauge, a small magnifying glass that counted threads per quarter inch of cloth, focuses our attention on the enslaved men and women upon whose labor refined styles of life were based</w:t>
      </w:r>
      <w:r>
        <w:rPr>
          <w:rFonts w:eastAsia="Calibri"/>
        </w:rPr>
        <w:t xml:space="preserve"> (Figure</w:t>
      </w:r>
      <w:r w:rsidRPr="00F86EC9">
        <w:rPr>
          <w:rFonts w:eastAsia="Calibri"/>
        </w:rPr>
        <w:t xml:space="preserve"> 1</w:t>
      </w:r>
      <w:r>
        <w:rPr>
          <w:rFonts w:eastAsia="Calibri"/>
        </w:rPr>
        <w:t>-2</w:t>
      </w:r>
      <w:r w:rsidRPr="00F86EC9">
        <w:rPr>
          <w:rFonts w:eastAsia="Calibri"/>
        </w:rPr>
        <w:t>)</w:t>
      </w:r>
      <w:r w:rsidR="002A3202">
        <w:rPr>
          <w:rFonts w:eastAsia="Calibri"/>
        </w:rPr>
        <w:t xml:space="preserve">. </w:t>
      </w:r>
      <w:r w:rsidRPr="0039640B">
        <w:rPr>
          <w:rFonts w:eastAsia="Calibri"/>
        </w:rPr>
        <w:t>At the beginning of George Washington’s tenure at Mount Vernon</w:t>
      </w:r>
      <w:r>
        <w:rPr>
          <w:rFonts w:eastAsia="Calibri"/>
        </w:rPr>
        <w:t xml:space="preserve"> in 1754</w:t>
      </w:r>
      <w:r w:rsidRPr="0039640B">
        <w:rPr>
          <w:rFonts w:eastAsia="Calibri"/>
        </w:rPr>
        <w:t xml:space="preserve">, he </w:t>
      </w:r>
      <w:r>
        <w:rPr>
          <w:rFonts w:eastAsia="Calibri"/>
        </w:rPr>
        <w:t>was the master of</w:t>
      </w:r>
      <w:r w:rsidRPr="0039640B">
        <w:rPr>
          <w:rFonts w:eastAsia="Calibri"/>
        </w:rPr>
        <w:t xml:space="preserve"> approximately 30 Africans and Afro-Virginians, a community whose numbers would increase to over 300 at </w:t>
      </w:r>
      <w:r w:rsidR="002A3202">
        <w:rPr>
          <w:rFonts w:eastAsia="Calibri"/>
        </w:rPr>
        <w:t xml:space="preserve">the time of his death in 1799. </w:t>
      </w:r>
      <w:r w:rsidRPr="0039640B">
        <w:rPr>
          <w:rFonts w:eastAsia="Calibri"/>
        </w:rPr>
        <w:t>These enslaved individuals worke</w:t>
      </w:r>
      <w:r>
        <w:rPr>
          <w:rFonts w:eastAsia="Calibri"/>
        </w:rPr>
        <w:t>d for the profit of their owner</w:t>
      </w:r>
      <w:r w:rsidRPr="0039640B">
        <w:rPr>
          <w:rFonts w:eastAsia="Calibri"/>
        </w:rPr>
        <w:t xml:space="preserve"> </w:t>
      </w:r>
      <w:r w:rsidR="005D3FBB">
        <w:rPr>
          <w:rFonts w:eastAsia="Calibri"/>
        </w:rPr>
        <w:t xml:space="preserve">by </w:t>
      </w:r>
      <w:r w:rsidRPr="0039640B">
        <w:rPr>
          <w:rFonts w:eastAsia="Calibri"/>
        </w:rPr>
        <w:t>plowing the fields, forging the iron, cooking the meals, and weaving the cloth – the quality of which was measured and controlled by Martha Wash</w:t>
      </w:r>
      <w:r w:rsidR="002A3202">
        <w:rPr>
          <w:rFonts w:eastAsia="Calibri"/>
        </w:rPr>
        <w:t xml:space="preserve">ington using the denier gauge. </w:t>
      </w:r>
      <w:r>
        <w:rPr>
          <w:rFonts w:eastAsia="Calibri"/>
        </w:rPr>
        <w:t>Enslaved communities in the eighteenth century were inextricably linked to and even “a product of the consumer revolution” themselves as “they performed work that augmented amenities – the superfluous material investments made by their owners – and they became part of the machinery of the fash</w:t>
      </w:r>
      <w:r w:rsidR="002A3202">
        <w:rPr>
          <w:rFonts w:eastAsia="Calibri"/>
        </w:rPr>
        <w:t xml:space="preserve">ionable house” (Kern 2010:75)  </w:t>
      </w:r>
      <w:r>
        <w:rPr>
          <w:rFonts w:eastAsia="Calibri"/>
        </w:rPr>
        <w:t>But i</w:t>
      </w:r>
      <w:r w:rsidRPr="0039640B">
        <w:rPr>
          <w:rFonts w:eastAsia="Calibri"/>
        </w:rPr>
        <w:t xml:space="preserve">n their spare time, </w:t>
      </w:r>
      <w:r>
        <w:rPr>
          <w:rFonts w:eastAsia="Calibri"/>
        </w:rPr>
        <w:t>Washington’s</w:t>
      </w:r>
      <w:r w:rsidRPr="0039640B">
        <w:rPr>
          <w:rFonts w:eastAsia="Calibri"/>
        </w:rPr>
        <w:t xml:space="preserve"> weavers, among other </w:t>
      </w:r>
      <w:r>
        <w:rPr>
          <w:rFonts w:eastAsia="Calibri"/>
        </w:rPr>
        <w:t>laborers</w:t>
      </w:r>
      <w:r w:rsidRPr="0039640B">
        <w:rPr>
          <w:rFonts w:eastAsia="Calibri"/>
        </w:rPr>
        <w:t>, tended garden plots, raised chickens, and ventured to the bustling Sunday market in Alexandria to socialize, barter, trade, and buy (Thompson 2001).</w:t>
      </w:r>
      <w:r w:rsidR="002A3202">
        <w:rPr>
          <w:rFonts w:eastAsia="Calibri"/>
        </w:rPr>
        <w:t xml:space="preserve"> </w:t>
      </w:r>
      <w:r>
        <w:rPr>
          <w:rFonts w:eastAsia="Calibri"/>
        </w:rPr>
        <w:t>Not only were they a product of but also a participant in this consumer revolution.</w:t>
      </w:r>
      <w:r w:rsidRPr="0039640B">
        <w:rPr>
          <w:rFonts w:eastAsia="Calibri"/>
        </w:rPr>
        <w:t xml:space="preserve">  </w:t>
      </w:r>
    </w:p>
    <w:p w:rsidR="00731D7C" w:rsidRDefault="00731D7C" w:rsidP="00731D7C">
      <w:pPr>
        <w:jc w:val="center"/>
        <w:rPr>
          <w:rFonts w:eastAsia="Calibri"/>
        </w:rPr>
      </w:pPr>
      <w:r>
        <w:rPr>
          <w:rFonts w:eastAsia="Calibri"/>
          <w:noProof/>
        </w:rPr>
        <w:lastRenderedPageBreak/>
        <w:drawing>
          <wp:inline distT="0" distB="0" distL="0" distR="0">
            <wp:extent cx="4530090" cy="2743200"/>
            <wp:effectExtent l="19050" t="0" r="3810" b="0"/>
            <wp:docPr id="44" name="Picture 2" descr="762.17.DAACS.2922.img1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2.17.DAACS.2922.img1827.jpg"/>
                    <pic:cNvPicPr/>
                  </pic:nvPicPr>
                  <pic:blipFill>
                    <a:blip r:embed="rId10" cstate="print"/>
                    <a:stretch>
                      <a:fillRect/>
                    </a:stretch>
                  </pic:blipFill>
                  <pic:spPr>
                    <a:xfrm>
                      <a:off x="0" y="0"/>
                      <a:ext cx="4530090" cy="2743200"/>
                    </a:xfrm>
                    <a:prstGeom prst="rect">
                      <a:avLst/>
                    </a:prstGeom>
                  </pic:spPr>
                </pic:pic>
              </a:graphicData>
            </a:graphic>
          </wp:inline>
        </w:drawing>
      </w:r>
    </w:p>
    <w:p w:rsidR="00731D7C" w:rsidRDefault="00731D7C" w:rsidP="00731D7C">
      <w:pPr>
        <w:rPr>
          <w:rFonts w:eastAsia="Calibri"/>
        </w:rPr>
      </w:pPr>
      <w:r w:rsidRPr="004C5685">
        <w:rPr>
          <w:rFonts w:eastAsia="Calibri"/>
          <w:b/>
        </w:rPr>
        <w:t>Figure 1-2.</w:t>
      </w:r>
      <w:r w:rsidR="00AE1C49">
        <w:rPr>
          <w:rFonts w:eastAsia="Calibri"/>
        </w:rPr>
        <w:t xml:space="preserve"> </w:t>
      </w:r>
      <w:r w:rsidRPr="00E522C3">
        <w:rPr>
          <w:rFonts w:eastAsia="Calibri"/>
        </w:rPr>
        <w:t>Eighteenth-century denier gauge excavated from the South</w:t>
      </w:r>
      <w:r>
        <w:rPr>
          <w:rFonts w:eastAsia="Calibri"/>
        </w:rPr>
        <w:t xml:space="preserve"> Grove Midden site (44FX762/17)</w:t>
      </w:r>
      <w:r w:rsidRPr="00E522C3">
        <w:rPr>
          <w:rFonts w:eastAsia="Calibri"/>
        </w:rPr>
        <w:t xml:space="preserve"> made of copper alloy</w:t>
      </w:r>
      <w:r w:rsidR="00AE1C49">
        <w:rPr>
          <w:rFonts w:eastAsia="Calibri"/>
        </w:rPr>
        <w:t xml:space="preserve"> and glass with two iron pins. </w:t>
      </w:r>
      <w:r w:rsidRPr="00E522C3">
        <w:rPr>
          <w:rFonts w:eastAsia="Calibri"/>
        </w:rPr>
        <w:t>Sq</w:t>
      </w:r>
      <w:r w:rsidR="002A3202">
        <w:rPr>
          <w:rFonts w:eastAsia="Calibri"/>
        </w:rPr>
        <w:t xml:space="preserve">uare opening measures ¼” inch. </w:t>
      </w:r>
      <w:r w:rsidRPr="00E522C3">
        <w:t>(Photo by Mount Vernon Preservation; courtesy of Mount Vernon Ladies’ Association.)</w:t>
      </w:r>
      <w:r w:rsidRPr="00E522C3">
        <w:rPr>
          <w:rFonts w:eastAsia="Calibri"/>
        </w:rPr>
        <w:t xml:space="preserve"> </w:t>
      </w:r>
    </w:p>
    <w:p w:rsidR="00731D7C" w:rsidRDefault="00731D7C" w:rsidP="00731D7C">
      <w:pPr>
        <w:rPr>
          <w:rFonts w:eastAsia="Calibri"/>
        </w:rPr>
      </w:pPr>
    </w:p>
    <w:p w:rsidR="00731D7C" w:rsidRDefault="00731D7C" w:rsidP="00731D7C">
      <w:pPr>
        <w:rPr>
          <w:rFonts w:eastAsia="Calibri"/>
        </w:rPr>
      </w:pPr>
    </w:p>
    <w:p w:rsidR="00731D7C" w:rsidRPr="0039640B" w:rsidRDefault="00731D7C" w:rsidP="00731D7C">
      <w:pPr>
        <w:rPr>
          <w:rFonts w:eastAsia="Calibri"/>
        </w:rPr>
      </w:pPr>
    </w:p>
    <w:p w:rsidR="00731D7C" w:rsidRPr="0039640B" w:rsidRDefault="00731D7C" w:rsidP="00731D7C">
      <w:pPr>
        <w:spacing w:line="480" w:lineRule="auto"/>
        <w:ind w:firstLine="720"/>
        <w:rPr>
          <w:rFonts w:eastAsia="Calibri"/>
        </w:rPr>
      </w:pPr>
      <w:r w:rsidRPr="0039640B">
        <w:rPr>
          <w:rFonts w:eastAsia="Calibri"/>
        </w:rPr>
        <w:t xml:space="preserve">Without consumer goods, cultural anthropologist Grant McCracken (1988:xi) argues, “the modern world would </w:t>
      </w:r>
      <w:r w:rsidR="002A3202">
        <w:rPr>
          <w:rFonts w:eastAsia="Calibri"/>
        </w:rPr>
        <w:t>almost completely come undone.”</w:t>
      </w:r>
      <w:r w:rsidRPr="0039640B">
        <w:rPr>
          <w:rFonts w:eastAsia="Calibri"/>
        </w:rPr>
        <w:t xml:space="preserve"> Historian Cary Car</w:t>
      </w:r>
      <w:r w:rsidR="005D3FBB">
        <w:rPr>
          <w:rFonts w:eastAsia="Calibri"/>
        </w:rPr>
        <w:t>s</w:t>
      </w:r>
      <w:r w:rsidRPr="0039640B">
        <w:rPr>
          <w:rFonts w:eastAsia="Calibri"/>
        </w:rPr>
        <w:t>on (1994:494) observes that “something new was in the air” when a man no longer judged his neighbor by the number of cattle in his pasture, “but the cut of his coat or the fashionabl</w:t>
      </w:r>
      <w:r w:rsidR="002A3202">
        <w:rPr>
          <w:rFonts w:eastAsia="Calibri"/>
        </w:rPr>
        <w:t>eness of his wife’s tea table.”</w:t>
      </w:r>
      <w:r w:rsidRPr="0039640B">
        <w:rPr>
          <w:rFonts w:eastAsia="Calibri"/>
        </w:rPr>
        <w:t xml:space="preserve"> In fact, as early as 1748</w:t>
      </w:r>
      <w:r w:rsidR="005D3FBB">
        <w:rPr>
          <w:rFonts w:eastAsia="Calibri"/>
        </w:rPr>
        <w:t>,</w:t>
      </w:r>
      <w:r>
        <w:rPr>
          <w:rFonts w:eastAsia="Calibri"/>
        </w:rPr>
        <w:t xml:space="preserve"> a</w:t>
      </w:r>
      <w:r w:rsidR="005D3FBB">
        <w:rPr>
          <w:rFonts w:eastAsia="Calibri"/>
        </w:rPr>
        <w:t xml:space="preserve"> </w:t>
      </w:r>
      <w:r>
        <w:rPr>
          <w:rFonts w:eastAsia="Calibri"/>
        </w:rPr>
        <w:t xml:space="preserve">16-year-old </w:t>
      </w:r>
      <w:r w:rsidRPr="0039640B">
        <w:rPr>
          <w:rFonts w:eastAsia="Calibri"/>
        </w:rPr>
        <w:t>George Washington</w:t>
      </w:r>
      <w:r>
        <w:rPr>
          <w:rFonts w:eastAsia="Calibri"/>
        </w:rPr>
        <w:t xml:space="preserve"> </w:t>
      </w:r>
      <w:r w:rsidRPr="0039640B">
        <w:rPr>
          <w:rFonts w:eastAsia="Calibri"/>
        </w:rPr>
        <w:t>took time to record in his journal his preference for stylish</w:t>
      </w:r>
      <w:r w:rsidR="002A3202">
        <w:rPr>
          <w:rFonts w:eastAsia="Calibri"/>
        </w:rPr>
        <w:t xml:space="preserve"> clothing (Detweiler 1982:17). </w:t>
      </w:r>
      <w:r w:rsidRPr="0039640B">
        <w:rPr>
          <w:rFonts w:eastAsia="Calibri"/>
        </w:rPr>
        <w:t xml:space="preserve">Living on another plantation on the eve of the American Revolution, at considerable distance west of Virginia’s </w:t>
      </w:r>
      <w:r>
        <w:rPr>
          <w:rFonts w:eastAsia="Calibri"/>
        </w:rPr>
        <w:t>coastal</w:t>
      </w:r>
      <w:r w:rsidRPr="0039640B">
        <w:rPr>
          <w:rFonts w:eastAsia="Calibri"/>
        </w:rPr>
        <w:t xml:space="preserve"> region, a slave named Suckey bought for herself one looking glass and one ribbon for which she bartered four pounds of </w:t>
      </w:r>
      <w:r w:rsidR="002A3202">
        <w:rPr>
          <w:rFonts w:eastAsia="Calibri"/>
        </w:rPr>
        <w:t xml:space="preserve">cotton seed (Martin 2008:173). </w:t>
      </w:r>
      <w:r w:rsidRPr="0039640B">
        <w:rPr>
          <w:rFonts w:eastAsia="Calibri"/>
        </w:rPr>
        <w:t>As a growing body of documentary and archaeological data show, free white men were not the only participants in this revolution of sorts (Heath 1997, 1999</w:t>
      </w:r>
      <w:r>
        <w:rPr>
          <w:rFonts w:eastAsia="Calibri"/>
        </w:rPr>
        <w:t>a, 1999b</w:t>
      </w:r>
      <w:r w:rsidRPr="0039640B">
        <w:rPr>
          <w:rFonts w:eastAsia="Calibri"/>
        </w:rPr>
        <w:t>, 2004; Morgan 1998</w:t>
      </w:r>
      <w:r>
        <w:rPr>
          <w:rFonts w:eastAsia="Calibri"/>
        </w:rPr>
        <w:t xml:space="preserve">; </w:t>
      </w:r>
      <w:r w:rsidRPr="0039640B">
        <w:rPr>
          <w:rFonts w:eastAsia="Calibri"/>
        </w:rPr>
        <w:t>Martin 2008</w:t>
      </w:r>
      <w:r>
        <w:rPr>
          <w:rFonts w:eastAsia="Calibri"/>
        </w:rPr>
        <w:t>; Galle 2010</w:t>
      </w:r>
      <w:r w:rsidRPr="0039640B">
        <w:rPr>
          <w:rFonts w:eastAsia="Calibri"/>
        </w:rPr>
        <w:t xml:space="preserve">).  </w:t>
      </w:r>
    </w:p>
    <w:p w:rsidR="00731D7C" w:rsidRDefault="00731D7C" w:rsidP="00731D7C">
      <w:pPr>
        <w:spacing w:line="480" w:lineRule="auto"/>
        <w:ind w:firstLine="720"/>
        <w:rPr>
          <w:rFonts w:eastAsia="Calibri"/>
        </w:rPr>
      </w:pPr>
      <w:r w:rsidRPr="0039640B">
        <w:rPr>
          <w:rFonts w:eastAsia="Calibri"/>
        </w:rPr>
        <w:t>Explanations for when</w:t>
      </w:r>
      <w:r>
        <w:rPr>
          <w:rFonts w:eastAsia="Calibri"/>
        </w:rPr>
        <w:t>,</w:t>
      </w:r>
      <w:r w:rsidRPr="0039640B">
        <w:rPr>
          <w:rFonts w:eastAsia="Calibri"/>
        </w:rPr>
        <w:t xml:space="preserve"> why</w:t>
      </w:r>
      <w:r>
        <w:rPr>
          <w:rFonts w:eastAsia="Calibri"/>
        </w:rPr>
        <w:t>, and how extensively</w:t>
      </w:r>
      <w:r w:rsidRPr="0039640B">
        <w:rPr>
          <w:rFonts w:eastAsia="Calibri"/>
        </w:rPr>
        <w:t xml:space="preserve"> a transformation in buying and using goods occurred remain the subject of considerable </w:t>
      </w:r>
      <w:r>
        <w:rPr>
          <w:rFonts w:eastAsia="Calibri"/>
        </w:rPr>
        <w:t xml:space="preserve">debate, but this notion that a “consumer </w:t>
      </w:r>
      <w:r>
        <w:rPr>
          <w:rFonts w:eastAsia="Calibri"/>
        </w:rPr>
        <w:lastRenderedPageBreak/>
        <w:t>revolution”</w:t>
      </w:r>
      <w:r w:rsidRPr="0039640B">
        <w:rPr>
          <w:rFonts w:eastAsia="Calibri"/>
        </w:rPr>
        <w:t xml:space="preserve"> swept through colonial America in the late </w:t>
      </w:r>
      <w:r>
        <w:rPr>
          <w:rFonts w:eastAsia="Calibri"/>
        </w:rPr>
        <w:t>seventeenth</w:t>
      </w:r>
      <w:r w:rsidRPr="0039640B">
        <w:rPr>
          <w:rFonts w:eastAsia="Calibri"/>
        </w:rPr>
        <w:t xml:space="preserve"> and </w:t>
      </w:r>
      <w:r>
        <w:rPr>
          <w:rFonts w:eastAsia="Calibri"/>
        </w:rPr>
        <w:t>eighteenth centuries</w:t>
      </w:r>
      <w:r w:rsidRPr="0039640B">
        <w:rPr>
          <w:rFonts w:eastAsia="Calibri"/>
        </w:rPr>
        <w:t xml:space="preserve"> continues to capture the attention of material culture specialists from multiple discipline</w:t>
      </w:r>
      <w:r>
        <w:rPr>
          <w:rFonts w:eastAsia="Calibri"/>
        </w:rPr>
        <w:t>s (for example, Bushman 1992</w:t>
      </w:r>
      <w:r w:rsidRPr="0039640B">
        <w:rPr>
          <w:rFonts w:eastAsia="Calibri"/>
        </w:rPr>
        <w:t>; Carson 1994; McCracken 1988</w:t>
      </w:r>
      <w:r>
        <w:rPr>
          <w:rFonts w:eastAsia="Calibri"/>
        </w:rPr>
        <w:t xml:space="preserve">; </w:t>
      </w:r>
      <w:r w:rsidRPr="0039640B">
        <w:rPr>
          <w:rFonts w:eastAsia="Calibri"/>
        </w:rPr>
        <w:t xml:space="preserve">Butler 2000; </w:t>
      </w:r>
      <w:r>
        <w:rPr>
          <w:rFonts w:eastAsia="Calibri"/>
        </w:rPr>
        <w:t>Galle 2010</w:t>
      </w:r>
      <w:r w:rsidR="002A3202">
        <w:rPr>
          <w:rFonts w:eastAsia="Calibri"/>
        </w:rPr>
        <w:t xml:space="preserve">). </w:t>
      </w:r>
      <w:r>
        <w:rPr>
          <w:rFonts w:eastAsia="Calibri"/>
        </w:rPr>
        <w:t xml:space="preserve">It is within this </w:t>
      </w:r>
      <w:r>
        <w:t xml:space="preserve">compelling interdisciplinary intersection of research on consumerism that I situate my study. </w:t>
      </w:r>
      <w:r w:rsidRPr="0039640B">
        <w:rPr>
          <w:rFonts w:eastAsia="Calibri"/>
        </w:rPr>
        <w:t>Understanding the specific contours of this macro-historical event</w:t>
      </w:r>
      <w:r>
        <w:rPr>
          <w:rFonts w:eastAsia="Calibri"/>
        </w:rPr>
        <w:t xml:space="preserve"> and how it affected the lives of plantation dwellers of all classes and races </w:t>
      </w:r>
      <w:r w:rsidRPr="0039640B">
        <w:rPr>
          <w:rFonts w:eastAsia="Calibri"/>
        </w:rPr>
        <w:t xml:space="preserve">is a significant research problem for those studying early America and one that has implications for critiquing </w:t>
      </w:r>
      <w:r>
        <w:rPr>
          <w:rFonts w:eastAsia="Calibri"/>
        </w:rPr>
        <w:t xml:space="preserve">and illuminating </w:t>
      </w:r>
      <w:r w:rsidRPr="0039640B">
        <w:rPr>
          <w:rFonts w:eastAsia="Calibri"/>
        </w:rPr>
        <w:t>our modern consumer culture.</w:t>
      </w:r>
      <w:r w:rsidR="002A3202">
        <w:rPr>
          <w:rFonts w:eastAsia="Calibri"/>
        </w:rPr>
        <w:t xml:space="preserve"> </w:t>
      </w:r>
      <w:r>
        <w:rPr>
          <w:rFonts w:eastAsia="Calibri"/>
        </w:rPr>
        <w:t xml:space="preserve">This dissertation pursues a multi-scalar study of the consumer revolution during the watershed years of ca. 1740 through 1775 </w:t>
      </w:r>
      <w:r w:rsidR="005D3FBB">
        <w:rPr>
          <w:rFonts w:eastAsia="Calibri"/>
        </w:rPr>
        <w:t xml:space="preserve">by </w:t>
      </w:r>
      <w:r>
        <w:rPr>
          <w:rFonts w:eastAsia="Calibri"/>
        </w:rPr>
        <w:t>utilizin</w:t>
      </w:r>
      <w:r w:rsidR="002A3202">
        <w:rPr>
          <w:rFonts w:eastAsia="Calibri"/>
        </w:rPr>
        <w:t xml:space="preserve">g a material culture approach. </w:t>
      </w:r>
      <w:r>
        <w:rPr>
          <w:rFonts w:eastAsia="Calibri"/>
        </w:rPr>
        <w:t xml:space="preserve">This is an “age of” narrative that intensively focuses on a single period to more thoroughly understand the consumer transition.       </w:t>
      </w:r>
    </w:p>
    <w:p w:rsidR="00731D7C" w:rsidRPr="005C6F7D" w:rsidRDefault="00731D7C" w:rsidP="00731D7C">
      <w:pPr>
        <w:spacing w:line="480" w:lineRule="auto"/>
        <w:ind w:firstLine="720"/>
        <w:rPr>
          <w:rFonts w:eastAsia="Calibri"/>
        </w:rPr>
      </w:pPr>
      <w:r>
        <w:rPr>
          <w:rFonts w:eastAsia="Calibri"/>
        </w:rPr>
        <w:t>While the specifics of the consumer revolution continue to be debated, a</w:t>
      </w:r>
      <w:r w:rsidRPr="0039640B">
        <w:rPr>
          <w:rFonts w:eastAsia="Calibri"/>
        </w:rPr>
        <w:t>rchaeologists, cultural anthropologists, and historians over the years have, at least, converged on one theory of material culture: that artifacts, objects, and goods played and continue to play an active role in identity formation, self-conceptualization, and even historical change (Beaudry et al. 1991; McCracken 1988</w:t>
      </w:r>
      <w:r>
        <w:rPr>
          <w:rFonts w:eastAsia="Calibri"/>
        </w:rPr>
        <w:t xml:space="preserve">; </w:t>
      </w:r>
      <w:r w:rsidRPr="0039640B">
        <w:rPr>
          <w:rFonts w:eastAsia="Calibri"/>
        </w:rPr>
        <w:t xml:space="preserve">Howson 1990; Breen 2004; Kellar 2004; Martin 2008; </w:t>
      </w:r>
      <w:r w:rsidRPr="00BB6B6E">
        <w:rPr>
          <w:rFonts w:eastAsia="Calibri"/>
        </w:rPr>
        <w:t>Voss 2008;</w:t>
      </w:r>
      <w:r>
        <w:rPr>
          <w:rFonts w:eastAsia="Calibri"/>
        </w:rPr>
        <w:t xml:space="preserve"> Wilkie 2010</w:t>
      </w:r>
      <w:r w:rsidR="002A3202">
        <w:rPr>
          <w:rFonts w:eastAsia="Calibri"/>
        </w:rPr>
        <w:t xml:space="preserve">). </w:t>
      </w:r>
      <w:r w:rsidRPr="0039640B">
        <w:rPr>
          <w:rFonts w:eastAsia="Calibri"/>
        </w:rPr>
        <w:t>Material culture is powerful and transform</w:t>
      </w:r>
      <w:r w:rsidR="002A3202">
        <w:rPr>
          <w:rFonts w:eastAsia="Calibri"/>
        </w:rPr>
        <w:t xml:space="preserve">ative. </w:t>
      </w:r>
      <w:r>
        <w:rPr>
          <w:rFonts w:eastAsia="Calibri"/>
        </w:rPr>
        <w:t>To some, material culture is fundamental to the definit</w:t>
      </w:r>
      <w:r w:rsidR="002A3202">
        <w:rPr>
          <w:rFonts w:eastAsia="Calibri"/>
        </w:rPr>
        <w:t xml:space="preserve">ion of historical archaeology. </w:t>
      </w:r>
      <w:r>
        <w:rPr>
          <w:rFonts w:eastAsia="Calibri"/>
        </w:rPr>
        <w:t xml:space="preserve">“Historical archaeology is a practice which recognises that artifacts and texts are more than just sources of evidence about the past [sic]; that they had efficacy in the past; and which seeks to determine the ways in which they were used in the construction of social relationships </w:t>
      </w:r>
      <w:r w:rsidRPr="005C6F7D">
        <w:rPr>
          <w:rFonts w:eastAsia="Calibri"/>
        </w:rPr>
        <w:t>and identities in historically specific circumstances” (Moreland 200</w:t>
      </w:r>
      <w:r w:rsidR="002A3202">
        <w:rPr>
          <w:rFonts w:eastAsia="Calibri"/>
        </w:rPr>
        <w:t xml:space="preserve">1:111). </w:t>
      </w:r>
      <w:r w:rsidRPr="005C6F7D">
        <w:rPr>
          <w:rFonts w:eastAsia="Calibri"/>
        </w:rPr>
        <w:t xml:space="preserve">This theoretical stance </w:t>
      </w:r>
      <w:r>
        <w:rPr>
          <w:rFonts w:eastAsia="Calibri"/>
        </w:rPr>
        <w:t>frames</w:t>
      </w:r>
      <w:r w:rsidRPr="005C6F7D">
        <w:rPr>
          <w:rFonts w:eastAsia="Calibri"/>
        </w:rPr>
        <w:t xml:space="preserve"> this dissertation.    </w:t>
      </w:r>
    </w:p>
    <w:p w:rsidR="00731D7C" w:rsidRDefault="00731D7C" w:rsidP="00731D7C">
      <w:pPr>
        <w:rPr>
          <w:b/>
        </w:rPr>
      </w:pPr>
      <w:r>
        <w:rPr>
          <w:b/>
        </w:rPr>
        <w:br w:type="page"/>
      </w:r>
    </w:p>
    <w:p w:rsidR="00731D7C" w:rsidRPr="00726C5F" w:rsidRDefault="00731D7C" w:rsidP="00731D7C">
      <w:pPr>
        <w:spacing w:line="480" w:lineRule="auto"/>
        <w:outlineLvl w:val="0"/>
        <w:rPr>
          <w:b/>
        </w:rPr>
      </w:pPr>
      <w:r w:rsidRPr="00726C5F">
        <w:rPr>
          <w:b/>
        </w:rPr>
        <w:lastRenderedPageBreak/>
        <w:t>George Washington: Founder, Father</w:t>
      </w:r>
      <w:r>
        <w:rPr>
          <w:b/>
        </w:rPr>
        <w:t>, Consumer</w:t>
      </w:r>
    </w:p>
    <w:p w:rsidR="00731D7C" w:rsidRDefault="00731D7C" w:rsidP="00731D7C">
      <w:pPr>
        <w:spacing w:line="480" w:lineRule="auto"/>
        <w:ind w:firstLine="720"/>
      </w:pPr>
      <w:r w:rsidRPr="005C6F7D">
        <w:t>Just as our world</w:t>
      </w:r>
      <w:r>
        <w:t xml:space="preserve"> today </w:t>
      </w:r>
      <w:r w:rsidRPr="005C6F7D">
        <w:t xml:space="preserve">would come undone without the ability to communicate through consumer goods, the same could be said for the pre-Revolutionary Chesapeake </w:t>
      </w:r>
      <w:r>
        <w:t>with George Washington often serving as the exemplar.</w:t>
      </w:r>
      <w:r w:rsidRPr="005C6F7D">
        <w:t xml:space="preserve"> </w:t>
      </w:r>
      <w:r>
        <w:t>Arguably the most commonly referenced statement written by Washington in regards to the consumer revolution reads, “And you may believe me when I tell you that instead of getting things good and fashionable in their several kinds we often have Articles sent Us that could only have been usd by our Forefathers in the days of yore” (Ford 1900:120; McClellan 1904:327; Coulter 1945:303; Ragsdale 1989:148; Dalzell and Dalzell 1998:56; McWilliams 2005:215; Ayers et al. 2009:108; Yo</w:t>
      </w:r>
      <w:r w:rsidR="002A3202">
        <w:t xml:space="preserve">kota 2011:90; Manca 2012:190). </w:t>
      </w:r>
      <w:r>
        <w:t xml:space="preserve">With the frequency of citations like this, Washington has entered our scholarly and even popular consciousness not only as founding father, but as the embodiment of eighteenth-century consumerism, gentility, and style.  </w:t>
      </w:r>
    </w:p>
    <w:p w:rsidR="00731D7C" w:rsidRDefault="00731D7C" w:rsidP="00731D7C">
      <w:pPr>
        <w:spacing w:line="480" w:lineRule="auto"/>
        <w:ind w:firstLine="720"/>
      </w:pPr>
      <w:r>
        <w:t>In fact, George Washington’s use of and relationship to material culture appears anecdotally excerpted in nearly every study of the eighteenth-century consumer revolution to such an extent that he has morphed from example to archetype (Bushman 1992; Brewer and Porter 1993; Martin 1993, 2008; Breen 1994, 2004; Carson et al.1994; Butler 2000; Styles a</w:t>
      </w:r>
      <w:r w:rsidR="002A3202">
        <w:t xml:space="preserve">nd Vickery 2006; Yokota 2011). </w:t>
      </w:r>
      <w:r>
        <w:t>In the historiography of colonial material culture, George Washington often ushers in new chapters, enters at the crescendos of tightly woven arguments, and closes essays</w:t>
      </w:r>
      <w:r w:rsidR="002A3202">
        <w:t xml:space="preserve"> with a perfectly timed quote. </w:t>
      </w:r>
      <w:r>
        <w:t xml:space="preserve">By reviewing the literature written by historians and material culture specialists, a few recurring themes emerge that speak to the ways in which the documentary evidence by and about George Washington is commonly employed.  </w:t>
      </w:r>
    </w:p>
    <w:p w:rsidR="00731D7C" w:rsidRDefault="00731D7C" w:rsidP="00731D7C">
      <w:pPr>
        <w:spacing w:line="480" w:lineRule="auto"/>
        <w:ind w:firstLine="720"/>
      </w:pPr>
      <w:r>
        <w:t>First, there is George Washington as arbiter of sty</w:t>
      </w:r>
      <w:r w:rsidR="002A3202">
        <w:t xml:space="preserve">le and manners (Bushman 1992). </w:t>
      </w:r>
      <w:r>
        <w:t xml:space="preserve">In his extensive treatment of gentility as it emerged through the process of refinement, Richard </w:t>
      </w:r>
      <w:r>
        <w:lastRenderedPageBreak/>
        <w:t>Bushman (1992) recounts multiple episodes in which the future president offers critiques on displays of gentility or lack thereof, for achieving true refinement was noth</w:t>
      </w:r>
      <w:r w:rsidR="002A3202">
        <w:t xml:space="preserve">ing without social commentary. </w:t>
      </w:r>
      <w:r>
        <w:t>Washington makes note in his journal of one particular ball he attended in Alexandria in the 1760s where guests used handkerchiefs in the place of napkins, the coffee and tea was so poorly brewed as to taste like nothing more than sweet water, and the foodstuffs did not vary much beyond plentiful amounts of bread and butter</w:t>
      </w:r>
      <w:r w:rsidR="005D3FBB">
        <w:t>,</w:t>
      </w:r>
      <w:r>
        <w:t xml:space="preserve"> leading Washington to dub the event the “Bread and Butter Ball” (Bushman 1992:56).</w:t>
      </w:r>
    </w:p>
    <w:p w:rsidR="00731D7C" w:rsidRDefault="00731D7C" w:rsidP="00731D7C">
      <w:pPr>
        <w:spacing w:line="480" w:lineRule="auto"/>
      </w:pPr>
      <w:r>
        <w:tab/>
        <w:t>Secondly, George Washington appears in histories of the consumer revolution as a savvy manipulator of material culture (Butler 2000; Brekke 2006; Cadou 200</w:t>
      </w:r>
      <w:r w:rsidR="002A3202">
        <w:t xml:space="preserve">6; Manca 2012). </w:t>
      </w:r>
      <w:r>
        <w:t>In the introduction of her article on masculinity, politics, and clothing, Linzy Brekke (2006) chronicles the drama surrounding George Washington’s choice of a suit of clothing appropriate for h</w:t>
      </w:r>
      <w:r w:rsidR="002A3202">
        <w:t xml:space="preserve">is first inauguration in 1789. </w:t>
      </w:r>
      <w:r>
        <w:t>Despite the inferior quality of locally manufactured cloth, “at the most significant political event in the new nation’s history, Washington appeared in a second-rate suit, opting for modesty and local manufacture over grandeur and fine imports” (Brekke 2006:228).  Brekke interprets this choice as a symbolic, “shrewd political calculation” (Brekke 2006:225).</w:t>
      </w:r>
    </w:p>
    <w:p w:rsidR="00731D7C" w:rsidRDefault="00731D7C" w:rsidP="00731D7C">
      <w:pPr>
        <w:spacing w:line="480" w:lineRule="auto"/>
      </w:pPr>
      <w:r>
        <w:tab/>
        <w:t>Finally, and most commonly, is Washington’s role in the consumer revolution as archetype of gentility (Bushman 1992; Sweeney 1</w:t>
      </w:r>
      <w:r w:rsidR="002A3202">
        <w:t xml:space="preserve">994; Breen 2004; Yokota 2011). </w:t>
      </w:r>
      <w:r>
        <w:t xml:space="preserve">George Washington features prominently in Kevin Sweeny’s (1994) article that argues for the development of a home-grown, yet metropolitan-derived aesthetic that he </w:t>
      </w:r>
      <w:r w:rsidR="002A3202">
        <w:t>calls, “high-style vernacular.”</w:t>
      </w:r>
      <w:r>
        <w:t xml:space="preserve"> Sweeney specifically draws on the architectural emblem of the Mount Vernon mans</w:t>
      </w:r>
      <w:r w:rsidR="002A3202">
        <w:t xml:space="preserve">ion to bolster his contention. </w:t>
      </w:r>
      <w:r>
        <w:t xml:space="preserve">Mount Vernon, as the domestic face of George Washington, represents to Sweeney that juxtaposition between ideal and reality or fashionable Georgian-style </w:t>
      </w:r>
      <w:r>
        <w:lastRenderedPageBreak/>
        <w:t xml:space="preserve">architecture </w:t>
      </w:r>
      <w:r w:rsidR="002A3202">
        <w:t xml:space="preserve">reinterpreted in the colonies. </w:t>
      </w:r>
      <w:r>
        <w:t>Aesthetic ideal meets local conditions, the effects of which Sweeney sees resonating in material forms from architecture to furniture.</w:t>
      </w:r>
    </w:p>
    <w:p w:rsidR="00731D7C" w:rsidRDefault="00731D7C" w:rsidP="00731D7C">
      <w:pPr>
        <w:spacing w:line="480" w:lineRule="auto"/>
      </w:pPr>
      <w:r>
        <w:tab/>
        <w:t xml:space="preserve">The notion of George Washington as archetype of gentility, style, and taste has unsurprisingly entered modern popular culture, as seen in a 2001 </w:t>
      </w:r>
      <w:r w:rsidRPr="0077674D">
        <w:rPr>
          <w:i/>
        </w:rPr>
        <w:t>Forbes</w:t>
      </w:r>
      <w:r>
        <w:t xml:space="preserve"> magazine article on Washington as “fashion plate” (Rohleder</w:t>
      </w:r>
      <w:r w:rsidR="002A3202">
        <w:t xml:space="preserve"> 2001) and in the blogosphere. </w:t>
      </w:r>
      <w:r>
        <w:t>Washington, as “America’s First Fashion Icon,” graces the virtual pages of one fashion writer’s blog called “History’s Best Dressed” (History’s</w:t>
      </w:r>
      <w:r w:rsidR="002A3202">
        <w:t xml:space="preserve"> Best Dressed 2011). </w:t>
      </w:r>
      <w:r>
        <w:t xml:space="preserve">She even offers followers an answer to their question, “how can I get George Washington’s look?” (Figure 1-3). </w:t>
      </w:r>
    </w:p>
    <w:p w:rsidR="00731D7C" w:rsidRDefault="00731D7C" w:rsidP="00731D7C">
      <w:pPr>
        <w:spacing w:line="480" w:lineRule="auto"/>
      </w:pPr>
      <w:r>
        <w:t xml:space="preserve"> </w:t>
      </w:r>
    </w:p>
    <w:p w:rsidR="00731D7C" w:rsidRDefault="00731D7C" w:rsidP="00731D7C">
      <w:pPr>
        <w:spacing w:line="480" w:lineRule="auto"/>
      </w:pPr>
    </w:p>
    <w:p w:rsidR="00731D7C" w:rsidRDefault="00731D7C" w:rsidP="00731D7C">
      <w:pPr>
        <w:jc w:val="center"/>
      </w:pPr>
      <w:r>
        <w:rPr>
          <w:noProof/>
        </w:rPr>
        <w:drawing>
          <wp:inline distT="0" distB="0" distL="0" distR="0">
            <wp:extent cx="3178509" cy="4297680"/>
            <wp:effectExtent l="19050" t="0" r="2841" b="0"/>
            <wp:docPr id="45" name="Picture 3" descr="tumblr_lolnjcTvgq1qk9kth.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mblr_lolnjcTvgq1qk9kth.bmp.jpg"/>
                    <pic:cNvPicPr/>
                  </pic:nvPicPr>
                  <pic:blipFill>
                    <a:blip r:embed="rId11" cstate="print"/>
                    <a:stretch>
                      <a:fillRect/>
                    </a:stretch>
                  </pic:blipFill>
                  <pic:spPr>
                    <a:xfrm>
                      <a:off x="0" y="0"/>
                      <a:ext cx="3178509" cy="4297680"/>
                    </a:xfrm>
                    <a:prstGeom prst="rect">
                      <a:avLst/>
                    </a:prstGeom>
                  </pic:spPr>
                </pic:pic>
              </a:graphicData>
            </a:graphic>
          </wp:inline>
        </w:drawing>
      </w:r>
    </w:p>
    <w:p w:rsidR="00731D7C" w:rsidRDefault="00731D7C" w:rsidP="00731D7C">
      <w:r>
        <w:rPr>
          <w:b/>
        </w:rPr>
        <w:t>Figure 1-3</w:t>
      </w:r>
      <w:r w:rsidRPr="00824C9F">
        <w:rPr>
          <w:b/>
        </w:rPr>
        <w:t xml:space="preserve">. </w:t>
      </w:r>
      <w:r w:rsidRPr="00E522C3">
        <w:t>“The George Washington Look for the Ladies” inspired by</w:t>
      </w:r>
      <w:r w:rsidR="00AE1C49">
        <w:t xml:space="preserve"> his Revolutionary War uniform.</w:t>
      </w:r>
      <w:r w:rsidRPr="00E522C3">
        <w:t xml:space="preserve"> (Courtesy of History’s Best Dressed Blog.)</w:t>
      </w:r>
    </w:p>
    <w:p w:rsidR="00731D7C" w:rsidRDefault="00731D7C" w:rsidP="00731D7C"/>
    <w:p w:rsidR="00731D7C" w:rsidRDefault="00731D7C" w:rsidP="00731D7C">
      <w:pPr>
        <w:spacing w:line="480" w:lineRule="auto"/>
      </w:pPr>
      <w:r>
        <w:tab/>
        <w:t xml:space="preserve">These explanatory, narrative devices serve to illuminate and capture the interest and attention of readers in a way that purely analytical, </w:t>
      </w:r>
      <w:r w:rsidR="002A3202">
        <w:t xml:space="preserve">statistical approaches cannot. </w:t>
      </w:r>
      <w:r>
        <w:t xml:space="preserve">However, by perpetuating this narrative approach to eighteenth-century material culture (Stone 1979), a vast and diverse body of data – archaeological and historical – pertaining to George Washington has been ignored, one that can more completely penetrate the contours </w:t>
      </w:r>
      <w:r w:rsidR="002A3202">
        <w:t xml:space="preserve">of consumerism in this period. </w:t>
      </w:r>
      <w:r>
        <w:t>There is more to be learned about the social world that Washington inhabited through the application of a systematic, anthropologically-derived material culture analysis based on the voluminous primary documentation of his participation in the consignment system (beyond his common complaints to English factors), the rich and robust archaeological remains of these consumer behaviors, and even in the extensive holdings in Moun</w:t>
      </w:r>
      <w:r w:rsidR="002A3202">
        <w:t xml:space="preserve">t Vernon’s museum collections. </w:t>
      </w:r>
      <w:r>
        <w:t xml:space="preserve">By contextualizing these datasets with information on what the common consumer had access to at his or her local store, a data-rich study of comparative consumerism can take place.  </w:t>
      </w:r>
    </w:p>
    <w:p w:rsidR="00731D7C" w:rsidRPr="005C6F7D" w:rsidRDefault="00731D7C" w:rsidP="00731D7C">
      <w:pPr>
        <w:spacing w:line="480" w:lineRule="auto"/>
        <w:outlineLvl w:val="0"/>
        <w:rPr>
          <w:b/>
        </w:rPr>
      </w:pPr>
      <w:r w:rsidRPr="005C6F7D">
        <w:rPr>
          <w:b/>
        </w:rPr>
        <w:t>Statement of Purpose</w:t>
      </w:r>
    </w:p>
    <w:p w:rsidR="00731D7C" w:rsidRDefault="00731D7C" w:rsidP="00731D7C">
      <w:pPr>
        <w:spacing w:line="480" w:lineRule="auto"/>
        <w:ind w:firstLine="720"/>
      </w:pPr>
      <w:r>
        <w:t xml:space="preserve">Despite the sustained scholarly interest in consumerism and the consumer revolution that occurred in the eighteenth-century Atlantic World, what is lacking is an examination </w:t>
      </w:r>
      <w:r w:rsidR="009B458D">
        <w:t xml:space="preserve">of </w:t>
      </w:r>
      <w:r>
        <w:t xml:space="preserve">the event from the diverse perspectives of the participants that utilizes multiple </w:t>
      </w:r>
      <w:r w:rsidR="005D3FBB">
        <w:t xml:space="preserve">avenues of material culture evidence, which, though </w:t>
      </w:r>
      <w:r>
        <w:t>not comparable</w:t>
      </w:r>
      <w:r w:rsidR="005D3FBB">
        <w:t>, are</w:t>
      </w:r>
      <w:r w:rsidR="002A3202">
        <w:t xml:space="preserve"> compatible. </w:t>
      </w:r>
      <w:r>
        <w:t>What makes the 40-year period before the American Revolution unique is that access to consumer goods appears to have opened up for larger segments of the colonial population through a more sophisticated and far-reaching system of distribution for imported items (Carr and Walsh 19</w:t>
      </w:r>
      <w:r w:rsidR="002A3202">
        <w:t xml:space="preserve">94). </w:t>
      </w:r>
      <w:r>
        <w:t>But just how equal was this access?  What can be learned about colonial culture and the maintenance of power relationships if this issue of equality of access to the material world is thoroughly an</w:t>
      </w:r>
      <w:r w:rsidR="002A3202">
        <w:t xml:space="preserve">d systematically investigated? </w:t>
      </w:r>
      <w:r>
        <w:t xml:space="preserve">This dissertation begins most simply with the question, </w:t>
      </w:r>
      <w:r w:rsidRPr="00FD303A">
        <w:rPr>
          <w:i/>
        </w:rPr>
        <w:t xml:space="preserve">what comprised the world of goods for </w:t>
      </w:r>
      <w:r w:rsidRPr="00FD303A">
        <w:rPr>
          <w:i/>
        </w:rPr>
        <w:lastRenderedPageBreak/>
        <w:t>individuals living in the upper Chesapeake region in the decades before the American Revolution?</w:t>
      </w:r>
      <w:r w:rsidR="002A3202">
        <w:t xml:space="preserve"> </w:t>
      </w:r>
      <w:r>
        <w:t>The research then progresses towards a set of questions that penetrates issues of power and access</w:t>
      </w:r>
      <w:r w:rsidR="002A3202">
        <w:t xml:space="preserve"> inherent in material culture. </w:t>
      </w:r>
      <w:r w:rsidRPr="00FD303A">
        <w:rPr>
          <w:i/>
        </w:rPr>
        <w:t>How was this world of goods different for individuals of separate socio-economic</w:t>
      </w:r>
      <w:r>
        <w:rPr>
          <w:i/>
        </w:rPr>
        <w:t xml:space="preserve"> and racial</w:t>
      </w:r>
      <w:r w:rsidR="002A3202">
        <w:rPr>
          <w:i/>
        </w:rPr>
        <w:t xml:space="preserve"> categories? </w:t>
      </w:r>
      <w:r>
        <w:rPr>
          <w:i/>
        </w:rPr>
        <w:t>Why d</w:t>
      </w:r>
      <w:r w:rsidRPr="000B1E50">
        <w:rPr>
          <w:i/>
        </w:rPr>
        <w:t xml:space="preserve">id individuals like George Washington </w:t>
      </w:r>
      <w:r>
        <w:rPr>
          <w:i/>
        </w:rPr>
        <w:t>maintain a commitment to the consignment system when stores offered the ease and convenience of local shopping</w:t>
      </w:r>
      <w:r w:rsidR="002A3202">
        <w:rPr>
          <w:i/>
        </w:rPr>
        <w:t xml:space="preserve">? </w:t>
      </w:r>
      <w:r w:rsidRPr="00FD303A">
        <w:rPr>
          <w:i/>
        </w:rPr>
        <w:t xml:space="preserve">Who had access to </w:t>
      </w:r>
      <w:r>
        <w:rPr>
          <w:i/>
        </w:rPr>
        <w:t>which</w:t>
      </w:r>
      <w:r w:rsidRPr="00FD303A">
        <w:rPr>
          <w:i/>
        </w:rPr>
        <w:t xml:space="preserve"> objects and what implications did this have for how material culture was employed or deployed towards the maintenance or destabilization of the colonial social order?</w:t>
      </w:r>
      <w:r w:rsidR="002A3202">
        <w:t xml:space="preserve"> </w:t>
      </w:r>
      <w:r>
        <w:t>I triangulate between three primary sources: Washington’s orders to and invoices from his agents in England; the store inventories from a local Scottish-owned retail outlet; and the archaeological record at Mount Vernon</w:t>
      </w:r>
      <w:r w:rsidR="0069405E" w:rsidRPr="0069405E">
        <w:t xml:space="preserve"> </w:t>
      </w:r>
      <w:r w:rsidR="0069405E">
        <w:t>to answer these questions</w:t>
      </w:r>
      <w:r w:rsidR="002A3202">
        <w:t xml:space="preserve">. </w:t>
      </w:r>
      <w:r>
        <w:t>I hypothesize that this triumvirate of sources will support the theory that the period 1740 to 1775 was truly a revolution of consumerism among all levels of society, but also that this was not a revol</w:t>
      </w:r>
      <w:r w:rsidR="002A3202">
        <w:t xml:space="preserve">ution in the democratic sense. </w:t>
      </w:r>
      <w:r>
        <w:t xml:space="preserve">Differential and controlled access to certain goods, sometimes in the most subtle yet recognizable ways, remained the purview of elite planters striving to preserve the </w:t>
      </w:r>
      <w:r w:rsidR="002A3202">
        <w:t xml:space="preserve">exclusive domain of gentility. </w:t>
      </w:r>
      <w:r>
        <w:t xml:space="preserve">However, non-elites had avenues of access to goods all their own that allowed for the development of an altogether different material repertoire through which these individuals created communities and expressed identities.   </w:t>
      </w:r>
    </w:p>
    <w:p w:rsidR="00731D7C" w:rsidRDefault="00731D7C" w:rsidP="00731D7C">
      <w:pPr>
        <w:spacing w:line="480" w:lineRule="auto"/>
      </w:pPr>
      <w:r>
        <w:tab/>
        <w:t>By acknowledging the unmistakable economic realities of colonial America, we would assume that the material worlds of George Washington and Juby would have been visual</w:t>
      </w:r>
      <w:r w:rsidR="002A3202">
        <w:t xml:space="preserve">ly striking in their contrast. </w:t>
      </w:r>
      <w:r>
        <w:t>But excavation after excavation, and store ledger entry after store ledger entry reveals a remarkably similar, nearly indistinguishable assemblage of portable material culture utilized by wealthy, middling, and poor white</w:t>
      </w:r>
      <w:r w:rsidR="002A3202">
        <w:t xml:space="preserve">s, and house and field slaves. </w:t>
      </w:r>
      <w:r>
        <w:t xml:space="preserve">However, I </w:t>
      </w:r>
      <w:r>
        <w:lastRenderedPageBreak/>
        <w:t xml:space="preserve">propose that the interdisciplinary intersection of these three sources, approached systematically and analytically, will illuminate material differences that have previously gone unrecognized.  </w:t>
      </w:r>
    </w:p>
    <w:p w:rsidR="00731D7C" w:rsidRPr="00DB6EC4" w:rsidRDefault="00731D7C" w:rsidP="00731D7C">
      <w:pPr>
        <w:spacing w:line="480" w:lineRule="auto"/>
        <w:outlineLvl w:val="0"/>
        <w:rPr>
          <w:b/>
        </w:rPr>
      </w:pPr>
      <w:r w:rsidRPr="00DB6EC4">
        <w:rPr>
          <w:b/>
        </w:rPr>
        <w:t>Significance</w:t>
      </w:r>
    </w:p>
    <w:p w:rsidR="00731D7C" w:rsidRPr="00FD303A" w:rsidRDefault="00731D7C" w:rsidP="00731D7C">
      <w:pPr>
        <w:spacing w:line="480" w:lineRule="auto"/>
        <w:ind w:firstLine="720"/>
        <w:rPr>
          <w:i/>
        </w:rPr>
      </w:pPr>
      <w:r>
        <w:t>The literature – archaeological, historical, and anthropological – on consumerism in colonial Ame</w:t>
      </w:r>
      <w:r w:rsidR="002A3202">
        <w:t xml:space="preserve">rican is extensive and mature. </w:t>
      </w:r>
      <w:r>
        <w:t xml:space="preserve">Nevertheless, this research seeks to make original contributions to the field through the analytical, chronological, and regional approaches to these unique datasets.        </w:t>
      </w:r>
      <w:r w:rsidRPr="00FD303A">
        <w:rPr>
          <w:i/>
        </w:rPr>
        <w:t xml:space="preserve">  </w:t>
      </w:r>
    </w:p>
    <w:p w:rsidR="00731D7C" w:rsidRDefault="00731D7C" w:rsidP="00731D7C">
      <w:pPr>
        <w:spacing w:line="480" w:lineRule="auto"/>
        <w:ind w:firstLine="720"/>
      </w:pPr>
      <w:r>
        <w:t>The core of this dissertation research is undertaken utilizing a material culture analytical approach that seeks to incorporate multi-disciplinary bodies of data to accomplish a more holistic and complete understanding of consumerism in the mid-eighteenth ce</w:t>
      </w:r>
      <w:r w:rsidR="002A3202">
        <w:t xml:space="preserve">ntury upper Chesapeake region. </w:t>
      </w:r>
      <w:r>
        <w:t xml:space="preserve">This unique approach will bring to bear multiple sources of available evidence on the consumer revolution while additionally serving as a lens through which we might better illuminate avenues of </w:t>
      </w:r>
      <w:r w:rsidR="002A3202">
        <w:t xml:space="preserve">access to categories of goods. </w:t>
      </w:r>
      <w:r>
        <w:t>Most studies of the consumer revolution to date resulted from the compilation and analysis of data on consumerism recorded in the probat</w:t>
      </w:r>
      <w:r w:rsidR="002A3202">
        <w:t xml:space="preserve">e inventories of the deceased. </w:t>
      </w:r>
      <w:r>
        <w:t>Despite their inherent biases (see Pogue 1993, 1997 and Veech 1998 for discussions), probate inventories have allowed historians (Kulikoff 1986, Carr and Walsh 1994, for example) and archaeologists (Shackel 1992, Bell 2000, for example) to gain a fuller, diachronic, and even comparative picture of a lifetime of household consumption and wealth accumulation, and trends develop</w:t>
      </w:r>
      <w:r w:rsidR="002A3202">
        <w:t xml:space="preserve">ing in the consumer revolution. </w:t>
      </w:r>
      <w:r>
        <w:t xml:space="preserve">While these studies have formed the foundation of the argument that a transformation in the material lives of colonists did in fact occur at multiple levels of society, by limiting research to this singular dataset, it becomes difficult to illuminate the totality of this revolution and the </w:t>
      </w:r>
      <w:r w:rsidR="002A3202">
        <w:t xml:space="preserve">implications of its disparity. </w:t>
      </w:r>
      <w:r w:rsidRPr="003C6021">
        <w:t xml:space="preserve">Through the approach that I propose, the archaeological record will form the core dataset of consumer </w:t>
      </w:r>
      <w:r w:rsidRPr="003C6021">
        <w:lastRenderedPageBreak/>
        <w:t>activity</w:t>
      </w:r>
      <w:r w:rsidR="0069405E">
        <w:t>,</w:t>
      </w:r>
      <w:r w:rsidRPr="003C6021">
        <w:t xml:space="preserve"> with </w:t>
      </w:r>
      <w:r w:rsidR="0069405E" w:rsidRPr="003C6021">
        <w:t xml:space="preserve">George Washington’s orders for goods to his factor in England </w:t>
      </w:r>
      <w:r w:rsidR="0069405E">
        <w:t xml:space="preserve">illuminating the mechanisms of </w:t>
      </w:r>
      <w:r w:rsidRPr="003C6021">
        <w:t xml:space="preserve">elite consumerism </w:t>
      </w:r>
      <w:r w:rsidR="0069405E">
        <w:t xml:space="preserve">and the </w:t>
      </w:r>
      <w:r w:rsidR="0069405E" w:rsidRPr="003C6021">
        <w:t xml:space="preserve">store </w:t>
      </w:r>
      <w:r w:rsidR="0069405E">
        <w:t>inventories</w:t>
      </w:r>
      <w:r w:rsidR="0069405E" w:rsidRPr="003C6021">
        <w:t xml:space="preserve"> of John Glassford and Company </w:t>
      </w:r>
      <w:r w:rsidR="0069405E">
        <w:t xml:space="preserve">illustrating </w:t>
      </w:r>
      <w:r w:rsidRPr="003C6021">
        <w:t>non-elite consumerism.</w:t>
      </w:r>
      <w:r w:rsidR="002A3202">
        <w:t xml:space="preserve"> </w:t>
      </w:r>
      <w:r>
        <w:t>The goal of this research, then, is to take a comprehensive, systematic, and interdisciplinary approach to this historical watershed moment to more completely understand who bought what and why and to contribute to the broader discourse on consumer scholarship (Mullins 2004:197).</w:t>
      </w:r>
    </w:p>
    <w:p w:rsidR="00731D7C" w:rsidRDefault="00731D7C" w:rsidP="00731D7C">
      <w:pPr>
        <w:spacing w:line="480" w:lineRule="auto"/>
      </w:pPr>
      <w:r w:rsidRPr="001C67B6">
        <w:tab/>
        <w:t xml:space="preserve">Secondly, the majority of the work undertaken to address the consumer revolution from an archaeological perspective </w:t>
      </w:r>
      <w:r>
        <w:t xml:space="preserve">in the Chesapeake (Figure 1-4) </w:t>
      </w:r>
      <w:r w:rsidRPr="001C67B6">
        <w:t xml:space="preserve">has focused on the late </w:t>
      </w:r>
      <w:r>
        <w:t>seventeenth</w:t>
      </w:r>
      <w:r w:rsidRPr="001C67B6">
        <w:t xml:space="preserve"> and early </w:t>
      </w:r>
      <w:r>
        <w:t>eighteenth</w:t>
      </w:r>
      <w:r w:rsidRPr="001C67B6">
        <w:t xml:space="preserve"> centuries</w:t>
      </w:r>
      <w:r>
        <w:t xml:space="preserve">, with the </w:t>
      </w:r>
      <w:r w:rsidRPr="005232C1">
        <w:rPr>
          <w:i/>
        </w:rPr>
        <w:t>terminus ante quem</w:t>
      </w:r>
      <w:r>
        <w:t xml:space="preserve"> of consumer studies most often 1730 (see King et al. 2006 for the most recent, comprehensive study), picking back up again in the late eighteenth and nineteenth centuries (Miller 1980, 1991; Mullins 1999; Penningroth 2003; Heath 2004; Lee 2008, 2012; Galle 2010)</w:t>
      </w:r>
      <w:r w:rsidR="002A3202">
        <w:t xml:space="preserve">. </w:t>
      </w:r>
      <w:r w:rsidRPr="001C67B6">
        <w:t>Archaeologists noted patterns of increased specialization and elaboration in the realm of foodways, greater commitment to permanent forms of architecture, and a general increase in quality of furnishings and</w:t>
      </w:r>
      <w:r>
        <w:t xml:space="preserve"> personal adornment  in these pre-1730 studies (Pogue 2001a</w:t>
      </w:r>
      <w:r w:rsidR="002A3202">
        <w:t>; King et al. 2006).</w:t>
      </w:r>
      <w:r w:rsidRPr="001C67B6">
        <w:t xml:space="preserve"> These archaeological narratives of change terminate in the 1730s, just as historians argue the consumer revolution truly intensifies for free whites and emerges for enslaved blacks (Yentsch 1990, 1991</w:t>
      </w:r>
      <w:r>
        <w:t>a</w:t>
      </w:r>
      <w:r w:rsidR="002A3202">
        <w:t xml:space="preserve">; Breen 2004). </w:t>
      </w:r>
      <w:r w:rsidRPr="001C67B6">
        <w:t xml:space="preserve">An intensive focus on these crucial decades before the Revolution, at one plantation specifically </w:t>
      </w:r>
      <w:r>
        <w:t>and throughout one Virginia sub-</w:t>
      </w:r>
      <w:r w:rsidRPr="001C67B6">
        <w:t xml:space="preserve">region more broadly, should illuminate the patterns that </w:t>
      </w:r>
      <w:r>
        <w:t xml:space="preserve">made this period of </w:t>
      </w:r>
      <w:r w:rsidRPr="001C67B6">
        <w:t xml:space="preserve">consumerism </w:t>
      </w:r>
      <w:r>
        <w:t>unique in the</w:t>
      </w:r>
      <w:r w:rsidRPr="001C67B6">
        <w:t>s</w:t>
      </w:r>
      <w:r>
        <w:t>e</w:t>
      </w:r>
      <w:r w:rsidRPr="001C67B6">
        <w:t xml:space="preserve"> under-studied </w:t>
      </w:r>
      <w:r>
        <w:t>decades</w:t>
      </w:r>
      <w:r w:rsidRPr="001C67B6">
        <w:t>.</w:t>
      </w:r>
    </w:p>
    <w:p w:rsidR="00731D7C" w:rsidRDefault="00731D7C" w:rsidP="00731D7C">
      <w:r>
        <w:rPr>
          <w:noProof/>
        </w:rPr>
        <w:lastRenderedPageBreak/>
        <w:drawing>
          <wp:inline distT="0" distB="0" distL="0" distR="0">
            <wp:extent cx="5943600" cy="7305675"/>
            <wp:effectExtent l="19050" t="0" r="0" b="0"/>
            <wp:docPr id="46" name="Picture 4" descr="Chesapeake-Bay-Map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sapeake-Bay-Map_cropped.jpg"/>
                    <pic:cNvPicPr/>
                  </pic:nvPicPr>
                  <pic:blipFill>
                    <a:blip r:embed="rId12" cstate="print"/>
                    <a:stretch>
                      <a:fillRect/>
                    </a:stretch>
                  </pic:blipFill>
                  <pic:spPr>
                    <a:xfrm>
                      <a:off x="0" y="0"/>
                      <a:ext cx="5943600" cy="7305675"/>
                    </a:xfrm>
                    <a:prstGeom prst="rect">
                      <a:avLst/>
                    </a:prstGeom>
                  </pic:spPr>
                </pic:pic>
              </a:graphicData>
            </a:graphic>
          </wp:inline>
        </w:drawing>
      </w:r>
    </w:p>
    <w:p w:rsidR="00731D7C" w:rsidRPr="00E522C3" w:rsidRDefault="00731D7C" w:rsidP="00731D7C">
      <w:pPr>
        <w:outlineLvl w:val="0"/>
      </w:pPr>
      <w:r>
        <w:rPr>
          <w:b/>
        </w:rPr>
        <w:t>Figure 1-4</w:t>
      </w:r>
      <w:r w:rsidRPr="004C5685">
        <w:rPr>
          <w:b/>
        </w:rPr>
        <w:t xml:space="preserve">. </w:t>
      </w:r>
      <w:r w:rsidRPr="00E522C3">
        <w:t>Th</w:t>
      </w:r>
      <w:r w:rsidR="00AE1C49">
        <w:t xml:space="preserve">e Chesapeake Bay region today. </w:t>
      </w:r>
      <w:r w:rsidRPr="00E522C3">
        <w:t>(Map by Luke Pecoraro, 2012.)</w:t>
      </w:r>
    </w:p>
    <w:p w:rsidR="00731D7C" w:rsidRPr="001C67B6" w:rsidRDefault="00731D7C" w:rsidP="00731D7C">
      <w:pPr>
        <w:spacing w:line="480" w:lineRule="auto"/>
      </w:pPr>
      <w:r w:rsidRPr="001C67B6">
        <w:t xml:space="preserve">  </w:t>
      </w:r>
    </w:p>
    <w:p w:rsidR="00731D7C" w:rsidRDefault="00731D7C" w:rsidP="00731D7C">
      <w:pPr>
        <w:spacing w:line="480" w:lineRule="auto"/>
        <w:ind w:firstLine="720"/>
      </w:pPr>
      <w:r w:rsidRPr="001C67B6">
        <w:lastRenderedPageBreak/>
        <w:t>An in-depth, material culture analysis of Mount Vernon will contribute to our growing database of well-reported and analyzed sites outside of the lower Chesapeake region</w:t>
      </w:r>
      <w:r>
        <w:t xml:space="preserve"> (Figure 1-5)</w:t>
      </w:r>
      <w:r w:rsidR="002A3202">
        <w:t xml:space="preserve">. </w:t>
      </w:r>
      <w:r w:rsidRPr="001C67B6">
        <w:t xml:space="preserve">Much of our understanding of colonial Virginia emanates from sites excavated in the </w:t>
      </w:r>
      <w:r>
        <w:t xml:space="preserve">greater </w:t>
      </w:r>
      <w:r w:rsidR="002A3202">
        <w:t xml:space="preserve">Williamsburg area. </w:t>
      </w:r>
      <w:r w:rsidRPr="001C67B6">
        <w:t>Recently, however, scholars have begun to question the notion that the tidewater region i</w:t>
      </w:r>
      <w:r>
        <w:t>s Virginia (or colonial America</w:t>
      </w:r>
      <w:r w:rsidRPr="001C67B6">
        <w:t xml:space="preserve">, for that matter) </w:t>
      </w:r>
      <w:r w:rsidRPr="001C67B6">
        <w:rPr>
          <w:i/>
        </w:rPr>
        <w:t xml:space="preserve">writ large </w:t>
      </w:r>
      <w:r w:rsidR="002A3202">
        <w:t xml:space="preserve">(Menard 1997; Walsh 1999). </w:t>
      </w:r>
      <w:r w:rsidRPr="001C67B6">
        <w:t>Specifically, scholars have argued that the upper and lower Chesapeake differed in fundamental ways: in agricultural and animal husbandry practices (Walsh et al. 1997</w:t>
      </w:r>
      <w:r>
        <w:t>; Walsh 1999</w:t>
      </w:r>
      <w:r w:rsidRPr="001C67B6">
        <w:t xml:space="preserve">); in the cultural make up of the enslaved populations and, therefore, their material traces (Walsh </w:t>
      </w:r>
      <w:r>
        <w:t xml:space="preserve">1997, </w:t>
      </w:r>
      <w:r w:rsidRPr="001C67B6">
        <w:t>2001</w:t>
      </w:r>
      <w:r>
        <w:t xml:space="preserve">a; </w:t>
      </w:r>
      <w:r w:rsidRPr="001C67B6">
        <w:t>Samford 2007</w:t>
      </w:r>
      <w:r>
        <w:t>; Coombs 2011</w:t>
      </w:r>
      <w:r w:rsidRPr="001C67B6">
        <w:t xml:space="preserve">); and even in foodways </w:t>
      </w:r>
      <w:r w:rsidR="002A3202">
        <w:t xml:space="preserve">practices (Walsh et al. 1997). </w:t>
      </w:r>
      <w:r>
        <w:t>Scholars are also arguing for important differences between the tidewater and piedmont regions (Morgan and Nicholl</w:t>
      </w:r>
      <w:r w:rsidR="002A3202">
        <w:t xml:space="preserve">s 1989; Heath and Breen 2012). </w:t>
      </w:r>
      <w:r w:rsidRPr="001C67B6">
        <w:t xml:space="preserve">With the archaeological and documentary work completed on Mount Vernon, and </w:t>
      </w:r>
      <w:r w:rsidRPr="0010676D">
        <w:t>available for comparison</w:t>
      </w:r>
      <w:r w:rsidRPr="001C67B6">
        <w:t xml:space="preserve"> with sites like</w:t>
      </w:r>
      <w:r w:rsidR="0069405E">
        <w:t xml:space="preserve"> the John Carlyle House (44AX3)</w:t>
      </w:r>
      <w:r w:rsidRPr="001C67B6">
        <w:t xml:space="preserve"> up-river from Mount Vernon in Al</w:t>
      </w:r>
      <w:r>
        <w:t>exandria, Virginia (Fauber 1980;</w:t>
      </w:r>
      <w:r w:rsidRPr="001C67B6">
        <w:t xml:space="preserve"> Kimbel 2010),</w:t>
      </w:r>
      <w:r w:rsidR="0069405E">
        <w:t xml:space="preserve"> Oxon Hill Plantation (18PR175)</w:t>
      </w:r>
      <w:r w:rsidRPr="001C67B6">
        <w:t xml:space="preserve"> across the Potomac River from Alexandria in Prince George’s County, Maryland (Garrow and Wheaton 1986), </w:t>
      </w:r>
      <w:r>
        <w:t xml:space="preserve">and sites in Mount Vernon’s neighborhood including </w:t>
      </w:r>
      <w:r w:rsidRPr="001C67B6">
        <w:t>Potomac Overlook (44FX885)</w:t>
      </w:r>
      <w:r w:rsidRPr="001C7690">
        <w:t xml:space="preserve"> </w:t>
      </w:r>
      <w:r w:rsidRPr="001C67B6">
        <w:t>(Gardner et al. 1996</w:t>
      </w:r>
      <w:r>
        <w:t>; Pecoraro 2012</w:t>
      </w:r>
      <w:r w:rsidRPr="001C67B6">
        <w:t xml:space="preserve">), </w:t>
      </w:r>
      <w:r>
        <w:t>Belvoir (44FX</w:t>
      </w:r>
      <w:r w:rsidRPr="001C7690">
        <w:t>4)</w:t>
      </w:r>
      <w:r>
        <w:t xml:space="preserve"> (Shott 1978), and Lyndham Hills (</w:t>
      </w:r>
      <w:r w:rsidRPr="00F602A6">
        <w:t>44FX223</w:t>
      </w:r>
      <w:r w:rsidRPr="001C7690">
        <w:t>),</w:t>
      </w:r>
      <w:r w:rsidRPr="001C67B6">
        <w:t xml:space="preserve"> </w:t>
      </w:r>
      <w:r>
        <w:t>future research</w:t>
      </w:r>
      <w:r w:rsidRPr="001C67B6">
        <w:t xml:space="preserve"> can begin to address these questions and challenge or support the conclusions previously based on one sub-region alone.</w:t>
      </w:r>
    </w:p>
    <w:p w:rsidR="00731D7C" w:rsidRDefault="000E6E84" w:rsidP="00731D7C">
      <w:r>
        <w:rPr>
          <w:noProof/>
        </w:rPr>
        <w:lastRenderedPageBreak/>
        <w:drawing>
          <wp:inline distT="0" distB="0" distL="0" distR="0">
            <wp:extent cx="5943600" cy="8053070"/>
            <wp:effectExtent l="19050" t="0" r="0" b="0"/>
            <wp:docPr id="48" name="Picture 47" descr="Region Map_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n Map_2013.jpg"/>
                    <pic:cNvPicPr/>
                  </pic:nvPicPr>
                  <pic:blipFill>
                    <a:blip r:embed="rId13" cstate="print"/>
                    <a:stretch>
                      <a:fillRect/>
                    </a:stretch>
                  </pic:blipFill>
                  <pic:spPr>
                    <a:xfrm>
                      <a:off x="0" y="0"/>
                      <a:ext cx="5943600" cy="8053070"/>
                    </a:xfrm>
                    <a:prstGeom prst="rect">
                      <a:avLst/>
                    </a:prstGeom>
                  </pic:spPr>
                </pic:pic>
              </a:graphicData>
            </a:graphic>
          </wp:inline>
        </w:drawing>
      </w:r>
    </w:p>
    <w:p w:rsidR="00731D7C" w:rsidRPr="00E522C3" w:rsidRDefault="00731D7C" w:rsidP="00731D7C">
      <w:pPr>
        <w:outlineLvl w:val="0"/>
      </w:pPr>
      <w:r>
        <w:rPr>
          <w:b/>
        </w:rPr>
        <w:t>Figure 1-5</w:t>
      </w:r>
      <w:r w:rsidRPr="001C7690">
        <w:rPr>
          <w:b/>
        </w:rPr>
        <w:t xml:space="preserve">. </w:t>
      </w:r>
      <w:r w:rsidRPr="00E522C3">
        <w:t>The Upper Chesapeake region today.</w:t>
      </w:r>
      <w:r w:rsidR="00AE1C49">
        <w:t xml:space="preserve"> </w:t>
      </w:r>
      <w:r w:rsidRPr="00E522C3">
        <w:t>(Map by Luke Pecoraro, 2012.)</w:t>
      </w:r>
    </w:p>
    <w:p w:rsidR="00731D7C" w:rsidRPr="00F16B5F" w:rsidRDefault="00731D7C" w:rsidP="00731D7C">
      <w:pPr>
        <w:rPr>
          <w:b/>
        </w:rPr>
      </w:pPr>
    </w:p>
    <w:p w:rsidR="00731D7C" w:rsidRPr="00024F92" w:rsidRDefault="00731D7C" w:rsidP="00731D7C">
      <w:pPr>
        <w:spacing w:line="480" w:lineRule="auto"/>
        <w:outlineLvl w:val="0"/>
        <w:rPr>
          <w:b/>
        </w:rPr>
      </w:pPr>
      <w:r w:rsidRPr="00024F92">
        <w:rPr>
          <w:b/>
        </w:rPr>
        <w:t>Approach and Units of Analysis</w:t>
      </w:r>
    </w:p>
    <w:p w:rsidR="00731D7C" w:rsidRDefault="00731D7C" w:rsidP="00731D7C">
      <w:pPr>
        <w:spacing w:line="480" w:lineRule="auto"/>
        <w:ind w:firstLine="720"/>
      </w:pPr>
      <w:r>
        <w:t>The</w:t>
      </w:r>
      <w:r w:rsidRPr="000B1E50">
        <w:t xml:space="preserve"> material culture approach presented here weave</w:t>
      </w:r>
      <w:r>
        <w:t>s</w:t>
      </w:r>
      <w:r w:rsidRPr="000B1E50">
        <w:t xml:space="preserve"> together multiple strands of the colonial consumer </w:t>
      </w:r>
      <w:r>
        <w:t xml:space="preserve">story </w:t>
      </w:r>
      <w:r w:rsidRPr="000B1E50">
        <w:t>with the burden of evidence continually shifting between archaeology, primary sources</w:t>
      </w:r>
      <w:r w:rsidR="002A3202">
        <w:t xml:space="preserve">, and even museum object data. </w:t>
      </w:r>
      <w:r w:rsidRPr="000B1E50">
        <w:t>A systematic, class-by-class, object analysis</w:t>
      </w:r>
      <w:r>
        <w:t xml:space="preserve"> (Mullins 2004)</w:t>
      </w:r>
      <w:r w:rsidRPr="000B1E50">
        <w:t xml:space="preserve"> lends fresh insight into the nature of the mid-eighteenth century consumer revolution and answers questions about elite and non-elite consumer behavior, material inequality, and the implications of differential access to the colonial social order (Carson 2001).  </w:t>
      </w:r>
    </w:p>
    <w:p w:rsidR="00731D7C" w:rsidRPr="00B0426F" w:rsidRDefault="00731D7C" w:rsidP="00731D7C">
      <w:pPr>
        <w:spacing w:line="480" w:lineRule="auto"/>
        <w:ind w:firstLine="720"/>
      </w:pPr>
      <w:r>
        <w:t>This dissertation advocates a material culture approach that adheres to one of the primary definitions of historical archaeology, that its und</w:t>
      </w:r>
      <w:r w:rsidR="002A3202">
        <w:t xml:space="preserve">ertaking be interdisciplinary. </w:t>
      </w:r>
      <w:r>
        <w:t xml:space="preserve">The conclusions made in this material culture study, then, are the result of triangulating between three points, archaeology, </w:t>
      </w:r>
      <w:r w:rsidR="0069405E">
        <w:t xml:space="preserve">cultural </w:t>
      </w:r>
      <w:r>
        <w:t>anthropology, and history, and three sources, the archaeological record at Mount Vernon, George Washington’s orders and invoices</w:t>
      </w:r>
      <w:r w:rsidR="002A3202">
        <w:t xml:space="preserve">, and local store inventories. </w:t>
      </w:r>
      <w:r>
        <w:t>This study does not compare the strengths and weakness of archaeological versus historical datasets or use archaeology as the lab in which to test the truthfu</w:t>
      </w:r>
      <w:r w:rsidR="002A3202">
        <w:t>lness of the historical record.</w:t>
      </w:r>
      <w:r>
        <w:t xml:space="preserve"> Instead, it understands the relationships of the disciplines and their data as co-depende</w:t>
      </w:r>
      <w:r w:rsidR="002A3202">
        <w:t xml:space="preserve">nt. </w:t>
      </w:r>
      <w:r w:rsidRPr="00B0426F">
        <w:t>It simply views the interdisciplin</w:t>
      </w:r>
      <w:r>
        <w:t>ary contributions of these data</w:t>
      </w:r>
      <w:r w:rsidRPr="00B0426F">
        <w:t>sets as integral to the study of the consumer revolution, while maintaining the archaeological record as the heart of the study from which questions are posed and hypotheses tested.</w:t>
      </w:r>
      <w:r>
        <w:t xml:space="preserve">  </w:t>
      </w:r>
    </w:p>
    <w:p w:rsidR="00731D7C" w:rsidRPr="00083460" w:rsidRDefault="00731D7C" w:rsidP="00731D7C">
      <w:pPr>
        <w:spacing w:line="480" w:lineRule="auto"/>
        <w:ind w:firstLine="720"/>
        <w:contextualSpacing/>
      </w:pPr>
      <w:r w:rsidRPr="00F16B5F">
        <w:rPr>
          <w:i/>
        </w:rPr>
        <w:t>Archaeological Units</w:t>
      </w:r>
      <w:r w:rsidR="002A3202">
        <w:t xml:space="preserve">. </w:t>
      </w:r>
      <w:r w:rsidRPr="008F42ED">
        <w:t xml:space="preserve">George Washington’s Mount Vernon </w:t>
      </w:r>
      <w:r>
        <w:t xml:space="preserve">has been the location of extensive and sustained professional archaeological </w:t>
      </w:r>
      <w:r w:rsidR="002A3202">
        <w:t xml:space="preserve">research since the late 1980s. </w:t>
      </w:r>
      <w:r>
        <w:t>The two most significant sites excavated to date pertaining to the lives of the Washington households and the enslaved individuals owned by these relatives are the South Grove Midden (44FX762/17) and the House for Families slav</w:t>
      </w:r>
      <w:r w:rsidR="002A3202">
        <w:t xml:space="preserve">e quarter (44FX762/40 and 47). </w:t>
      </w:r>
      <w:r>
        <w:t xml:space="preserve">These sites form rich repositories for </w:t>
      </w:r>
      <w:r>
        <w:lastRenderedPageBreak/>
        <w:t>extensive studies of consumer behavior, with the South Grove Midden representing the larger of the two data sets.</w:t>
      </w:r>
    </w:p>
    <w:p w:rsidR="00731D7C" w:rsidRDefault="00731D7C" w:rsidP="00731D7C">
      <w:pPr>
        <w:spacing w:line="480" w:lineRule="auto"/>
        <w:ind w:firstLine="720"/>
      </w:pPr>
      <w:r w:rsidRPr="00B0426F">
        <w:t>Archaeologists at Historic Mount Vernon excavated the South Grove Midden feature between the years of 1990 and 1994 with the help of field school students, volunteers, and staff.</w:t>
      </w:r>
      <w:r>
        <w:t xml:space="preserve">  </w:t>
      </w:r>
      <w:r w:rsidR="007708F7">
        <w:t xml:space="preserve"> </w:t>
      </w:r>
      <w:r w:rsidRPr="00B0426F">
        <w:t>The</w:t>
      </w:r>
      <w:r>
        <w:t xml:space="preserve"> domestic</w:t>
      </w:r>
      <w:r w:rsidRPr="00B0426F">
        <w:t xml:space="preserve"> refuse </w:t>
      </w:r>
      <w:r>
        <w:t xml:space="preserve">(generated from the mansion, kitchen, and dairy) </w:t>
      </w:r>
      <w:r w:rsidRPr="00B0426F">
        <w:t>accumulated in a natural, oval-shaped swale in the original ground surface that measured as wide as 25 feet and a</w:t>
      </w:r>
      <w:r w:rsidR="007708F7">
        <w:t xml:space="preserve">s deep as one and a half feet. </w:t>
      </w:r>
      <w:r>
        <w:t>The site dates from ca. 173</w:t>
      </w:r>
      <w:r w:rsidR="0069405E">
        <w:t>5 through the twentieth century;</w:t>
      </w:r>
      <w:r>
        <w:t xml:space="preserve"> however the area was used most extensively and purposefully as a midden from ca. 1735 to</w:t>
      </w:r>
      <w:r w:rsidRPr="00B0426F">
        <w:t xml:space="preserve"> 1775</w:t>
      </w:r>
      <w:r w:rsidR="007708F7">
        <w:t xml:space="preserve">. </w:t>
      </w:r>
      <w:r w:rsidRPr="00B0426F">
        <w:t>The period to which the archaeological record can most clearly speak reflects the activities</w:t>
      </w:r>
      <w:r>
        <w:t xml:space="preserve"> occurring in the Mount Vernon m</w:t>
      </w:r>
      <w:r w:rsidRPr="00B0426F">
        <w:t>ansion and nearby outbuilding</w:t>
      </w:r>
      <w:r>
        <w:t>s</w:t>
      </w:r>
      <w:r w:rsidRPr="00B0426F">
        <w:t xml:space="preserve"> </w:t>
      </w:r>
      <w:r>
        <w:t xml:space="preserve">as </w:t>
      </w:r>
      <w:r w:rsidRPr="00B0426F">
        <w:t>undertaken by</w:t>
      </w:r>
      <w:r w:rsidR="0069405E">
        <w:t>:</w:t>
      </w:r>
      <w:r w:rsidRPr="00B0426F">
        <w:t xml:space="preserve"> the Lawrence Washington </w:t>
      </w:r>
      <w:r>
        <w:t>household, from ca. 1740 to 1753</w:t>
      </w:r>
      <w:r w:rsidR="0069405E">
        <w:t>;</w:t>
      </w:r>
      <w:r w:rsidRPr="00B0426F">
        <w:t xml:space="preserve"> </w:t>
      </w:r>
      <w:r>
        <w:t>the bachelor George Washington h</w:t>
      </w:r>
      <w:r w:rsidR="0069405E">
        <w:t>ousehold, from ca. 1754 to 1758;</w:t>
      </w:r>
      <w:r>
        <w:t xml:space="preserve"> </w:t>
      </w:r>
      <w:r w:rsidRPr="00B0426F">
        <w:t xml:space="preserve">and the early George </w:t>
      </w:r>
      <w:r>
        <w:t>and Martha Washington household</w:t>
      </w:r>
      <w:r w:rsidRPr="00B0426F">
        <w:t>, from 1759 to 1775</w:t>
      </w:r>
      <w:r w:rsidR="007708F7">
        <w:t xml:space="preserve">. </w:t>
      </w:r>
      <w:r w:rsidR="0069405E">
        <w:t>The later</w:t>
      </w:r>
      <w:r w:rsidRPr="00B0426F">
        <w:t>, better documented period</w:t>
      </w:r>
      <w:r>
        <w:t xml:space="preserve"> of George Washington’s lifetime </w:t>
      </w:r>
      <w:r w:rsidR="0069405E">
        <w:t xml:space="preserve">is poorly represented in the midden </w:t>
      </w:r>
      <w:r>
        <w:t>(Table 1-1)</w:t>
      </w:r>
      <w:r w:rsidRPr="00B0426F">
        <w:t>.</w:t>
      </w:r>
      <w:r w:rsidR="007708F7">
        <w:t xml:space="preserve"> </w:t>
      </w:r>
      <w:r w:rsidRPr="00B0426F">
        <w:t xml:space="preserve">The refuse that accumulated within this deposit </w:t>
      </w:r>
      <w:r>
        <w:t xml:space="preserve">represents </w:t>
      </w:r>
      <w:r w:rsidR="0069405E">
        <w:t xml:space="preserve">aspects of </w:t>
      </w:r>
      <w:r w:rsidRPr="00B0426F">
        <w:t>the daily lives of a broadly defined, typical pre-Revolutionary Virginia plantation household whose members included the white plantation owner’s family and the enslaved men and women who lived and labored in and around the mansion and outbuilding</w:t>
      </w:r>
      <w:r>
        <w:t>s</w:t>
      </w:r>
      <w:r w:rsidRPr="00B0426F">
        <w:t>.</w:t>
      </w:r>
      <w:r>
        <w:t xml:space="preserve"> </w:t>
      </w:r>
      <w:r w:rsidRPr="00B0426F">
        <w:t>Plantation middens like this one represent a kind of spatial and artifactual middle ground between the mansion and the quarter that force us to acknowledge the inherent racial and gendered complexities of plantation</w:t>
      </w:r>
      <w:r>
        <w:t xml:space="preserve"> household compositions and day-to-</w:t>
      </w:r>
      <w:r w:rsidRPr="00B0426F">
        <w:t>day activities (</w:t>
      </w:r>
      <w:r>
        <w:t xml:space="preserve">Yentsch 1994; </w:t>
      </w:r>
      <w:r w:rsidRPr="00B0426F">
        <w:t>Breen 2004).</w:t>
      </w:r>
      <w:r>
        <w:t xml:space="preserve">   </w:t>
      </w:r>
    </w:p>
    <w:p w:rsidR="00731D7C" w:rsidRDefault="00731D7C" w:rsidP="00731D7C">
      <w:pPr>
        <w:spacing w:line="480" w:lineRule="auto"/>
        <w:ind w:firstLine="720"/>
      </w:pPr>
    </w:p>
    <w:p w:rsidR="00731D7C" w:rsidRDefault="00731D7C" w:rsidP="00731D7C">
      <w:pPr>
        <w:rPr>
          <w:b/>
        </w:rPr>
      </w:pPr>
      <w:r>
        <w:rPr>
          <w:b/>
        </w:rPr>
        <w:br w:type="page"/>
      </w:r>
    </w:p>
    <w:p w:rsidR="00731D7C" w:rsidRPr="00096FBD" w:rsidRDefault="00731D7C" w:rsidP="00731D7C">
      <w:pPr>
        <w:spacing w:line="480" w:lineRule="auto"/>
        <w:rPr>
          <w:b/>
        </w:rPr>
      </w:pPr>
      <w:r w:rsidRPr="00083460">
        <w:rPr>
          <w:b/>
        </w:rPr>
        <w:lastRenderedPageBreak/>
        <w:t xml:space="preserve">Table </w:t>
      </w:r>
      <w:r>
        <w:rPr>
          <w:b/>
        </w:rPr>
        <w:t>1-1</w:t>
      </w:r>
      <w:r w:rsidR="00AE1C49">
        <w:rPr>
          <w:b/>
        </w:rPr>
        <w:t>.</w:t>
      </w:r>
      <w:r w:rsidRPr="00083460">
        <w:rPr>
          <w:b/>
        </w:rPr>
        <w:t xml:space="preserve"> </w:t>
      </w:r>
      <w:r w:rsidRPr="00E522C3">
        <w:t>Brief timeline of domestic events occurring at Mount Vernon, ca. 1735-1775.</w:t>
      </w:r>
      <w:r w:rsidRPr="00083460">
        <w:rPr>
          <w:b/>
        </w:rPr>
        <w:t xml:space="preserve"> </w:t>
      </w:r>
    </w:p>
    <w:tbl>
      <w:tblPr>
        <w:tblW w:w="9220" w:type="dxa"/>
        <w:tblInd w:w="93" w:type="dxa"/>
        <w:tblLook w:val="04A0"/>
      </w:tblPr>
      <w:tblGrid>
        <w:gridCol w:w="960"/>
        <w:gridCol w:w="8260"/>
      </w:tblGrid>
      <w:tr w:rsidR="00731D7C" w:rsidRPr="007962AA" w:rsidTr="00E91746">
        <w:trPr>
          <w:trHeight w:val="350"/>
        </w:trPr>
        <w:tc>
          <w:tcPr>
            <w:tcW w:w="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731D7C" w:rsidRPr="007962AA" w:rsidRDefault="00731D7C" w:rsidP="00E91746">
            <w:pPr>
              <w:jc w:val="center"/>
              <w:rPr>
                <w:b/>
                <w:color w:val="000000"/>
                <w:sz w:val="20"/>
              </w:rPr>
            </w:pPr>
            <w:r w:rsidRPr="007962AA">
              <w:rPr>
                <w:b/>
                <w:color w:val="000000"/>
                <w:sz w:val="20"/>
              </w:rPr>
              <w:t>Date</w:t>
            </w:r>
          </w:p>
        </w:tc>
        <w:tc>
          <w:tcPr>
            <w:tcW w:w="826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731D7C" w:rsidRPr="007962AA" w:rsidRDefault="00731D7C" w:rsidP="00E91746">
            <w:pPr>
              <w:jc w:val="center"/>
              <w:rPr>
                <w:b/>
                <w:color w:val="000000"/>
                <w:sz w:val="20"/>
              </w:rPr>
            </w:pPr>
            <w:r w:rsidRPr="007962AA">
              <w:rPr>
                <w:b/>
                <w:color w:val="000000"/>
                <w:sz w:val="20"/>
              </w:rPr>
              <w:t>Event</w:t>
            </w:r>
          </w:p>
        </w:tc>
      </w:tr>
      <w:tr w:rsidR="00731D7C" w:rsidRPr="007962AA" w:rsidTr="00E91746">
        <w:trPr>
          <w:trHeight w:val="510"/>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31D7C" w:rsidRPr="007962AA" w:rsidRDefault="00731D7C" w:rsidP="00E91746">
            <w:pPr>
              <w:jc w:val="right"/>
              <w:rPr>
                <w:color w:val="000000"/>
                <w:sz w:val="20"/>
              </w:rPr>
            </w:pPr>
            <w:r w:rsidRPr="007962AA">
              <w:rPr>
                <w:color w:val="000000"/>
                <w:sz w:val="20"/>
              </w:rPr>
              <w:t>1735</w:t>
            </w:r>
          </w:p>
        </w:tc>
        <w:tc>
          <w:tcPr>
            <w:tcW w:w="8260" w:type="dxa"/>
            <w:tcBorders>
              <w:top w:val="single" w:sz="4" w:space="0" w:color="auto"/>
              <w:left w:val="nil"/>
              <w:bottom w:val="single" w:sz="4" w:space="0" w:color="auto"/>
              <w:right w:val="single" w:sz="4" w:space="0" w:color="auto"/>
            </w:tcBorders>
            <w:shd w:val="clear" w:color="auto" w:fill="auto"/>
            <w:vAlign w:val="bottom"/>
            <w:hideMark/>
          </w:tcPr>
          <w:p w:rsidR="00731D7C" w:rsidRPr="007962AA" w:rsidRDefault="0069405E" w:rsidP="00E91746">
            <w:pPr>
              <w:rPr>
                <w:color w:val="000000"/>
                <w:sz w:val="20"/>
              </w:rPr>
            </w:pPr>
            <w:r>
              <w:rPr>
                <w:color w:val="000000"/>
                <w:sz w:val="20"/>
              </w:rPr>
              <w:t>The original Mount Vernon wa</w:t>
            </w:r>
            <w:r w:rsidR="00731D7C" w:rsidRPr="007962AA">
              <w:rPr>
                <w:color w:val="000000"/>
                <w:sz w:val="20"/>
              </w:rPr>
              <w:t>s constructed and occupied by Augustine Washington, George Washington's father, and his household.</w:t>
            </w:r>
          </w:p>
        </w:tc>
      </w:tr>
      <w:tr w:rsidR="00731D7C" w:rsidRPr="007962AA" w:rsidTr="00E91746">
        <w:trPr>
          <w:trHeight w:val="510"/>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1D7C" w:rsidRPr="007962AA" w:rsidRDefault="00731D7C" w:rsidP="00E91746">
            <w:pPr>
              <w:jc w:val="right"/>
              <w:rPr>
                <w:color w:val="000000"/>
                <w:sz w:val="20"/>
              </w:rPr>
            </w:pPr>
            <w:r w:rsidRPr="007962AA">
              <w:rPr>
                <w:color w:val="000000"/>
                <w:sz w:val="20"/>
              </w:rPr>
              <w:t>1743</w:t>
            </w:r>
          </w:p>
        </w:tc>
        <w:tc>
          <w:tcPr>
            <w:tcW w:w="8260" w:type="dxa"/>
            <w:tcBorders>
              <w:top w:val="nil"/>
              <w:left w:val="nil"/>
              <w:bottom w:val="single" w:sz="4" w:space="0" w:color="auto"/>
              <w:right w:val="single" w:sz="4" w:space="0" w:color="auto"/>
            </w:tcBorders>
            <w:shd w:val="clear" w:color="auto" w:fill="auto"/>
            <w:vAlign w:val="bottom"/>
            <w:hideMark/>
          </w:tcPr>
          <w:p w:rsidR="00731D7C" w:rsidRPr="007962AA" w:rsidRDefault="0069405E" w:rsidP="00E91746">
            <w:pPr>
              <w:rPr>
                <w:color w:val="000000"/>
                <w:sz w:val="20"/>
              </w:rPr>
            </w:pPr>
            <w:r>
              <w:rPr>
                <w:color w:val="000000"/>
                <w:sz w:val="20"/>
              </w:rPr>
              <w:t>Augustine died</w:t>
            </w:r>
            <w:r w:rsidR="00731D7C" w:rsidRPr="007962AA">
              <w:rPr>
                <w:color w:val="000000"/>
                <w:sz w:val="20"/>
              </w:rPr>
              <w:t xml:space="preserve"> and Lawrence, George Washington's elder hal</w:t>
            </w:r>
            <w:r>
              <w:rPr>
                <w:color w:val="000000"/>
                <w:sz w:val="20"/>
              </w:rPr>
              <w:t>f-brother, inherited the plantation and lived</w:t>
            </w:r>
            <w:r w:rsidR="00731D7C" w:rsidRPr="007962AA">
              <w:rPr>
                <w:color w:val="000000"/>
                <w:sz w:val="20"/>
              </w:rPr>
              <w:t xml:space="preserve"> there with his wife, daughter, and dozens of slaves. </w:t>
            </w:r>
          </w:p>
        </w:tc>
      </w:tr>
      <w:tr w:rsidR="00731D7C" w:rsidRPr="007962AA" w:rsidTr="00E91746">
        <w:trPr>
          <w:trHeight w:val="765"/>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1D7C" w:rsidRPr="007962AA" w:rsidRDefault="00731D7C" w:rsidP="00E91746">
            <w:pPr>
              <w:jc w:val="right"/>
              <w:rPr>
                <w:color w:val="000000"/>
                <w:sz w:val="20"/>
              </w:rPr>
            </w:pPr>
            <w:r w:rsidRPr="007962AA">
              <w:rPr>
                <w:color w:val="000000"/>
                <w:sz w:val="20"/>
              </w:rPr>
              <w:t>1752</w:t>
            </w:r>
          </w:p>
        </w:tc>
        <w:tc>
          <w:tcPr>
            <w:tcW w:w="8260" w:type="dxa"/>
            <w:tcBorders>
              <w:top w:val="nil"/>
              <w:left w:val="nil"/>
              <w:bottom w:val="single" w:sz="4" w:space="0" w:color="auto"/>
              <w:right w:val="single" w:sz="4" w:space="0" w:color="auto"/>
            </w:tcBorders>
            <w:shd w:val="clear" w:color="auto" w:fill="auto"/>
            <w:vAlign w:val="bottom"/>
            <w:hideMark/>
          </w:tcPr>
          <w:p w:rsidR="00731D7C" w:rsidRPr="007962AA" w:rsidRDefault="0069405E" w:rsidP="007708F7">
            <w:pPr>
              <w:rPr>
                <w:color w:val="000000"/>
                <w:sz w:val="20"/>
              </w:rPr>
            </w:pPr>
            <w:r>
              <w:rPr>
                <w:color w:val="000000"/>
                <w:sz w:val="20"/>
              </w:rPr>
              <w:t>Lawrence died and George Washington entered</w:t>
            </w:r>
            <w:r w:rsidR="00731D7C" w:rsidRPr="007962AA">
              <w:rPr>
                <w:color w:val="000000"/>
                <w:sz w:val="20"/>
              </w:rPr>
              <w:t xml:space="preserve"> into an agreement with his widow in 1754 to rent the property, household goods, and slaves left with the est</w:t>
            </w:r>
            <w:r w:rsidR="007708F7">
              <w:rPr>
                <w:color w:val="000000"/>
                <w:sz w:val="20"/>
              </w:rPr>
              <w:t xml:space="preserve">ate. </w:t>
            </w:r>
            <w:r>
              <w:rPr>
                <w:color w:val="000000"/>
                <w:sz w:val="20"/>
              </w:rPr>
              <w:t>George Washington inherited</w:t>
            </w:r>
            <w:r w:rsidR="00731D7C" w:rsidRPr="007962AA">
              <w:rPr>
                <w:color w:val="000000"/>
                <w:sz w:val="20"/>
              </w:rPr>
              <w:t xml:space="preserve"> 8 enslaved individuals from Lawrence's estate.</w:t>
            </w:r>
          </w:p>
        </w:tc>
      </w:tr>
      <w:tr w:rsidR="00731D7C" w:rsidRPr="007962AA" w:rsidTr="00E91746">
        <w:trPr>
          <w:trHeight w:val="510"/>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1D7C" w:rsidRPr="007962AA" w:rsidRDefault="00731D7C" w:rsidP="00E91746">
            <w:pPr>
              <w:jc w:val="right"/>
              <w:rPr>
                <w:color w:val="000000"/>
                <w:sz w:val="20"/>
              </w:rPr>
            </w:pPr>
            <w:r w:rsidRPr="007962AA">
              <w:rPr>
                <w:color w:val="000000"/>
                <w:sz w:val="20"/>
              </w:rPr>
              <w:t>1755</w:t>
            </w:r>
          </w:p>
        </w:tc>
        <w:tc>
          <w:tcPr>
            <w:tcW w:w="8260" w:type="dxa"/>
            <w:tcBorders>
              <w:top w:val="nil"/>
              <w:left w:val="nil"/>
              <w:bottom w:val="single" w:sz="4" w:space="0" w:color="auto"/>
              <w:right w:val="single" w:sz="4" w:space="0" w:color="auto"/>
            </w:tcBorders>
            <w:shd w:val="clear" w:color="auto" w:fill="auto"/>
            <w:vAlign w:val="bottom"/>
            <w:hideMark/>
          </w:tcPr>
          <w:p w:rsidR="00731D7C" w:rsidRPr="007962AA" w:rsidRDefault="0069405E" w:rsidP="00E91746">
            <w:pPr>
              <w:rPr>
                <w:color w:val="000000"/>
                <w:sz w:val="20"/>
              </w:rPr>
            </w:pPr>
            <w:r>
              <w:rPr>
                <w:color w:val="000000"/>
                <w:sz w:val="20"/>
              </w:rPr>
              <w:t>Mount Vernon was</w:t>
            </w:r>
            <w:r w:rsidR="00731D7C" w:rsidRPr="007962AA">
              <w:rPr>
                <w:color w:val="000000"/>
                <w:sz w:val="20"/>
              </w:rPr>
              <w:t xml:space="preserve"> left under the management of George Washington's brother, John Augustine, in his absence during the French and Indian War</w:t>
            </w:r>
          </w:p>
        </w:tc>
      </w:tr>
      <w:tr w:rsidR="00731D7C" w:rsidRPr="007962AA" w:rsidTr="00E91746">
        <w:trPr>
          <w:trHeight w:val="765"/>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1D7C" w:rsidRPr="007962AA" w:rsidRDefault="00731D7C" w:rsidP="00E91746">
            <w:pPr>
              <w:jc w:val="right"/>
              <w:rPr>
                <w:color w:val="000000"/>
                <w:sz w:val="20"/>
              </w:rPr>
            </w:pPr>
            <w:r w:rsidRPr="007962AA">
              <w:rPr>
                <w:color w:val="000000"/>
                <w:sz w:val="20"/>
              </w:rPr>
              <w:t>1758</w:t>
            </w:r>
          </w:p>
        </w:tc>
        <w:tc>
          <w:tcPr>
            <w:tcW w:w="8260" w:type="dxa"/>
            <w:tcBorders>
              <w:top w:val="nil"/>
              <w:left w:val="nil"/>
              <w:bottom w:val="single" w:sz="4" w:space="0" w:color="auto"/>
              <w:right w:val="single" w:sz="4" w:space="0" w:color="auto"/>
            </w:tcBorders>
            <w:shd w:val="clear" w:color="auto" w:fill="auto"/>
            <w:vAlign w:val="bottom"/>
            <w:hideMark/>
          </w:tcPr>
          <w:p w:rsidR="00731D7C" w:rsidRPr="007962AA" w:rsidRDefault="0069405E" w:rsidP="00E91746">
            <w:pPr>
              <w:rPr>
                <w:color w:val="000000"/>
                <w:sz w:val="20"/>
              </w:rPr>
            </w:pPr>
            <w:r>
              <w:rPr>
                <w:color w:val="000000"/>
                <w:sz w:val="20"/>
              </w:rPr>
              <w:t>George Washington returned</w:t>
            </w:r>
            <w:r w:rsidR="00731D7C" w:rsidRPr="007962AA">
              <w:rPr>
                <w:color w:val="000000"/>
                <w:sz w:val="20"/>
              </w:rPr>
              <w:t xml:space="preserve"> to Mount Vernon after serving in the war. The ensl</w:t>
            </w:r>
            <w:r>
              <w:rPr>
                <w:color w:val="000000"/>
                <w:sz w:val="20"/>
              </w:rPr>
              <w:t>aved community by this point had</w:t>
            </w:r>
            <w:r w:rsidR="00731D7C" w:rsidRPr="007962AA">
              <w:rPr>
                <w:color w:val="000000"/>
                <w:sz w:val="20"/>
              </w:rPr>
              <w:t xml:space="preserve"> probably increased naturally, but also through the purchases of slaves made by Washington.</w:t>
            </w:r>
          </w:p>
        </w:tc>
      </w:tr>
      <w:tr w:rsidR="00731D7C" w:rsidRPr="007962AA" w:rsidTr="00E91746">
        <w:trPr>
          <w:trHeight w:val="765"/>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1D7C" w:rsidRPr="007962AA" w:rsidRDefault="00731D7C" w:rsidP="00E91746">
            <w:pPr>
              <w:jc w:val="right"/>
              <w:rPr>
                <w:color w:val="000000"/>
                <w:sz w:val="20"/>
              </w:rPr>
            </w:pPr>
            <w:r w:rsidRPr="007962AA">
              <w:rPr>
                <w:color w:val="000000"/>
                <w:sz w:val="20"/>
              </w:rPr>
              <w:t>1759</w:t>
            </w:r>
          </w:p>
        </w:tc>
        <w:tc>
          <w:tcPr>
            <w:tcW w:w="8260" w:type="dxa"/>
            <w:tcBorders>
              <w:top w:val="nil"/>
              <w:left w:val="nil"/>
              <w:bottom w:val="single" w:sz="4" w:space="0" w:color="auto"/>
              <w:right w:val="single" w:sz="4" w:space="0" w:color="auto"/>
            </w:tcBorders>
            <w:shd w:val="clear" w:color="auto" w:fill="auto"/>
            <w:vAlign w:val="bottom"/>
            <w:hideMark/>
          </w:tcPr>
          <w:p w:rsidR="00731D7C" w:rsidRPr="007962AA" w:rsidRDefault="0069405E" w:rsidP="00E91746">
            <w:pPr>
              <w:rPr>
                <w:color w:val="000000"/>
                <w:sz w:val="20"/>
              </w:rPr>
            </w:pPr>
            <w:r>
              <w:rPr>
                <w:color w:val="000000"/>
                <w:sz w:val="20"/>
              </w:rPr>
              <w:t>George Washington married</w:t>
            </w:r>
            <w:r w:rsidR="00731D7C" w:rsidRPr="007962AA">
              <w:rPr>
                <w:color w:val="000000"/>
                <w:sz w:val="20"/>
              </w:rPr>
              <w:t xml:space="preserve"> Martha Dandridge Custis, a wealthy widow from Virgi</w:t>
            </w:r>
            <w:r>
              <w:rPr>
                <w:color w:val="000000"/>
                <w:sz w:val="20"/>
              </w:rPr>
              <w:t>nia's tidewater. Martha moved</w:t>
            </w:r>
            <w:r w:rsidR="00731D7C" w:rsidRPr="007962AA">
              <w:rPr>
                <w:color w:val="000000"/>
                <w:sz w:val="20"/>
              </w:rPr>
              <w:t xml:space="preserve"> to Moun</w:t>
            </w:r>
            <w:r>
              <w:rPr>
                <w:color w:val="000000"/>
                <w:sz w:val="20"/>
              </w:rPr>
              <w:t>t Vernon and with her she brought</w:t>
            </w:r>
            <w:r w:rsidR="00731D7C" w:rsidRPr="007962AA">
              <w:rPr>
                <w:color w:val="000000"/>
                <w:sz w:val="20"/>
              </w:rPr>
              <w:t xml:space="preserve"> some of her dower slaves and inherited household goods. </w:t>
            </w:r>
          </w:p>
        </w:tc>
      </w:tr>
      <w:tr w:rsidR="00731D7C" w:rsidRPr="007962AA" w:rsidTr="00E91746">
        <w:trPr>
          <w:trHeight w:val="1484"/>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731D7C" w:rsidRPr="007962AA" w:rsidRDefault="00731D7C" w:rsidP="00E91746">
            <w:pPr>
              <w:jc w:val="right"/>
              <w:rPr>
                <w:color w:val="000000"/>
                <w:sz w:val="20"/>
              </w:rPr>
            </w:pPr>
            <w:r w:rsidRPr="007962AA">
              <w:rPr>
                <w:color w:val="000000"/>
                <w:sz w:val="20"/>
              </w:rPr>
              <w:t>1775</w:t>
            </w:r>
          </w:p>
        </w:tc>
        <w:tc>
          <w:tcPr>
            <w:tcW w:w="8260" w:type="dxa"/>
            <w:tcBorders>
              <w:top w:val="nil"/>
              <w:left w:val="nil"/>
              <w:bottom w:val="single" w:sz="4" w:space="0" w:color="auto"/>
              <w:right w:val="single" w:sz="4" w:space="0" w:color="auto"/>
            </w:tcBorders>
            <w:shd w:val="clear" w:color="auto" w:fill="auto"/>
            <w:vAlign w:val="bottom"/>
            <w:hideMark/>
          </w:tcPr>
          <w:p w:rsidR="00731D7C" w:rsidRPr="007962AA" w:rsidRDefault="00731D7C" w:rsidP="00E91746">
            <w:pPr>
              <w:rPr>
                <w:color w:val="000000"/>
                <w:sz w:val="20"/>
              </w:rPr>
            </w:pPr>
            <w:r w:rsidRPr="007962AA">
              <w:rPr>
                <w:color w:val="000000"/>
                <w:sz w:val="20"/>
              </w:rPr>
              <w:t xml:space="preserve">Though Lawrence and George Washington had made substantial changes to the house and surrounding landscape previously, the renovation campaign begun by George Washington in the </w:t>
            </w:r>
            <w:r w:rsidR="007708F7">
              <w:rPr>
                <w:color w:val="000000"/>
                <w:sz w:val="20"/>
              </w:rPr>
              <w:t xml:space="preserve">early 1770s was unprecedented. </w:t>
            </w:r>
            <w:r w:rsidRPr="007962AA">
              <w:rPr>
                <w:color w:val="000000"/>
                <w:sz w:val="20"/>
              </w:rPr>
              <w:t>In addition to enlarging the mansion and realigning the outbuildings, Washington had a large brick drain constructed ca. 1775 to direct water run-off from the south s</w:t>
            </w:r>
            <w:r w:rsidR="007708F7">
              <w:rPr>
                <w:color w:val="000000"/>
                <w:sz w:val="20"/>
              </w:rPr>
              <w:t xml:space="preserve">ide of the mansion down slope. </w:t>
            </w:r>
            <w:r w:rsidRPr="007962AA">
              <w:rPr>
                <w:color w:val="000000"/>
                <w:sz w:val="20"/>
              </w:rPr>
              <w:t xml:space="preserve">The architectural feature intrudes the pre-1775 refuse layers and therefore provides a solid </w:t>
            </w:r>
            <w:r w:rsidRPr="007962AA">
              <w:rPr>
                <w:i/>
                <w:color w:val="000000"/>
                <w:sz w:val="20"/>
              </w:rPr>
              <w:t>terminus ante quem</w:t>
            </w:r>
            <w:r w:rsidRPr="007962AA">
              <w:rPr>
                <w:color w:val="000000"/>
                <w:sz w:val="20"/>
              </w:rPr>
              <w:t xml:space="preserve"> for this phase of the midden.</w:t>
            </w:r>
          </w:p>
        </w:tc>
      </w:tr>
    </w:tbl>
    <w:p w:rsidR="00731D7C" w:rsidRDefault="00731D7C" w:rsidP="00731D7C">
      <w:pPr>
        <w:rPr>
          <w:b/>
        </w:rPr>
      </w:pPr>
    </w:p>
    <w:p w:rsidR="00731D7C" w:rsidRDefault="00731D7C" w:rsidP="00731D7C">
      <w:pPr>
        <w:spacing w:line="480" w:lineRule="auto"/>
        <w:ind w:firstLine="720"/>
      </w:pPr>
    </w:p>
    <w:p w:rsidR="00731D7C" w:rsidRDefault="00731D7C" w:rsidP="00731D7C">
      <w:pPr>
        <w:spacing w:line="480" w:lineRule="auto"/>
        <w:ind w:firstLine="720"/>
      </w:pPr>
      <w:r w:rsidRPr="00B0426F">
        <w:t xml:space="preserve">Though finds from the site appeared in </w:t>
      </w:r>
      <w:r w:rsidRPr="00B0426F">
        <w:rPr>
          <w:i/>
        </w:rPr>
        <w:t>The Magazine Antiques</w:t>
      </w:r>
      <w:r w:rsidRPr="00B0426F">
        <w:t xml:space="preserve"> (Pogue et al. 2005), in museum exhibits such as Colonial Williamsburg’s </w:t>
      </w:r>
      <w:r w:rsidRPr="00B0426F">
        <w:rPr>
          <w:i/>
        </w:rPr>
        <w:t>Salt-glazed Stoneware in Early America</w:t>
      </w:r>
      <w:r>
        <w:rPr>
          <w:i/>
        </w:rPr>
        <w:t xml:space="preserve"> </w:t>
      </w:r>
      <w:r>
        <w:t>(Skerry and Hood 2009)</w:t>
      </w:r>
      <w:r w:rsidRPr="00B0426F">
        <w:t xml:space="preserve">, and in </w:t>
      </w:r>
      <w:r>
        <w:t>numerous</w:t>
      </w:r>
      <w:r w:rsidRPr="00B0426F">
        <w:t xml:space="preserve"> theses and dissertations (Madsen 1995; Veech 1998</w:t>
      </w:r>
      <w:r>
        <w:t>; Breen 2003</w:t>
      </w:r>
      <w:r w:rsidRPr="00B0426F">
        <w:t>), the site</w:t>
      </w:r>
      <w:r>
        <w:t xml:space="preserve"> has yet to undergo a complete </w:t>
      </w:r>
      <w:r w:rsidRPr="00B0426F">
        <w:t>analysis and reporting.</w:t>
      </w:r>
      <w:r w:rsidR="007708F7">
        <w:t xml:space="preserve"> </w:t>
      </w:r>
      <w:r>
        <w:t xml:space="preserve">In addition to generating this dissertation, the re-cataloguing and analysis efforts appear in digital format on Mount Vernon’s website, </w:t>
      </w:r>
      <w:r w:rsidRPr="00BC0A9B">
        <w:t>www.mountvernonmidden.org</w:t>
      </w:r>
      <w:r>
        <w:t xml:space="preserve">, and on the Digital Archaeological Archive of Comparative Slavery’s (DAACS) website, www.daacs.org.    </w:t>
      </w:r>
    </w:p>
    <w:p w:rsidR="00731D7C" w:rsidRDefault="00731D7C" w:rsidP="00731D7C">
      <w:pPr>
        <w:spacing w:line="480" w:lineRule="auto"/>
        <w:ind w:firstLine="720"/>
      </w:pPr>
      <w:r w:rsidRPr="005134FF">
        <w:t xml:space="preserve">The second archaeological dataset to be brought to bear on this </w:t>
      </w:r>
      <w:r>
        <w:t>study</w:t>
      </w:r>
      <w:r w:rsidRPr="005134FF">
        <w:t xml:space="preserve"> of comparative consumerism </w:t>
      </w:r>
      <w:r>
        <w:t xml:space="preserve">is the </w:t>
      </w:r>
      <w:r w:rsidRPr="005134FF">
        <w:t>House for Families cellar</w:t>
      </w:r>
      <w:r>
        <w:t>,</w:t>
      </w:r>
      <w:r w:rsidRPr="005134FF">
        <w:t xml:space="preserve"> originally</w:t>
      </w:r>
      <w:r>
        <w:t xml:space="preserve"> bisected</w:t>
      </w:r>
      <w:r w:rsidRPr="005134FF">
        <w:t xml:space="preserve"> </w:t>
      </w:r>
      <w:r>
        <w:t xml:space="preserve">in </w:t>
      </w:r>
      <w:r w:rsidRPr="005134FF">
        <w:t xml:space="preserve">1984 by the Virginia </w:t>
      </w:r>
      <w:r>
        <w:t xml:space="preserve">Division of Historic Landmarks </w:t>
      </w:r>
      <w:r w:rsidRPr="005134FF">
        <w:t>under contract with the M</w:t>
      </w:r>
      <w:r>
        <w:t xml:space="preserve">ount </w:t>
      </w:r>
      <w:r w:rsidRPr="005134FF">
        <w:t>V</w:t>
      </w:r>
      <w:r>
        <w:t xml:space="preserve">ernon </w:t>
      </w:r>
      <w:r w:rsidRPr="005134FF">
        <w:t>L</w:t>
      </w:r>
      <w:r>
        <w:t xml:space="preserve">adies’ </w:t>
      </w:r>
      <w:r w:rsidRPr="005134FF">
        <w:t>A</w:t>
      </w:r>
      <w:r>
        <w:t>ssociation (MVLA) and completed in 19</w:t>
      </w:r>
      <w:r w:rsidRPr="00786A18">
        <w:t>9</w:t>
      </w:r>
      <w:r>
        <w:t>0 by archaeologists on staff with the MVLA</w:t>
      </w:r>
      <w:r w:rsidRPr="00786A18">
        <w:t xml:space="preserve"> (Pogue and White </w:t>
      </w:r>
      <w:r w:rsidR="007708F7">
        <w:lastRenderedPageBreak/>
        <w:t xml:space="preserve">1991). </w:t>
      </w:r>
      <w:r w:rsidRPr="00786A18">
        <w:t>The House for Families onc</w:t>
      </w:r>
      <w:r>
        <w:t>e stood on George Washington’s Mansion House Farm</w:t>
      </w:r>
      <w:r w:rsidRPr="00786A18">
        <w:t xml:space="preserve"> and </w:t>
      </w:r>
      <w:r>
        <w:t>was most likely constructed during Lawrence’s tenure</w:t>
      </w:r>
      <w:r w:rsidR="007708F7">
        <w:t xml:space="preserve">. </w:t>
      </w:r>
      <w:r w:rsidRPr="00786A18">
        <w:t>The large slave dwelling once stood two</w:t>
      </w:r>
      <w:r>
        <w:t xml:space="preserve"> and a half</w:t>
      </w:r>
      <w:r w:rsidRPr="00786A18">
        <w:t xml:space="preserve"> stories high and encompassed approximately 4,000 square feet of space, but was represented</w:t>
      </w:r>
      <w:r>
        <w:t xml:space="preserve"> archaeologically only by </w:t>
      </w:r>
      <w:r w:rsidR="009B458D">
        <w:t xml:space="preserve">a </w:t>
      </w:r>
      <w:r>
        <w:t>small</w:t>
      </w:r>
      <w:r w:rsidRPr="00786A18">
        <w:t xml:space="preserve"> brick-lined cellar that, after 1759, served as a convenient trash receptacle for the qu</w:t>
      </w:r>
      <w:r>
        <w:t>arter’s inhabitants until the building was destroyed in 1793 (Pogue 2001b</w:t>
      </w:r>
      <w:r w:rsidRPr="00786A18">
        <w:t>, 2002).</w:t>
      </w:r>
    </w:p>
    <w:p w:rsidR="00731D7C" w:rsidRPr="00786A18" w:rsidRDefault="00731D7C" w:rsidP="00731D7C">
      <w:pPr>
        <w:spacing w:line="480" w:lineRule="auto"/>
        <w:ind w:firstLine="720"/>
      </w:pPr>
      <w:r w:rsidRPr="00786A18">
        <w:t xml:space="preserve">Excavated nearly thirty years ago, this collection has often been revisited by </w:t>
      </w:r>
      <w:r w:rsidR="007708F7">
        <w:t xml:space="preserve">scholars and the public alike. </w:t>
      </w:r>
      <w:r w:rsidRPr="00786A18">
        <w:t>Most recently, the artifact assembl</w:t>
      </w:r>
      <w:r>
        <w:t>age underwent a large scale re-</w:t>
      </w:r>
      <w:r w:rsidRPr="00786A18">
        <w:t>cataloguing effort on the part of Monticello archaeolo</w:t>
      </w:r>
      <w:r>
        <w:t>gists under the DAACS initiative (DAACS 2011)</w:t>
      </w:r>
      <w:r w:rsidR="007708F7">
        <w:t xml:space="preserve">. </w:t>
      </w:r>
      <w:r w:rsidRPr="00786A18">
        <w:t xml:space="preserve">The site’s </w:t>
      </w:r>
      <w:r>
        <w:t>artifacts</w:t>
      </w:r>
      <w:r w:rsidRPr="00786A18">
        <w:t xml:space="preserve"> have been available to scholars in a searchable database since 2004; however</w:t>
      </w:r>
      <w:r w:rsidR="007F39DC">
        <w:t>,</w:t>
      </w:r>
      <w:r w:rsidRPr="00786A18">
        <w:t xml:space="preserve"> to date,</w:t>
      </w:r>
      <w:r>
        <w:t xml:space="preserve"> new analyses and</w:t>
      </w:r>
      <w:r w:rsidRPr="00786A18">
        <w:t xml:space="preserve"> interpretations </w:t>
      </w:r>
      <w:r>
        <w:t>arising from this initiative about the House for Families are lacking</w:t>
      </w:r>
      <w:r w:rsidR="007708F7">
        <w:t xml:space="preserve">. </w:t>
      </w:r>
      <w:r>
        <w:t xml:space="preserve">The high quality of excavation techniques and recovery methods employed for both the South Grove Midden and the House for Families cellar, their overlap in date range, and their comparability of cataloguing protocols (through DAACS) finally allow archaeologists a complete dataset through which to study consumerism amongst multiple types of households at one plantation.  </w:t>
      </w:r>
      <w:r w:rsidRPr="00786A18">
        <w:t xml:space="preserve">   </w:t>
      </w:r>
      <w:r w:rsidRPr="00786A18">
        <w:rPr>
          <w:i/>
        </w:rPr>
        <w:t xml:space="preserve">  </w:t>
      </w:r>
    </w:p>
    <w:p w:rsidR="00731D7C" w:rsidRDefault="00731D7C" w:rsidP="00731D7C">
      <w:pPr>
        <w:spacing w:line="480" w:lineRule="auto"/>
      </w:pPr>
      <w:r>
        <w:tab/>
      </w:r>
      <w:r w:rsidRPr="008578E6">
        <w:rPr>
          <w:i/>
        </w:rPr>
        <w:t>Documentary Units.</w:t>
      </w:r>
      <w:r>
        <w:rPr>
          <w:i/>
        </w:rPr>
        <w:t xml:space="preserve"> </w:t>
      </w:r>
      <w:r>
        <w:t>Two documentary datasets facilitate this study of comparative consumerism and allow researchers to discern the differences in goods available through consi</w:t>
      </w:r>
      <w:r w:rsidR="007708F7">
        <w:t xml:space="preserve">gnment and at the local store. </w:t>
      </w:r>
      <w:r>
        <w:t xml:space="preserve">The correspondence between George Washington and his English factors, primarily published in the </w:t>
      </w:r>
      <w:r w:rsidRPr="00CD5E70">
        <w:rPr>
          <w:i/>
        </w:rPr>
        <w:t>Papers of George Washington</w:t>
      </w:r>
      <w:r>
        <w:t>, represented an untapped dataset for the stu</w:t>
      </w:r>
      <w:r w:rsidR="007708F7">
        <w:t xml:space="preserve">dy of the consumer revolution. </w:t>
      </w:r>
      <w:r>
        <w:t>Washington consigned his tobacco to a series of factors who served both as tobacco s</w:t>
      </w:r>
      <w:r w:rsidR="007708F7">
        <w:t xml:space="preserve">alesmen and personal shoppers. </w:t>
      </w:r>
      <w:r w:rsidR="0069405E">
        <w:t>T</w:t>
      </w:r>
      <w:r>
        <w:t xml:space="preserve">hese extensive shopping lists created by Washington and the detailed invoices mailed in return with the </w:t>
      </w:r>
      <w:r>
        <w:lastRenderedPageBreak/>
        <w:t>shipment o</w:t>
      </w:r>
      <w:r w:rsidR="007708F7">
        <w:t xml:space="preserve">f goods are ripe for analysis. </w:t>
      </w:r>
      <w:r>
        <w:t xml:space="preserve">By matching the documentation of each individual order for an item placed by Washington with its invoice charge and then cataloguing that information into an Excel row (with columns for date, description, cost, quantity, etc.), a dataset of nearly 4000 entries was compiled spanning the years from 1754 through </w:t>
      </w:r>
      <w:r w:rsidR="007708F7">
        <w:t xml:space="preserve">1775 from 72 unique documents. </w:t>
      </w:r>
      <w:r>
        <w:t>In addition to the ordered and invoiced goods listed in these docume</w:t>
      </w:r>
      <w:r w:rsidR="0069405E">
        <w:t>nts, the entries</w:t>
      </w:r>
      <w:r>
        <w:t xml:space="preserve"> also contain valuable information on the price (financial and otherwise) that individuals like Washington paid for their participation in the consignment system.       </w:t>
      </w:r>
    </w:p>
    <w:p w:rsidR="00731D7C" w:rsidRDefault="00731D7C" w:rsidP="00731D7C">
      <w:pPr>
        <w:spacing w:line="480" w:lineRule="auto"/>
        <w:ind w:firstLine="720"/>
      </w:pPr>
      <w:r>
        <w:t>Store-related documents offer the perfect counterbalance to the orders</w:t>
      </w:r>
      <w:r w:rsidR="007708F7">
        <w:t xml:space="preserve"> and invoices database.</w:t>
      </w:r>
      <w:r>
        <w:t xml:space="preserve"> Just as dynamic, these records provide insights into consumer habits of a</w:t>
      </w:r>
      <w:r w:rsidR="007708F7">
        <w:t xml:space="preserve">ll levels of colonial society. </w:t>
      </w:r>
      <w:r>
        <w:t>John Glassford (1715-1783), the man behind Glassford and Company, owned the most prosperous Scottish trading firm in the Potomac region.  Glassford himself never came to America, but instead sent Scottish agents to act as his merchant representatives at retail outlets in Virginia an</w:t>
      </w:r>
      <w:r w:rsidR="007708F7">
        <w:t xml:space="preserve">d Maryland (Cuddy 2008:61-62). </w:t>
      </w:r>
      <w:r>
        <w:t>Records for these stores or trading posts survive from Baltimore, Bladensburg, Chaptico, Leonardtown, Lower Marlboro, Newport, Nottingham, Piscataway, Port Tobacco, Rock Creek (Georgetown), and Upper Marlboro in Maryland, and</w:t>
      </w:r>
      <w:r w:rsidR="00141A48">
        <w:t xml:space="preserve"> for</w:t>
      </w:r>
      <w:r>
        <w:t xml:space="preserve"> Alexandria, Boyd’s Hole, Cabin Point, Colchester, and Dumfries</w:t>
      </w:r>
      <w:r w:rsidR="00141A48">
        <w:t xml:space="preserve"> in Virginia</w:t>
      </w:r>
      <w:r w:rsidR="007708F7">
        <w:t xml:space="preserve"> (Hackett 2000). </w:t>
      </w:r>
      <w:r>
        <w:t xml:space="preserve">Alexander Henderson, one of Glassford’s merchants, was involved with many of the Virginia stores including </w:t>
      </w:r>
      <w:r w:rsidR="00141A48">
        <w:t>those</w:t>
      </w:r>
      <w:r>
        <w:t xml:space="preserve"> in Dumfries, Colchester, and Alexandria (Cuddy 2008).          </w:t>
      </w:r>
    </w:p>
    <w:p w:rsidR="00731D7C" w:rsidRPr="00140BDB" w:rsidRDefault="00731D7C" w:rsidP="00731D7C">
      <w:pPr>
        <w:spacing w:line="480" w:lineRule="auto"/>
        <w:ind w:firstLine="720"/>
      </w:pPr>
      <w:r>
        <w:t>Though the Glassford store accounts have been referenced in multiple sources (Veech 1998; Crane et al. 1999; Reber 2003;</w:t>
      </w:r>
      <w:r w:rsidRPr="00943884">
        <w:t xml:space="preserve"> </w:t>
      </w:r>
      <w:r>
        <w:t xml:space="preserve">Furgerson et al. 2005; Cuddy 2008) they do not </w:t>
      </w:r>
      <w:r w:rsidR="007708F7">
        <w:t xml:space="preserve">exist in a transcribed format. </w:t>
      </w:r>
      <w:r w:rsidR="00141A48">
        <w:t>C</w:t>
      </w:r>
      <w:r>
        <w:t>urrently available as a transcription, however, are the crucial schemes of goods for the years 1759 to 1765 (Hamrick and Hamrick 1999).</w:t>
      </w:r>
      <w:r w:rsidR="007708F7">
        <w:t xml:space="preserve"> </w:t>
      </w:r>
      <w:r>
        <w:t xml:space="preserve">These records contain detailed information </w:t>
      </w:r>
      <w:r w:rsidR="00141A48">
        <w:t>about</w:t>
      </w:r>
      <w:r>
        <w:t xml:space="preserve"> the items </w:t>
      </w:r>
      <w:r w:rsidR="00141A48">
        <w:t xml:space="preserve">that </w:t>
      </w:r>
      <w:r>
        <w:t xml:space="preserve">merchant Alexander Henderson wished to stock in his </w:t>
      </w:r>
      <w:r>
        <w:lastRenderedPageBreak/>
        <w:t xml:space="preserve">Colchester store every year, the store closest to Mount Vernon in </w:t>
      </w:r>
      <w:r w:rsidR="007708F7">
        <w:t xml:space="preserve">this pre-Revolutionary period. </w:t>
      </w:r>
      <w:r>
        <w:t>The schemes of goods were sent to John Glassford in the late summer or early fall of the preceding year, just as the tobacco crops were being harvested</w:t>
      </w:r>
      <w:r w:rsidR="007708F7">
        <w:t xml:space="preserve"> and brought to town for sale. </w:t>
      </w:r>
      <w:r>
        <w:t>The scheme of goods data was catalogued in Excel in a format similar to the orders and invoices for ease of analy</w:t>
      </w:r>
      <w:r w:rsidR="007708F7">
        <w:t xml:space="preserve">sis. </w:t>
      </w:r>
      <w:r>
        <w:t>Over 2300 entries appear in the orders requested over the course of the 6 years for which records survive, making this the smaller of the two documentary datasets.</w:t>
      </w:r>
    </w:p>
    <w:p w:rsidR="00731D7C" w:rsidRDefault="00731D7C" w:rsidP="00731D7C">
      <w:pPr>
        <w:spacing w:line="480" w:lineRule="auto"/>
        <w:outlineLvl w:val="0"/>
        <w:rPr>
          <w:b/>
        </w:rPr>
      </w:pPr>
      <w:r w:rsidRPr="00024F92">
        <w:rPr>
          <w:b/>
        </w:rPr>
        <w:t>Organization</w:t>
      </w:r>
    </w:p>
    <w:p w:rsidR="00731D7C" w:rsidRDefault="00731D7C" w:rsidP="00731D7C">
      <w:pPr>
        <w:spacing w:line="480" w:lineRule="auto"/>
        <w:ind w:firstLine="720"/>
      </w:pPr>
      <w:r>
        <w:t>Based on this material culture approach and archaeological and documentary units of analysis</w:t>
      </w:r>
      <w:r w:rsidR="00141A48">
        <w:t xml:space="preserve"> outlined here</w:t>
      </w:r>
      <w:r>
        <w:t>, this work i</w:t>
      </w:r>
      <w:r w:rsidR="007708F7">
        <w:t xml:space="preserve">s divided into eight chapters. </w:t>
      </w:r>
      <w:r>
        <w:t xml:space="preserve">Following this introduction, Chapter 2 presents a review of the literature on the intersection between material culture studies and consumerism in the fields of anthropology and </w:t>
      </w:r>
      <w:r w:rsidR="007708F7">
        <w:t xml:space="preserve">archaeology. </w:t>
      </w:r>
      <w:r>
        <w:t>Chapter 3 specifica</w:t>
      </w:r>
      <w:r w:rsidR="00141A48">
        <w:t>lly traces the historiography of</w:t>
      </w:r>
      <w:r>
        <w:t xml:space="preserve"> multi-disciplinary studies of consumerism in the Chesapeake region of V</w:t>
      </w:r>
      <w:r w:rsidR="00141A48">
        <w:t>irginia and the many theories about</w:t>
      </w:r>
      <w:r>
        <w:t xml:space="preserve"> what motivated elite and non-elite consumers to participate in the consumer revolut</w:t>
      </w:r>
      <w:r w:rsidR="007708F7">
        <w:t xml:space="preserve">ion. </w:t>
      </w:r>
      <w:r>
        <w:t xml:space="preserve">Subsequently, the historical contours of the development of the eighteenth-century consumer economy are explored setting the stage for a study </w:t>
      </w:r>
      <w:r w:rsidR="007708F7">
        <w:t xml:space="preserve">of avenues of access to goods. </w:t>
      </w:r>
      <w:r>
        <w:t xml:space="preserve">Chapter 4 focuses on the development of the upper Chesapeake region of Virginia before the outbreak of the Revolutionary War and then </w:t>
      </w:r>
      <w:r w:rsidR="00141A48">
        <w:t>focuses</w:t>
      </w:r>
      <w:r>
        <w:t xml:space="preserve"> its lens on Mount Vernon, detailing the generations of Washington households living on the neck of land on the Potomac River, the landscape and architectural changes made by these Washington colonists, and the enslaved communities beginning to make lives for themselves</w:t>
      </w:r>
      <w:r w:rsidR="007708F7">
        <w:t xml:space="preserve"> within the bounds of slavery. </w:t>
      </w:r>
      <w:r>
        <w:t xml:space="preserve">The analysis of relevant data on consumerism begins in Chapter 5 with George Washington’s </w:t>
      </w:r>
      <w:r w:rsidR="007708F7">
        <w:t xml:space="preserve">invoices and orders for goods. </w:t>
      </w:r>
      <w:r>
        <w:t xml:space="preserve">The chapter outlines the trends in Washington’s consumer behavior and assesses the viability of the consignment system to elite planters from a </w:t>
      </w:r>
      <w:r w:rsidR="007708F7">
        <w:lastRenderedPageBreak/>
        <w:t xml:space="preserve">variety of angles. </w:t>
      </w:r>
      <w:r>
        <w:t xml:space="preserve">Chapter 6 is devoted to analyzing the types of goods stocked in the store of Colchester, Virginia and comparing </w:t>
      </w:r>
      <w:r w:rsidR="00141A48">
        <w:t>the</w:t>
      </w:r>
      <w:r>
        <w:t xml:space="preserve"> availability of goods through consignment and at the local store</w:t>
      </w:r>
      <w:r w:rsidR="00141A48">
        <w:t xml:space="preserve"> on a macro-scale</w:t>
      </w:r>
      <w:r w:rsidR="007708F7">
        <w:t xml:space="preserve">. </w:t>
      </w:r>
      <w:r>
        <w:t xml:space="preserve">Chapter 7 develops the material culture approach by systematically </w:t>
      </w:r>
      <w:r w:rsidRPr="007708F7">
        <w:t>studying 21 artifact groupings</w:t>
      </w:r>
      <w:r>
        <w:t xml:space="preserve"> excavated from the South Grove Midden and House for Families slave quarter cellar to assess whether </w:t>
      </w:r>
      <w:r w:rsidRPr="000B1E50">
        <w:t>different goods or different types of goods were available through consignment vers</w:t>
      </w:r>
      <w:r>
        <w:t>u</w:t>
      </w:r>
      <w:r w:rsidRPr="000B1E50">
        <w:t xml:space="preserve">s </w:t>
      </w:r>
      <w:r w:rsidR="00141A48">
        <w:t xml:space="preserve">purchase </w:t>
      </w:r>
      <w:r w:rsidRPr="000B1E50">
        <w:t>at a</w:t>
      </w:r>
      <w:r>
        <w:t xml:space="preserve"> local store</w:t>
      </w:r>
      <w:r w:rsidR="00141A48">
        <w:t>,</w:t>
      </w:r>
      <w:r>
        <w:t xml:space="preserve"> and how these differences</w:t>
      </w:r>
      <w:r w:rsidR="00141A48">
        <w:t>, if present,</w:t>
      </w:r>
      <w:r>
        <w:t xml:space="preserve"> might b</w:t>
      </w:r>
      <w:r w:rsidR="007708F7">
        <w:t xml:space="preserve">e teased out archaeologically. </w:t>
      </w:r>
      <w:r>
        <w:t xml:space="preserve">The chapter concludes with a discussion of potential </w:t>
      </w:r>
      <w:r w:rsidRPr="000B1E50">
        <w:t>consumer motivation</w:t>
      </w:r>
      <w:r>
        <w:t>s, which is expanded up</w:t>
      </w:r>
      <w:r w:rsidR="00141A48">
        <w:t>on</w:t>
      </w:r>
      <w:r>
        <w:t xml:space="preserve"> in the </w:t>
      </w:r>
      <w:r w:rsidRPr="0004694D">
        <w:t>concluding</w:t>
      </w:r>
      <w:r>
        <w:t xml:space="preserve"> </w:t>
      </w:r>
      <w:r w:rsidRPr="0004694D">
        <w:t>Chapter 8.</w:t>
      </w:r>
    </w:p>
    <w:p w:rsidR="00731D7C" w:rsidRPr="003E1C13" w:rsidRDefault="00731D7C" w:rsidP="00731D7C">
      <w:pPr>
        <w:spacing w:line="480" w:lineRule="auto"/>
        <w:rPr>
          <w:b/>
        </w:rPr>
      </w:pPr>
      <w:r w:rsidRPr="003E1C13">
        <w:rPr>
          <w:b/>
        </w:rPr>
        <w:t xml:space="preserve">    </w:t>
      </w:r>
    </w:p>
    <w:p w:rsidR="00731D7C" w:rsidRDefault="00731D7C" w:rsidP="00731D7C">
      <w:pPr>
        <w:spacing w:line="480" w:lineRule="auto"/>
        <w:ind w:firstLine="720"/>
      </w:pPr>
    </w:p>
    <w:p w:rsidR="00731D7C" w:rsidRDefault="00731D7C" w:rsidP="00731D7C">
      <w:r>
        <w:br w:type="page"/>
      </w:r>
    </w:p>
    <w:p w:rsidR="00731D7C" w:rsidRDefault="00731D7C" w:rsidP="00BE6873">
      <w:pPr>
        <w:spacing w:line="480" w:lineRule="auto"/>
        <w:jc w:val="center"/>
        <w:rPr>
          <w:b/>
        </w:rPr>
      </w:pPr>
      <w:r>
        <w:rPr>
          <w:b/>
        </w:rPr>
        <w:lastRenderedPageBreak/>
        <w:t>Chapter 2</w:t>
      </w:r>
      <w:r w:rsidRPr="00924CF9">
        <w:rPr>
          <w:b/>
        </w:rPr>
        <w:t>: Material Culture Studies and Consumerism</w:t>
      </w:r>
    </w:p>
    <w:p w:rsidR="00731D7C" w:rsidRDefault="00731D7C" w:rsidP="00731D7C">
      <w:pPr>
        <w:spacing w:line="480" w:lineRule="auto"/>
        <w:ind w:firstLine="720"/>
        <w:rPr>
          <w:rFonts w:eastAsia="Calibri"/>
        </w:rPr>
      </w:pPr>
      <w:r>
        <w:rPr>
          <w:rFonts w:eastAsia="Calibri"/>
        </w:rPr>
        <w:t xml:space="preserve">Consumerism </w:t>
      </w:r>
      <w:r w:rsidR="00E4603B">
        <w:rPr>
          <w:rFonts w:eastAsia="Calibri"/>
        </w:rPr>
        <w:t xml:space="preserve">has been defined </w:t>
      </w:r>
      <w:r>
        <w:rPr>
          <w:rFonts w:eastAsia="Calibri"/>
        </w:rPr>
        <w:t xml:space="preserve">as “the cultural relationship between humans and consumer goods and services” that is dependent upon historical </w:t>
      </w:r>
      <w:r w:rsidR="00AE1C49">
        <w:rPr>
          <w:rFonts w:eastAsia="Calibri"/>
        </w:rPr>
        <w:t xml:space="preserve">circumstance (Martin 1993:17). </w:t>
      </w:r>
      <w:r>
        <w:rPr>
          <w:rFonts w:eastAsia="Calibri"/>
        </w:rPr>
        <w:t>Consumption, then, is the process through which goods move through society from their creation to their use to their discard and, in some</w:t>
      </w:r>
      <w:r w:rsidR="00AE1C49">
        <w:rPr>
          <w:rFonts w:eastAsia="Calibri"/>
        </w:rPr>
        <w:t xml:space="preserve"> cases, to their resurrection. </w:t>
      </w:r>
      <w:r>
        <w:rPr>
          <w:rFonts w:eastAsia="Calibri"/>
        </w:rPr>
        <w:t>At each stage, items of material culture are imbued with situational meanings which in turn have the power to transfor</w:t>
      </w:r>
      <w:r w:rsidR="00AE1C49">
        <w:rPr>
          <w:rFonts w:eastAsia="Calibri"/>
        </w:rPr>
        <w:t xml:space="preserve">m their users and observers. </w:t>
      </w:r>
      <w:r>
        <w:rPr>
          <w:rFonts w:eastAsia="Calibri"/>
        </w:rPr>
        <w:t>Michael Nassaney (in Mullins 2011</w:t>
      </w:r>
      <w:r w:rsidR="00281F36">
        <w:rPr>
          <w:rFonts w:eastAsia="Calibri"/>
        </w:rPr>
        <w:t>:x) states</w:t>
      </w:r>
      <w:r>
        <w:rPr>
          <w:rFonts w:eastAsia="Calibri"/>
        </w:rPr>
        <w:t xml:space="preserve">, though it might be cliché, </w:t>
      </w:r>
      <w:r w:rsidR="00A80C31">
        <w:rPr>
          <w:rFonts w:eastAsia="Calibri"/>
        </w:rPr>
        <w:t xml:space="preserve">that </w:t>
      </w:r>
      <w:r>
        <w:rPr>
          <w:rFonts w:eastAsia="Calibri"/>
        </w:rPr>
        <w:t>“all historical archaeology is the archaeology of consumer culture.”  Paul Mullins’ (2004:197) definition of cons</w:t>
      </w:r>
      <w:r w:rsidR="00AE1C49">
        <w:rPr>
          <w:rFonts w:eastAsia="Calibri"/>
        </w:rPr>
        <w:t xml:space="preserve">umerism is much more targeted. </w:t>
      </w:r>
      <w:r>
        <w:rPr>
          <w:rFonts w:eastAsia="Calibri"/>
        </w:rPr>
        <w:t xml:space="preserve">He writes that “an archaeology of consumption should represent a complex range of politicized consumption patterns that variously reproduce, negotiate, and resist dominant ideology and structural inequalities” to ultimately better illuminate modern capitalist </w:t>
      </w:r>
      <w:r w:rsidR="00AE1C49">
        <w:rPr>
          <w:rFonts w:eastAsia="Calibri"/>
        </w:rPr>
        <w:t xml:space="preserve">conditions. </w:t>
      </w:r>
      <w:r>
        <w:rPr>
          <w:rFonts w:eastAsia="Calibri"/>
        </w:rPr>
        <w:t>More recently, Majewski and Schiffer (2009:192) define consumerism as “the complex of technologies, organizations, and ideologies that facilitate the mass production, mass distribution, a</w:t>
      </w:r>
      <w:r w:rsidR="00AE1C49">
        <w:rPr>
          <w:rFonts w:eastAsia="Calibri"/>
        </w:rPr>
        <w:t xml:space="preserve">nd mass consumption of goods.” </w:t>
      </w:r>
      <w:r>
        <w:rPr>
          <w:rFonts w:eastAsia="Calibri"/>
        </w:rPr>
        <w:t>Further, they argue that within the academic arena of modern material culture studies, co</w:t>
      </w:r>
      <w:r w:rsidR="00AE1C49">
        <w:rPr>
          <w:rFonts w:eastAsia="Calibri"/>
        </w:rPr>
        <w:t xml:space="preserve">nsumerism should be the focus. </w:t>
      </w:r>
      <w:r>
        <w:rPr>
          <w:rFonts w:eastAsia="Calibri"/>
        </w:rPr>
        <w:t>To that end, they offer a new phrase, consumerist archaeology, whose goal is “to explain through comparative studies, the differences and similarities in consumer societies and in the</w:t>
      </w:r>
      <w:r w:rsidR="00AE1C49">
        <w:rPr>
          <w:rFonts w:eastAsia="Calibri"/>
        </w:rPr>
        <w:t>ir developmental trajectories.”</w:t>
      </w:r>
      <w:r>
        <w:rPr>
          <w:rFonts w:eastAsia="Calibri"/>
        </w:rPr>
        <w:t xml:space="preserve"> A consumerist archaeology, therefore, would be free of temporal boundaries and inclusive of all theoretical approaches and paradigms.        </w:t>
      </w:r>
    </w:p>
    <w:p w:rsidR="00731D7C" w:rsidRPr="00780828" w:rsidRDefault="00731D7C" w:rsidP="00731D7C">
      <w:pPr>
        <w:spacing w:line="480" w:lineRule="auto"/>
        <w:rPr>
          <w:b/>
        </w:rPr>
      </w:pPr>
      <w:r w:rsidRPr="00780828">
        <w:rPr>
          <w:b/>
        </w:rPr>
        <w:t>The Changing Lands</w:t>
      </w:r>
      <w:r>
        <w:rPr>
          <w:b/>
        </w:rPr>
        <w:t>cape of Material Culture Theory</w:t>
      </w:r>
      <w:r w:rsidRPr="00780828">
        <w:rPr>
          <w:b/>
        </w:rPr>
        <w:t xml:space="preserve">  </w:t>
      </w:r>
    </w:p>
    <w:p w:rsidR="00731D7C" w:rsidRDefault="00731D7C" w:rsidP="00731D7C">
      <w:pPr>
        <w:spacing w:line="480" w:lineRule="auto"/>
        <w:ind w:firstLine="720"/>
        <w:rPr>
          <w:rFonts w:eastAsia="Calibri"/>
        </w:rPr>
      </w:pPr>
      <w:r>
        <w:rPr>
          <w:rFonts w:eastAsia="Calibri"/>
        </w:rPr>
        <w:t xml:space="preserve">Consumerism is part of the larger academic pursuit of material culture research originally pioneered by anthropologists and archaeologists </w:t>
      </w:r>
      <w:r w:rsidR="00AE1C49">
        <w:rPr>
          <w:rFonts w:eastAsia="Calibri"/>
        </w:rPr>
        <w:t xml:space="preserve">(Schlereth 1985; Martin 1993). </w:t>
      </w:r>
      <w:r>
        <w:rPr>
          <w:rFonts w:eastAsia="Calibri"/>
        </w:rPr>
        <w:t xml:space="preserve">Schlereth’s (1985) definition of material culture sought to disassociate terms like “artifacts” and “objects” </w:t>
      </w:r>
      <w:r>
        <w:rPr>
          <w:rFonts w:eastAsia="Calibri"/>
        </w:rPr>
        <w:lastRenderedPageBreak/>
        <w:t>from the broader c</w:t>
      </w:r>
      <w:r w:rsidR="00AE1C49">
        <w:rPr>
          <w:rFonts w:eastAsia="Calibri"/>
        </w:rPr>
        <w:t xml:space="preserve">ategory of “material culture.” </w:t>
      </w:r>
      <w:r>
        <w:rPr>
          <w:rFonts w:eastAsia="Calibri"/>
        </w:rPr>
        <w:t>Material culture studies, unlike the study of individual artifacts or artifact assemblages, seek to understand the relationship between objects and cult</w:t>
      </w:r>
      <w:r w:rsidR="00AE1C49">
        <w:rPr>
          <w:rFonts w:eastAsia="Calibri"/>
        </w:rPr>
        <w:t xml:space="preserve">urally-defined human behavior. </w:t>
      </w:r>
      <w:r>
        <w:rPr>
          <w:rFonts w:eastAsia="Calibri"/>
        </w:rPr>
        <w:t>Schlereth (1985:3) writes, “…the phrase continually presses the researcher to consider the complex interactions that take place betwe</w:t>
      </w:r>
      <w:r w:rsidR="00AE1C49">
        <w:rPr>
          <w:rFonts w:eastAsia="Calibri"/>
        </w:rPr>
        <w:t xml:space="preserve">en creators and their culture. </w:t>
      </w:r>
      <w:r>
        <w:rPr>
          <w:rFonts w:eastAsia="Calibri"/>
        </w:rPr>
        <w:t xml:space="preserve">In other words, the assumption is that there is always a culture </w:t>
      </w:r>
      <w:r w:rsidR="007F39DC">
        <w:rPr>
          <w:rFonts w:eastAsia="Calibri"/>
        </w:rPr>
        <w:t>constituted through</w:t>
      </w:r>
      <w:r>
        <w:rPr>
          <w:rFonts w:eastAsia="Calibri"/>
        </w:rPr>
        <w:t xml:space="preserve"> the mate</w:t>
      </w:r>
      <w:r w:rsidR="00AE1C49">
        <w:rPr>
          <w:rFonts w:eastAsia="Calibri"/>
        </w:rPr>
        <w:t>rial.”</w:t>
      </w:r>
      <w:r>
        <w:rPr>
          <w:rFonts w:eastAsia="Calibri"/>
        </w:rPr>
        <w:t xml:space="preserve"> Prown (1996:21) defines material culture as “the study of material, raw or processed, transformed by human actio</w:t>
      </w:r>
      <w:r w:rsidR="00AE1C49">
        <w:rPr>
          <w:rFonts w:eastAsia="Calibri"/>
        </w:rPr>
        <w:t xml:space="preserve">n as expressions of culture.”  </w:t>
      </w:r>
      <w:r>
        <w:rPr>
          <w:rFonts w:eastAsia="Calibri"/>
        </w:rPr>
        <w:t>More specifically, Mullins (2011:3) contends “that material culture reflects and shapes people’s definit</w:t>
      </w:r>
      <w:r w:rsidR="00AE1C49">
        <w:rPr>
          <w:rFonts w:eastAsia="Calibri"/>
        </w:rPr>
        <w:t>ions of self and collectivity.”</w:t>
      </w:r>
      <w:r>
        <w:rPr>
          <w:rFonts w:eastAsia="Calibri"/>
        </w:rPr>
        <w:t xml:space="preserve"> Further, he believes that historical archaeologists are uniquely situated to study material culture because of our tight control on context and our broad view of the full spectrum of what constitutes the material world – from the mundane and prosaic, to the elabo</w:t>
      </w:r>
      <w:r w:rsidR="00AE1C49">
        <w:rPr>
          <w:rFonts w:eastAsia="Calibri"/>
        </w:rPr>
        <w:t xml:space="preserve">rate, ceremonial, or artistic. </w:t>
      </w:r>
      <w:r>
        <w:rPr>
          <w:rFonts w:eastAsia="Calibri"/>
        </w:rPr>
        <w:t>Mullins (2011:174-175) does admit that a historical archaeological study of “material culture is not an utterly objective window into consumption and everyday material life, but alongside historical data and oral testimony, archaeology can provide an exceptional picture of consumer life in the colo</w:t>
      </w:r>
      <w:r w:rsidR="00AE1C49">
        <w:rPr>
          <w:rFonts w:eastAsia="Calibri"/>
        </w:rPr>
        <w:t xml:space="preserve">nial and postcolonial worlds.” </w:t>
      </w:r>
      <w:r>
        <w:rPr>
          <w:rFonts w:eastAsia="Calibri"/>
        </w:rPr>
        <w:t>Beaudry et al. (1991:153) similarly feel that, “Material culture is viewed as a medium of communication and expression that can condition and at times control social action” and that historical archaeologists must recognize their activ</w:t>
      </w:r>
      <w:r w:rsidR="00AE1C49">
        <w:rPr>
          <w:rFonts w:eastAsia="Calibri"/>
        </w:rPr>
        <w:t>e roles in our historical past.</w:t>
      </w:r>
      <w:r>
        <w:rPr>
          <w:rFonts w:eastAsia="Calibri"/>
        </w:rPr>
        <w:t xml:space="preserve"> James Deetz’ (1977:35) definition reads, “the vast universe of objects used by human-kind to cope with the physical world, to facilitate social intercourse, and </w:t>
      </w:r>
      <w:r w:rsidR="00AE1C49">
        <w:rPr>
          <w:rFonts w:eastAsia="Calibri"/>
        </w:rPr>
        <w:t xml:space="preserve">to benefit our state of mind.” </w:t>
      </w:r>
      <w:r>
        <w:rPr>
          <w:rFonts w:eastAsia="Calibri"/>
        </w:rPr>
        <w:t xml:space="preserve">He then broadens this definition to include not only artifacts, but </w:t>
      </w:r>
      <w:r w:rsidR="007F39DC">
        <w:rPr>
          <w:rFonts w:eastAsia="Calibri"/>
        </w:rPr>
        <w:t xml:space="preserve">also </w:t>
      </w:r>
      <w:r>
        <w:rPr>
          <w:rFonts w:eastAsia="Calibri"/>
        </w:rPr>
        <w:t>“that sector of the physical environment that we modify through culturally determined b</w:t>
      </w:r>
      <w:r w:rsidR="00AE1C49">
        <w:rPr>
          <w:rFonts w:eastAsia="Calibri"/>
        </w:rPr>
        <w:t>ehavior.”</w:t>
      </w:r>
      <w:r>
        <w:rPr>
          <w:rFonts w:eastAsia="Calibri"/>
        </w:rPr>
        <w:t xml:space="preserve"> This definition encourages archaeologists to consider not only individual </w:t>
      </w:r>
      <w:r>
        <w:rPr>
          <w:rFonts w:eastAsia="Calibri"/>
        </w:rPr>
        <w:lastRenderedPageBreak/>
        <w:t xml:space="preserve">artifacts, but also architectural remains, landscapes and yardscapes, and even kinesics and proxemics.  </w:t>
      </w:r>
    </w:p>
    <w:p w:rsidR="00731D7C" w:rsidRDefault="00731D7C" w:rsidP="00731D7C">
      <w:pPr>
        <w:spacing w:line="480" w:lineRule="auto"/>
        <w:ind w:firstLine="720"/>
        <w:rPr>
          <w:rFonts w:eastAsia="Calibri"/>
        </w:rPr>
      </w:pPr>
      <w:r>
        <w:rPr>
          <w:rFonts w:eastAsia="Calibri"/>
        </w:rPr>
        <w:t>Material culture, then, is the bread and butter of historical arch</w:t>
      </w:r>
      <w:r w:rsidR="00AE1C49">
        <w:rPr>
          <w:rFonts w:eastAsia="Calibri"/>
        </w:rPr>
        <w:t>aeology.</w:t>
      </w:r>
      <w:r>
        <w:rPr>
          <w:rFonts w:eastAsia="Calibri"/>
        </w:rPr>
        <w:t xml:space="preserve"> Material remains ar</w:t>
      </w:r>
      <w:r w:rsidR="00AE1C49">
        <w:rPr>
          <w:rFonts w:eastAsia="Calibri"/>
        </w:rPr>
        <w:t xml:space="preserve">e the stock in which we trade. </w:t>
      </w:r>
      <w:r>
        <w:rPr>
          <w:rFonts w:eastAsia="Calibri"/>
        </w:rPr>
        <w:t>Therefore, understanding the contours of modern consumption practices – how the use and discard of goods changed over time and the context in which goods gave and were given meaning – is of crucial importanc</w:t>
      </w:r>
      <w:r w:rsidR="00AE1C49">
        <w:rPr>
          <w:rFonts w:eastAsia="Calibri"/>
        </w:rPr>
        <w:t>e to historical archaeologists.</w:t>
      </w:r>
      <w:r>
        <w:rPr>
          <w:rFonts w:eastAsia="Calibri"/>
        </w:rPr>
        <w:t xml:space="preserve"> Table 2-1 lists highlights in the historiography of material culture studies from the ni</w:t>
      </w:r>
      <w:r w:rsidR="00AE1C49">
        <w:rPr>
          <w:rFonts w:eastAsia="Calibri"/>
        </w:rPr>
        <w:t>neteenth century through today.</w:t>
      </w:r>
      <w:r>
        <w:rPr>
          <w:rFonts w:eastAsia="Calibri"/>
        </w:rPr>
        <w:t xml:space="preserve"> What becomes overwhelmingly clear from this timeline is the interdisciplinary appeal of material culture as a way to illuminate the past and simultan</w:t>
      </w:r>
      <w:r w:rsidR="00AE1C49">
        <w:rPr>
          <w:rFonts w:eastAsia="Calibri"/>
        </w:rPr>
        <w:t xml:space="preserve">eously comment on the present. </w:t>
      </w:r>
      <w:r>
        <w:rPr>
          <w:rFonts w:eastAsia="Calibri"/>
        </w:rPr>
        <w:t>Scholars on this timeline are or were Marxists, structuralists, processualists, evolutionary theorists, and post-modernists from the fields of economics, archaeology, art history architectural history, cultural anthrop</w:t>
      </w:r>
      <w:r w:rsidR="00AE1C49">
        <w:rPr>
          <w:rFonts w:eastAsia="Calibri"/>
        </w:rPr>
        <w:t xml:space="preserve">ology, history, and sociology. </w:t>
      </w:r>
      <w:r>
        <w:rPr>
          <w:rFonts w:eastAsia="Calibri"/>
        </w:rPr>
        <w:t xml:space="preserve">Additionally, whereas the study of consumer goods and their link to culture was recognized as early as the nineteenth century, our current understanding of goods as active participants in cultural continuity and creation was not realized until the 1970s.  </w:t>
      </w:r>
    </w:p>
    <w:p w:rsidR="00731D7C" w:rsidRDefault="00731D7C" w:rsidP="00731D7C">
      <w:pPr>
        <w:rPr>
          <w:rFonts w:eastAsia="Calibri"/>
          <w:b/>
        </w:rPr>
      </w:pPr>
      <w:r>
        <w:rPr>
          <w:rFonts w:eastAsia="Calibri"/>
          <w:b/>
        </w:rPr>
        <w:br w:type="page"/>
      </w:r>
    </w:p>
    <w:p w:rsidR="00731D7C" w:rsidRPr="00ED5C0E" w:rsidRDefault="00731D7C" w:rsidP="00731D7C">
      <w:pPr>
        <w:rPr>
          <w:rFonts w:eastAsia="Calibri"/>
        </w:rPr>
      </w:pPr>
      <w:r w:rsidRPr="00282EC8">
        <w:rPr>
          <w:rFonts w:eastAsia="Calibri"/>
          <w:b/>
        </w:rPr>
        <w:lastRenderedPageBreak/>
        <w:t xml:space="preserve">Table 2-1. </w:t>
      </w:r>
      <w:r>
        <w:rPr>
          <w:rFonts w:eastAsia="Calibri"/>
        </w:rPr>
        <w:t>Moments in material culture h</w:t>
      </w:r>
      <w:r w:rsidRPr="00ED5C0E">
        <w:rPr>
          <w:rFonts w:eastAsia="Calibri"/>
        </w:rPr>
        <w:t>istory through 2011.</w:t>
      </w:r>
    </w:p>
    <w:p w:rsidR="00731D7C" w:rsidRDefault="00731D7C" w:rsidP="00731D7C"/>
    <w:tbl>
      <w:tblPr>
        <w:tblW w:w="9015" w:type="dxa"/>
        <w:tblInd w:w="93" w:type="dxa"/>
        <w:tblLook w:val="0000"/>
      </w:tblPr>
      <w:tblGrid>
        <w:gridCol w:w="1956"/>
        <w:gridCol w:w="7059"/>
      </w:tblGrid>
      <w:tr w:rsidR="00731D7C" w:rsidRPr="00DA2B65" w:rsidTr="00E91746">
        <w:trPr>
          <w:trHeight w:val="345"/>
        </w:trPr>
        <w:tc>
          <w:tcPr>
            <w:tcW w:w="195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731D7C" w:rsidRPr="00DA2B65" w:rsidRDefault="00731D7C" w:rsidP="00E91746">
            <w:pPr>
              <w:jc w:val="center"/>
              <w:rPr>
                <w:rFonts w:eastAsia="Calibri"/>
                <w:b/>
                <w:sz w:val="20"/>
              </w:rPr>
            </w:pPr>
            <w:r w:rsidRPr="00DA2B65">
              <w:rPr>
                <w:rFonts w:eastAsia="Calibri"/>
                <w:b/>
                <w:sz w:val="20"/>
              </w:rPr>
              <w:t>Date</w:t>
            </w:r>
          </w:p>
        </w:tc>
        <w:tc>
          <w:tcPr>
            <w:tcW w:w="7059"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731D7C" w:rsidRPr="00DA2B65" w:rsidRDefault="00731D7C" w:rsidP="00E91746">
            <w:pPr>
              <w:jc w:val="center"/>
              <w:rPr>
                <w:rFonts w:eastAsia="Calibri"/>
                <w:b/>
                <w:sz w:val="20"/>
              </w:rPr>
            </w:pPr>
            <w:r w:rsidRPr="00DA2B65">
              <w:rPr>
                <w:rFonts w:eastAsia="Calibri"/>
                <w:b/>
                <w:sz w:val="20"/>
              </w:rPr>
              <w:t>Event</w:t>
            </w:r>
          </w:p>
        </w:tc>
      </w:tr>
      <w:tr w:rsidR="00731D7C" w:rsidRPr="00DA2B65" w:rsidTr="00E91746">
        <w:trPr>
          <w:trHeight w:val="345"/>
        </w:trPr>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19th c.</w:t>
            </w:r>
          </w:p>
        </w:tc>
        <w:tc>
          <w:tcPr>
            <w:tcW w:w="7059" w:type="dxa"/>
            <w:tcBorders>
              <w:top w:val="single" w:sz="4" w:space="0" w:color="auto"/>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First use of the term 'material culture' (Buchli 2002).</w:t>
            </w:r>
          </w:p>
        </w:tc>
      </w:tr>
      <w:tr w:rsidR="00731D7C" w:rsidRPr="00DA2B65" w:rsidTr="00E91746">
        <w:trPr>
          <w:trHeight w:val="510"/>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late 19th c.</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Unilineal cultural evolutionists viewed material culture as directly linked to notions of human/cultural progress from savagery to civilization (Buchli 2002).</w:t>
            </w:r>
          </w:p>
        </w:tc>
      </w:tr>
      <w:tr w:rsidR="00731D7C" w:rsidRPr="00DA2B65" w:rsidTr="00E91746">
        <w:trPr>
          <w:trHeight w:val="510"/>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1899</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i/>
                <w:iCs/>
                <w:sz w:val="20"/>
              </w:rPr>
            </w:pPr>
            <w:r w:rsidRPr="00DA2B65">
              <w:rPr>
                <w:rFonts w:eastAsia="Calibri"/>
                <w:i/>
                <w:iCs/>
                <w:sz w:val="20"/>
              </w:rPr>
              <w:t>Theory of the Leisure Class</w:t>
            </w:r>
            <w:r w:rsidRPr="00DA2B65">
              <w:rPr>
                <w:rFonts w:eastAsia="Calibri"/>
                <w:sz w:val="20"/>
              </w:rPr>
              <w:t xml:space="preserve"> published. Veblen presents ideas of conspicuous consumption and emulation.</w:t>
            </w:r>
          </w:p>
        </w:tc>
      </w:tr>
      <w:tr w:rsidR="00731D7C" w:rsidRPr="00DA2B65" w:rsidTr="00E91746">
        <w:trPr>
          <w:trHeight w:val="345"/>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1904</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Simmel publishes on the trickle-down theory.</w:t>
            </w:r>
          </w:p>
        </w:tc>
      </w:tr>
      <w:tr w:rsidR="00731D7C" w:rsidRPr="00DA2B65" w:rsidTr="00E91746">
        <w:trPr>
          <w:trHeight w:val="510"/>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early 20th c.</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Cultural anthropologists favor participant observation as opposed to interpretatio</w:t>
            </w:r>
            <w:r w:rsidR="00AE1C49">
              <w:rPr>
                <w:rFonts w:eastAsia="Calibri"/>
                <w:sz w:val="20"/>
              </w:rPr>
              <w:t xml:space="preserve">n of ethnographic collections. </w:t>
            </w:r>
            <w:r w:rsidRPr="00DA2B65">
              <w:rPr>
                <w:rFonts w:eastAsia="Calibri"/>
                <w:sz w:val="20"/>
              </w:rPr>
              <w:t>The study of objects declines in the field of anthropology (Buchli 2002).</w:t>
            </w:r>
          </w:p>
        </w:tc>
      </w:tr>
      <w:tr w:rsidR="00731D7C" w:rsidRPr="00DA2B65" w:rsidTr="00E91746">
        <w:trPr>
          <w:trHeight w:val="510"/>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mid-20th c.</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Processualists breathe theoretical life back into the study of artifacts as they materialized social processes (Buchli 2002).</w:t>
            </w:r>
          </w:p>
        </w:tc>
      </w:tr>
      <w:tr w:rsidR="00731D7C" w:rsidRPr="00DA2B65" w:rsidTr="00E91746">
        <w:trPr>
          <w:trHeight w:val="510"/>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1960s</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Emergence of social history emphasizes everyday life, material surroundings, and consumption practices (Mullins 2004).</w:t>
            </w:r>
          </w:p>
        </w:tc>
      </w:tr>
      <w:tr w:rsidR="00731D7C" w:rsidRPr="00DA2B65" w:rsidTr="00E91746">
        <w:trPr>
          <w:trHeight w:val="510"/>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1970s</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Historical archaeologists begin to explore class and status as displayed through material culture (Mullins 2011).</w:t>
            </w:r>
          </w:p>
        </w:tc>
      </w:tr>
      <w:tr w:rsidR="00731D7C" w:rsidRPr="00DA2B65" w:rsidTr="00E91746">
        <w:trPr>
          <w:trHeight w:val="510"/>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1975</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Glassie's work on vernacular architecture represents a step away from New Archaeology (Mullins 2004).</w:t>
            </w:r>
          </w:p>
        </w:tc>
      </w:tr>
      <w:tr w:rsidR="00731D7C" w:rsidRPr="00DA2B65" w:rsidTr="00E91746">
        <w:trPr>
          <w:trHeight w:val="345"/>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1977</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Deetz publishes his book all about small things.</w:t>
            </w:r>
          </w:p>
        </w:tc>
      </w:tr>
      <w:tr w:rsidR="00731D7C" w:rsidRPr="00DA2B65" w:rsidTr="00E91746">
        <w:trPr>
          <w:trHeight w:val="510"/>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1979</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Douglas and Isherwood highlight the anthropological forces behind economic activities such as production and consumption.</w:t>
            </w:r>
          </w:p>
        </w:tc>
      </w:tr>
      <w:tr w:rsidR="00731D7C" w:rsidRPr="00DA2B65" w:rsidTr="00E91746">
        <w:trPr>
          <w:trHeight w:val="962"/>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1980s</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Beginnings of the view of artifacts and objects as active participants in cultural creation and change. Focus shifts from models of economic rationality to social and cu</w:t>
            </w:r>
            <w:r w:rsidR="00AE1C49">
              <w:rPr>
                <w:rFonts w:eastAsia="Calibri"/>
                <w:sz w:val="20"/>
              </w:rPr>
              <w:t>ltural meanings of consumption.</w:t>
            </w:r>
            <w:r w:rsidRPr="00DA2B65">
              <w:rPr>
                <w:rFonts w:eastAsia="Calibri"/>
                <w:sz w:val="20"/>
              </w:rPr>
              <w:t xml:space="preserve"> Movement towards the study of consumption and consumerism as a legitimate way to understand culture.</w:t>
            </w:r>
          </w:p>
        </w:tc>
      </w:tr>
      <w:tr w:rsidR="00731D7C" w:rsidRPr="00DA2B65" w:rsidTr="00E91746">
        <w:trPr>
          <w:trHeight w:val="510"/>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1982</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McKendrick, Brewer, and Plumb revitalize Veblen's emulation model in order to explain the consumer revolution and focus on fashion.</w:t>
            </w:r>
          </w:p>
        </w:tc>
      </w:tr>
      <w:tr w:rsidR="00731D7C" w:rsidRPr="00DA2B65" w:rsidTr="00E91746">
        <w:trPr>
          <w:trHeight w:val="512"/>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1984</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Bourdieu discusses the idea of taste and its use to distinguish and legitimize social groups.</w:t>
            </w:r>
          </w:p>
        </w:tc>
      </w:tr>
      <w:tr w:rsidR="00731D7C" w:rsidRPr="00DA2B65" w:rsidTr="00E91746">
        <w:trPr>
          <w:trHeight w:val="510"/>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mid-1980s</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Archaeologists move away from interpreting social status through assemblages and towards artifacts as symbolic and communicative devices (Cochran and Beaudry 2006).</w:t>
            </w:r>
          </w:p>
        </w:tc>
      </w:tr>
      <w:tr w:rsidR="00731D7C" w:rsidRPr="00DA2B65" w:rsidTr="00E91746">
        <w:trPr>
          <w:trHeight w:val="345"/>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1986</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A80C31">
            <w:pPr>
              <w:rPr>
                <w:rFonts w:eastAsia="Calibri"/>
                <w:sz w:val="20"/>
              </w:rPr>
            </w:pPr>
            <w:r w:rsidRPr="00DA2B65">
              <w:rPr>
                <w:rFonts w:eastAsia="Calibri"/>
                <w:sz w:val="20"/>
              </w:rPr>
              <w:t xml:space="preserve">Appadurai </w:t>
            </w:r>
            <w:r w:rsidR="00A80C31">
              <w:rPr>
                <w:rFonts w:eastAsia="Calibri"/>
                <w:sz w:val="20"/>
              </w:rPr>
              <w:t>publishes</w:t>
            </w:r>
            <w:r w:rsidRPr="00DA2B65">
              <w:rPr>
                <w:rFonts w:eastAsia="Calibri"/>
                <w:sz w:val="20"/>
              </w:rPr>
              <w:t xml:space="preserve"> </w:t>
            </w:r>
            <w:r w:rsidRPr="00DA2B65">
              <w:rPr>
                <w:rFonts w:eastAsia="Calibri"/>
                <w:i/>
                <w:iCs/>
                <w:sz w:val="20"/>
              </w:rPr>
              <w:t>The Social Life of Things</w:t>
            </w:r>
            <w:r w:rsidRPr="00DA2B65">
              <w:rPr>
                <w:rFonts w:eastAsia="Calibri"/>
                <w:sz w:val="20"/>
              </w:rPr>
              <w:t>.</w:t>
            </w:r>
          </w:p>
        </w:tc>
      </w:tr>
      <w:tr w:rsidR="00731D7C" w:rsidRPr="00DA2B65" w:rsidTr="00E91746">
        <w:trPr>
          <w:trHeight w:val="345"/>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1987</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sz w:val="20"/>
              </w:rPr>
              <w:t xml:space="preserve">Miller works on </w:t>
            </w:r>
            <w:r w:rsidRPr="00DA2B65">
              <w:rPr>
                <w:rFonts w:eastAsia="Calibri"/>
                <w:i/>
                <w:iCs/>
                <w:sz w:val="20"/>
              </w:rPr>
              <w:t>Material Culture and Mass Consumption</w:t>
            </w:r>
            <w:r w:rsidRPr="00DA2B65">
              <w:rPr>
                <w:rFonts w:eastAsia="Calibri"/>
                <w:sz w:val="20"/>
              </w:rPr>
              <w:t>.</w:t>
            </w:r>
          </w:p>
        </w:tc>
      </w:tr>
      <w:tr w:rsidR="00731D7C" w:rsidRPr="00DA2B65" w:rsidTr="00E91746">
        <w:trPr>
          <w:trHeight w:val="345"/>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1988</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sz w:val="20"/>
              </w:rPr>
            </w:pPr>
            <w:r w:rsidRPr="00DA2B65">
              <w:rPr>
                <w:rFonts w:eastAsia="Calibri"/>
                <w:i/>
                <w:iCs/>
                <w:sz w:val="20"/>
              </w:rPr>
              <w:t>Culture and Consumption</w:t>
            </w:r>
            <w:r w:rsidRPr="00DA2B65">
              <w:rPr>
                <w:rFonts w:eastAsia="Calibri"/>
                <w:sz w:val="20"/>
              </w:rPr>
              <w:t xml:space="preserve"> by Grant McCracken is published.</w:t>
            </w:r>
          </w:p>
        </w:tc>
      </w:tr>
      <w:tr w:rsidR="00A80C31" w:rsidRPr="00DA2B65" w:rsidTr="00E91746">
        <w:trPr>
          <w:trHeight w:val="566"/>
        </w:trPr>
        <w:tc>
          <w:tcPr>
            <w:tcW w:w="1956" w:type="dxa"/>
            <w:tcBorders>
              <w:top w:val="nil"/>
              <w:left w:val="single" w:sz="4" w:space="0" w:color="auto"/>
              <w:bottom w:val="single" w:sz="4" w:space="0" w:color="auto"/>
              <w:right w:val="single" w:sz="4" w:space="0" w:color="auto"/>
            </w:tcBorders>
            <w:shd w:val="clear" w:color="auto" w:fill="auto"/>
            <w:noWrap/>
            <w:vAlign w:val="bottom"/>
          </w:tcPr>
          <w:p w:rsidR="00A80C31" w:rsidRPr="00DA2B65" w:rsidRDefault="00A80C31" w:rsidP="00E91746">
            <w:pPr>
              <w:jc w:val="center"/>
              <w:rPr>
                <w:rFonts w:eastAsia="Calibri"/>
                <w:sz w:val="20"/>
              </w:rPr>
            </w:pPr>
            <w:r>
              <w:rPr>
                <w:rFonts w:eastAsia="Calibri"/>
                <w:sz w:val="20"/>
              </w:rPr>
              <w:t>1991</w:t>
            </w:r>
          </w:p>
        </w:tc>
        <w:tc>
          <w:tcPr>
            <w:tcW w:w="7059" w:type="dxa"/>
            <w:tcBorders>
              <w:top w:val="nil"/>
              <w:left w:val="nil"/>
              <w:bottom w:val="single" w:sz="4" w:space="0" w:color="auto"/>
              <w:right w:val="single" w:sz="4" w:space="0" w:color="auto"/>
            </w:tcBorders>
            <w:shd w:val="clear" w:color="auto" w:fill="auto"/>
            <w:vAlign w:val="bottom"/>
          </w:tcPr>
          <w:p w:rsidR="00A80C31" w:rsidRPr="00DA2B65" w:rsidRDefault="00A80C31" w:rsidP="00A80C31">
            <w:pPr>
              <w:rPr>
                <w:rFonts w:eastAsia="Calibri"/>
                <w:iCs/>
                <w:sz w:val="20"/>
              </w:rPr>
            </w:pPr>
            <w:r>
              <w:rPr>
                <w:rFonts w:eastAsia="Calibri"/>
                <w:iCs/>
                <w:sz w:val="20"/>
              </w:rPr>
              <w:t>“Artifacts and Active Voices: Material Culture as Social Discourse” Beaudry et al. challenges the static role of material culture.</w:t>
            </w:r>
          </w:p>
        </w:tc>
      </w:tr>
      <w:tr w:rsidR="00731D7C" w:rsidRPr="00DA2B65" w:rsidTr="00E91746">
        <w:trPr>
          <w:trHeight w:val="566"/>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2008</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iCs/>
                <w:sz w:val="20"/>
              </w:rPr>
            </w:pPr>
            <w:r w:rsidRPr="00DA2B65">
              <w:rPr>
                <w:rFonts w:eastAsia="Calibri"/>
                <w:iCs/>
                <w:sz w:val="20"/>
              </w:rPr>
              <w:t>Ann Smart Martin’s</w:t>
            </w:r>
            <w:r w:rsidRPr="00DA2B65">
              <w:rPr>
                <w:rFonts w:eastAsia="Calibri"/>
                <w:i/>
                <w:iCs/>
                <w:sz w:val="20"/>
              </w:rPr>
              <w:t xml:space="preserve"> Buying Into a World of Goods</w:t>
            </w:r>
            <w:r w:rsidRPr="00DA2B65">
              <w:rPr>
                <w:rFonts w:eastAsia="Calibri"/>
                <w:iCs/>
                <w:sz w:val="20"/>
              </w:rPr>
              <w:t xml:space="preserve"> offers documentary evidence for her theory of material culture.</w:t>
            </w:r>
          </w:p>
        </w:tc>
      </w:tr>
      <w:tr w:rsidR="00731D7C" w:rsidRPr="00DA2B65" w:rsidTr="00E91746">
        <w:trPr>
          <w:trHeight w:val="494"/>
        </w:trPr>
        <w:tc>
          <w:tcPr>
            <w:tcW w:w="1956" w:type="dxa"/>
            <w:tcBorders>
              <w:top w:val="nil"/>
              <w:left w:val="single" w:sz="4" w:space="0" w:color="auto"/>
              <w:bottom w:val="single" w:sz="4" w:space="0" w:color="auto"/>
              <w:right w:val="single" w:sz="4" w:space="0" w:color="auto"/>
            </w:tcBorders>
            <w:shd w:val="clear" w:color="auto" w:fill="auto"/>
            <w:noWrap/>
            <w:vAlign w:val="bottom"/>
          </w:tcPr>
          <w:p w:rsidR="00731D7C" w:rsidRPr="00DA2B65" w:rsidRDefault="00731D7C" w:rsidP="00E91746">
            <w:pPr>
              <w:jc w:val="center"/>
              <w:rPr>
                <w:rFonts w:eastAsia="Calibri"/>
                <w:sz w:val="20"/>
              </w:rPr>
            </w:pPr>
            <w:r w:rsidRPr="00DA2B65">
              <w:rPr>
                <w:rFonts w:eastAsia="Calibri"/>
                <w:sz w:val="20"/>
              </w:rPr>
              <w:t>2011</w:t>
            </w:r>
          </w:p>
        </w:tc>
        <w:tc>
          <w:tcPr>
            <w:tcW w:w="7059" w:type="dxa"/>
            <w:tcBorders>
              <w:top w:val="nil"/>
              <w:left w:val="nil"/>
              <w:bottom w:val="single" w:sz="4" w:space="0" w:color="auto"/>
              <w:right w:val="single" w:sz="4" w:space="0" w:color="auto"/>
            </w:tcBorders>
            <w:shd w:val="clear" w:color="auto" w:fill="auto"/>
            <w:vAlign w:val="bottom"/>
          </w:tcPr>
          <w:p w:rsidR="00731D7C" w:rsidRPr="00DA2B65" w:rsidRDefault="00731D7C" w:rsidP="00E91746">
            <w:pPr>
              <w:rPr>
                <w:rFonts w:eastAsia="Calibri"/>
                <w:iCs/>
                <w:sz w:val="20"/>
              </w:rPr>
            </w:pPr>
            <w:r w:rsidRPr="00DA2B65">
              <w:rPr>
                <w:rFonts w:eastAsia="Calibri"/>
                <w:iCs/>
                <w:sz w:val="20"/>
              </w:rPr>
              <w:t xml:space="preserve">Paul Mullin’s </w:t>
            </w:r>
            <w:r w:rsidRPr="00DA2B65">
              <w:rPr>
                <w:rFonts w:eastAsia="Calibri"/>
                <w:i/>
                <w:iCs/>
                <w:sz w:val="20"/>
              </w:rPr>
              <w:t>The Archaeology of Consumer Culture</w:t>
            </w:r>
            <w:r w:rsidRPr="00DA2B65">
              <w:rPr>
                <w:rFonts w:eastAsia="Calibri"/>
                <w:iCs/>
                <w:sz w:val="20"/>
              </w:rPr>
              <w:t xml:space="preserve"> offers a summary of archaeological studies of consumer behavior.</w:t>
            </w:r>
          </w:p>
        </w:tc>
      </w:tr>
    </w:tbl>
    <w:p w:rsidR="00731D7C" w:rsidRPr="00103B3F" w:rsidRDefault="00731D7C" w:rsidP="00731D7C">
      <w:pPr>
        <w:rPr>
          <w:rFonts w:ascii="Arial" w:eastAsia="Calibri" w:hAnsi="Arial" w:cs="Arial"/>
          <w:sz w:val="20"/>
        </w:rPr>
      </w:pPr>
    </w:p>
    <w:p w:rsidR="00731D7C" w:rsidRDefault="00731D7C" w:rsidP="00731D7C">
      <w:pPr>
        <w:rPr>
          <w:rFonts w:eastAsia="Calibri"/>
          <w:i/>
        </w:rPr>
      </w:pPr>
      <w:r>
        <w:rPr>
          <w:rFonts w:eastAsia="Calibri"/>
          <w:i/>
        </w:rPr>
        <w:br w:type="page"/>
      </w:r>
    </w:p>
    <w:p w:rsidR="00731D7C" w:rsidRDefault="00731D7C" w:rsidP="00731D7C">
      <w:pPr>
        <w:spacing w:line="480" w:lineRule="auto"/>
        <w:ind w:firstLine="720"/>
        <w:rPr>
          <w:rFonts w:eastAsia="Calibri"/>
        </w:rPr>
      </w:pPr>
      <w:r w:rsidRPr="00CB6ACE">
        <w:rPr>
          <w:rFonts w:eastAsia="Calibri"/>
          <w:i/>
        </w:rPr>
        <w:lastRenderedPageBreak/>
        <w:t>Anthropological Approaches.</w:t>
      </w:r>
      <w:r w:rsidR="00030ABA">
        <w:rPr>
          <w:rFonts w:eastAsia="Calibri"/>
        </w:rPr>
        <w:t xml:space="preserve"> </w:t>
      </w:r>
      <w:r>
        <w:rPr>
          <w:rFonts w:eastAsia="Calibri"/>
        </w:rPr>
        <w:t>Before</w:t>
      </w:r>
      <w:r w:rsidRPr="008F37F4">
        <w:rPr>
          <w:rFonts w:eastAsia="Calibri"/>
        </w:rPr>
        <w:t xml:space="preserve"> </w:t>
      </w:r>
      <w:r>
        <w:rPr>
          <w:rFonts w:eastAsia="Calibri"/>
        </w:rPr>
        <w:t>the 1970s, much of consumption theory was underpinned by the works of Thorstein Veblen (1899) and Georg Simmel (1904) who argued that objects were purchased and used as signals of socioeconomic status to peers, that the middling and lower classes emulated the consumption patterns of their betters</w:t>
      </w:r>
      <w:r w:rsidR="00A80C31">
        <w:rPr>
          <w:rFonts w:eastAsia="Calibri"/>
        </w:rPr>
        <w:t>,</w:t>
      </w:r>
      <w:r>
        <w:rPr>
          <w:rFonts w:eastAsia="Calibri"/>
        </w:rPr>
        <w:t xml:space="preserve"> causing the upper classes to consume differently in order to differentiate themselves, and that goods tended to gravitationally</w:t>
      </w:r>
      <w:r w:rsidR="00030ABA">
        <w:rPr>
          <w:rFonts w:eastAsia="Calibri"/>
        </w:rPr>
        <w:t xml:space="preserve"> diffuse down the class ladder.</w:t>
      </w:r>
      <w:r w:rsidRPr="00DF03BE">
        <w:rPr>
          <w:rFonts w:eastAsia="Calibri"/>
        </w:rPr>
        <w:t xml:space="preserve"> </w:t>
      </w:r>
      <w:r>
        <w:rPr>
          <w:rFonts w:eastAsia="Calibri"/>
        </w:rPr>
        <w:t xml:space="preserve">The impact of their theories on consumer motivations in the Chesapeake will </w:t>
      </w:r>
      <w:r w:rsidR="00030ABA">
        <w:rPr>
          <w:rFonts w:eastAsia="Calibri"/>
        </w:rPr>
        <w:t>be elaborated upon in Chapter 3.</w:t>
      </w:r>
      <w:r>
        <w:rPr>
          <w:rFonts w:eastAsia="Calibri"/>
        </w:rPr>
        <w:t xml:space="preserve"> These studies of the meaning of material culture in social life left a deep and lasting legacy on the ways in which scholars studied objects in early and late modern life and thus must begin any exploration of the historiography of material culture.  </w:t>
      </w:r>
    </w:p>
    <w:p w:rsidR="00887A88" w:rsidRPr="00DF03BE" w:rsidRDefault="00887A88" w:rsidP="00731D7C">
      <w:pPr>
        <w:spacing w:line="480" w:lineRule="auto"/>
        <w:ind w:firstLine="720"/>
      </w:pPr>
      <w:r w:rsidRPr="00477F61">
        <w:rPr>
          <w:rFonts w:eastAsia="Calibri"/>
        </w:rPr>
        <w:t>Veblen argued that, for the nineteenth-century leisure class, individuals over-consumed in obvious ways to signal their status</w:t>
      </w:r>
      <w:r w:rsidR="00030ABA">
        <w:rPr>
          <w:rFonts w:eastAsia="Calibri"/>
        </w:rPr>
        <w:t xml:space="preserve"> to others in their community. </w:t>
      </w:r>
      <w:r w:rsidRPr="00477F61">
        <w:rPr>
          <w:rFonts w:eastAsia="Calibri"/>
        </w:rPr>
        <w:t>Working class individuals witnessed these consumer habits and were motivated to follow in their footsteps in order to replicate</w:t>
      </w:r>
      <w:r>
        <w:rPr>
          <w:rFonts w:eastAsia="Calibri"/>
        </w:rPr>
        <w:t>,</w:t>
      </w:r>
      <w:r w:rsidRPr="00477F61">
        <w:rPr>
          <w:rFonts w:eastAsia="Calibri"/>
        </w:rPr>
        <w:t xml:space="preserve"> to the best of their abilities</w:t>
      </w:r>
      <w:r>
        <w:rPr>
          <w:rFonts w:eastAsia="Calibri"/>
        </w:rPr>
        <w:t>,</w:t>
      </w:r>
      <w:r w:rsidRPr="00477F61">
        <w:rPr>
          <w:rFonts w:eastAsia="Calibri"/>
        </w:rPr>
        <w:t xml:space="preserve"> leisurely </w:t>
      </w:r>
      <w:r w:rsidR="00030ABA">
        <w:rPr>
          <w:rFonts w:eastAsia="Calibri"/>
        </w:rPr>
        <w:t xml:space="preserve">lifestyles in their own homes. </w:t>
      </w:r>
      <w:r w:rsidRPr="00477F61">
        <w:rPr>
          <w:rFonts w:eastAsia="Calibri"/>
        </w:rPr>
        <w:t xml:space="preserve">This trickle down movement of fashions, as conceived of by Simmel, then explained changing styles as the leisure class sought to differentiate and the working class sought to emulate. </w:t>
      </w:r>
      <w:r w:rsidRPr="00477F61">
        <w:rPr>
          <w:rStyle w:val="normal0"/>
        </w:rPr>
        <w:t>Promoted by Veblen (1899), the notion that individuals used objects as communicators of social status in an attempt to show off to their peers and create social distance from subordinate classes infuse hi</w:t>
      </w:r>
      <w:r>
        <w:rPr>
          <w:rStyle w:val="normal0"/>
        </w:rPr>
        <w:t>storical narratives just as it</w:t>
      </w:r>
      <w:r w:rsidRPr="00477F61">
        <w:rPr>
          <w:rStyle w:val="normal0"/>
        </w:rPr>
        <w:t xml:space="preserve"> </w:t>
      </w:r>
      <w:r>
        <w:rPr>
          <w:rStyle w:val="normal0"/>
        </w:rPr>
        <w:t>informs</w:t>
      </w:r>
      <w:r w:rsidRPr="00477F61">
        <w:rPr>
          <w:rStyle w:val="normal0"/>
        </w:rPr>
        <w:t xml:space="preserve"> modern depictions of wealth and socio-economic success (explaining the popularity of shows like </w:t>
      </w:r>
      <w:r w:rsidRPr="00477F61">
        <w:rPr>
          <w:rStyle w:val="normal0"/>
          <w:i/>
        </w:rPr>
        <w:t>My Super Sweet 16</w:t>
      </w:r>
      <w:r w:rsidRPr="00477F61">
        <w:rPr>
          <w:rStyle w:val="normal0"/>
        </w:rPr>
        <w:t>, an MTV program highlighting the extravagant</w:t>
      </w:r>
      <w:r>
        <w:rPr>
          <w:rStyle w:val="normal0"/>
        </w:rPr>
        <w:t xml:space="preserve"> lengths to which parents will go to </w:t>
      </w:r>
      <w:r w:rsidRPr="00477F61">
        <w:rPr>
          <w:rStyle w:val="normal0"/>
        </w:rPr>
        <w:t>please and mollify their teen</w:t>
      </w:r>
      <w:r w:rsidR="00030ABA">
        <w:rPr>
          <w:rStyle w:val="normal0"/>
        </w:rPr>
        <w:t xml:space="preserve">age children, and themselves). </w:t>
      </w:r>
      <w:r>
        <w:rPr>
          <w:rStyle w:val="normal0"/>
        </w:rPr>
        <w:t>Members</w:t>
      </w:r>
      <w:r w:rsidRPr="00477F61">
        <w:rPr>
          <w:rStyle w:val="normal0"/>
        </w:rPr>
        <w:t xml:space="preserve"> of the leisure class possessed the economic resources to make frivolous expenditures on material items that Veblen interpreted as an overt act of flaunting of time and money wasted. </w:t>
      </w:r>
      <w:r w:rsidRPr="00477F61">
        <w:rPr>
          <w:rStyle w:val="normal0"/>
        </w:rPr>
        <w:lastRenderedPageBreak/>
        <w:t>These wasteful expenditures did allow elites to accrue a kind of symbolic capital, however, such that the economic losses were made up for by the</w:t>
      </w:r>
      <w:r>
        <w:rPr>
          <w:rStyle w:val="normal0"/>
        </w:rPr>
        <w:t>se</w:t>
      </w:r>
      <w:r w:rsidR="00030ABA">
        <w:rPr>
          <w:rStyle w:val="normal0"/>
        </w:rPr>
        <w:t xml:space="preserve"> cultural gains.</w:t>
      </w:r>
      <w:r w:rsidRPr="00477F61">
        <w:rPr>
          <w:rStyle w:val="normal0"/>
        </w:rPr>
        <w:t xml:space="preserve"> </w:t>
      </w:r>
      <w:r>
        <w:rPr>
          <w:rFonts w:eastAsia="Calibri"/>
        </w:rPr>
        <w:t xml:space="preserve">However, </w:t>
      </w:r>
      <w:r w:rsidRPr="00477F61">
        <w:rPr>
          <w:rFonts w:eastAsia="Calibri"/>
        </w:rPr>
        <w:t xml:space="preserve">both Simmel’s and Veblen’s works </w:t>
      </w:r>
      <w:r>
        <w:rPr>
          <w:rFonts w:eastAsia="Calibri"/>
        </w:rPr>
        <w:t xml:space="preserve">provide </w:t>
      </w:r>
      <w:r w:rsidRPr="00477F61">
        <w:rPr>
          <w:rFonts w:eastAsia="Calibri"/>
        </w:rPr>
        <w:t xml:space="preserve">a cultural critique, a pejorative </w:t>
      </w:r>
      <w:r>
        <w:rPr>
          <w:rFonts w:eastAsia="Calibri"/>
        </w:rPr>
        <w:t xml:space="preserve">association </w:t>
      </w:r>
      <w:r w:rsidRPr="00477F61">
        <w:rPr>
          <w:rFonts w:eastAsia="Calibri"/>
        </w:rPr>
        <w:t>of consumption with frivolity a</w:t>
      </w:r>
      <w:r w:rsidR="00030ABA">
        <w:rPr>
          <w:rFonts w:eastAsia="Calibri"/>
        </w:rPr>
        <w:t xml:space="preserve">nd wasteful material excesses. </w:t>
      </w:r>
      <w:r w:rsidRPr="00477F61">
        <w:rPr>
          <w:rFonts w:eastAsia="Calibri"/>
        </w:rPr>
        <w:t>To be surrounded by meaningless things, knick-knacks and brick-a-brac, to Veblen in particular, suggested a kind of wanton and thoughtless behavior and demanded scholarly attention only in so far as it was motivated by critique.</w:t>
      </w:r>
      <w:r>
        <w:rPr>
          <w:rFonts w:eastAsia="Calibri"/>
        </w:rPr>
        <w:t xml:space="preserve"> </w:t>
      </w:r>
      <w:r w:rsidRPr="00477F61">
        <w:rPr>
          <w:rFonts w:eastAsia="Calibri"/>
        </w:rPr>
        <w:t xml:space="preserve">These concepts simultaneously initiated and stifled future research on material culture and its meaning.  </w:t>
      </w:r>
    </w:p>
    <w:p w:rsidR="00731D7C" w:rsidRDefault="00731D7C" w:rsidP="00731D7C">
      <w:pPr>
        <w:spacing w:line="480" w:lineRule="auto"/>
        <w:rPr>
          <w:rFonts w:eastAsia="Calibri"/>
        </w:rPr>
      </w:pPr>
      <w:r>
        <w:rPr>
          <w:rFonts w:eastAsia="Calibri"/>
        </w:rPr>
        <w:tab/>
        <w:t xml:space="preserve">It would not be until decades later that anthropologists, historians, and archaeologists began to reconsider the scholarly </w:t>
      </w:r>
      <w:r w:rsidR="00030ABA">
        <w:rPr>
          <w:rFonts w:eastAsia="Calibri"/>
        </w:rPr>
        <w:t xml:space="preserve">legacies of Simmel and Veblen. </w:t>
      </w:r>
      <w:r>
        <w:rPr>
          <w:rFonts w:eastAsia="Calibri"/>
        </w:rPr>
        <w:t>Was consumption frivolous?  Were objects merely reflections of status or connections to a social class to which the working classes could only dre</w:t>
      </w:r>
      <w:r w:rsidR="00030ABA">
        <w:rPr>
          <w:rFonts w:eastAsia="Calibri"/>
        </w:rPr>
        <w:t>am of belonging?</w:t>
      </w:r>
      <w:r>
        <w:rPr>
          <w:rFonts w:eastAsia="Calibri"/>
        </w:rPr>
        <w:t xml:space="preserve"> Was emulation the prima</w:t>
      </w:r>
      <w:r w:rsidR="00030ABA">
        <w:rPr>
          <w:rFonts w:eastAsia="Calibri"/>
        </w:rPr>
        <w:t xml:space="preserve">ry motivation for consumption? </w:t>
      </w:r>
      <w:r>
        <w:rPr>
          <w:rFonts w:eastAsia="Calibri"/>
        </w:rPr>
        <w:t>Could a systemic, anthropological approach to consumption help schol</w:t>
      </w:r>
      <w:r w:rsidR="00030ABA">
        <w:rPr>
          <w:rFonts w:eastAsia="Calibri"/>
        </w:rPr>
        <w:t xml:space="preserve">ars better understand culture? </w:t>
      </w:r>
      <w:r>
        <w:rPr>
          <w:rFonts w:eastAsia="Calibri"/>
        </w:rPr>
        <w:t>Later works can be situated within a movement that sought to refute the conspicuous consumption and emulation model put forth by Veblen and the trickle-down theory offered by Simmel and fought for the recognition that artifacts and objects actively maintain and change culture in ways</w:t>
      </w:r>
      <w:r w:rsidR="00A80C31">
        <w:rPr>
          <w:rFonts w:eastAsia="Calibri"/>
        </w:rPr>
        <w:t xml:space="preserve"> that are</w:t>
      </w:r>
      <w:r>
        <w:rPr>
          <w:rFonts w:eastAsia="Calibri"/>
        </w:rPr>
        <w:t xml:space="preserve"> much more complicated, dialectical, and multi</w:t>
      </w:r>
      <w:r w:rsidR="00030ABA">
        <w:rPr>
          <w:rFonts w:eastAsia="Calibri"/>
        </w:rPr>
        <w:t xml:space="preserve">-vocal. </w:t>
      </w:r>
      <w:r>
        <w:rPr>
          <w:rFonts w:eastAsia="Calibri"/>
        </w:rPr>
        <w:t xml:space="preserve">These material culture theorists argued against the historically negative connotation of materialism and consumerism, and argued for the legitimization of consumption theory as a key to understanding cultural principles and for the communicative and symbolic properties of goods.  </w:t>
      </w:r>
    </w:p>
    <w:p w:rsidR="00731D7C" w:rsidRDefault="00731D7C" w:rsidP="00731D7C">
      <w:pPr>
        <w:spacing w:line="480" w:lineRule="auto"/>
        <w:ind w:firstLine="720"/>
        <w:rPr>
          <w:rFonts w:eastAsia="Calibri"/>
        </w:rPr>
      </w:pPr>
      <w:r>
        <w:rPr>
          <w:rFonts w:eastAsia="Calibri"/>
        </w:rPr>
        <w:t>Leading this charge were Mary Douglas and Baron Isherwood (1979:37) who proposed that, “Consumption is the very arena in which culture is fough</w:t>
      </w:r>
      <w:r w:rsidR="00030ABA">
        <w:rPr>
          <w:rFonts w:eastAsia="Calibri"/>
        </w:rPr>
        <w:t xml:space="preserve">t over and licked into shape.” </w:t>
      </w:r>
      <w:r>
        <w:t>These scholars, the former a cultural anthropologist and the latter an economist, joined forces to</w:t>
      </w:r>
      <w:r>
        <w:rPr>
          <w:rFonts w:eastAsia="Calibri"/>
        </w:rPr>
        <w:t xml:space="preserve"> re-legitimize the study of material culture from a dual perspective</w:t>
      </w:r>
      <w:r w:rsidR="00030ABA">
        <w:rPr>
          <w:rFonts w:eastAsia="Calibri"/>
        </w:rPr>
        <w:t>.</w:t>
      </w:r>
      <w:r w:rsidR="00A80C31">
        <w:rPr>
          <w:rFonts w:eastAsia="Calibri"/>
        </w:rPr>
        <w:t xml:space="preserve"> I</w:t>
      </w:r>
      <w:r>
        <w:rPr>
          <w:rFonts w:eastAsia="Calibri"/>
        </w:rPr>
        <w:t xml:space="preserve">t is to them that we can credit </w:t>
      </w:r>
      <w:r>
        <w:rPr>
          <w:rFonts w:eastAsia="Calibri"/>
        </w:rPr>
        <w:lastRenderedPageBreak/>
        <w:t>the reinvigorati</w:t>
      </w:r>
      <w:r w:rsidR="00030ABA">
        <w:rPr>
          <w:rFonts w:eastAsia="Calibri"/>
        </w:rPr>
        <w:t xml:space="preserve">on of material culture theory. </w:t>
      </w:r>
      <w:r>
        <w:rPr>
          <w:rFonts w:eastAsia="Calibri"/>
        </w:rPr>
        <w:t>The primary theoretical argument offered by Douglas and Isherwood is this – to consume is to gain, trans</w:t>
      </w:r>
      <w:r w:rsidR="00030ABA">
        <w:rPr>
          <w:rFonts w:eastAsia="Calibri"/>
        </w:rPr>
        <w:t xml:space="preserve">mit, and maintain information. </w:t>
      </w:r>
      <w:r>
        <w:rPr>
          <w:rFonts w:eastAsia="Calibri"/>
        </w:rPr>
        <w:t>Information is power; therefore consumption can be conceived of as accruing a kind</w:t>
      </w:r>
      <w:r w:rsidR="00030ABA">
        <w:rPr>
          <w:rFonts w:eastAsia="Calibri"/>
        </w:rPr>
        <w:t xml:space="preserve"> of social and cultural power. </w:t>
      </w:r>
      <w:r>
        <w:rPr>
          <w:rFonts w:eastAsia="Calibri"/>
        </w:rPr>
        <w:t>They argued that consumer goods acted as bridges and fence</w:t>
      </w:r>
      <w:r w:rsidR="00030ABA">
        <w:rPr>
          <w:rFonts w:eastAsia="Calibri"/>
        </w:rPr>
        <w:t xml:space="preserve">s. </w:t>
      </w:r>
      <w:r>
        <w:rPr>
          <w:rFonts w:eastAsia="Calibri"/>
        </w:rPr>
        <w:t>Consumption could simultaneously include and exclude individuals from</w:t>
      </w:r>
      <w:r w:rsidR="00030ABA">
        <w:rPr>
          <w:rFonts w:eastAsia="Calibri"/>
        </w:rPr>
        <w:t xml:space="preserve"> social groups and communities.</w:t>
      </w:r>
      <w:r>
        <w:rPr>
          <w:rFonts w:eastAsia="Calibri"/>
        </w:rPr>
        <w:t xml:space="preserve"> </w:t>
      </w:r>
      <w:r>
        <w:t>“His [man’s] overriding object as a consumer, put at its most general, is a concern for information abou</w:t>
      </w:r>
      <w:r w:rsidR="00030ABA">
        <w:t xml:space="preserve">t the changing cultural scene. </w:t>
      </w:r>
      <w:r>
        <w:t>This sounds innocent enough, but it cannot stop at a concern merely to get information; there has to be a concern to control it” (D</w:t>
      </w:r>
      <w:r w:rsidR="00030ABA">
        <w:t xml:space="preserve">ouglas and Isherwood 1979:67). </w:t>
      </w:r>
      <w:r>
        <w:rPr>
          <w:rFonts w:eastAsia="Calibri"/>
        </w:rPr>
        <w:t>But in order to understand how material culture acts, it must be approached from an anthropological perspec</w:t>
      </w:r>
      <w:r w:rsidR="00030ABA">
        <w:rPr>
          <w:rFonts w:eastAsia="Calibri"/>
        </w:rPr>
        <w:t xml:space="preserve">tive. </w:t>
      </w:r>
      <w:r>
        <w:rPr>
          <w:rFonts w:eastAsia="Calibri"/>
        </w:rPr>
        <w:t>Consumers do not always behave rationally, as economists had suggested, and in understanding this irrationality, the work of an</w:t>
      </w:r>
      <w:r w:rsidR="00030ABA">
        <w:rPr>
          <w:rFonts w:eastAsia="Calibri"/>
        </w:rPr>
        <w:t xml:space="preserve">thropologists was most needed. </w:t>
      </w:r>
      <w:r>
        <w:rPr>
          <w:rFonts w:eastAsia="Calibri"/>
        </w:rPr>
        <w:t>Additionally, the authors took the legacy of Simmel and Veblen head on, as others would do, and argued that goods did more than reflect status, that individuals bought for reasons other than emulation, and that goods moved through</w:t>
      </w:r>
      <w:r w:rsidR="00030ABA">
        <w:rPr>
          <w:rFonts w:eastAsia="Calibri"/>
        </w:rPr>
        <w:t xml:space="preserve"> routes beyond trickling down. </w:t>
      </w:r>
      <w:r>
        <w:rPr>
          <w:rFonts w:eastAsia="Calibri"/>
        </w:rPr>
        <w:t>Essentially, consumption is an inherently culturally expressive act.</w:t>
      </w:r>
    </w:p>
    <w:p w:rsidR="00731D7C" w:rsidRPr="00FE66B7" w:rsidRDefault="00731D7C" w:rsidP="00731D7C">
      <w:pPr>
        <w:spacing w:line="480" w:lineRule="auto"/>
        <w:ind w:firstLine="720"/>
        <w:rPr>
          <w:rFonts w:eastAsia="Calibri"/>
        </w:rPr>
      </w:pPr>
      <w:r>
        <w:rPr>
          <w:rFonts w:eastAsia="Calibri"/>
        </w:rPr>
        <w:t>Daniel Miller (1987) suggested that even the lowliest of mass produced goods, devoid of uniqueness or character, could be encoded with meaning and, the</w:t>
      </w:r>
      <w:r w:rsidR="00030ABA">
        <w:rPr>
          <w:rFonts w:eastAsia="Calibri"/>
        </w:rPr>
        <w:t xml:space="preserve">refore, used to shape thought. </w:t>
      </w:r>
      <w:r>
        <w:rPr>
          <w:rFonts w:eastAsia="Calibri"/>
        </w:rPr>
        <w:t>Artifacts have agency – an artifact is not a “human mirror” but instead of a “constitutiv</w:t>
      </w:r>
      <w:r w:rsidR="00030ABA">
        <w:rPr>
          <w:rFonts w:eastAsia="Calibri"/>
        </w:rPr>
        <w:t>e character” (Miller 1987:112).</w:t>
      </w:r>
      <w:r>
        <w:rPr>
          <w:rFonts w:eastAsia="Calibri"/>
        </w:rPr>
        <w:t xml:space="preserve"> </w:t>
      </w:r>
      <w:r w:rsidR="00A80C31">
        <w:rPr>
          <w:rFonts w:eastAsia="Calibri"/>
        </w:rPr>
        <w:t>Miller</w:t>
      </w:r>
      <w:r>
        <w:rPr>
          <w:rFonts w:eastAsia="Calibri"/>
        </w:rPr>
        <w:t xml:space="preserve"> </w:t>
      </w:r>
      <w:r w:rsidR="00A80C31">
        <w:rPr>
          <w:rFonts w:eastAsia="Calibri"/>
        </w:rPr>
        <w:t xml:space="preserve">championed </w:t>
      </w:r>
      <w:r>
        <w:rPr>
          <w:rFonts w:eastAsia="Calibri"/>
        </w:rPr>
        <w:t>the relevance and integrity of the study of mass</w:t>
      </w:r>
      <w:r w:rsidR="00030ABA">
        <w:rPr>
          <w:rFonts w:eastAsia="Calibri"/>
        </w:rPr>
        <w:t xml:space="preserve"> produced goods in modern life.</w:t>
      </w:r>
      <w:r>
        <w:rPr>
          <w:rFonts w:eastAsia="Calibri"/>
        </w:rPr>
        <w:t xml:space="preserve"> Scholars before had lamented the globalization and McDonalds-iz</w:t>
      </w:r>
      <w:r w:rsidR="00030ABA">
        <w:rPr>
          <w:rFonts w:eastAsia="Calibri"/>
        </w:rPr>
        <w:t>ation of the twentieth century.</w:t>
      </w:r>
      <w:r>
        <w:rPr>
          <w:rFonts w:eastAsia="Calibri"/>
        </w:rPr>
        <w:t xml:space="preserve"> Miller a</w:t>
      </w:r>
      <w:r w:rsidR="00A80C31">
        <w:rPr>
          <w:rFonts w:eastAsia="Calibri"/>
        </w:rPr>
        <w:t>rgued</w:t>
      </w:r>
      <w:r>
        <w:rPr>
          <w:rFonts w:eastAsia="Calibri"/>
        </w:rPr>
        <w:t xml:space="preserve">, however, that through processes of recontextualization, mass-produced items could be considered to be just as legitimate a way to access culture as were </w:t>
      </w:r>
      <w:r w:rsidR="00030ABA">
        <w:rPr>
          <w:rFonts w:eastAsia="Calibri"/>
        </w:rPr>
        <w:t>homemade, folk, or craft items.</w:t>
      </w:r>
      <w:r>
        <w:rPr>
          <w:rFonts w:eastAsia="Calibri"/>
        </w:rPr>
        <w:t xml:space="preserve"> Much of the work on material culture </w:t>
      </w:r>
      <w:r>
        <w:rPr>
          <w:rFonts w:eastAsia="Calibri"/>
        </w:rPr>
        <w:lastRenderedPageBreak/>
        <w:t xml:space="preserve">today has been influenced by these scholars. No longer is consumption seen as a trivial action, but </w:t>
      </w:r>
      <w:r w:rsidR="00030ABA">
        <w:rPr>
          <w:rFonts w:eastAsia="Calibri"/>
        </w:rPr>
        <w:t xml:space="preserve">instead a meaningful practice. </w:t>
      </w:r>
      <w:r>
        <w:rPr>
          <w:rFonts w:eastAsia="Calibri"/>
        </w:rPr>
        <w:t>Artifacts are not static material residues of past human behavior, but active agents in cult</w:t>
      </w:r>
      <w:r w:rsidR="00030ABA">
        <w:rPr>
          <w:rFonts w:eastAsia="Calibri"/>
        </w:rPr>
        <w:t xml:space="preserve">ural creation and maintenance. </w:t>
      </w:r>
      <w:r>
        <w:rPr>
          <w:rFonts w:eastAsia="Calibri"/>
        </w:rPr>
        <w:t xml:space="preserve">Finally, the relationship between class and object has been complicated by the other ways in which material culture is used to define and redefine how identity is formed: gender, race, class, and ethnicity.     </w:t>
      </w:r>
    </w:p>
    <w:p w:rsidR="00731D7C" w:rsidRDefault="00731D7C" w:rsidP="00731D7C">
      <w:pPr>
        <w:spacing w:line="480" w:lineRule="auto"/>
        <w:ind w:firstLine="720"/>
        <w:rPr>
          <w:rFonts w:eastAsia="Calibri"/>
        </w:rPr>
      </w:pPr>
      <w:r>
        <w:rPr>
          <w:rFonts w:eastAsia="Calibri"/>
        </w:rPr>
        <w:t>In Pierre Bourdieu’s (1984) work we hear echoes of Douglas and Isherwood’s notion of the power relations and political motivations that underlie consumption. Bourdieu argued that historical change takes place in the dialectic between individual</w:t>
      </w:r>
      <w:r w:rsidR="00030ABA">
        <w:rPr>
          <w:rFonts w:eastAsia="Calibri"/>
        </w:rPr>
        <w:t xml:space="preserve"> agents and social structures. </w:t>
      </w:r>
      <w:r>
        <w:rPr>
          <w:rFonts w:eastAsia="Calibri"/>
        </w:rPr>
        <w:t xml:space="preserve">The actions of individuals operate within larger structures; however, it is through </w:t>
      </w:r>
      <w:r w:rsidR="00A80C31">
        <w:rPr>
          <w:rFonts w:eastAsia="Calibri"/>
        </w:rPr>
        <w:t>our (as individuals</w:t>
      </w:r>
      <w:r>
        <w:rPr>
          <w:rFonts w:eastAsia="Calibri"/>
        </w:rPr>
        <w:t>) actions that we have the pow</w:t>
      </w:r>
      <w:r w:rsidR="00030ABA">
        <w:rPr>
          <w:rFonts w:eastAsia="Calibri"/>
        </w:rPr>
        <w:t>er to affect structural change.</w:t>
      </w:r>
      <w:r>
        <w:rPr>
          <w:rFonts w:eastAsia="Calibri"/>
        </w:rPr>
        <w:t xml:space="preserve"> Bourdieu’s notion of habitus allows anthropologists to conceive of how individual actions are conditioned through the</w:t>
      </w:r>
      <w:r w:rsidR="00030ABA">
        <w:rPr>
          <w:rFonts w:eastAsia="Calibri"/>
        </w:rPr>
        <w:t xml:space="preserve"> processes of social learning. </w:t>
      </w:r>
      <w:r>
        <w:rPr>
          <w:rFonts w:eastAsia="Calibri"/>
        </w:rPr>
        <w:t>Habitus, then, is the socially conditioned and learned everyday habits, beliefs, preferences, rout</w:t>
      </w:r>
      <w:r w:rsidR="00030ABA">
        <w:rPr>
          <w:rFonts w:eastAsia="Calibri"/>
        </w:rPr>
        <w:t>ines, and ideas of individuals.</w:t>
      </w:r>
      <w:r>
        <w:rPr>
          <w:rFonts w:eastAsia="Calibri"/>
        </w:rPr>
        <w:t xml:space="preserve"> In his work, </w:t>
      </w:r>
      <w:r w:rsidRPr="00BB100C">
        <w:rPr>
          <w:rFonts w:eastAsia="Calibri"/>
          <w:i/>
        </w:rPr>
        <w:t>Distinction</w:t>
      </w:r>
      <w:r>
        <w:rPr>
          <w:rFonts w:eastAsia="Calibri"/>
        </w:rPr>
        <w:t>, Bourdieu (1984) argued that taste (embodied preferences and practices</w:t>
      </w:r>
      <w:r w:rsidR="00030ABA">
        <w:rPr>
          <w:rFonts w:eastAsia="Calibri"/>
        </w:rPr>
        <w:t>) is an element of distinction.</w:t>
      </w:r>
      <w:r>
        <w:rPr>
          <w:rFonts w:eastAsia="Calibri"/>
        </w:rPr>
        <w:t xml:space="preserve"> From a very young age, individuals learn likes and dislikes, which Bourd</w:t>
      </w:r>
      <w:r w:rsidR="00030ABA">
        <w:rPr>
          <w:rFonts w:eastAsia="Calibri"/>
        </w:rPr>
        <w:t xml:space="preserve">ieu argued are class specific. </w:t>
      </w:r>
      <w:r>
        <w:rPr>
          <w:rFonts w:eastAsia="Calibri"/>
        </w:rPr>
        <w:t>Taste, then, becomes a weapon of power and a tool o</w:t>
      </w:r>
      <w:r w:rsidR="00030ABA">
        <w:rPr>
          <w:rFonts w:eastAsia="Calibri"/>
        </w:rPr>
        <w:t xml:space="preserve">f social class legitimization. </w:t>
      </w:r>
      <w:r>
        <w:rPr>
          <w:rFonts w:eastAsia="Calibri"/>
        </w:rPr>
        <w:t xml:space="preserve">He urged archaeologists and historians to think about taste not as a neutral preference but potentially an agent of exclusion in class struggles.      </w:t>
      </w:r>
    </w:p>
    <w:p w:rsidR="00731D7C" w:rsidRDefault="00731D7C" w:rsidP="00731D7C">
      <w:pPr>
        <w:spacing w:line="480" w:lineRule="auto"/>
        <w:ind w:firstLine="720"/>
        <w:rPr>
          <w:rFonts w:eastAsia="Calibri"/>
        </w:rPr>
      </w:pPr>
      <w:r>
        <w:rPr>
          <w:rFonts w:eastAsia="Calibri"/>
        </w:rPr>
        <w:t>Grant McCracken (1988) charged scholars with thinking of material culture as active and gener</w:t>
      </w:r>
      <w:r w:rsidR="00030ABA">
        <w:rPr>
          <w:rFonts w:eastAsia="Calibri"/>
        </w:rPr>
        <w:t xml:space="preserve">ative in the past and present. </w:t>
      </w:r>
      <w:r>
        <w:rPr>
          <w:rFonts w:eastAsia="Calibri"/>
        </w:rPr>
        <w:t xml:space="preserve">His work, </w:t>
      </w:r>
      <w:r w:rsidRPr="001C7A0E">
        <w:rPr>
          <w:rFonts w:eastAsia="Calibri"/>
          <w:i/>
        </w:rPr>
        <w:t>Culture and Consumption</w:t>
      </w:r>
      <w:r>
        <w:rPr>
          <w:rFonts w:eastAsia="Calibri"/>
          <w:i/>
        </w:rPr>
        <w:t>,</w:t>
      </w:r>
      <w:r w:rsidR="00A80C31">
        <w:rPr>
          <w:rFonts w:eastAsia="Calibri"/>
        </w:rPr>
        <w:t xml:space="preserve"> is less</w:t>
      </w:r>
      <w:r>
        <w:rPr>
          <w:rFonts w:eastAsia="Calibri"/>
        </w:rPr>
        <w:t xml:space="preserve"> a cohesive theory of material cul</w:t>
      </w:r>
      <w:r w:rsidR="00A80C31">
        <w:rPr>
          <w:rFonts w:eastAsia="Calibri"/>
        </w:rPr>
        <w:t>ture, and more a set of ideas about</w:t>
      </w:r>
      <w:r>
        <w:rPr>
          <w:rFonts w:eastAsia="Calibri"/>
        </w:rPr>
        <w:t xml:space="preserve"> how we should think </w:t>
      </w:r>
      <w:r w:rsidR="00030ABA">
        <w:rPr>
          <w:rFonts w:eastAsia="Calibri"/>
        </w:rPr>
        <w:t>of objects in certain contexts.</w:t>
      </w:r>
      <w:r>
        <w:rPr>
          <w:rFonts w:eastAsia="Calibri"/>
        </w:rPr>
        <w:t xml:space="preserve"> Foremost, McCracken argues that objects are the material embodiments of culture itself.  McCracken built on Simmel’s idea that consumer goods tr</w:t>
      </w:r>
      <w:r w:rsidR="00030ABA">
        <w:rPr>
          <w:rFonts w:eastAsia="Calibri"/>
        </w:rPr>
        <w:t xml:space="preserve">ickle-down through society. </w:t>
      </w:r>
      <w:r>
        <w:rPr>
          <w:rFonts w:eastAsia="Calibri"/>
        </w:rPr>
        <w:t xml:space="preserve">He </w:t>
      </w:r>
      <w:r>
        <w:rPr>
          <w:rFonts w:eastAsia="Calibri"/>
        </w:rPr>
        <w:lastRenderedPageBreak/>
        <w:t>argued instead that fashions and styles can be purposely co-opted by certa</w:t>
      </w:r>
      <w:r w:rsidR="00030ABA">
        <w:rPr>
          <w:rFonts w:eastAsia="Calibri"/>
        </w:rPr>
        <w:t>in groups for symbolic reasons.</w:t>
      </w:r>
      <w:r>
        <w:rPr>
          <w:rFonts w:eastAsia="Calibri"/>
        </w:rPr>
        <w:t xml:space="preserve"> Additionally, McCracken suggested that consumer goods embody cultural principles, can act as ballast or catalysts in times of social distress, communicate ideas in ways that differ from language, and that objects have a historical value that changes over time.  </w:t>
      </w:r>
    </w:p>
    <w:p w:rsidR="00731D7C" w:rsidRDefault="00731D7C" w:rsidP="00731D7C">
      <w:pPr>
        <w:spacing w:line="480" w:lineRule="auto"/>
        <w:ind w:firstLine="720"/>
        <w:rPr>
          <w:rFonts w:eastAsia="Calibri"/>
        </w:rPr>
      </w:pPr>
      <w:r>
        <w:rPr>
          <w:rFonts w:eastAsia="Calibri"/>
        </w:rPr>
        <w:t xml:space="preserve">Ann Smart Martin’s (2008) work is particularly relevant and represents one of the most recent conceptions of material </w:t>
      </w:r>
      <w:r w:rsidR="00030ABA">
        <w:rPr>
          <w:rFonts w:eastAsia="Calibri"/>
        </w:rPr>
        <w:t>culture theory and consumption.</w:t>
      </w:r>
      <w:r>
        <w:rPr>
          <w:rFonts w:eastAsia="Calibri"/>
        </w:rPr>
        <w:t xml:space="preserve"> Her concept of consumer goods is this – that they are complex bundles of individual, social, and cultural values, beliefs, and norms that are grafted onto things that </w:t>
      </w:r>
      <w:r w:rsidR="00030ABA">
        <w:rPr>
          <w:rFonts w:eastAsia="Calibri"/>
        </w:rPr>
        <w:t>can be seen, touched, and used.</w:t>
      </w:r>
      <w:r>
        <w:rPr>
          <w:rFonts w:eastAsia="Calibri"/>
        </w:rPr>
        <w:t xml:space="preserve"> In this model, she builds on the work of McCracken in suggesting that through objects, we can learn of cultural principles communicated materially.</w:t>
      </w:r>
    </w:p>
    <w:p w:rsidR="00731D7C" w:rsidRPr="003926A0" w:rsidRDefault="00731D7C" w:rsidP="00731D7C">
      <w:pPr>
        <w:spacing w:line="480" w:lineRule="auto"/>
        <w:ind w:firstLine="720"/>
        <w:rPr>
          <w:rFonts w:eastAsia="Calibri"/>
          <w:i/>
        </w:rPr>
      </w:pPr>
      <w:r w:rsidRPr="00CB6ACE">
        <w:rPr>
          <w:rFonts w:eastAsia="Calibri"/>
          <w:i/>
        </w:rPr>
        <w:t>Archaeological Approaches</w:t>
      </w:r>
      <w:r>
        <w:rPr>
          <w:rFonts w:eastAsia="Calibri"/>
          <w:i/>
        </w:rPr>
        <w:t xml:space="preserve">. </w:t>
      </w:r>
      <w:r>
        <w:rPr>
          <w:rFonts w:eastAsia="Calibri"/>
        </w:rPr>
        <w:t>Historical archaeologists began to study consumerism as a reflection of status and class in the 1970s, perhaps best embodied in the groundbreaking work of John Solomon Otto (1984), the first anthropologically-trained historical archaeologists to test for patterns of status and class in the archaeological reco</w:t>
      </w:r>
      <w:r w:rsidR="00030ABA">
        <w:rPr>
          <w:rFonts w:eastAsia="Calibri"/>
        </w:rPr>
        <w:t xml:space="preserve">rd (Orser 1987; Mullins 2011). </w:t>
      </w:r>
      <w:r>
        <w:rPr>
          <w:rFonts w:eastAsia="Calibri"/>
        </w:rPr>
        <w:t>Otto carried out this case study on the late eighteenth- through nineteenth- century Cannon’s Point Plantation in Georgia where he could compare the artifact assemblages of the white plantation owner, the free white overseer, an</w:t>
      </w:r>
      <w:r w:rsidR="00030ABA">
        <w:rPr>
          <w:rFonts w:eastAsia="Calibri"/>
        </w:rPr>
        <w:t xml:space="preserve">d the enslaved black laborers. </w:t>
      </w:r>
      <w:r>
        <w:rPr>
          <w:rFonts w:eastAsia="Calibri"/>
        </w:rPr>
        <w:t xml:space="preserve">Otto </w:t>
      </w:r>
      <w:r>
        <w:t xml:space="preserve">hypothesized that </w:t>
      </w:r>
      <w:r>
        <w:rPr>
          <w:rFonts w:eastAsia="Calibri"/>
        </w:rPr>
        <w:t xml:space="preserve">three potential status patterns </w:t>
      </w:r>
      <w:r>
        <w:t>would be evident in this comparative analysis</w:t>
      </w:r>
      <w:r w:rsidR="00030ABA">
        <w:rPr>
          <w:rFonts w:eastAsia="Calibri"/>
        </w:rPr>
        <w:t>.</w:t>
      </w:r>
      <w:r>
        <w:rPr>
          <w:rFonts w:eastAsia="Calibri"/>
        </w:rPr>
        <w:t xml:space="preserve"> A white dominan</w:t>
      </w:r>
      <w:r>
        <w:t>ce pattern would be reflected if</w:t>
      </w:r>
      <w:r>
        <w:rPr>
          <w:rFonts w:eastAsia="Calibri"/>
        </w:rPr>
        <w:t xml:space="preserve"> </w:t>
      </w:r>
      <w:r>
        <w:t xml:space="preserve">the planter household and overseer </w:t>
      </w:r>
      <w:r>
        <w:rPr>
          <w:rFonts w:eastAsia="Calibri"/>
        </w:rPr>
        <w:t>assemblages</w:t>
      </w:r>
      <w:r>
        <w:t xml:space="preserve"> were the same and the slave </w:t>
      </w:r>
      <w:r>
        <w:rPr>
          <w:rFonts w:eastAsia="Calibri"/>
        </w:rPr>
        <w:t>ass</w:t>
      </w:r>
      <w:r w:rsidR="00030ABA">
        <w:rPr>
          <w:rFonts w:eastAsia="Calibri"/>
        </w:rPr>
        <w:t>emblages exhibited differences.</w:t>
      </w:r>
      <w:r>
        <w:rPr>
          <w:rFonts w:eastAsia="Calibri"/>
        </w:rPr>
        <w:t xml:space="preserve"> If differences between owner, overseer, and slave were found, then a hierarchical pattern that reflected </w:t>
      </w:r>
      <w:r>
        <w:t>status and</w:t>
      </w:r>
      <w:r>
        <w:rPr>
          <w:rFonts w:eastAsia="Calibri"/>
        </w:rPr>
        <w:t xml:space="preserve"> occupation</w:t>
      </w:r>
      <w:r>
        <w:t>al</w:t>
      </w:r>
      <w:r>
        <w:rPr>
          <w:rFonts w:eastAsia="Calibri"/>
        </w:rPr>
        <w:t xml:space="preserve"> differences would </w:t>
      </w:r>
      <w:r>
        <w:t>exist</w:t>
      </w:r>
      <w:r w:rsidR="00030ABA">
        <w:rPr>
          <w:rFonts w:eastAsia="Calibri"/>
        </w:rPr>
        <w:t xml:space="preserve">. </w:t>
      </w:r>
      <w:r>
        <w:rPr>
          <w:rFonts w:eastAsia="Calibri"/>
        </w:rPr>
        <w:t>Finally, if the slave and overseer assemblages were the same, but the planters’ exhibited distinct differences, then a wealth-poverty pattern would become apparent</w:t>
      </w:r>
      <w:r w:rsidR="00A80C31">
        <w:rPr>
          <w:rFonts w:eastAsia="Calibri"/>
        </w:rPr>
        <w:t>,</w:t>
      </w:r>
      <w:r>
        <w:rPr>
          <w:rFonts w:eastAsia="Calibri"/>
        </w:rPr>
        <w:t xml:space="preserve"> reflecting economic </w:t>
      </w:r>
      <w:r>
        <w:rPr>
          <w:rFonts w:eastAsia="Calibri"/>
        </w:rPr>
        <w:lastRenderedPageBreak/>
        <w:t>differences between owners and workers, enslaved or free.</w:t>
      </w:r>
      <w:r w:rsidR="00030ABA">
        <w:t xml:space="preserve"> </w:t>
      </w:r>
      <w:r>
        <w:rPr>
          <w:rFonts w:eastAsia="Calibri"/>
        </w:rPr>
        <w:t xml:space="preserve">Interestingly, what Otto found </w:t>
      </w:r>
      <w:r>
        <w:t xml:space="preserve">in the material assemblages of the three contexts was much more complex – </w:t>
      </w:r>
      <w:r>
        <w:rPr>
          <w:rFonts w:eastAsia="Calibri"/>
        </w:rPr>
        <w:t>a mix of all status patterns occurred in the architectural, foo</w:t>
      </w:r>
      <w:r w:rsidR="00030ABA">
        <w:rPr>
          <w:rFonts w:eastAsia="Calibri"/>
        </w:rPr>
        <w:t>dways, and possessions domains.</w:t>
      </w:r>
      <w:r>
        <w:rPr>
          <w:rFonts w:eastAsia="Calibri"/>
        </w:rPr>
        <w:t xml:space="preserve"> For example, the planter’s refuse contained an assemblage of diverse</w:t>
      </w:r>
      <w:r w:rsidR="00A80C31">
        <w:rPr>
          <w:rFonts w:eastAsia="Calibri"/>
        </w:rPr>
        <w:t>, non-local</w:t>
      </w:r>
      <w:r>
        <w:rPr>
          <w:rFonts w:eastAsia="Calibri"/>
        </w:rPr>
        <w:t xml:space="preserve"> species, while the slaves</w:t>
      </w:r>
      <w:r w:rsidR="00B45186">
        <w:rPr>
          <w:rFonts w:eastAsia="Calibri"/>
        </w:rPr>
        <w:t>’</w:t>
      </w:r>
      <w:r>
        <w:rPr>
          <w:rFonts w:eastAsia="Calibri"/>
        </w:rPr>
        <w:t xml:space="preserve"> and overseer</w:t>
      </w:r>
      <w:r w:rsidR="00B45186">
        <w:rPr>
          <w:rFonts w:eastAsia="Calibri"/>
        </w:rPr>
        <w:t>’</w:t>
      </w:r>
      <w:r>
        <w:rPr>
          <w:rFonts w:eastAsia="Calibri"/>
        </w:rPr>
        <w:t>s diets evidenced a hunting and harvesting pattern representing acquisition of nearby resour</w:t>
      </w:r>
      <w:r w:rsidR="00030ABA">
        <w:rPr>
          <w:rFonts w:eastAsia="Calibri"/>
        </w:rPr>
        <w:t xml:space="preserve">ces. </w:t>
      </w:r>
      <w:r w:rsidR="00A80C31">
        <w:rPr>
          <w:rFonts w:eastAsia="Calibri"/>
        </w:rPr>
        <w:t>Additionally, the planter used more transfer-</w:t>
      </w:r>
      <w:r>
        <w:rPr>
          <w:rFonts w:eastAsia="Calibri"/>
        </w:rPr>
        <w:t>pr</w:t>
      </w:r>
      <w:r w:rsidR="00A80C31">
        <w:rPr>
          <w:rFonts w:eastAsia="Calibri"/>
        </w:rPr>
        <w:t>inted flatwares, while overseer</w:t>
      </w:r>
      <w:r>
        <w:rPr>
          <w:rFonts w:eastAsia="Calibri"/>
        </w:rPr>
        <w:t xml:space="preserve"> and slaves used more hollowwares and banded</w:t>
      </w:r>
      <w:r w:rsidR="00030ABA">
        <w:rPr>
          <w:rFonts w:eastAsia="Calibri"/>
        </w:rPr>
        <w:t>, edged, and undecorated wares.</w:t>
      </w:r>
      <w:r>
        <w:rPr>
          <w:rFonts w:eastAsia="Calibri"/>
        </w:rPr>
        <w:t xml:space="preserve"> The wealth</w:t>
      </w:r>
      <w:r>
        <w:t>-poverty model would explain the</w:t>
      </w:r>
      <w:r>
        <w:rPr>
          <w:rFonts w:eastAsia="Calibri"/>
        </w:rPr>
        <w:t>s</w:t>
      </w:r>
      <w:r>
        <w:t>e</w:t>
      </w:r>
      <w:r>
        <w:rPr>
          <w:rFonts w:eastAsia="Calibri"/>
        </w:rPr>
        <w:t xml:space="preserve"> pattern</w:t>
      </w:r>
      <w:r>
        <w:t>s</w:t>
      </w:r>
      <w:r w:rsidR="00030ABA">
        <w:rPr>
          <w:rFonts w:eastAsia="Calibri"/>
        </w:rPr>
        <w:t>.</w:t>
      </w:r>
      <w:r>
        <w:rPr>
          <w:rFonts w:eastAsia="Calibri"/>
        </w:rPr>
        <w:t xml:space="preserve"> On the other hand, the </w:t>
      </w:r>
      <w:r>
        <w:t>dwellings</w:t>
      </w:r>
      <w:r>
        <w:rPr>
          <w:rFonts w:eastAsia="Calibri"/>
        </w:rPr>
        <w:t xml:space="preserve"> of the owner and overseer were</w:t>
      </w:r>
      <w:r>
        <w:t xml:space="preserve"> more architecturally similar, both</w:t>
      </w:r>
      <w:r>
        <w:rPr>
          <w:rFonts w:eastAsia="Calibri"/>
        </w:rPr>
        <w:t xml:space="preserve"> constructed of higher quality materials built to last longer durations</w:t>
      </w:r>
      <w:r>
        <w:t xml:space="preserve"> in contrast to the impermanent, low-cost solutions evident at the slave quarters</w:t>
      </w:r>
      <w:r>
        <w:rPr>
          <w:rFonts w:eastAsia="Calibri"/>
        </w:rPr>
        <w:t xml:space="preserve"> – this is an example</w:t>
      </w:r>
      <w:r w:rsidR="00030ABA">
        <w:rPr>
          <w:rFonts w:eastAsia="Calibri"/>
        </w:rPr>
        <w:t xml:space="preserve"> of the white dominance model. </w:t>
      </w:r>
      <w:r>
        <w:rPr>
          <w:rFonts w:eastAsia="Calibri"/>
        </w:rPr>
        <w:t>Therefore, Otto concludes that the archaeological record contain</w:t>
      </w:r>
      <w:r w:rsidR="00B45186">
        <w:rPr>
          <w:rFonts w:eastAsia="Calibri"/>
        </w:rPr>
        <w:t>s</w:t>
      </w:r>
      <w:r>
        <w:rPr>
          <w:rFonts w:eastAsia="Calibri"/>
        </w:rPr>
        <w:t xml:space="preserve"> evidence of multiple</w:t>
      </w:r>
      <w:r w:rsidR="00B45186">
        <w:rPr>
          <w:rFonts w:eastAsia="Calibri"/>
        </w:rPr>
        <w:t xml:space="preserve"> status patterns</w:t>
      </w:r>
      <w:r>
        <w:rPr>
          <w:rFonts w:eastAsia="Calibri"/>
        </w:rPr>
        <w:t xml:space="preserve">.  </w:t>
      </w:r>
    </w:p>
    <w:p w:rsidR="00731D7C" w:rsidRDefault="00731D7C" w:rsidP="00731D7C">
      <w:pPr>
        <w:spacing w:line="480" w:lineRule="auto"/>
        <w:ind w:firstLine="720"/>
        <w:rPr>
          <w:rFonts w:eastAsia="Calibri"/>
        </w:rPr>
      </w:pPr>
      <w:r>
        <w:rPr>
          <w:rFonts w:eastAsia="Calibri"/>
        </w:rPr>
        <w:t>These findings, in fact, foreshadow future direct</w:t>
      </w:r>
      <w:r w:rsidR="00B45186">
        <w:rPr>
          <w:rFonts w:eastAsia="Calibri"/>
        </w:rPr>
        <w:t>ions of historical archaeologists’</w:t>
      </w:r>
      <w:r>
        <w:rPr>
          <w:rFonts w:eastAsia="Calibri"/>
        </w:rPr>
        <w:t xml:space="preserve"> approach</w:t>
      </w:r>
      <w:r w:rsidR="00B45186">
        <w:rPr>
          <w:rFonts w:eastAsia="Calibri"/>
        </w:rPr>
        <w:t>es</w:t>
      </w:r>
      <w:r>
        <w:rPr>
          <w:rFonts w:eastAsia="Calibri"/>
        </w:rPr>
        <w:t xml:space="preserve"> to status and identit</w:t>
      </w:r>
      <w:r w:rsidR="00030ABA">
        <w:rPr>
          <w:rFonts w:eastAsia="Calibri"/>
        </w:rPr>
        <w:t>y in the archaeological record.</w:t>
      </w:r>
      <w:r>
        <w:rPr>
          <w:rFonts w:eastAsia="Calibri"/>
        </w:rPr>
        <w:t xml:space="preserve"> Problematically, this early work defined class as a ladder into which individuals </w:t>
      </w:r>
      <w:r w:rsidR="00030ABA">
        <w:rPr>
          <w:rFonts w:eastAsia="Calibri"/>
        </w:rPr>
        <w:t>are ranked depending on wealth.</w:t>
      </w:r>
      <w:r>
        <w:rPr>
          <w:rFonts w:eastAsia="Calibri"/>
        </w:rPr>
        <w:t xml:space="preserve"> More recent definitions of class take into account the agency of the individual and the fluidity of class definitions (Wurst 1999; Mullins </w:t>
      </w:r>
      <w:r w:rsidRPr="00282EC8">
        <w:rPr>
          <w:rFonts w:eastAsia="Calibri"/>
        </w:rPr>
        <w:t>2011:18)</w:t>
      </w:r>
      <w:r w:rsidR="00030ABA">
        <w:rPr>
          <w:rFonts w:eastAsia="Calibri"/>
        </w:rPr>
        <w:t xml:space="preserve">. </w:t>
      </w:r>
      <w:r>
        <w:rPr>
          <w:rFonts w:eastAsia="Calibri"/>
        </w:rPr>
        <w:t xml:space="preserve">Additionally, archaeologists have come to understand identity as the complex intersection of multiple contexts including class, race, gender, and ethnicity and that the use of material culture may be a reflection of a combination of these constituent parts of identity formation at any given point (Delle et al. 2000).  </w:t>
      </w:r>
      <w:r>
        <w:t xml:space="preserve">  </w:t>
      </w:r>
      <w:r>
        <w:rPr>
          <w:rFonts w:eastAsia="Calibri"/>
        </w:rPr>
        <w:t xml:space="preserve"> </w:t>
      </w:r>
    </w:p>
    <w:p w:rsidR="00731D7C" w:rsidRDefault="00731D7C" w:rsidP="00731D7C">
      <w:pPr>
        <w:spacing w:line="480" w:lineRule="auto"/>
        <w:ind w:firstLine="720"/>
        <w:rPr>
          <w:rFonts w:eastAsia="Calibri"/>
        </w:rPr>
      </w:pPr>
      <w:r>
        <w:rPr>
          <w:rFonts w:eastAsia="Calibri"/>
        </w:rPr>
        <w:t>George Miller’s (1980, 1991) development of the ceramic indexing method remains arguably one of the most consistently applied analytical tools in histo</w:t>
      </w:r>
      <w:r w:rsidR="00030ABA">
        <w:rPr>
          <w:rFonts w:eastAsia="Calibri"/>
        </w:rPr>
        <w:t xml:space="preserve">rical archaeology, even today. </w:t>
      </w:r>
      <w:r>
        <w:rPr>
          <w:rFonts w:eastAsia="Calibri"/>
        </w:rPr>
        <w:t xml:space="preserve">As opposed to Otto’s micro-scaled approach of one plantation context, Miller developed a </w:t>
      </w:r>
      <w:r>
        <w:rPr>
          <w:rFonts w:eastAsia="Calibri"/>
        </w:rPr>
        <w:lastRenderedPageBreak/>
        <w:t>broad comparative methodology that would allow archaeologists to assess economic investment in ceramic assemblages from archaeological sites dating to the late eight</w:t>
      </w:r>
      <w:r w:rsidR="00030ABA">
        <w:rPr>
          <w:rFonts w:eastAsia="Calibri"/>
        </w:rPr>
        <w:t>eenth and nineteenth centuries.</w:t>
      </w:r>
      <w:r>
        <w:rPr>
          <w:rFonts w:eastAsia="Calibri"/>
        </w:rPr>
        <w:t xml:space="preserve"> </w:t>
      </w:r>
      <w:r>
        <w:t>Miller (1980:10) argues that</w:t>
      </w:r>
      <w:r>
        <w:rPr>
          <w:rFonts w:eastAsia="Calibri"/>
        </w:rPr>
        <w:t xml:space="preserve"> “for the archaeologist, or any other scholar studying material culture, the ability to scale assemblages in socio-economic terms is very im</w:t>
      </w:r>
      <w:r w:rsidR="00030ABA">
        <w:rPr>
          <w:rFonts w:eastAsia="Calibri"/>
        </w:rPr>
        <w:t xml:space="preserve">portant.” </w:t>
      </w:r>
      <w:r>
        <w:rPr>
          <w:rFonts w:eastAsia="Calibri"/>
        </w:rPr>
        <w:t>Utilizing documentary data that recorded ceramic prices in the form of price-fixing agreements between pottery factories,</w:t>
      </w:r>
      <w:r w:rsidRPr="00DB438C">
        <w:t xml:space="preserve"> </w:t>
      </w:r>
      <w:r>
        <w:t>Miller derived a baseline index value of 1 for the most stable and cheaply-</w:t>
      </w:r>
      <w:r>
        <w:rPr>
          <w:rFonts w:eastAsia="Calibri"/>
        </w:rPr>
        <w:t xml:space="preserve">priced ceramic </w:t>
      </w:r>
      <w:r w:rsidR="00721405">
        <w:t xml:space="preserve">(plain, undecorated creamware) </w:t>
      </w:r>
      <w:r>
        <w:rPr>
          <w:rFonts w:eastAsia="Calibri"/>
        </w:rPr>
        <w:t xml:space="preserve">available </w:t>
      </w:r>
      <w:r>
        <w:t>throughout the nineteenth century</w:t>
      </w:r>
      <w:r>
        <w:rPr>
          <w:rFonts w:eastAsia="Calibri"/>
        </w:rPr>
        <w:t xml:space="preserve"> </w:t>
      </w:r>
      <w:r w:rsidR="00721405">
        <w:rPr>
          <w:rFonts w:eastAsia="Calibri"/>
        </w:rPr>
        <w:t xml:space="preserve">(ca. 1796 to 1860) </w:t>
      </w:r>
      <w:r>
        <w:t xml:space="preserve">from which </w:t>
      </w:r>
      <w:r>
        <w:rPr>
          <w:rFonts w:eastAsia="Calibri"/>
        </w:rPr>
        <w:t>all other ceram</w:t>
      </w:r>
      <w:r>
        <w:t>ic decoration types and forms could be compared and ranked in terms of relative index value</w:t>
      </w:r>
      <w:r>
        <w:rPr>
          <w:rFonts w:eastAsia="Calibri"/>
        </w:rPr>
        <w:t>.</w:t>
      </w:r>
      <w:r w:rsidR="00030ABA">
        <w:t xml:space="preserve"> He calls this the “CC index.” </w:t>
      </w:r>
      <w:r>
        <w:t>For example, in 1796, transfer-printed dishes measuring 14 inches in diameter had an index value of 6, meaning that this type of decorated vessel had an economic value 6 times that of undecorated creamware at the end of the eig</w:t>
      </w:r>
      <w:r w:rsidR="00030ABA">
        <w:t xml:space="preserve">hteenth century (Miller 1991). </w:t>
      </w:r>
      <w:r>
        <w:t>Unfortunately, the vast amount of data and research that Miller collected for these studies has been used in fairl</w:t>
      </w:r>
      <w:r w:rsidR="00030ABA">
        <w:t xml:space="preserve">y basic, comparative analyses. </w:t>
      </w:r>
      <w:r>
        <w:t>Beyond calculating the index value for a series of sites dating to the same period, little theorizing has been undertaken to explore what might account for the differences, if they are even significant</w:t>
      </w:r>
      <w:r w:rsidR="00E4380E">
        <w:t xml:space="preserve"> (however, see Miller and Hurry’s (1983) study of consumer choice affected by non-socio-economic factors)</w:t>
      </w:r>
      <w:r w:rsidR="00030ABA">
        <w:t xml:space="preserve">. </w:t>
      </w:r>
      <w:r>
        <w:t>Mullins (2011:20-21) comments, “Much of the 1980s archaeology examining ceramic index values was focused on how to interpret these measures of ceramic expenditure and model consumption processes, and in retrospect some of the definitions of status and identity in those studies were under-theorized, reducing social identity to a single graduate ladder l</w:t>
      </w:r>
      <w:r w:rsidR="00030ABA">
        <w:t xml:space="preserve">argely determined by wealth.” </w:t>
      </w:r>
      <w:r>
        <w:t xml:space="preserve">One assemblage’s total index value might be lower than another’s for multiple, cross-cutting reasons including household wealth, access to market, personal taste, investment strategies, not to mention site formation processes.       </w:t>
      </w:r>
      <w:r>
        <w:rPr>
          <w:rFonts w:eastAsia="Calibri"/>
        </w:rPr>
        <w:t xml:space="preserve">      </w:t>
      </w:r>
    </w:p>
    <w:p w:rsidR="00E4380E" w:rsidRDefault="00731D7C" w:rsidP="00731D7C">
      <w:pPr>
        <w:spacing w:line="480" w:lineRule="auto"/>
        <w:ind w:firstLine="720"/>
        <w:rPr>
          <w:rFonts w:eastAsia="Calibri"/>
        </w:rPr>
      </w:pPr>
      <w:r>
        <w:rPr>
          <w:rFonts w:eastAsia="Calibri"/>
        </w:rPr>
        <w:lastRenderedPageBreak/>
        <w:t xml:space="preserve">This vein of research on economic scaling and status culminated in the edited volume, </w:t>
      </w:r>
      <w:r w:rsidRPr="00D94B47">
        <w:rPr>
          <w:rFonts w:eastAsia="Calibri"/>
          <w:i/>
        </w:rPr>
        <w:t>Consume</w:t>
      </w:r>
      <w:r>
        <w:rPr>
          <w:rFonts w:eastAsia="Calibri"/>
          <w:i/>
        </w:rPr>
        <w:t>r</w:t>
      </w:r>
      <w:r w:rsidRPr="00D94B47">
        <w:rPr>
          <w:rFonts w:eastAsia="Calibri"/>
          <w:i/>
        </w:rPr>
        <w:t xml:space="preserve"> Choice in Historical Archaeology </w:t>
      </w:r>
      <w:r>
        <w:rPr>
          <w:rFonts w:eastAsia="Calibri"/>
        </w:rPr>
        <w:t>(</w:t>
      </w:r>
      <w:r w:rsidR="00721405">
        <w:t xml:space="preserve">Spencer-Wood </w:t>
      </w:r>
      <w:r w:rsidR="00030ABA">
        <w:rPr>
          <w:rFonts w:eastAsia="Calibri"/>
        </w:rPr>
        <w:t xml:space="preserve">1987). </w:t>
      </w:r>
      <w:r>
        <w:rPr>
          <w:rFonts w:eastAsia="Calibri"/>
        </w:rPr>
        <w:t xml:space="preserve">The authors </w:t>
      </w:r>
      <w:r>
        <w:t>generally argue</w:t>
      </w:r>
      <w:r w:rsidR="00E4380E">
        <w:t>d</w:t>
      </w:r>
      <w:r>
        <w:rPr>
          <w:rFonts w:eastAsia="Calibri"/>
        </w:rPr>
        <w:t xml:space="preserve"> that socio-economic status is the principle determinant in consumer choice, </w:t>
      </w:r>
      <w:r>
        <w:t>while also acknowledging that a</w:t>
      </w:r>
      <w:r>
        <w:rPr>
          <w:rFonts w:eastAsia="Calibri"/>
        </w:rPr>
        <w:t xml:space="preserve"> consumer choice framework </w:t>
      </w:r>
      <w:r>
        <w:t>must take</w:t>
      </w:r>
      <w:r>
        <w:rPr>
          <w:rFonts w:eastAsia="Calibri"/>
        </w:rPr>
        <w:t xml:space="preserve"> into account</w:t>
      </w:r>
      <w:r>
        <w:t xml:space="preserve"> additional factors such as</w:t>
      </w:r>
      <w:r>
        <w:rPr>
          <w:rFonts w:eastAsia="Calibri"/>
        </w:rPr>
        <w:t xml:space="preserve">: </w:t>
      </w:r>
      <w:r>
        <w:t xml:space="preserve">the </w:t>
      </w:r>
      <w:r>
        <w:rPr>
          <w:rFonts w:eastAsia="Calibri"/>
        </w:rPr>
        <w:t>American market economy; social stratification; market access; ethnicity; and household size and structure.</w:t>
      </w:r>
      <w:r w:rsidR="00030ABA">
        <w:t xml:space="preserve"> </w:t>
      </w:r>
      <w:r>
        <w:t>Editor Suzanne</w:t>
      </w:r>
      <w:r w:rsidR="00E4380E">
        <w:t xml:space="preserve"> Spencer-Wood (1987:1) wrote</w:t>
      </w:r>
      <w:r>
        <w:t>, “Considered as a whole, this volume begins to differentiate those situations in which archaeological patterns can be related to socioeconomic status behaviors and those situations in which other behaviors may be more strongly related to the archaeological patterns.”</w:t>
      </w:r>
      <w:r>
        <w:rPr>
          <w:rFonts w:eastAsia="Calibri"/>
        </w:rPr>
        <w:t xml:space="preserve">  </w:t>
      </w:r>
    </w:p>
    <w:p w:rsidR="00731D7C" w:rsidRDefault="00731D7C" w:rsidP="00731D7C">
      <w:pPr>
        <w:spacing w:line="480" w:lineRule="auto"/>
        <w:ind w:firstLine="720"/>
        <w:rPr>
          <w:rFonts w:eastAsia="Calibri"/>
        </w:rPr>
      </w:pPr>
      <w:r>
        <w:t>Though the preceding works may be critiqued for their single-minded focus on wealth as a motivator for consumer behavior and their static definition of class, their work reminds us that concepts of meaning and identity are grounded in certain economic real</w:t>
      </w:r>
      <w:r w:rsidR="00030ABA">
        <w:t>ities.</w:t>
      </w:r>
      <w:r>
        <w:t xml:space="preserve"> “Economic anthropologists and archaeologists both consider social status differences that are related to economic roles as one of the major facto</w:t>
      </w:r>
      <w:r w:rsidR="00030ABA">
        <w:t xml:space="preserve">rs in unequal access to goods. </w:t>
      </w:r>
      <w:r>
        <w:t xml:space="preserve">Current consumer behavior research has established the highest correlations between occupation, social class, and types of consumer goods selected by house residents from the </w:t>
      </w:r>
      <w:r w:rsidR="00030ABA">
        <w:t xml:space="preserve">market” (Spencer-Wood 1987:6). </w:t>
      </w:r>
      <w:r>
        <w:t xml:space="preserve">This statement in and </w:t>
      </w:r>
      <w:r w:rsidR="00030ABA">
        <w:t>of itself is probably accurate.</w:t>
      </w:r>
      <w:r>
        <w:t xml:space="preserve"> The difficulty arises, however, when confronted with an actual ma</w:t>
      </w:r>
      <w:r w:rsidR="00030ABA">
        <w:t xml:space="preserve">terial assemblage. </w:t>
      </w:r>
      <w:r>
        <w:t xml:space="preserve">Correlating patterns of artifacts to specific, static socio-economic groups </w:t>
      </w:r>
      <w:r w:rsidR="00E4380E">
        <w:t xml:space="preserve">(which are actually quite fluid) </w:t>
      </w:r>
      <w:r>
        <w:t xml:space="preserve">masks underlying elements of choice, significance, and meaning that go into creating and being created by one’s material world. </w:t>
      </w:r>
      <w:r>
        <w:rPr>
          <w:rFonts w:eastAsia="Calibri"/>
        </w:rPr>
        <w:t xml:space="preserve">“A challenging archaeological picture of consumption requires us to push beyond the facile archaeological presumption that the past has been peopled by economically rational consumers whose materiality reflects orderly circumscribed identities projected onto symbolically static </w:t>
      </w:r>
      <w:r w:rsidR="00030ABA">
        <w:rPr>
          <w:rFonts w:eastAsia="Calibri"/>
        </w:rPr>
        <w:lastRenderedPageBreak/>
        <w:t xml:space="preserve">things. </w:t>
      </w:r>
      <w:r>
        <w:rPr>
          <w:rFonts w:eastAsia="Calibri"/>
        </w:rPr>
        <w:t xml:space="preserve">Instead, archaeologists are compelled to wrestle with somewhat messy dimensions of desire, identity fluidity, and symbolic </w:t>
      </w:r>
      <w:r w:rsidR="00030ABA">
        <w:rPr>
          <w:rFonts w:eastAsia="Calibri"/>
        </w:rPr>
        <w:t>multivalence” (Mullins 2011:3).</w:t>
      </w:r>
      <w:r>
        <w:rPr>
          <w:rFonts w:eastAsia="Calibri"/>
        </w:rPr>
        <w:t xml:space="preserve"> Though historical archaeologists have sufficiently problematized the concepts of class and status, studies of consumerism “will likely always examine relative affluence and the relationship between wealth and social standing” (Mullins 2011:177). </w:t>
      </w:r>
    </w:p>
    <w:p w:rsidR="00731D7C" w:rsidRDefault="00731D7C" w:rsidP="00731D7C">
      <w:pPr>
        <w:spacing w:line="480" w:lineRule="auto"/>
        <w:ind w:firstLine="720"/>
        <w:rPr>
          <w:rFonts w:eastAsia="Calibri"/>
        </w:rPr>
      </w:pPr>
      <w:r>
        <w:rPr>
          <w:rFonts w:eastAsia="Calibri"/>
        </w:rPr>
        <w:t xml:space="preserve">While not specifically focused on consumerism, Beaudry et al.’s (1991) article </w:t>
      </w:r>
      <w:r>
        <w:t xml:space="preserve">argued for the adoption of a new approach to artifacts that recognizes their communicative and discursive potential in the act of identity formation, reaching beyond positivist stances and Marxist interpretations, </w:t>
      </w:r>
      <w:r>
        <w:rPr>
          <w:rFonts w:eastAsia="Calibri"/>
        </w:rPr>
        <w:t>and putting distance between the association of artifac</w:t>
      </w:r>
      <w:r w:rsidR="00030ABA">
        <w:rPr>
          <w:rFonts w:eastAsia="Calibri"/>
        </w:rPr>
        <w:t xml:space="preserve">ts with socio-economic status. </w:t>
      </w:r>
      <w:r>
        <w:rPr>
          <w:rFonts w:eastAsia="Calibri"/>
        </w:rPr>
        <w:t xml:space="preserve">The work reflects a turn from processual-oriented studies of historical archaeology to those that fall </w:t>
      </w:r>
      <w:r w:rsidR="00030ABA">
        <w:rPr>
          <w:rFonts w:eastAsia="Calibri"/>
        </w:rPr>
        <w:t xml:space="preserve">within post-modern frameworks. </w:t>
      </w:r>
      <w:r>
        <w:rPr>
          <w:rFonts w:eastAsia="Calibri"/>
        </w:rPr>
        <w:t>Instead of viewing material culture as an external representation of class categories, Beaudry et al. (1991) contend that artifacts act as symbols of group identity definition and boundaries for not only the empowered in society, but the disenfranchised and non-</w:t>
      </w:r>
      <w:r w:rsidR="00030ABA">
        <w:rPr>
          <w:rFonts w:eastAsia="Calibri"/>
        </w:rPr>
        <w:t>mainstream subcultures as well.</w:t>
      </w:r>
      <w:r>
        <w:rPr>
          <w:rFonts w:eastAsia="Calibri"/>
        </w:rPr>
        <w:t xml:space="preserve"> </w:t>
      </w:r>
      <w:r>
        <w:t>The authors use their work at the Boot Mills in Lowell, Massachusetts to show how the working class engaged the managers in a subversive, dialectical discourse using artifacts such as tobacco</w:t>
      </w:r>
      <w:r w:rsidR="00030ABA">
        <w:t xml:space="preserve"> pipes, alcohol, and ceramics. </w:t>
      </w:r>
      <w:r>
        <w:t xml:space="preserve">These hegemonic discourses that occurred in the material realm allowed “for working-class ideology and working-class culture creative, active roles in the social process, rather than viewing them as dictated by and distilled from the ideologies and cultures of politically or economically dominant groups” (Beaudry et al. 1991:165).    </w:t>
      </w:r>
      <w:r>
        <w:rPr>
          <w:rFonts w:eastAsia="Calibri"/>
        </w:rPr>
        <w:t xml:space="preserve">      </w:t>
      </w:r>
    </w:p>
    <w:p w:rsidR="00731D7C" w:rsidRDefault="00731D7C" w:rsidP="00731D7C">
      <w:pPr>
        <w:spacing w:line="480" w:lineRule="auto"/>
        <w:ind w:firstLine="720"/>
        <w:rPr>
          <w:rFonts w:eastAsia="Calibri"/>
        </w:rPr>
      </w:pPr>
      <w:r>
        <w:rPr>
          <w:rFonts w:eastAsia="Calibri"/>
        </w:rPr>
        <w:t>Paul Mullins’ (1996, 1999) study</w:t>
      </w:r>
      <w:r w:rsidR="00E4380E">
        <w:rPr>
          <w:rFonts w:eastAsia="Calibri"/>
        </w:rPr>
        <w:t xml:space="preserve"> of Annapolis from 1850 to 1930</w:t>
      </w:r>
      <w:r>
        <w:rPr>
          <w:rFonts w:eastAsia="Calibri"/>
        </w:rPr>
        <w:t xml:space="preserve"> explores the intersection of consumerism and racism during a period when, concurrently, consumer culture became normalized within American culture as did the adoption of a racial ideology. McCracken </w:t>
      </w:r>
      <w:r>
        <w:rPr>
          <w:rFonts w:eastAsia="Calibri"/>
        </w:rPr>
        <w:lastRenderedPageBreak/>
        <w:t>(1988:22) characterizes this period as one in which the consumer revolution had become a “structural feature of social life,” which he attributes to the development and institutionaliz</w:t>
      </w:r>
      <w:r w:rsidR="00030ABA">
        <w:rPr>
          <w:rFonts w:eastAsia="Calibri"/>
        </w:rPr>
        <w:t xml:space="preserve">ation of the department store. </w:t>
      </w:r>
      <w:r>
        <w:rPr>
          <w:rFonts w:eastAsia="Calibri"/>
        </w:rPr>
        <w:t>Unlike the eighteenth century, during the nineteenth century, mass consumption became a descriptive term that assumed all of America society participated in events such as shopping, gazing at prized items through department store windows, and succumbing to clever mar</w:t>
      </w:r>
      <w:r w:rsidR="00030ABA">
        <w:rPr>
          <w:rFonts w:eastAsia="Calibri"/>
        </w:rPr>
        <w:t xml:space="preserve">keting campaigns. </w:t>
      </w:r>
      <w:r>
        <w:rPr>
          <w:rFonts w:eastAsia="Calibri"/>
        </w:rPr>
        <w:t>Mullins (1999:34) notes, “Consumer culture is often seen as a ‘mass culture’: i.e., it replaced significant class distinctions with mass standards of living and social conventions sha</w:t>
      </w:r>
      <w:r w:rsidR="00030ABA">
        <w:rPr>
          <w:rFonts w:eastAsia="Calibri"/>
        </w:rPr>
        <w:t>red by virtually all citizens.”</w:t>
      </w:r>
      <w:r>
        <w:rPr>
          <w:rFonts w:eastAsia="Calibri"/>
        </w:rPr>
        <w:t xml:space="preserve"> His research into African American consumerism at the turn of the twentieth century found, however, that “African American consumers were never free of racism and that they adopted a series of strategies to struggle against how they were defined as consumers” (Orser 2007:29). These strategies were class-dependent in the African American community – elite blacks invested in expressions of genteel social performance whereas middle and lower class blacks consumed portable objects of material culture that fall into the category of knickknacks a</w:t>
      </w:r>
      <w:r w:rsidR="00030ABA">
        <w:rPr>
          <w:rFonts w:eastAsia="Calibri"/>
        </w:rPr>
        <w:t xml:space="preserve">nd bric-a-brac (Mullins 1996). </w:t>
      </w:r>
      <w:r>
        <w:rPr>
          <w:rFonts w:eastAsia="Calibri"/>
        </w:rPr>
        <w:t>Archaeological evidence suggests that African Americans favored national brands, specifically in their use and discard of branded bot</w:t>
      </w:r>
      <w:r w:rsidR="00030ABA">
        <w:rPr>
          <w:rFonts w:eastAsia="Calibri"/>
        </w:rPr>
        <w:t>tles in the nineteenth century.</w:t>
      </w:r>
      <w:r>
        <w:rPr>
          <w:rFonts w:eastAsia="Calibri"/>
        </w:rPr>
        <w:t xml:space="preserve"> Mullins argues that this tactic circumvented local chains and markets where racism was experienced most strongly and tapped into national retail chains where racism was</w:t>
      </w:r>
      <w:r w:rsidR="00030ABA">
        <w:rPr>
          <w:rFonts w:eastAsia="Calibri"/>
        </w:rPr>
        <w:t xml:space="preserve"> less pervasive (Mullins 1999).</w:t>
      </w:r>
      <w:r>
        <w:rPr>
          <w:rFonts w:eastAsia="Calibri"/>
        </w:rPr>
        <w:t xml:space="preserve"> Finally, the archaeological record shows a pattern of decreased reliance on fish as a dietary staple in deposits dating to this period which he interprets as a conscious effort on the part of African Americans to distance themselves from prevalent racist stereotypes.   </w:t>
      </w:r>
      <w:r>
        <w:rPr>
          <w:rFonts w:eastAsia="Calibri"/>
        </w:rPr>
        <w:tab/>
      </w:r>
    </w:p>
    <w:p w:rsidR="00731D7C" w:rsidRDefault="00731D7C" w:rsidP="00731D7C">
      <w:pPr>
        <w:spacing w:line="480" w:lineRule="auto"/>
        <w:ind w:firstLine="720"/>
        <w:rPr>
          <w:rFonts w:eastAsia="Calibri"/>
        </w:rPr>
      </w:pPr>
      <w:r w:rsidRPr="008A52CD">
        <w:rPr>
          <w:rFonts w:eastAsia="Calibri"/>
        </w:rPr>
        <w:t>Excavations of</w:t>
      </w:r>
      <w:r>
        <w:rPr>
          <w:rFonts w:eastAsia="Calibri"/>
        </w:rPr>
        <w:t xml:space="preserve"> the infamous nineteenth century Five Points neighborhood in New York offers another opportunity to explore the intersections of race, class, ethnicity, and consumer </w:t>
      </w:r>
      <w:r w:rsidR="00030ABA">
        <w:rPr>
          <w:rFonts w:eastAsia="Calibri"/>
        </w:rPr>
        <w:lastRenderedPageBreak/>
        <w:t xml:space="preserve">behavior. </w:t>
      </w:r>
      <w:r>
        <w:rPr>
          <w:rFonts w:eastAsia="Calibri"/>
        </w:rPr>
        <w:t>Brighton (2001) argues that in mid-nineteenth century New York, access to goods (ceramics in particular) was equal to all residents of the city, whereas this was not the case for co</w:t>
      </w:r>
      <w:r w:rsidR="00030ABA">
        <w:rPr>
          <w:rFonts w:eastAsia="Calibri"/>
        </w:rPr>
        <w:t>ntemporaneous rural farmsteads.</w:t>
      </w:r>
      <w:r>
        <w:rPr>
          <w:rFonts w:eastAsia="Calibri"/>
        </w:rPr>
        <w:t xml:space="preserve"> Despite this equal access, a reading of period literature would suggest that the ceramic assemblage of a typical working class, Five Points resident would reflect an eschewing of middle class values – inclu</w:t>
      </w:r>
      <w:r w:rsidR="00030ABA">
        <w:rPr>
          <w:rFonts w:eastAsia="Calibri"/>
        </w:rPr>
        <w:t xml:space="preserve">ding gentility and temperance. </w:t>
      </w:r>
      <w:r>
        <w:rPr>
          <w:rFonts w:eastAsia="Calibri"/>
        </w:rPr>
        <w:t>Orser (2007:110) further describes the process by which Irish immigrants were racialized as “nonwhite because of their customs and beliefs.” The CC index</w:t>
      </w:r>
      <w:r w:rsidR="00721405">
        <w:rPr>
          <w:rFonts w:eastAsia="Calibri"/>
        </w:rPr>
        <w:t xml:space="preserve"> (Miller 1991)</w:t>
      </w:r>
      <w:r>
        <w:rPr>
          <w:rFonts w:eastAsia="Calibri"/>
        </w:rPr>
        <w:t>, though slightly lower than values for contemporaneous middle class assemblages, and other characteristics of the ceramic assemblage (such as matched sets and symbolic transfer prints) presents a different picture of the consumer motivations of the households living on one block of the Five Poin</w:t>
      </w:r>
      <w:r w:rsidR="00E300E7">
        <w:rPr>
          <w:rFonts w:eastAsia="Calibri"/>
        </w:rPr>
        <w:t xml:space="preserve">ts neighborhood. </w:t>
      </w:r>
      <w:r>
        <w:rPr>
          <w:rFonts w:eastAsia="Calibri"/>
        </w:rPr>
        <w:t>Similar to Mullins’ interpretation of African American consumer behavior, Brighton (2001:21) believes that “the acquisition of fancy ceramics provided the tenants with the outward appearance of ‘gentility’ and confronted the oppressive judg</w:t>
      </w:r>
      <w:r w:rsidR="00E300E7">
        <w:rPr>
          <w:rFonts w:eastAsia="Calibri"/>
        </w:rPr>
        <w:t xml:space="preserve">ments of the American public.” </w:t>
      </w:r>
      <w:r>
        <w:rPr>
          <w:rFonts w:eastAsia="Calibri"/>
        </w:rPr>
        <w:t>Therefore, the Irish immigrants living in the Five Points neighborhood chose fashionable ceramics as part of a strategy to normalize their existence in middle class, ninete</w:t>
      </w:r>
      <w:r w:rsidR="00E300E7">
        <w:rPr>
          <w:rFonts w:eastAsia="Calibri"/>
        </w:rPr>
        <w:t xml:space="preserve">enth-century American culture. </w:t>
      </w:r>
      <w:r>
        <w:rPr>
          <w:rFonts w:eastAsia="Calibri"/>
        </w:rPr>
        <w:t xml:space="preserve">Irish immigrants literally purchased ideals of Victorian gentility and morality as exemplified in the flower pots that beautified their home exteriors and the </w:t>
      </w:r>
      <w:r w:rsidR="00E4380E">
        <w:rPr>
          <w:rFonts w:eastAsia="Calibri"/>
        </w:rPr>
        <w:t>transfer-</w:t>
      </w:r>
      <w:r>
        <w:rPr>
          <w:rFonts w:eastAsia="Calibri"/>
        </w:rPr>
        <w:t>print</w:t>
      </w:r>
      <w:r w:rsidR="00E4380E">
        <w:rPr>
          <w:rFonts w:eastAsia="Calibri"/>
        </w:rPr>
        <w:t>ed</w:t>
      </w:r>
      <w:r>
        <w:rPr>
          <w:rFonts w:eastAsia="Calibri"/>
        </w:rPr>
        <w:t xml:space="preserve"> </w:t>
      </w:r>
      <w:r w:rsidR="00E4380E">
        <w:rPr>
          <w:rFonts w:eastAsia="Calibri"/>
        </w:rPr>
        <w:t>vessels, inspired by the temperance movement,</w:t>
      </w:r>
      <w:r>
        <w:rPr>
          <w:rFonts w:eastAsia="Calibri"/>
        </w:rPr>
        <w:t xml:space="preserve"> that served both utilitarian and educational functions</w:t>
      </w:r>
      <w:r w:rsidR="00E4380E">
        <w:rPr>
          <w:rFonts w:eastAsia="Calibri"/>
        </w:rPr>
        <w:t xml:space="preserve"> on their tables</w:t>
      </w:r>
      <w:r w:rsidR="00E300E7">
        <w:rPr>
          <w:rFonts w:eastAsia="Calibri"/>
        </w:rPr>
        <w:t xml:space="preserve">. </w:t>
      </w:r>
      <w:r>
        <w:rPr>
          <w:rFonts w:eastAsia="Calibri"/>
        </w:rPr>
        <w:t xml:space="preserve">In doing so, they countered the anti-immigrant narratives and stereotypes propagated in nineteenth-century popular culture while maintaining ethnic and working class traditions (Brighton 2001).  </w:t>
      </w:r>
    </w:p>
    <w:p w:rsidR="00731D7C" w:rsidRDefault="00731D7C" w:rsidP="00731D7C">
      <w:pPr>
        <w:spacing w:line="480" w:lineRule="auto"/>
        <w:rPr>
          <w:rFonts w:eastAsia="Calibri"/>
        </w:rPr>
      </w:pPr>
      <w:r>
        <w:rPr>
          <w:rFonts w:eastAsia="Calibri"/>
        </w:rPr>
        <w:tab/>
        <w:t xml:space="preserve">Dylan Penningroth explores the world of consumables amongst nineteenth-century Africans and African Americans by specifically interrogating the active and dialectical </w:t>
      </w:r>
      <w:r>
        <w:rPr>
          <w:rFonts w:eastAsia="Calibri"/>
        </w:rPr>
        <w:lastRenderedPageBreak/>
        <w:t>relationship between the concepts of k</w:t>
      </w:r>
      <w:r w:rsidR="00E300E7">
        <w:rPr>
          <w:rFonts w:eastAsia="Calibri"/>
        </w:rPr>
        <w:t xml:space="preserve">inship and property ownership. </w:t>
      </w:r>
      <w:r>
        <w:rPr>
          <w:rFonts w:eastAsia="Calibri"/>
        </w:rPr>
        <w:t>Along the lines of Douglas and Isherwood (1979) and McCracken (1988), Penningroth argues that property studies are significant beyond their ability to inform historians of economics, “for the social relationships they embody, ready to be called into a</w:t>
      </w:r>
      <w:r w:rsidR="00E300E7">
        <w:rPr>
          <w:rFonts w:eastAsia="Calibri"/>
        </w:rPr>
        <w:t>ction” (Penningroth 2007:1066).</w:t>
      </w:r>
      <w:r>
        <w:rPr>
          <w:rFonts w:eastAsia="Calibri"/>
        </w:rPr>
        <w:t xml:space="preserve"> Union and Confederate soldiers raided the property of both slaves and owners alike in the</w:t>
      </w:r>
      <w:r w:rsidR="00E300E7">
        <w:rPr>
          <w:rFonts w:eastAsia="Calibri"/>
        </w:rPr>
        <w:t xml:space="preserve"> final years of the Civil War. </w:t>
      </w:r>
      <w:r>
        <w:rPr>
          <w:rFonts w:eastAsia="Calibri"/>
        </w:rPr>
        <w:t>Years later, the Treasury Department established the Southern Claims Commission where ex-slaves could file petitions and seek compensation of things lost in these fo</w:t>
      </w:r>
      <w:r w:rsidR="00E300E7">
        <w:rPr>
          <w:rFonts w:eastAsia="Calibri"/>
        </w:rPr>
        <w:t xml:space="preserve">raging expeditions. </w:t>
      </w:r>
      <w:r>
        <w:rPr>
          <w:rFonts w:eastAsia="Calibri"/>
        </w:rPr>
        <w:t>It is through these documents that Penningroth (1997, 2003, 2007) weaves the story of slavery, kinship, and the meaning of property ownership to nineteenth century blacks to better understand exactly how slaves and ex-slaves owned prop</w:t>
      </w:r>
      <w:r w:rsidR="00E300E7">
        <w:rPr>
          <w:rFonts w:eastAsia="Calibri"/>
        </w:rPr>
        <w:t xml:space="preserve">erty despite its illegality. </w:t>
      </w:r>
      <w:r>
        <w:rPr>
          <w:rFonts w:eastAsia="Calibri"/>
        </w:rPr>
        <w:t>At the core of his argument is the fundamental fact that concepts of property and ownership are culturally defined.  “Whereas Americanists tend to think of property as the legal and social foundation of slavery, most Africanists argue that family was one of the basic building blocks of all clams to property, labor and other resources, including the claims of s</w:t>
      </w:r>
      <w:r w:rsidR="00E300E7">
        <w:rPr>
          <w:rFonts w:eastAsia="Calibri"/>
        </w:rPr>
        <w:t>lavery” (Penningroth 2003:108).</w:t>
      </w:r>
      <w:r>
        <w:rPr>
          <w:rFonts w:eastAsia="Calibri"/>
        </w:rPr>
        <w:t xml:space="preserve"> Historians and archaeologists (i.e., Berlin 1998; Morgan 1998; Heath 2004; Lee 2012) have repeatedly documented how slaves acquired goods and foodstuffs by working outside of the duties required by their masters; Penningroth, however, demonstrates how this material culture was transformed into property within a system of social relationships defined </w:t>
      </w:r>
      <w:r w:rsidR="00E300E7">
        <w:rPr>
          <w:rFonts w:eastAsia="Calibri"/>
        </w:rPr>
        <w:t xml:space="preserve">by familial or community ties. </w:t>
      </w:r>
      <w:r>
        <w:rPr>
          <w:rFonts w:eastAsia="Calibri"/>
        </w:rPr>
        <w:t>Through the files of the Claims Commission, Penningroth documents the finding that for blacks “– slave or free – what turned possessions into property was a complex interchange of display and acknowledgement, guided by people’s shifting notions of what was customary in their neighborhood” (Penningroth</w:t>
      </w:r>
      <w:r w:rsidR="00E300E7">
        <w:rPr>
          <w:rFonts w:eastAsia="Calibri"/>
        </w:rPr>
        <w:t xml:space="preserve"> 2007:1055).</w:t>
      </w:r>
      <w:r w:rsidR="00EC4600">
        <w:rPr>
          <w:rFonts w:eastAsia="Calibri"/>
        </w:rPr>
        <w:t xml:space="preserve"> In other words, in</w:t>
      </w:r>
      <w:r>
        <w:rPr>
          <w:rFonts w:eastAsia="Calibri"/>
        </w:rPr>
        <w:t xml:space="preserve"> order to store, work, trade, or </w:t>
      </w:r>
      <w:r>
        <w:rPr>
          <w:rFonts w:eastAsia="Calibri"/>
        </w:rPr>
        <w:lastRenderedPageBreak/>
        <w:t>consume livestock, garden plots, or consumer goods</w:t>
      </w:r>
      <w:r w:rsidR="00EC4600">
        <w:rPr>
          <w:rFonts w:eastAsia="Calibri"/>
        </w:rPr>
        <w:t>, members of communities had to acknowledge</w:t>
      </w:r>
      <w:r>
        <w:rPr>
          <w:rFonts w:eastAsia="Calibri"/>
        </w:rPr>
        <w:t xml:space="preserve"> or informal</w:t>
      </w:r>
      <w:r w:rsidR="00EC4600">
        <w:rPr>
          <w:rFonts w:eastAsia="Calibri"/>
        </w:rPr>
        <w:t xml:space="preserve">ly recognition </w:t>
      </w:r>
      <w:r>
        <w:rPr>
          <w:rFonts w:eastAsia="Calibri"/>
        </w:rPr>
        <w:t xml:space="preserve">who owned what.  </w:t>
      </w:r>
    </w:p>
    <w:p w:rsidR="00731D7C" w:rsidRDefault="00731D7C" w:rsidP="00731D7C">
      <w:pPr>
        <w:spacing w:line="480" w:lineRule="auto"/>
        <w:ind w:firstLine="720"/>
        <w:rPr>
          <w:rFonts w:eastAsia="Calibri"/>
        </w:rPr>
      </w:pPr>
      <w:r w:rsidRPr="00CB6ACE">
        <w:rPr>
          <w:rFonts w:eastAsia="Calibri"/>
          <w:i/>
        </w:rPr>
        <w:t>Conclusions.</w:t>
      </w:r>
      <w:r w:rsidR="00E300E7">
        <w:rPr>
          <w:rFonts w:eastAsia="Calibri"/>
        </w:rPr>
        <w:t xml:space="preserve"> </w:t>
      </w:r>
      <w:r>
        <w:rPr>
          <w:rFonts w:eastAsia="Calibri"/>
        </w:rPr>
        <w:t>Each of these material culture specialists has influenced the way that I conceived of material culture – as a lens into cultural beliefs, values, and norms, as an active agent in the construction of identity and social relationships, and as not reflective, but in fact generativ</w:t>
      </w:r>
      <w:r w:rsidR="00E300E7">
        <w:rPr>
          <w:rFonts w:eastAsia="Calibri"/>
        </w:rPr>
        <w:t xml:space="preserve">e in historical circumstances. </w:t>
      </w:r>
      <w:r>
        <w:rPr>
          <w:rFonts w:eastAsia="Calibri"/>
        </w:rPr>
        <w:t>Specifically, however, Douglas and Isherwood and McCracken’s works have particular resonance and utility for archaeologists and this work on plantation ar</w:t>
      </w:r>
      <w:r w:rsidR="00E300E7">
        <w:rPr>
          <w:rFonts w:eastAsia="Calibri"/>
        </w:rPr>
        <w:t xml:space="preserve">chaeology. </w:t>
      </w:r>
      <w:r>
        <w:rPr>
          <w:rFonts w:eastAsia="Calibri"/>
        </w:rPr>
        <w:t>Material culture theory has become more multi-vocal, holistic, and less static and reflective sinc</w:t>
      </w:r>
      <w:r w:rsidR="00E300E7">
        <w:rPr>
          <w:rFonts w:eastAsia="Calibri"/>
        </w:rPr>
        <w:t>e the early nineteenth century.</w:t>
      </w:r>
      <w:r>
        <w:rPr>
          <w:rFonts w:eastAsia="Calibri"/>
        </w:rPr>
        <w:t xml:space="preserve"> The general theoretical approach to material culture as a generative and catalytic agent in the past is a model that is most persuasive in this work.</w:t>
      </w:r>
    </w:p>
    <w:p w:rsidR="00731D7C" w:rsidRDefault="00731D7C" w:rsidP="00731D7C">
      <w:pPr>
        <w:spacing w:line="480" w:lineRule="auto"/>
        <w:ind w:firstLine="720"/>
        <w:rPr>
          <w:rFonts w:eastAsia="Calibri"/>
        </w:rPr>
      </w:pPr>
    </w:p>
    <w:p w:rsidR="00731D7C" w:rsidRDefault="00731D7C" w:rsidP="00731D7C">
      <w:pPr>
        <w:spacing w:line="480" w:lineRule="auto"/>
      </w:pPr>
    </w:p>
    <w:p w:rsidR="00731D7C" w:rsidRDefault="00731D7C" w:rsidP="00731D7C"/>
    <w:p w:rsidR="00731D7C" w:rsidRPr="00024F92" w:rsidRDefault="00731D7C" w:rsidP="00731D7C">
      <w:pPr>
        <w:spacing w:line="480" w:lineRule="auto"/>
      </w:pPr>
    </w:p>
    <w:p w:rsidR="00731D7C" w:rsidRDefault="00731D7C" w:rsidP="00731D7C">
      <w:r>
        <w:br w:type="page"/>
      </w:r>
    </w:p>
    <w:p w:rsidR="00731D7C" w:rsidRPr="00480CA2" w:rsidRDefault="00731D7C" w:rsidP="00BE6873">
      <w:pPr>
        <w:spacing w:line="480" w:lineRule="auto"/>
        <w:jc w:val="center"/>
        <w:rPr>
          <w:b/>
        </w:rPr>
      </w:pPr>
      <w:r w:rsidRPr="00480CA2">
        <w:rPr>
          <w:b/>
        </w:rPr>
        <w:lastRenderedPageBreak/>
        <w:t>Chapter 3: Consumerism and the Chesapeake</w:t>
      </w:r>
    </w:p>
    <w:p w:rsidR="00731D7C" w:rsidRDefault="00731D7C" w:rsidP="00731D7C">
      <w:pPr>
        <w:spacing w:line="480" w:lineRule="auto"/>
        <w:ind w:firstLine="720"/>
        <w:rPr>
          <w:rStyle w:val="normal0"/>
        </w:rPr>
      </w:pPr>
      <w:r w:rsidRPr="00477F61">
        <w:t xml:space="preserve">The chapter will review and critique the literature on consumer motivations as </w:t>
      </w:r>
      <w:r>
        <w:t>it applies</w:t>
      </w:r>
      <w:r w:rsidRPr="00477F61">
        <w:t xml:space="preserve"> to that transformation in the consumption and use of material culture that occurred in the mid-eighteenth century </w:t>
      </w:r>
      <w:r>
        <w:t xml:space="preserve">Chesapeake </w:t>
      </w:r>
      <w:r w:rsidRPr="00477F61">
        <w:t>both for elites and n</w:t>
      </w:r>
      <w:r w:rsidR="00306511">
        <w:t xml:space="preserve">on-elites of colonial America. </w:t>
      </w:r>
      <w:r w:rsidRPr="00477F61">
        <w:t>Additionally, I explore the development of the eighte</w:t>
      </w:r>
      <w:r w:rsidR="00306511">
        <w:t xml:space="preserve">enth-century consumer economy. </w:t>
      </w:r>
      <w:r w:rsidRPr="00477F61">
        <w:t xml:space="preserve">What made this period unique was the increased </w:t>
      </w:r>
      <w:r w:rsidRPr="00477F61">
        <w:rPr>
          <w:rStyle w:val="normal0"/>
        </w:rPr>
        <w:t xml:space="preserve">availability of novel kinds of goods to diversifying groups of people, supported by a more sophisticated distribution system that enabled those goods to reach broader markets </w:t>
      </w:r>
      <w:r w:rsidRPr="00477F61">
        <w:t>(Carr and Walsh 1994:134</w:t>
      </w:r>
      <w:r>
        <w:t>; Breen 2004</w:t>
      </w:r>
      <w:r w:rsidRPr="00477F61">
        <w:t>)</w:t>
      </w:r>
      <w:r w:rsidR="00306511">
        <w:rPr>
          <w:rStyle w:val="normal0"/>
        </w:rPr>
        <w:t xml:space="preserve">. </w:t>
      </w:r>
      <w:r w:rsidRPr="00477F61">
        <w:rPr>
          <w:rStyle w:val="normal0"/>
        </w:rPr>
        <w:t xml:space="preserve">Therefore, any discussion of material culture theory must be underpinned by </w:t>
      </w:r>
      <w:r w:rsidR="00887A88">
        <w:rPr>
          <w:rStyle w:val="normal0"/>
        </w:rPr>
        <w:t xml:space="preserve">an understanding of </w:t>
      </w:r>
      <w:r w:rsidRPr="00477F61">
        <w:rPr>
          <w:rStyle w:val="normal0"/>
        </w:rPr>
        <w:t>changing economic cir</w:t>
      </w:r>
      <w:r w:rsidR="00306511">
        <w:rPr>
          <w:rStyle w:val="normal0"/>
        </w:rPr>
        <w:t xml:space="preserve">cumstances during this period. </w:t>
      </w:r>
      <w:r w:rsidRPr="00477F61">
        <w:rPr>
          <w:rStyle w:val="normal0"/>
        </w:rPr>
        <w:t>What facilitated entry into the marketplace on the part of middling and small planters and slaves was the growth of the local retail market, which in the upper Potomac region, was do</w:t>
      </w:r>
      <w:r w:rsidR="00306511">
        <w:rPr>
          <w:rStyle w:val="normal0"/>
        </w:rPr>
        <w:t xml:space="preserve">minated by Scottish merchants. </w:t>
      </w:r>
      <w:r w:rsidRPr="00477F61">
        <w:rPr>
          <w:rStyle w:val="normal0"/>
        </w:rPr>
        <w:t>Conglomerates like Glassford and Company opened retail stores along the Potomac River with increasing frequency in the 1750s and 1760s (Kulikoff 1</w:t>
      </w:r>
      <w:r w:rsidR="00306511">
        <w:rPr>
          <w:rStyle w:val="normal0"/>
        </w:rPr>
        <w:t xml:space="preserve">986:123). </w:t>
      </w:r>
      <w:r w:rsidRPr="00477F61">
        <w:rPr>
          <w:rStyle w:val="normal0"/>
        </w:rPr>
        <w:t>These stores allowed customers to purchase goods with the credit from their tobacco or grain crop, wit</w:t>
      </w:r>
      <w:r w:rsidR="00306511">
        <w:rPr>
          <w:rStyle w:val="normal0"/>
        </w:rPr>
        <w:t>h cash, or even through barter.</w:t>
      </w:r>
      <w:r w:rsidRPr="00477F61">
        <w:rPr>
          <w:rStyle w:val="normal0"/>
        </w:rPr>
        <w:t xml:space="preserve"> A close reading of the documents associated with the local retail s</w:t>
      </w:r>
      <w:r w:rsidR="00887A88">
        <w:rPr>
          <w:rStyle w:val="normal0"/>
        </w:rPr>
        <w:t>ystem increasingly begi</w:t>
      </w:r>
      <w:r w:rsidRPr="00477F61">
        <w:rPr>
          <w:rStyle w:val="normal0"/>
        </w:rPr>
        <w:t>n</w:t>
      </w:r>
      <w:r w:rsidR="00887A88">
        <w:rPr>
          <w:rStyle w:val="normal0"/>
        </w:rPr>
        <w:t>s</w:t>
      </w:r>
      <w:r w:rsidRPr="00477F61">
        <w:rPr>
          <w:rStyle w:val="normal0"/>
        </w:rPr>
        <w:t xml:space="preserve"> to show just who was d</w:t>
      </w:r>
      <w:r w:rsidR="00306511">
        <w:rPr>
          <w:rStyle w:val="normal0"/>
        </w:rPr>
        <w:t xml:space="preserve">oing the buying (Martin 1993). </w:t>
      </w:r>
      <w:r w:rsidRPr="00477F61">
        <w:rPr>
          <w:rStyle w:val="normal0"/>
        </w:rPr>
        <w:t xml:space="preserve">Transactions occurred between store keepers and large, middling, and small plantation owners, </w:t>
      </w:r>
      <w:r>
        <w:rPr>
          <w:rStyle w:val="normal0"/>
        </w:rPr>
        <w:t xml:space="preserve">farmers, </w:t>
      </w:r>
      <w:r w:rsidRPr="00477F61">
        <w:rPr>
          <w:rStyle w:val="normal0"/>
        </w:rPr>
        <w:t>tradesmen, and free a</w:t>
      </w:r>
      <w:r w:rsidR="00306511">
        <w:rPr>
          <w:rStyle w:val="normal0"/>
        </w:rPr>
        <w:t xml:space="preserve">nd enslaved African Americans. </w:t>
      </w:r>
      <w:r w:rsidRPr="00477F61">
        <w:rPr>
          <w:rStyle w:val="normal0"/>
        </w:rPr>
        <w:t xml:space="preserve">Archaeological evidence supported these findings as storage pits and surface middens surrounding slave dwellings </w:t>
      </w:r>
      <w:r>
        <w:rPr>
          <w:rStyle w:val="normal0"/>
        </w:rPr>
        <w:t xml:space="preserve">and other non-elite sites </w:t>
      </w:r>
      <w:r w:rsidRPr="00477F61">
        <w:rPr>
          <w:rStyle w:val="normal0"/>
        </w:rPr>
        <w:t>contain refuse that clearly evidence consumerism (Heath 1997, 1999a, 1999b</w:t>
      </w:r>
      <w:r>
        <w:rPr>
          <w:rStyle w:val="normal0"/>
        </w:rPr>
        <w:t>, 1999c</w:t>
      </w:r>
      <w:r w:rsidR="00306511">
        <w:rPr>
          <w:rStyle w:val="normal0"/>
        </w:rPr>
        <w:t xml:space="preserve">). </w:t>
      </w:r>
      <w:r w:rsidRPr="00477F61">
        <w:rPr>
          <w:rStyle w:val="normal0"/>
        </w:rPr>
        <w:t xml:space="preserve">The formal eighteenth-century economy was also a trans-Atlantic endeavor realized through the consignment system where large-scale planters entered into relationships with agents in England to whom they would sell their agricultural surplus in exchange for the </w:t>
      </w:r>
      <w:r w:rsidRPr="00477F61">
        <w:rPr>
          <w:rStyle w:val="normal0"/>
        </w:rPr>
        <w:lastRenderedPageBreak/>
        <w:t xml:space="preserve">credit with which to </w:t>
      </w:r>
      <w:r w:rsidR="00306511">
        <w:rPr>
          <w:rStyle w:val="normal0"/>
        </w:rPr>
        <w:t xml:space="preserve">buy imported English products. </w:t>
      </w:r>
      <w:r w:rsidRPr="00477F61">
        <w:rPr>
          <w:rStyle w:val="normal0"/>
        </w:rPr>
        <w:t xml:space="preserve">As McCracken (1988:17) noted, “Consumption was beginning to take place more often, in more places, under new influences, </w:t>
      </w:r>
      <w:r w:rsidRPr="00477F61">
        <w:rPr>
          <w:rStyle w:val="normal0"/>
          <w:b/>
          <w:i/>
        </w:rPr>
        <w:t>by new groups</w:t>
      </w:r>
      <w:r w:rsidRPr="00477F61">
        <w:rPr>
          <w:rStyle w:val="normal0"/>
        </w:rPr>
        <w:t>, in pursuit of new goods, for n</w:t>
      </w:r>
      <w:r w:rsidR="00306511">
        <w:rPr>
          <w:rStyle w:val="normal0"/>
        </w:rPr>
        <w:t xml:space="preserve">ew social and cultural needs.” </w:t>
      </w:r>
      <w:r w:rsidRPr="00477F61">
        <w:rPr>
          <w:rStyle w:val="normal0"/>
        </w:rPr>
        <w:t xml:space="preserve">This watershed moment, then, can be described as the first truly “mass consumption” event (McCracken 1988:21).  </w:t>
      </w:r>
    </w:p>
    <w:p w:rsidR="00731D7C" w:rsidRPr="004211E2" w:rsidRDefault="00731D7C" w:rsidP="00731D7C">
      <w:pPr>
        <w:spacing w:line="480" w:lineRule="auto"/>
        <w:rPr>
          <w:rFonts w:eastAsia="Calibri"/>
          <w:b/>
        </w:rPr>
      </w:pPr>
      <w:r w:rsidRPr="004211E2">
        <w:rPr>
          <w:rFonts w:eastAsia="Calibri"/>
          <w:b/>
        </w:rPr>
        <w:t>Com</w:t>
      </w:r>
      <w:r>
        <w:rPr>
          <w:rFonts w:eastAsia="Calibri"/>
          <w:b/>
        </w:rPr>
        <w:t>parative Consumer Motivations</w:t>
      </w:r>
    </w:p>
    <w:p w:rsidR="00731D7C" w:rsidRPr="00480CA2" w:rsidRDefault="00731D7C" w:rsidP="00731D7C">
      <w:pPr>
        <w:spacing w:line="480" w:lineRule="auto"/>
        <w:ind w:firstLine="720"/>
        <w:rPr>
          <w:b/>
        </w:rPr>
      </w:pPr>
      <w:r w:rsidRPr="00477F61">
        <w:t>Much of the literature on consumerism in historical and archaeological circles initially focused on the link between increased consumption and technological innovations that spurred on mass production in an increasingly globalized world (Miller 1980; McKendrick et</w:t>
      </w:r>
      <w:r w:rsidR="00306511">
        <w:t xml:space="preserve"> al. 1982; Spencer-Wood 1987). </w:t>
      </w:r>
      <w:r w:rsidRPr="00477F61">
        <w:t>Since the 1980s, “however, scholars have argued that consumer demand and motivation, not changes in production, drov</w:t>
      </w:r>
      <w:r w:rsidR="00306511">
        <w:t xml:space="preserve">e consumption” (Galle 2006:22). </w:t>
      </w:r>
      <w:r w:rsidRPr="00477F61">
        <w:t xml:space="preserve">The chapter presents </w:t>
      </w:r>
      <w:r>
        <w:t>t</w:t>
      </w:r>
      <w:r w:rsidRPr="00477F61">
        <w:t xml:space="preserve">he range of motivations suggested by scholars and concludes with a discussion of the materiality of motivation, or how archaeologists might attempt to extract the meaning behind consumer behaviors evident in the archaeological record.    </w:t>
      </w:r>
      <w:r w:rsidRPr="00477F61">
        <w:rPr>
          <w:rStyle w:val="normal0"/>
        </w:rPr>
        <w:t xml:space="preserve">  </w:t>
      </w:r>
    </w:p>
    <w:p w:rsidR="00731D7C" w:rsidRPr="00477F61" w:rsidRDefault="00731D7C" w:rsidP="00731D7C">
      <w:pPr>
        <w:spacing w:line="480" w:lineRule="auto"/>
        <w:ind w:firstLine="720"/>
        <w:rPr>
          <w:rStyle w:val="normal0"/>
        </w:rPr>
      </w:pPr>
      <w:r w:rsidRPr="00477F61">
        <w:rPr>
          <w:rStyle w:val="normal0"/>
          <w:i/>
        </w:rPr>
        <w:t>Emulation and Conspicuous Consumption.</w:t>
      </w:r>
      <w:r w:rsidR="00306511">
        <w:rPr>
          <w:rStyle w:val="normal0"/>
        </w:rPr>
        <w:t xml:space="preserve"> </w:t>
      </w:r>
      <w:r w:rsidRPr="00477F61">
        <w:rPr>
          <w:rStyle w:val="normal0"/>
        </w:rPr>
        <w:t>Perhaps the longest-running and most dominant theories used to e</w:t>
      </w:r>
      <w:r>
        <w:rPr>
          <w:rStyle w:val="normal0"/>
        </w:rPr>
        <w:t>xplain consumer behavior among</w:t>
      </w:r>
      <w:r w:rsidRPr="00477F61">
        <w:rPr>
          <w:rStyle w:val="normal0"/>
        </w:rPr>
        <w:t xml:space="preserve"> elites trying to stay ahead and non-elites trying to get ahead are the complimentary ideas of emulation and conspicuous consumption. </w:t>
      </w:r>
      <w:r w:rsidRPr="00477F61">
        <w:rPr>
          <w:rFonts w:eastAsia="Calibri"/>
        </w:rPr>
        <w:t xml:space="preserve">Much of the modern scholarship on consumerism has been affected by, even indebted to, Veblen’s theory of conspicuous consumption (Bell 2000). </w:t>
      </w:r>
      <w:r w:rsidRPr="00477F61">
        <w:rPr>
          <w:rStyle w:val="normal0"/>
        </w:rPr>
        <w:t>Models of emulation and conspicuous consumption have undergone major critique, particularly since the 1990s when researc</w:t>
      </w:r>
      <w:r>
        <w:rPr>
          <w:rStyle w:val="normal0"/>
        </w:rPr>
        <w:t>h on consumer behaviors among</w:t>
      </w:r>
      <w:r w:rsidRPr="00477F61">
        <w:rPr>
          <w:rStyle w:val="normal0"/>
        </w:rPr>
        <w:t xml:space="preserve"> </w:t>
      </w:r>
      <w:r w:rsidR="00306511">
        <w:rPr>
          <w:rStyle w:val="normal0"/>
        </w:rPr>
        <w:t xml:space="preserve">non-elites began to intensify. </w:t>
      </w:r>
      <w:r w:rsidRPr="00477F61">
        <w:rPr>
          <w:rStyle w:val="normal0"/>
        </w:rPr>
        <w:t>For example, Mullins (2004:196) cites Glass</w:t>
      </w:r>
      <w:r>
        <w:rPr>
          <w:rStyle w:val="normal0"/>
        </w:rPr>
        <w:t>i</w:t>
      </w:r>
      <w:r w:rsidRPr="00477F61">
        <w:rPr>
          <w:rStyle w:val="normal0"/>
        </w:rPr>
        <w:t xml:space="preserve">e’s </w:t>
      </w:r>
      <w:r>
        <w:rPr>
          <w:rStyle w:val="normal0"/>
        </w:rPr>
        <w:t xml:space="preserve">(1975) </w:t>
      </w:r>
      <w:r w:rsidRPr="00477F61">
        <w:rPr>
          <w:rStyle w:val="normal0"/>
        </w:rPr>
        <w:t xml:space="preserve">work on vernacular architecture and folk objects as an example of the “long-term cultural continuities” that exist in some forms of material culture despite </w:t>
      </w:r>
      <w:r w:rsidRPr="00477F61">
        <w:rPr>
          <w:rStyle w:val="normal0"/>
        </w:rPr>
        <w:lastRenderedPageBreak/>
        <w:t xml:space="preserve">frequent changes </w:t>
      </w:r>
      <w:r w:rsidR="00306511">
        <w:rPr>
          <w:rStyle w:val="normal0"/>
        </w:rPr>
        <w:t>in fashion and style in others.</w:t>
      </w:r>
      <w:r w:rsidRPr="00477F61">
        <w:rPr>
          <w:rStyle w:val="normal0"/>
        </w:rPr>
        <w:t xml:space="preserve"> </w:t>
      </w:r>
      <w:r>
        <w:rPr>
          <w:rStyle w:val="normal0"/>
        </w:rPr>
        <w:t>Other works that reject or diverge from these early models</w:t>
      </w:r>
      <w:r w:rsidRPr="00477F61">
        <w:rPr>
          <w:rStyle w:val="normal0"/>
        </w:rPr>
        <w:t xml:space="preserve"> are discussed below as many of the modern theories of consumer motivation have developed as a reaction to this early mo</w:t>
      </w:r>
      <w:r w:rsidR="00306511">
        <w:rPr>
          <w:rStyle w:val="normal0"/>
        </w:rPr>
        <w:t xml:space="preserve">del. </w:t>
      </w:r>
      <w:r w:rsidRPr="00477F61">
        <w:rPr>
          <w:rStyle w:val="normal0"/>
        </w:rPr>
        <w:t>Worth noting, however, is the staying power this theory has held in academic studies of consumerism. Bell’s (2000:30-39) research found that Veblen’s ideas permeate many major historical and archaeological works on the consumer revolution in the twentieth century, including Leone (1984, 1988), Yents</w:t>
      </w:r>
      <w:r w:rsidR="00887A88">
        <w:rPr>
          <w:rStyle w:val="normal0"/>
        </w:rPr>
        <w:t>c</w:t>
      </w:r>
      <w:r w:rsidRPr="00477F61">
        <w:rPr>
          <w:rStyle w:val="normal0"/>
        </w:rPr>
        <w:t>h (1990), Shackel (1992), Carr and Walsh (1994), Carson (1994),</w:t>
      </w:r>
      <w:r>
        <w:rPr>
          <w:rStyle w:val="normal0"/>
        </w:rPr>
        <w:t xml:space="preserve"> Sweeney (1994), and Veech (1998</w:t>
      </w:r>
      <w:r w:rsidRPr="00477F61">
        <w:rPr>
          <w:rStyle w:val="normal0"/>
        </w:rPr>
        <w:t xml:space="preserve">), suggesting its relevance continues.  </w:t>
      </w:r>
    </w:p>
    <w:p w:rsidR="00731D7C" w:rsidRPr="00477F61" w:rsidRDefault="00731D7C" w:rsidP="00731D7C">
      <w:pPr>
        <w:spacing w:line="480" w:lineRule="auto"/>
        <w:ind w:firstLine="720"/>
      </w:pPr>
      <w:r w:rsidRPr="00477F61">
        <w:rPr>
          <w:rStyle w:val="normal0"/>
          <w:i/>
        </w:rPr>
        <w:t>Shifts in Worldview</w:t>
      </w:r>
      <w:r w:rsidRPr="00477F61">
        <w:rPr>
          <w:rStyle w:val="normal0"/>
        </w:rPr>
        <w:t xml:space="preserve">. </w:t>
      </w:r>
      <w:r w:rsidRPr="00477F61">
        <w:t xml:space="preserve">In his seminal work, </w:t>
      </w:r>
      <w:r w:rsidRPr="00477F61">
        <w:rPr>
          <w:i/>
          <w:iCs/>
        </w:rPr>
        <w:t>In Small Things Forgotten</w:t>
      </w:r>
      <w:r w:rsidRPr="00477F61">
        <w:t>, Deetz (1977) presents his interpretation of culture change and its effects on material culture in colonial New England and the Chesapeake by applying Straussian structu</w:t>
      </w:r>
      <w:r w:rsidR="00306511">
        <w:t xml:space="preserve">ralist anthropological theory. </w:t>
      </w:r>
      <w:r w:rsidRPr="00477F61">
        <w:t xml:space="preserve">Deetz studied ceramics, gravestone styles, faunal remains, </w:t>
      </w:r>
      <w:r>
        <w:t xml:space="preserve">music, </w:t>
      </w:r>
      <w:r w:rsidRPr="00477F61">
        <w:t>and architecture to provide evidence to support an underlying shift in mental structure from gemeinschaft (</w:t>
      </w:r>
      <w:r w:rsidR="00F873FE">
        <w:t xml:space="preserve">translated from German as “community” and used to describe the </w:t>
      </w:r>
      <w:r w:rsidRPr="00477F61">
        <w:t>seventeenth-century medieval, agrarian, rural old English tradition) to gesellschaft (</w:t>
      </w:r>
      <w:r w:rsidR="00F873FE">
        <w:t xml:space="preserve">translated from German as “society” and used to describe the </w:t>
      </w:r>
      <w:r w:rsidRPr="00477F61">
        <w:t>eighteenth-century cultured, individualized, Georgian worldview), also referred to as t</w:t>
      </w:r>
      <w:r w:rsidR="00306511">
        <w:t xml:space="preserve">he process of Georgianization. </w:t>
      </w:r>
      <w:r w:rsidRPr="00477F61">
        <w:t>As Greene (1988:xii) notes, “For more than half a century, many scholars have written the history of colonial British America in terms of the gemeinschaft-gesellschaft model developed by late nineteenth- and early twentieth-century social scientists and more recently elaborated by propon</w:t>
      </w:r>
      <w:r w:rsidR="00306511">
        <w:t xml:space="preserve">ents of modernization theory.” </w:t>
      </w:r>
      <w:r w:rsidRPr="00477F61">
        <w:t>Othe</w:t>
      </w:r>
      <w:r>
        <w:t>rs include Isaac (1982), Lockri</w:t>
      </w:r>
      <w:r w:rsidRPr="00477F61">
        <w:t>d</w:t>
      </w:r>
      <w:r>
        <w:t>g</w:t>
      </w:r>
      <w:r w:rsidRPr="00477F61">
        <w:t xml:space="preserve">e (1985), and Demos (2004). </w:t>
      </w:r>
    </w:p>
    <w:p w:rsidR="00731D7C" w:rsidRPr="00477F61" w:rsidRDefault="00731D7C" w:rsidP="00731D7C">
      <w:pPr>
        <w:spacing w:line="480" w:lineRule="auto"/>
        <w:ind w:firstLine="720"/>
      </w:pPr>
      <w:r w:rsidRPr="00477F61">
        <w:t xml:space="preserve">In Deetz’s (1977:77-85) interpretation, ceramic vessel evidence, for example, displayed a trend from communal hollowware forms to individual vessels meant for personal consumption. </w:t>
      </w:r>
      <w:r w:rsidRPr="00477F61">
        <w:lastRenderedPageBreak/>
        <w:t>In order to outfit this new worldview, individuals needed more elaborate and specialized dining equipment and the furni</w:t>
      </w:r>
      <w:r w:rsidR="00306511">
        <w:t xml:space="preserve">ture to store it and enjoy it. </w:t>
      </w:r>
      <w:r>
        <w:t>As Pogue (2001a:49-50) summarizes</w:t>
      </w:r>
      <w:r w:rsidRPr="00477F61">
        <w:t>: “Deetz has framed the dichotomy between the old and new worldviews as st</w:t>
      </w:r>
      <w:r w:rsidR="00306511">
        <w:t xml:space="preserve">ructuralist bipolar opposites. </w:t>
      </w:r>
      <w:r w:rsidRPr="00477F61">
        <w:t>Thus, where the old view was organic, asymmetrical, and corporate, the new is mechanical</w:t>
      </w:r>
      <w:r w:rsidR="00306511">
        <w:t>, balanced, and individualized.</w:t>
      </w:r>
      <w:r w:rsidRPr="00477F61">
        <w:t xml:space="preserve"> As an example, houses evolved from unpainted rambling vernacular piles to tidy whitewashed fashion st</w:t>
      </w:r>
      <w:r w:rsidR="00306511">
        <w:t>atements.”</w:t>
      </w:r>
      <w:r w:rsidRPr="00477F61">
        <w:t xml:space="preserve"> The consumer revolution as it applied to Anglo-Americans, therefore, was an out</w:t>
      </w:r>
      <w:r w:rsidR="00306511">
        <w:t>growth of a shifting worldview.</w:t>
      </w:r>
      <w:r w:rsidRPr="00477F61">
        <w:t xml:space="preserve"> Deetz was the first historical archaeologist to theoretically consider the by-products of consumerism </w:t>
      </w:r>
      <w:r w:rsidRPr="00477F61">
        <w:rPr>
          <w:i/>
        </w:rPr>
        <w:t>en masse</w:t>
      </w:r>
      <w:r w:rsidRPr="00477F61">
        <w:t xml:space="preserve"> as they changed over </w:t>
      </w:r>
      <w:r w:rsidR="00306511">
        <w:t>time.</w:t>
      </w:r>
      <w:r w:rsidRPr="00477F61">
        <w:t xml:space="preserve"> Left unexplained from this meta-narrative, however, are the consumer habits of those who did not sha</w:t>
      </w:r>
      <w:r w:rsidR="00306511">
        <w:t>re an Anglo-American worldview.</w:t>
      </w:r>
      <w:r w:rsidRPr="00477F61">
        <w:t xml:space="preserve"> Additional critiques include the fact that models such as this one have no concrete mechanism for change (Pogue 2001</w:t>
      </w:r>
      <w:r>
        <w:t>a</w:t>
      </w:r>
      <w:r w:rsidR="00306511">
        <w:t>).</w:t>
      </w:r>
      <w:r w:rsidRPr="00477F61">
        <w:t xml:space="preserve"> In other words, what cause</w:t>
      </w:r>
      <w:r w:rsidR="00306511">
        <w:t xml:space="preserve">s a shift in mentality? </w:t>
      </w:r>
      <w:r>
        <w:t>Struct</w:t>
      </w:r>
      <w:r w:rsidRPr="00477F61">
        <w:t>u</w:t>
      </w:r>
      <w:r>
        <w:t>r</w:t>
      </w:r>
      <w:r w:rsidRPr="00477F61">
        <w:t xml:space="preserve">alism is also a theory that must be taken on faith, as there is no way to independently and scientifically test cause (shift in binary opposition) and effect (changes in material culture evident in the archaeological record).  </w:t>
      </w:r>
    </w:p>
    <w:p w:rsidR="00731D7C" w:rsidRPr="00477F61" w:rsidRDefault="00731D7C" w:rsidP="00731D7C">
      <w:pPr>
        <w:spacing w:line="480" w:lineRule="auto"/>
        <w:ind w:firstLine="720"/>
        <w:rPr>
          <w:rStyle w:val="normal0"/>
        </w:rPr>
      </w:pPr>
      <w:r w:rsidRPr="00477F61">
        <w:t xml:space="preserve">Yentsch’s </w:t>
      </w:r>
      <w:r>
        <w:t xml:space="preserve">(1994) </w:t>
      </w:r>
      <w:r w:rsidRPr="00477F61">
        <w:t>work on the Calvert househol</w:t>
      </w:r>
      <w:r>
        <w:t>ds of Annapolis, Maryland built</w:t>
      </w:r>
      <w:r w:rsidRPr="00477F61">
        <w:t xml:space="preserve"> </w:t>
      </w:r>
      <w:r>
        <w:t>on</w:t>
      </w:r>
      <w:r w:rsidRPr="00477F61">
        <w:t xml:space="preserve"> Deetz’s Georgian</w:t>
      </w:r>
      <w:r>
        <w:t xml:space="preserve"> worldview framework, but delved</w:t>
      </w:r>
      <w:r w:rsidRPr="00477F61">
        <w:t xml:space="preserve"> more deeply into the archaeolo</w:t>
      </w:r>
      <w:r w:rsidR="00306511">
        <w:t xml:space="preserve">gical and documentary records. </w:t>
      </w:r>
      <w:r w:rsidRPr="00477F61">
        <w:t>Though neither explicitly explore</w:t>
      </w:r>
      <w:r>
        <w:t>d</w:t>
      </w:r>
      <w:r w:rsidRPr="00477F61">
        <w:t xml:space="preserve"> the terms gentil</w:t>
      </w:r>
      <w:r>
        <w:t>ity or consumer revolution, both Deetz and Yentsch</w:t>
      </w:r>
      <w:r w:rsidRPr="00477F61">
        <w:t xml:space="preserve"> touch on </w:t>
      </w:r>
      <w:r>
        <w:t xml:space="preserve">the </w:t>
      </w:r>
      <w:r w:rsidRPr="00477F61">
        <w:t>fact that the use and meaning of artifacts shifted in the first half of the eighteen</w:t>
      </w:r>
      <w:r w:rsidR="00306511">
        <w:t xml:space="preserve">th century. </w:t>
      </w:r>
      <w:r>
        <w:t>Yentsch intensified</w:t>
      </w:r>
      <w:r w:rsidRPr="00477F61">
        <w:t xml:space="preserve"> the discussion of the relationship between artifacts and status, particularly in th</w:t>
      </w:r>
      <w:r w:rsidR="00306511">
        <w:t xml:space="preserve">e domain of foodways. </w:t>
      </w:r>
      <w:r>
        <w:t>She noted</w:t>
      </w:r>
      <w:r w:rsidRPr="00477F61">
        <w:t xml:space="preserve"> that the Calverts used fine ceramics and elaborate methods of food preparation and presentation to align themselves with British aristocracy and to set themselves apart from both their peers and those of </w:t>
      </w:r>
      <w:r w:rsidRPr="00477F61">
        <w:lastRenderedPageBreak/>
        <w:t>different social classes (Yentsch 1994:147).</w:t>
      </w:r>
      <w:r w:rsidR="00306511">
        <w:t xml:space="preserve"> </w:t>
      </w:r>
      <w:r>
        <w:t>Therefore, Yentsch’s work added</w:t>
      </w:r>
      <w:r w:rsidRPr="00477F61">
        <w:t xml:space="preserve"> nuance to Deetz’s broad strokes.   </w:t>
      </w:r>
    </w:p>
    <w:p w:rsidR="00731D7C" w:rsidRPr="00477F61" w:rsidRDefault="00731D7C" w:rsidP="00731D7C">
      <w:pPr>
        <w:spacing w:line="480" w:lineRule="auto"/>
        <w:ind w:firstLine="720"/>
        <w:rPr>
          <w:rStyle w:val="normal0"/>
        </w:rPr>
      </w:pPr>
      <w:r w:rsidRPr="00477F61">
        <w:rPr>
          <w:rStyle w:val="normal0"/>
          <w:i/>
        </w:rPr>
        <w:t>Marxism.</w:t>
      </w:r>
      <w:r w:rsidR="00306511">
        <w:rPr>
          <w:rStyle w:val="normal0"/>
        </w:rPr>
        <w:t xml:space="preserve"> </w:t>
      </w:r>
      <w:r w:rsidRPr="00477F61">
        <w:rPr>
          <w:rStyle w:val="normal0"/>
        </w:rPr>
        <w:t xml:space="preserve">Mark Leone (1984, 1988, 2005) </w:t>
      </w:r>
      <w:r>
        <w:rPr>
          <w:rStyle w:val="normal0"/>
        </w:rPr>
        <w:t>was one of the first archaeologists to problematize</w:t>
      </w:r>
      <w:r w:rsidRPr="00477F61">
        <w:rPr>
          <w:rStyle w:val="normal0"/>
        </w:rPr>
        <w:t xml:space="preserve"> gentility</w:t>
      </w:r>
      <w:r>
        <w:rPr>
          <w:rStyle w:val="normal0"/>
        </w:rPr>
        <w:t>, specifically</w:t>
      </w:r>
      <w:r w:rsidRPr="00477F61">
        <w:rPr>
          <w:rStyle w:val="normal0"/>
        </w:rPr>
        <w:t xml:space="preserve"> through the app</w:t>
      </w:r>
      <w:r w:rsidR="00306511">
        <w:rPr>
          <w:rStyle w:val="normal0"/>
        </w:rPr>
        <w:t>lication of critical theory.</w:t>
      </w:r>
      <w:r w:rsidRPr="00477F61">
        <w:rPr>
          <w:rStyle w:val="normal0"/>
        </w:rPr>
        <w:t xml:space="preserve"> Leone built </w:t>
      </w:r>
      <w:r w:rsidR="00134A2C">
        <w:rPr>
          <w:rStyle w:val="normal0"/>
        </w:rPr>
        <w:t>on</w:t>
      </w:r>
      <w:r w:rsidRPr="00477F61">
        <w:rPr>
          <w:rStyle w:val="normal0"/>
        </w:rPr>
        <w:t xml:space="preserve"> Deetz</w:t>
      </w:r>
      <w:r w:rsidR="00134A2C">
        <w:rPr>
          <w:rStyle w:val="normal0"/>
        </w:rPr>
        <w:t>’s</w:t>
      </w:r>
      <w:r w:rsidR="00306511">
        <w:rPr>
          <w:rStyle w:val="normal0"/>
        </w:rPr>
        <w:t xml:space="preserve"> Georgian worldview model.</w:t>
      </w:r>
      <w:r w:rsidRPr="00477F61">
        <w:rPr>
          <w:rStyle w:val="normal0"/>
        </w:rPr>
        <w:t xml:space="preserve"> Instead of rejecting </w:t>
      </w:r>
      <w:r>
        <w:rPr>
          <w:rStyle w:val="normal0"/>
        </w:rPr>
        <w:t>Deetz’s</w:t>
      </w:r>
      <w:r w:rsidRPr="00477F61">
        <w:rPr>
          <w:rStyle w:val="normal0"/>
        </w:rPr>
        <w:t xml:space="preserve"> premise, Leone argued that it needed to be understood through t</w:t>
      </w:r>
      <w:r w:rsidR="00306511">
        <w:rPr>
          <w:rStyle w:val="normal0"/>
        </w:rPr>
        <w:t>he lens of capitalist ideology.</w:t>
      </w:r>
      <w:r w:rsidRPr="00477F61">
        <w:rPr>
          <w:rStyle w:val="normal0"/>
        </w:rPr>
        <w:t xml:space="preserve"> </w:t>
      </w:r>
      <w:r w:rsidR="00134A2C">
        <w:rPr>
          <w:rStyle w:val="normal0"/>
        </w:rPr>
        <w:t>Leone’s</w:t>
      </w:r>
      <w:r w:rsidRPr="00477F61">
        <w:rPr>
          <w:rStyle w:val="normal0"/>
        </w:rPr>
        <w:t xml:space="preserve"> theoretical approach has been modified and updated based on critiques (Beaudry et al. 1991) and a re-reading of theories on the role of ideology in ca</w:t>
      </w:r>
      <w:r w:rsidR="00134A2C">
        <w:rPr>
          <w:rStyle w:val="normal0"/>
        </w:rPr>
        <w:t>pi</w:t>
      </w:r>
      <w:r w:rsidR="00306511">
        <w:rPr>
          <w:rStyle w:val="normal0"/>
        </w:rPr>
        <w:t xml:space="preserve">talist societies (Leone 2005). </w:t>
      </w:r>
      <w:r w:rsidR="00134A2C">
        <w:rPr>
          <w:rStyle w:val="normal0"/>
        </w:rPr>
        <w:t>T</w:t>
      </w:r>
      <w:r w:rsidRPr="00477F61">
        <w:rPr>
          <w:rStyle w:val="normal0"/>
        </w:rPr>
        <w:t xml:space="preserve">he core of his argument remains the same – that the changes in material culture seen in the pre-Revolutionary eighteenth century </w:t>
      </w:r>
      <w:r w:rsidR="00134A2C">
        <w:rPr>
          <w:rStyle w:val="normal0"/>
        </w:rPr>
        <w:t>result from</w:t>
      </w:r>
      <w:r w:rsidRPr="00477F61">
        <w:rPr>
          <w:rStyle w:val="normal0"/>
        </w:rPr>
        <w:t xml:space="preserve"> the development of an ideology wherein those tenets of society taken as givens serve to mask and perpetuate the real social conditi</w:t>
      </w:r>
      <w:r w:rsidR="00306511">
        <w:rPr>
          <w:rStyle w:val="normal0"/>
        </w:rPr>
        <w:t>ons when accepted uncritically.</w:t>
      </w:r>
      <w:r w:rsidRPr="00477F61">
        <w:rPr>
          <w:rStyle w:val="normal0"/>
        </w:rPr>
        <w:t xml:space="preserve"> In other words, the mid-eighteenth century ideology embraced by the gentry “served to remove the arbitrary Georgian conventions [of, for example, the compartmentalization of domestic space, the regularization of time, the organization of landscape] from challenge by making them appear to be derived from nature or antiqu</w:t>
      </w:r>
      <w:r w:rsidR="00306511">
        <w:rPr>
          <w:rStyle w:val="normal0"/>
        </w:rPr>
        <w:t xml:space="preserve">ity” (Leone 1984:27). </w:t>
      </w:r>
      <w:r w:rsidRPr="00477F61">
        <w:rPr>
          <w:rStyle w:val="normal0"/>
        </w:rPr>
        <w:t>Much like Isaac</w:t>
      </w:r>
      <w:r>
        <w:rPr>
          <w:rStyle w:val="normal0"/>
        </w:rPr>
        <w:t xml:space="preserve"> (1982)</w:t>
      </w:r>
      <w:r w:rsidRPr="00477F61">
        <w:rPr>
          <w:rStyle w:val="normal0"/>
        </w:rPr>
        <w:t>, Leone understood the gentry class as being under t</w:t>
      </w:r>
      <w:r>
        <w:rPr>
          <w:rStyle w:val="normal0"/>
        </w:rPr>
        <w:t xml:space="preserve">hreat around mid-century and </w:t>
      </w:r>
      <w:r w:rsidRPr="00477F61">
        <w:rPr>
          <w:rStyle w:val="normal0"/>
        </w:rPr>
        <w:t>responde</w:t>
      </w:r>
      <w:r>
        <w:rPr>
          <w:rStyle w:val="normal0"/>
        </w:rPr>
        <w:t>d</w:t>
      </w:r>
      <w:r w:rsidRPr="00477F61">
        <w:rPr>
          <w:rStyle w:val="normal0"/>
        </w:rPr>
        <w:t xml:space="preserve"> to this conflict </w:t>
      </w:r>
      <w:r>
        <w:rPr>
          <w:rStyle w:val="normal0"/>
        </w:rPr>
        <w:t>with</w:t>
      </w:r>
      <w:r w:rsidRPr="00477F61">
        <w:rPr>
          <w:rStyle w:val="normal0"/>
        </w:rPr>
        <w:t xml:space="preserve"> increased attempts for order and control.  </w:t>
      </w:r>
    </w:p>
    <w:p w:rsidR="00731D7C" w:rsidRPr="00477F61" w:rsidRDefault="00731D7C" w:rsidP="00731D7C">
      <w:pPr>
        <w:spacing w:line="480" w:lineRule="auto"/>
        <w:ind w:firstLine="720"/>
        <w:rPr>
          <w:rStyle w:val="normal0"/>
        </w:rPr>
      </w:pPr>
      <w:r>
        <w:rPr>
          <w:rStyle w:val="normal0"/>
        </w:rPr>
        <w:t xml:space="preserve">Leone </w:t>
      </w:r>
      <w:r w:rsidRPr="00477F61">
        <w:rPr>
          <w:rStyle w:val="normal0"/>
        </w:rPr>
        <w:t>continued this line of reasoning with an exploration of t</w:t>
      </w:r>
      <w:r w:rsidR="00306511">
        <w:rPr>
          <w:rStyle w:val="normal0"/>
        </w:rPr>
        <w:t>he material culture of gardens.</w:t>
      </w:r>
      <w:r w:rsidRPr="00477F61">
        <w:rPr>
          <w:rStyle w:val="normal0"/>
        </w:rPr>
        <w:t xml:space="preserve"> In studying </w:t>
      </w:r>
      <w:r>
        <w:rPr>
          <w:rStyle w:val="normal0"/>
        </w:rPr>
        <w:t>the garden of William Paca, a wealthy gentleman, in Annapolis, Leone found that Paca</w:t>
      </w:r>
      <w:r w:rsidRPr="00477F61">
        <w:rPr>
          <w:rStyle w:val="normal0"/>
        </w:rPr>
        <w:t xml:space="preserve"> appli</w:t>
      </w:r>
      <w:r>
        <w:rPr>
          <w:rStyle w:val="normal0"/>
        </w:rPr>
        <w:t>ed</w:t>
      </w:r>
      <w:r w:rsidRPr="00477F61">
        <w:rPr>
          <w:rStyle w:val="normal0"/>
        </w:rPr>
        <w:t xml:space="preserve"> gardening principles that arranged space so as to </w:t>
      </w:r>
      <w:r>
        <w:rPr>
          <w:rStyle w:val="normal0"/>
        </w:rPr>
        <w:t>utilize the principles of optical illusion</w:t>
      </w:r>
      <w:r w:rsidRPr="00477F61">
        <w:rPr>
          <w:rStyle w:val="normal0"/>
        </w:rPr>
        <w:t xml:space="preserve"> and perspective. </w:t>
      </w:r>
      <w:r>
        <w:rPr>
          <w:rStyle w:val="normal0"/>
        </w:rPr>
        <w:t xml:space="preserve">Leone extrapolated from the application of </w:t>
      </w:r>
      <w:r w:rsidRPr="00477F61">
        <w:rPr>
          <w:rStyle w:val="normal0"/>
        </w:rPr>
        <w:t>these techniques</w:t>
      </w:r>
      <w:r>
        <w:rPr>
          <w:rStyle w:val="normal0"/>
        </w:rPr>
        <w:t>,</w:t>
      </w:r>
      <w:r w:rsidRPr="00477F61">
        <w:rPr>
          <w:rStyle w:val="normal0"/>
        </w:rPr>
        <w:t xml:space="preserve"> which divided and ordered space and controlled nature</w:t>
      </w:r>
      <w:r>
        <w:rPr>
          <w:rStyle w:val="normal0"/>
        </w:rPr>
        <w:t>,</w:t>
      </w:r>
      <w:r w:rsidRPr="00477F61">
        <w:rPr>
          <w:rStyle w:val="normal0"/>
        </w:rPr>
        <w:t xml:space="preserve"> to the naturalization of divis</w:t>
      </w:r>
      <w:r w:rsidR="00306511">
        <w:rPr>
          <w:rStyle w:val="normal0"/>
        </w:rPr>
        <w:t xml:space="preserve">ion and order of social class. </w:t>
      </w:r>
      <w:r w:rsidRPr="00477F61">
        <w:rPr>
          <w:rStyle w:val="normal0"/>
        </w:rPr>
        <w:t xml:space="preserve">He writes (Leone 1984:34), “The formal garden was not an adornment, the </w:t>
      </w:r>
      <w:r w:rsidRPr="00477F61">
        <w:rPr>
          <w:rStyle w:val="normal0"/>
        </w:rPr>
        <w:lastRenderedPageBreak/>
        <w:t xml:space="preserve">product of spare time; it was not </w:t>
      </w:r>
      <w:r>
        <w:rPr>
          <w:rStyle w:val="normal0"/>
        </w:rPr>
        <w:t xml:space="preserve">[as a source of] </w:t>
      </w:r>
      <w:r w:rsidRPr="00477F61">
        <w:rPr>
          <w:rStyle w:val="normal0"/>
        </w:rPr>
        <w:t>food and s</w:t>
      </w:r>
      <w:r w:rsidR="00306511">
        <w:rPr>
          <w:rStyle w:val="normal0"/>
        </w:rPr>
        <w:t>till less for an idle fashion.”</w:t>
      </w:r>
      <w:r w:rsidRPr="00477F61">
        <w:rPr>
          <w:rStyle w:val="normal0"/>
        </w:rPr>
        <w:t xml:space="preserve"> Instead, the garden can be seen as an attempt to naturalize and rationalize one of the fundamental contradictions of colonial society, that while individuals like Paca fought for freedom from British tyranny, they oppressed and maintained control over the enslaved African and African American population.      </w:t>
      </w:r>
    </w:p>
    <w:p w:rsidR="00731D7C" w:rsidRDefault="00731D7C" w:rsidP="00731D7C">
      <w:pPr>
        <w:spacing w:line="480" w:lineRule="auto"/>
        <w:ind w:firstLine="720"/>
        <w:rPr>
          <w:rFonts w:eastAsia="Calibri"/>
        </w:rPr>
      </w:pPr>
      <w:r w:rsidRPr="00477F61">
        <w:t>Following in the same theoretical vein, Shackel (1992:208) utilized objects related to dining</w:t>
      </w:r>
      <w:r>
        <w:t>,</w:t>
      </w:r>
      <w:r w:rsidRPr="00477F61">
        <w:t xml:space="preserve"> documented in probate inventories and the archaeological record</w:t>
      </w:r>
      <w:r>
        <w:t>,</w:t>
      </w:r>
      <w:r w:rsidRPr="00477F61">
        <w:t xml:space="preserve"> “to demonstrate how a socially dominant group manipulated material culture and a new personal discipline to exclude the encroaching lower wealth group and to create a culture in which modern</w:t>
      </w:r>
      <w:r w:rsidR="00306511">
        <w:t xml:space="preserve"> inequalities are rooted.”</w:t>
      </w:r>
      <w:r w:rsidRPr="00477F61">
        <w:t xml:space="preserve"> Like Douglas and Isherwood (1979), Shackel views material culture as a boundary maintenance tool </w:t>
      </w:r>
      <w:r w:rsidR="00134A2C">
        <w:t>and tool of hegemonic legitimization</w:t>
      </w:r>
      <w:r w:rsidR="00306511">
        <w:t>.</w:t>
      </w:r>
      <w:r w:rsidRPr="00477F61">
        <w:t xml:space="preserve"> He draws on the hypothesis of Douglas and Isherwood </w:t>
      </w:r>
      <w:r>
        <w:rPr>
          <w:rFonts w:eastAsia="Calibri"/>
        </w:rPr>
        <w:t>(1979</w:t>
      </w:r>
      <w:r w:rsidRPr="00477F61">
        <w:rPr>
          <w:rFonts w:eastAsia="Calibri"/>
        </w:rPr>
        <w:t xml:space="preserve">) </w:t>
      </w:r>
      <w:r w:rsidRPr="00477F61">
        <w:t>– that homogeneity in the material culture record resulted from a</w:t>
      </w:r>
      <w:r w:rsidRPr="00477F61">
        <w:rPr>
          <w:rFonts w:eastAsia="Calibri"/>
        </w:rPr>
        <w:t xml:space="preserve"> tendency to standardize consumption as one moves closer to the</w:t>
      </w:r>
      <w:r>
        <w:rPr>
          <w:rFonts w:eastAsia="Calibri"/>
        </w:rPr>
        <w:t xml:space="preserve"> center of the market system.  </w:t>
      </w:r>
    </w:p>
    <w:p w:rsidR="00731D7C" w:rsidRPr="00953465" w:rsidRDefault="00731D7C" w:rsidP="00731D7C">
      <w:pPr>
        <w:spacing w:line="480" w:lineRule="auto"/>
        <w:ind w:left="720"/>
        <w:rPr>
          <w:rFonts w:eastAsia="Calibri"/>
        </w:rPr>
      </w:pPr>
      <w:r w:rsidRPr="00477F61">
        <w:rPr>
          <w:rFonts w:eastAsia="Calibri"/>
        </w:rPr>
        <w:t>At the fringes of the market system, where turnover is slower, where knowledge is incomplete, and big profits riskier, discrepanc</w:t>
      </w:r>
      <w:r w:rsidR="00306511">
        <w:rPr>
          <w:rFonts w:eastAsia="Calibri"/>
        </w:rPr>
        <w:t xml:space="preserve">ies in standards can pass. </w:t>
      </w:r>
      <w:r w:rsidRPr="00477F61">
        <w:rPr>
          <w:rFonts w:eastAsia="Calibri"/>
        </w:rPr>
        <w:t>But where the competition is hot</w:t>
      </w:r>
      <w:r w:rsidR="00306511">
        <w:rPr>
          <w:rFonts w:eastAsia="Calibri"/>
        </w:rPr>
        <w:t xml:space="preserve">test, standardization emerges… </w:t>
      </w:r>
      <w:r w:rsidRPr="00477F61">
        <w:rPr>
          <w:rFonts w:eastAsia="Calibri"/>
        </w:rPr>
        <w:t>When the tendency to standardize values is strong, some crucial form of social control is being exerted: it is a sign that we are near the hot center of a competitive system where small differences matter a lot</w:t>
      </w:r>
      <w:r>
        <w:rPr>
          <w:rFonts w:eastAsia="Calibri"/>
        </w:rPr>
        <w:t xml:space="preserve"> (</w:t>
      </w:r>
      <w:r w:rsidRPr="00477F61">
        <w:t xml:space="preserve">Douglas and Isherwood </w:t>
      </w:r>
      <w:r>
        <w:rPr>
          <w:rFonts w:eastAsia="Calibri"/>
        </w:rPr>
        <w:t>1979</w:t>
      </w:r>
      <w:r w:rsidRPr="00477F61">
        <w:rPr>
          <w:rFonts w:eastAsia="Calibri"/>
        </w:rPr>
        <w:t>:106)</w:t>
      </w:r>
      <w:r w:rsidRPr="00477F61">
        <w:t>.</w:t>
      </w:r>
      <w:r w:rsidRPr="00477F61">
        <w:rPr>
          <w:rFonts w:eastAsia="Calibri"/>
        </w:rPr>
        <w:t xml:space="preserve">  </w:t>
      </w:r>
    </w:p>
    <w:p w:rsidR="00731D7C" w:rsidRPr="00477F61" w:rsidRDefault="00731D7C" w:rsidP="00731D7C">
      <w:pPr>
        <w:spacing w:line="480" w:lineRule="auto"/>
      </w:pPr>
      <w:r w:rsidRPr="00477F61">
        <w:t xml:space="preserve">Shackel argues that the 1720s and 1730s were a period of social and economic tension in colonial Maryland as wealth disparities increased and the tobacco market </w:t>
      </w:r>
      <w:r>
        <w:t xml:space="preserve">became </w:t>
      </w:r>
      <w:r w:rsidRPr="00477F61">
        <w:t>depre</w:t>
      </w:r>
      <w:r w:rsidR="00306511">
        <w:t>ssed.</w:t>
      </w:r>
      <w:r w:rsidRPr="00477F61">
        <w:t xml:space="preserve"> He suggests that during this period, anthropologists should see evidence of </w:t>
      </w:r>
      <w:r>
        <w:t>a consolidation of power among</w:t>
      </w:r>
      <w:r w:rsidRPr="00477F61">
        <w:t xml:space="preserve"> the elite and the utilization and standardization of a new-found material culture to </w:t>
      </w:r>
      <w:r w:rsidRPr="00477F61">
        <w:lastRenderedPageBreak/>
        <w:t>legitimize their place an</w:t>
      </w:r>
      <w:r w:rsidR="00306511">
        <w:t xml:space="preserve">d block others from intruding. </w:t>
      </w:r>
      <w:r w:rsidRPr="00477F61">
        <w:t xml:space="preserve">He calls this effort not the development of a genteel ideology, but instead personal discipline.  </w:t>
      </w:r>
    </w:p>
    <w:p w:rsidR="00731D7C" w:rsidRPr="00477F61" w:rsidRDefault="00731D7C" w:rsidP="00731D7C">
      <w:pPr>
        <w:spacing w:line="480" w:lineRule="auto"/>
        <w:ind w:firstLine="720"/>
      </w:pPr>
      <w:r w:rsidRPr="00477F61">
        <w:t>He combs through probate inventories in Annapolis, Maryland for evidence of fork and knife sets and formal and segmenting dining items (as opposed to the communal eating utensils and vessel forms see</w:t>
      </w:r>
      <w:r w:rsidR="00306511">
        <w:t xml:space="preserve">n in the seventeenth century). </w:t>
      </w:r>
      <w:r w:rsidRPr="00477F61">
        <w:t>By dividing the probated accounts into four wealth categories and the time period, from 1688 to</w:t>
      </w:r>
      <w:r>
        <w:t xml:space="preserve"> 1777, into four subsets, Shack</w:t>
      </w:r>
      <w:r w:rsidRPr="00477F61">
        <w:t>e</w:t>
      </w:r>
      <w:r>
        <w:t>l</w:t>
      </w:r>
      <w:r w:rsidRPr="00477F61">
        <w:t xml:space="preserve"> documents the emergence of this personal discipline for elites during the critical decades of the 1720s and 1730s, while the distribution of these objects levels ou</w:t>
      </w:r>
      <w:r w:rsidR="00306511">
        <w:t>t by wealth category over time.</w:t>
      </w:r>
      <w:r w:rsidRPr="00477F61">
        <w:t xml:space="preserve"> Shackel (1993:163) expands this argument to the archaeological record in subsequent work and finds that despite the democratization of the consumer revolution in the eighteenth century, “Consumer choice is usually more than a function of </w:t>
      </w:r>
      <w:r w:rsidR="00306511">
        <w:t xml:space="preserve">wealth or access to resources. </w:t>
      </w:r>
      <w:r w:rsidRPr="00477F61">
        <w:t>Consumer choice is to a large extent dependent upon</w:t>
      </w:r>
      <w:r w:rsidR="00306511">
        <w:t xml:space="preserve"> the symbolic values of goods. </w:t>
      </w:r>
      <w:r w:rsidRPr="00477F61">
        <w:t>Members of the same group will choose similar symbols and thereby construct the group’s social boundaries.”</w:t>
      </w:r>
    </w:p>
    <w:p w:rsidR="00731D7C" w:rsidRPr="00477F61" w:rsidRDefault="00731D7C" w:rsidP="00731D7C">
      <w:pPr>
        <w:spacing w:line="480" w:lineRule="auto"/>
        <w:ind w:firstLine="720"/>
      </w:pPr>
      <w:r w:rsidRPr="00477F61">
        <w:rPr>
          <w:rStyle w:val="normal0"/>
          <w:i/>
        </w:rPr>
        <w:t xml:space="preserve">Gentility. </w:t>
      </w:r>
      <w:r w:rsidRPr="00477F61">
        <w:rPr>
          <w:rStyle w:val="normal0"/>
        </w:rPr>
        <w:t xml:space="preserve">Selected essays in the volume, </w:t>
      </w:r>
      <w:r w:rsidRPr="00477F61">
        <w:rPr>
          <w:rStyle w:val="normal0"/>
          <w:i/>
        </w:rPr>
        <w:t>Of Consuming Interests</w:t>
      </w:r>
      <w:r w:rsidRPr="00477F61">
        <w:rPr>
          <w:rStyle w:val="normal0"/>
        </w:rPr>
        <w:t xml:space="preserve"> (Carr and Walsh 1994; Carson 1994; Sweeney 1994), begin to cement the linkage between the consumer revolution and the burg</w:t>
      </w:r>
      <w:r w:rsidR="00306511">
        <w:rPr>
          <w:rStyle w:val="normal0"/>
        </w:rPr>
        <w:t>eoning phenomenon of gentility.</w:t>
      </w:r>
      <w:r w:rsidRPr="00477F61">
        <w:rPr>
          <w:rStyle w:val="normal0"/>
        </w:rPr>
        <w:t xml:space="preserve"> </w:t>
      </w:r>
      <w:r>
        <w:rPr>
          <w:rStyle w:val="normal0"/>
        </w:rPr>
        <w:t xml:space="preserve">Cary </w:t>
      </w:r>
      <w:r w:rsidRPr="00477F61">
        <w:t>Carson’s development of the consumer revolution argument, much like Deetz’s, is a change over time story beginn</w:t>
      </w:r>
      <w:r w:rsidR="00306511">
        <w:t xml:space="preserve">ing back in the medieval ages. </w:t>
      </w:r>
      <w:r w:rsidRPr="00477F61">
        <w:rPr>
          <w:rFonts w:eastAsia="Calibri"/>
        </w:rPr>
        <w:t xml:space="preserve">Before the turn of the eighteenth century, material goods and furnishings had </w:t>
      </w:r>
      <w:r w:rsidRPr="00477F61">
        <w:t>less</w:t>
      </w:r>
      <w:r w:rsidRPr="00477F61">
        <w:rPr>
          <w:rFonts w:eastAsia="Calibri"/>
        </w:rPr>
        <w:t xml:space="preserve"> bearing on one’s social status or perceived place on the social ladder, and were primarily non-portable and therefor</w:t>
      </w:r>
      <w:r w:rsidR="00306511">
        <w:rPr>
          <w:rFonts w:eastAsia="Calibri"/>
        </w:rPr>
        <w:t>e evident to only a select few.</w:t>
      </w:r>
      <w:r w:rsidRPr="00477F61">
        <w:rPr>
          <w:rFonts w:eastAsia="Calibri"/>
        </w:rPr>
        <w:t xml:space="preserve"> </w:t>
      </w:r>
      <w:r w:rsidRPr="00477F61">
        <w:t xml:space="preserve">Much has been written on the consumer revolution, particularly the first wave that occurred between 1670 and 1720 in colonial America (Pogue 2001a; King et al. 2006; </w:t>
      </w:r>
      <w:r>
        <w:t xml:space="preserve">Graham et al. 2007; </w:t>
      </w:r>
      <w:r w:rsidRPr="00477F61">
        <w:t>Carson et al. 2</w:t>
      </w:r>
      <w:r w:rsidR="00306511">
        <w:t>008).</w:t>
      </w:r>
      <w:r>
        <w:t xml:space="preserve"> </w:t>
      </w:r>
      <w:r w:rsidRPr="00477F61">
        <w:t>Carson</w:t>
      </w:r>
      <w:r>
        <w:t>’s</w:t>
      </w:r>
      <w:r w:rsidRPr="00477F61">
        <w:t xml:space="preserve"> </w:t>
      </w:r>
      <w:r>
        <w:t>(</w:t>
      </w:r>
      <w:r w:rsidRPr="00477F61">
        <w:t xml:space="preserve">1994:488) definition for this first wave of the consumer revolution remains the clearest and most concise: </w:t>
      </w:r>
      <w:r w:rsidRPr="00477F61">
        <w:rPr>
          <w:rFonts w:eastAsia="Calibri"/>
        </w:rPr>
        <w:t xml:space="preserve">“… the term </w:t>
      </w:r>
      <w:r w:rsidRPr="00477F61">
        <w:rPr>
          <w:rFonts w:eastAsia="Calibri"/>
        </w:rPr>
        <w:lastRenderedPageBreak/>
        <w:t>historians now give to that great transformation when whole nations learned to use a rich and complicated medium of communications to conduct social relations that were no longer adequately served by parochial repertoires of words, gestures, and folk customs alone.”</w:t>
      </w:r>
      <w:r w:rsidR="00306511">
        <w:t xml:space="preserve"> </w:t>
      </w:r>
      <w:r w:rsidRPr="00477F61">
        <w:t>The catalyst of this need for a ne</w:t>
      </w:r>
      <w:r>
        <w:t>w-found material repertoire wa</w:t>
      </w:r>
      <w:r w:rsidRPr="00477F61">
        <w:t>s bound up in the conditions of colonization, frontier settlement, and population</w:t>
      </w:r>
      <w:r w:rsidR="00306511">
        <w:t xml:space="preserve"> mobility, according to Carson.</w:t>
      </w:r>
      <w:r w:rsidRPr="00477F61">
        <w:t xml:space="preserve"> In other words, as future American colonists left their villages in the Old World to face unfamiliar circumstances and strange cultural groups in the New World, the old system of communicating identity, status, and social relationships founded in familial lineage, property, </w:t>
      </w:r>
      <w:r w:rsidR="00306511">
        <w:t xml:space="preserve">and title began to break down. </w:t>
      </w:r>
      <w:r w:rsidRPr="00477F61">
        <w:t xml:space="preserve">In its place, a system developed dependent on the material world to </w:t>
      </w:r>
      <w:r>
        <w:t>facilitate communication among</w:t>
      </w:r>
      <w:r w:rsidRPr="00477F61">
        <w:t xml:space="preserve"> s</w:t>
      </w:r>
      <w:r w:rsidR="00306511">
        <w:t xml:space="preserve">trangers. </w:t>
      </w:r>
      <w:r>
        <w:t>Carson (1994:693) writes</w:t>
      </w:r>
      <w:r w:rsidRPr="00477F61">
        <w:t xml:space="preserve">, “The history of material life tells its own important story, an account of people’s growing dependence on inanimate objects to communicate their relationships with one another and mediate their daily progress through the </w:t>
      </w:r>
      <w:r w:rsidR="00306511">
        <w:t xml:space="preserve">social worlds they inhabited.” </w:t>
      </w:r>
      <w:r w:rsidRPr="00477F61">
        <w:rPr>
          <w:rFonts w:eastAsia="Calibri"/>
        </w:rPr>
        <w:t>Slowly, though, colonists entered “the brave new world of material goods [that] offered an irresistible shortcut to the good name they lacked at home or left behind” resulting in a “radically new way of thinking that deployed personal possessions in support of social hierarchies built not</w:t>
      </w:r>
      <w:r w:rsidRPr="00477F61">
        <w:t xml:space="preserve"> upon precedence but on manners</w:t>
      </w:r>
      <w:r w:rsidRPr="00477F61">
        <w:rPr>
          <w:rFonts w:eastAsia="Calibri"/>
        </w:rPr>
        <w:t>”</w:t>
      </w:r>
      <w:r w:rsidRPr="00477F61">
        <w:t xml:space="preserve"> (Carson 1994:556-558).</w:t>
      </w:r>
    </w:p>
    <w:p w:rsidR="00731D7C" w:rsidRPr="00477F61" w:rsidRDefault="00731D7C" w:rsidP="00731D7C">
      <w:pPr>
        <w:spacing w:line="480" w:lineRule="auto"/>
        <w:ind w:firstLine="720"/>
      </w:pPr>
      <w:r>
        <w:t>Carson’s work drew</w:t>
      </w:r>
      <w:r w:rsidRPr="00477F61">
        <w:t xml:space="preserve"> our attention to the fact that a demand for goods arose in the eighteenth century because </w:t>
      </w:r>
      <w:r>
        <w:t>goods</w:t>
      </w:r>
      <w:r w:rsidRPr="00477F61">
        <w:t xml:space="preserve"> acted as i</w:t>
      </w:r>
      <w:r>
        <w:t>ntermediaries between strangers and</w:t>
      </w:r>
      <w:r w:rsidRPr="00477F61">
        <w:t xml:space="preserve"> stood in as proxies for social relationships and dynamics in ways un</w:t>
      </w:r>
      <w:r w:rsidR="00306511">
        <w:t xml:space="preserve">necessary in previous decades. </w:t>
      </w:r>
      <w:r w:rsidRPr="00477F61">
        <w:t>This need for a new portable system of materially-derived signs and signals assumed the for</w:t>
      </w:r>
      <w:r>
        <w:t>m of what came to be called</w:t>
      </w:r>
      <w:r w:rsidR="00306511">
        <w:t xml:space="preserve"> gentility. </w:t>
      </w:r>
      <w:r w:rsidRPr="00477F61">
        <w:t xml:space="preserve">Gentility involved the complex acquisition of not only fashionable and stylish new goods, but also the system of manners and actions that underpinned their proper use </w:t>
      </w:r>
      <w:r w:rsidR="00306511">
        <w:t xml:space="preserve">and presentation. </w:t>
      </w:r>
      <w:r>
        <w:t>Carson argued</w:t>
      </w:r>
      <w:r w:rsidRPr="00477F61">
        <w:t xml:space="preserve"> that by the mid-eighteenth century, </w:t>
      </w:r>
      <w:r w:rsidR="00134A2C">
        <w:t>persons</w:t>
      </w:r>
      <w:r w:rsidRPr="00477F61">
        <w:t xml:space="preserve"> of means who </w:t>
      </w:r>
      <w:r w:rsidRPr="00477F61">
        <w:lastRenderedPageBreak/>
        <w:t xml:space="preserve">could afford the fullest expressions of gentility soon found crowds of imitators, </w:t>
      </w:r>
      <w:r>
        <w:t>members</w:t>
      </w:r>
      <w:r w:rsidRPr="00477F61">
        <w:t xml:space="preserve"> of lesser classes who could afford certain hallmarks of gentility to outwardly signal the</w:t>
      </w:r>
      <w:r w:rsidR="00306511">
        <w:t>ir success and upward mobility.</w:t>
      </w:r>
      <w:r w:rsidRPr="00477F61">
        <w:t xml:space="preserve"> Carson</w:t>
      </w:r>
      <w:r>
        <w:t xml:space="preserve"> (1994:673-675) left</w:t>
      </w:r>
      <w:r w:rsidRPr="00477F61">
        <w:t xml:space="preserve"> readers wondering about the specific motivations for the adoption </w:t>
      </w:r>
      <w:r w:rsidR="00306511">
        <w:t>of the genteel ideal.</w:t>
      </w:r>
      <w:r>
        <w:t xml:space="preserve"> He posited</w:t>
      </w:r>
      <w:r w:rsidRPr="00477F61">
        <w:t xml:space="preserve"> that the continual chase and flight scenario may be one motivation wherein, as Veblen originally suggested, upper class individuals continually strove for the newest and most fashionable goods, houses, forms of entertainment, as the lower classes nipped at thei</w:t>
      </w:r>
      <w:r w:rsidR="00306511">
        <w:t>r heels to emulate and imitate.</w:t>
      </w:r>
      <w:r w:rsidRPr="00477F61">
        <w:t xml:space="preserve"> Or is gentility simply an expression of an underlying d</w:t>
      </w:r>
      <w:r>
        <w:t>esire on the part of eighteenth-</w:t>
      </w:r>
      <w:r w:rsidRPr="00477F61">
        <w:t>century Anglo-American culture</w:t>
      </w:r>
      <w:r>
        <w:t xml:space="preserve">s to live </w:t>
      </w:r>
      <w:r w:rsidRPr="00477F61">
        <w:t>more refined, beautiful, and enjoyable</w:t>
      </w:r>
      <w:r>
        <w:t xml:space="preserve"> lives, as Bushman (1992) supposes</w:t>
      </w:r>
      <w:r w:rsidR="00306511">
        <w:t xml:space="preserve">? </w:t>
      </w:r>
      <w:r w:rsidRPr="00477F61">
        <w:t xml:space="preserve">Carson’s narrative </w:t>
      </w:r>
      <w:r>
        <w:t>more than adequately answered</w:t>
      </w:r>
      <w:r w:rsidRPr="00477F61">
        <w:t xml:space="preserve"> the question </w:t>
      </w:r>
      <w:r>
        <w:t xml:space="preserve">of </w:t>
      </w:r>
      <w:r w:rsidRPr="00477F61">
        <w:t>why dema</w:t>
      </w:r>
      <w:r>
        <w:t>nd, but insufficiently addressed</w:t>
      </w:r>
      <w:r w:rsidRPr="00477F61">
        <w:t xml:space="preserve"> the fo</w:t>
      </w:r>
      <w:r>
        <w:t>llow up question, why gentility?</w:t>
      </w:r>
      <w:r w:rsidRPr="00477F61">
        <w:t xml:space="preserve">     </w:t>
      </w:r>
    </w:p>
    <w:p w:rsidR="00731D7C" w:rsidRPr="00477F61" w:rsidRDefault="00731D7C" w:rsidP="00731D7C">
      <w:pPr>
        <w:spacing w:line="480" w:lineRule="auto"/>
        <w:ind w:firstLine="720"/>
      </w:pPr>
      <w:r w:rsidRPr="00477F61">
        <w:rPr>
          <w:rStyle w:val="normal0"/>
        </w:rPr>
        <w:t xml:space="preserve">In the most extensive treatment of gentility to date, </w:t>
      </w:r>
      <w:r>
        <w:rPr>
          <w:rStyle w:val="normal0"/>
        </w:rPr>
        <w:t>Richard Bushman (1992</w:t>
      </w:r>
      <w:r w:rsidRPr="00477F61">
        <w:rPr>
          <w:rStyle w:val="normal0"/>
        </w:rPr>
        <w:t xml:space="preserve">) found that </w:t>
      </w:r>
      <w:r w:rsidRPr="00477F61">
        <w:t>lavish gardens, beautified public squares, and large and stately mansions could not be simply attributed to displays of wealth for the purposes of showing off</w:t>
      </w:r>
      <w:r>
        <w:t>,</w:t>
      </w:r>
      <w:r w:rsidRPr="00477F61">
        <w:t xml:space="preserve"> or </w:t>
      </w:r>
      <w:r>
        <w:t xml:space="preserve">to </w:t>
      </w:r>
      <w:r w:rsidRPr="00477F61">
        <w:t>slavish i</w:t>
      </w:r>
      <w:r w:rsidR="00306511">
        <w:t xml:space="preserve">mitation of English gentility. </w:t>
      </w:r>
      <w:r w:rsidRPr="00477F61">
        <w:t>T</w:t>
      </w:r>
      <w:r>
        <w:t>hese material changes, he argued</w:t>
      </w:r>
      <w:r w:rsidRPr="00477F61">
        <w:t>, resulted from a deep desire to live in a more pleasing, polite, disciplined, moral, and refined world on the part of those with means to make close approxim</w:t>
      </w:r>
      <w:r w:rsidR="00306511">
        <w:t>ations of this ideal a reality.</w:t>
      </w:r>
      <w:r w:rsidRPr="00477F61">
        <w:t xml:space="preserve"> Colonial Americans found this world detailed in courtesy books that described a courtly tradition wherein “genteel behavior always reflected the belief that somewhere a glorious circle existed wherein life was lived at its highest and best, where fashions were set, and where true gentility was achieved, where harmony, grace and beauty coul</w:t>
      </w:r>
      <w:r>
        <w:t>d be found” (Bushman 1992</w:t>
      </w:r>
      <w:r w:rsidRPr="00477F61">
        <w:t>:37)</w:t>
      </w:r>
      <w:r w:rsidR="00306511">
        <w:t>.</w:t>
      </w:r>
      <w:r w:rsidRPr="00477F61">
        <w:t xml:space="preserve"> Setting one’s surroundings and behaving in certain ways evoked the idea of performance, where the perfect stage was set and everything was on display</w:t>
      </w:r>
      <w:r w:rsidR="00306511">
        <w:t xml:space="preserve"> to peers and commoners alike. </w:t>
      </w:r>
      <w:r w:rsidRPr="00477F61">
        <w:t xml:space="preserve">However, while commoners observed and sometimes </w:t>
      </w:r>
      <w:r w:rsidRPr="00477F61">
        <w:lastRenderedPageBreak/>
        <w:t>emulated the genteel, “through the eighteenth cen</w:t>
      </w:r>
      <w:r w:rsidR="00306511">
        <w:t>tury, it was not their culture.</w:t>
      </w:r>
      <w:r w:rsidRPr="00477F61">
        <w:t xml:space="preserve"> Gentility with all its material forms and preferred habits of conduct belon</w:t>
      </w:r>
      <w:r>
        <w:t>ged to the gentry” (Bushman 1992</w:t>
      </w:r>
      <w:r w:rsidR="00306511">
        <w:t xml:space="preserve">:186). </w:t>
      </w:r>
      <w:r w:rsidRPr="00477F61">
        <w:t>In fact, emulation of gentility was often assumed to be the primary motivating factor that spurred the mid-eighteenth century consumer revolution and created shoppers out of coloni</w:t>
      </w:r>
      <w:r w:rsidR="00306511">
        <w:t>al commoners (Bell 2000:28-29).</w:t>
      </w:r>
      <w:r w:rsidRPr="00477F61">
        <w:t xml:space="preserve"> Genteel culture set defined boundaries between participants and observers, remained an exclusive club, and reinforced cultural</w:t>
      </w:r>
      <w:r w:rsidR="00306511">
        <w:t xml:space="preserve"> divisions.</w:t>
      </w:r>
      <w:r w:rsidRPr="00477F61">
        <w:t xml:space="preserve"> </w:t>
      </w:r>
      <w:r>
        <w:t>D</w:t>
      </w:r>
      <w:r w:rsidRPr="00477F61">
        <w:t>ivision of populations by wealth</w:t>
      </w:r>
      <w:r>
        <w:t xml:space="preserve"> also</w:t>
      </w:r>
      <w:r w:rsidRPr="00477F61">
        <w:t xml:space="preserve"> took on a moral cast – the genteel were more refined, civilized and moral; the common folk were rude, vu</w:t>
      </w:r>
      <w:r>
        <w:t>lgar, and ignorant (Bushman 1992</w:t>
      </w:r>
      <w:r w:rsidRPr="00477F61">
        <w:t xml:space="preserve">:183).  </w:t>
      </w:r>
    </w:p>
    <w:p w:rsidR="00731D7C" w:rsidRPr="00477F61" w:rsidRDefault="00731D7C" w:rsidP="00731D7C">
      <w:pPr>
        <w:spacing w:line="480" w:lineRule="auto"/>
        <w:ind w:firstLine="720"/>
      </w:pPr>
      <w:r w:rsidRPr="00477F61">
        <w:t>Archaeologists have explored the phenomenon of gentility most extensively from the pers</w:t>
      </w:r>
      <w:r w:rsidR="00306511">
        <w:t xml:space="preserve">pective of the social climber. </w:t>
      </w:r>
      <w:r w:rsidRPr="00477F61">
        <w:t xml:space="preserve">Specifically, </w:t>
      </w:r>
      <w:r>
        <w:t>Lorinda Goodwin (1999) tackled</w:t>
      </w:r>
      <w:r w:rsidRPr="00477F61">
        <w:t xml:space="preserve"> manners and the polite world as experienced by colonial New England merchants – a group of individuals placed in a somewhat liminal social role during </w:t>
      </w:r>
      <w:r w:rsidR="00306511">
        <w:t xml:space="preserve">the eighteenth century. </w:t>
      </w:r>
      <w:r w:rsidRPr="00477F61">
        <w:t>As opposed to the landed gentry, these individuals were viewed as upstarts who perhaps had the money, but not the knowledge</w:t>
      </w:r>
      <w:r w:rsidR="00134A2C">
        <w:t>,</w:t>
      </w:r>
      <w:r w:rsidRPr="00477F61">
        <w:t xml:space="preserve"> to enter the upp</w:t>
      </w:r>
      <w:r w:rsidR="00306511">
        <w:t>er echelons of refined culture.</w:t>
      </w:r>
      <w:r w:rsidRPr="00477F61">
        <w:t xml:space="preserve"> Slowly, however, through the adoption of mannerly behaviors prescribed in courtesy literature and the use of material culture that embodied the tenets of gentility, luxury, novelty and patina, the merchant elite became a more well-respected social </w:t>
      </w:r>
      <w:r w:rsidR="00306511">
        <w:t xml:space="preserve">group in colonial New England. </w:t>
      </w:r>
      <w:r>
        <w:t>Andrew Veech (1998) shifted</w:t>
      </w:r>
      <w:r w:rsidRPr="00477F61">
        <w:t xml:space="preserve"> the focus from a social</w:t>
      </w:r>
      <w:r>
        <w:t xml:space="preserve"> group to an individual who stood</w:t>
      </w:r>
      <w:r w:rsidRPr="00477F61">
        <w:t xml:space="preserve"> as a microcosm for the heel-nippers th</w:t>
      </w:r>
      <w:r>
        <w:t>at Carson so thoroughly portrayed</w:t>
      </w:r>
      <w:r w:rsidR="00306511">
        <w:t>.</w:t>
      </w:r>
      <w:r w:rsidRPr="00477F61">
        <w:t xml:space="preserve"> Through the archaeological and documentary rec</w:t>
      </w:r>
      <w:r>
        <w:t>ords, Veech developed</w:t>
      </w:r>
      <w:r w:rsidRPr="00477F61">
        <w:t xml:space="preserve"> a picture of Abraham Barnes, a neighbor of George Washington, who attempted to utilize this new material repertoire to enter higher social circ</w:t>
      </w:r>
      <w:r w:rsidR="00306511">
        <w:t xml:space="preserve">les. </w:t>
      </w:r>
      <w:r>
        <w:t>Veech interchangeably used</w:t>
      </w:r>
      <w:r w:rsidRPr="00477F61">
        <w:t xml:space="preserve"> the terms </w:t>
      </w:r>
      <w:r w:rsidR="00134A2C">
        <w:t>“</w:t>
      </w:r>
      <w:r w:rsidRPr="00477F61">
        <w:t>social aspirant,</w:t>
      </w:r>
      <w:r w:rsidR="00134A2C">
        <w:t>”</w:t>
      </w:r>
      <w:r w:rsidRPr="00477F61">
        <w:t xml:space="preserve"> </w:t>
      </w:r>
      <w:r w:rsidR="00134A2C">
        <w:t>“</w:t>
      </w:r>
      <w:r w:rsidRPr="00477F61">
        <w:t>parvenu,</w:t>
      </w:r>
      <w:r w:rsidR="00134A2C">
        <w:t>”</w:t>
      </w:r>
      <w:r w:rsidRPr="00477F61">
        <w:t xml:space="preserve"> </w:t>
      </w:r>
      <w:r w:rsidR="00134A2C">
        <w:t>“</w:t>
      </w:r>
      <w:r w:rsidRPr="00477F61">
        <w:t>pretender,</w:t>
      </w:r>
      <w:r w:rsidR="00134A2C">
        <w:t>”</w:t>
      </w:r>
      <w:r w:rsidRPr="00477F61">
        <w:t xml:space="preserve"> and </w:t>
      </w:r>
      <w:r w:rsidR="00134A2C">
        <w:t>“</w:t>
      </w:r>
      <w:r w:rsidRPr="00477F61">
        <w:t>Macaroni</w:t>
      </w:r>
      <w:r w:rsidR="00134A2C">
        <w:t>”</w:t>
      </w:r>
      <w:r w:rsidRPr="00477F61">
        <w:t xml:space="preserve"> to describe Barnes’ inability to move beyond the mere superficial adoption</w:t>
      </w:r>
      <w:r w:rsidR="00306511">
        <w:t xml:space="preserve"> of a genteel lifestyle.</w:t>
      </w:r>
      <w:r w:rsidRPr="00477F61">
        <w:t xml:space="preserve"> Barnes literally went broke attempting to buy the </w:t>
      </w:r>
      <w:r w:rsidRPr="00477F61">
        <w:lastRenderedPageBreak/>
        <w:t xml:space="preserve">identity of a gentleman, when what he lacked all along was the education, manners, etiquette, habits, and proper knowledge of the world that a true gentleman possessed.     </w:t>
      </w:r>
    </w:p>
    <w:p w:rsidR="00731D7C" w:rsidRPr="00477F61" w:rsidRDefault="00731D7C" w:rsidP="00731D7C">
      <w:pPr>
        <w:spacing w:line="480" w:lineRule="auto"/>
        <w:ind w:firstLine="720"/>
      </w:pPr>
      <w:r>
        <w:rPr>
          <w:i/>
        </w:rPr>
        <w:t>The Plight of the P</w:t>
      </w:r>
      <w:r w:rsidRPr="00477F61">
        <w:rPr>
          <w:i/>
        </w:rPr>
        <w:t xml:space="preserve">lanter? </w:t>
      </w:r>
      <w:r w:rsidRPr="00477F61">
        <w:t>The implications, nature, and purpose of gentility as facilitated or fueled by the consumer revolution has been acknowledged, but gone relativel</w:t>
      </w:r>
      <w:r w:rsidR="00306511">
        <w:t>y unexplored anthropologically.</w:t>
      </w:r>
      <w:r w:rsidRPr="00477F61">
        <w:t xml:space="preserve"> Even as Carr and Walsh (1994:144-145) uncovered the specific</w:t>
      </w:r>
      <w:r>
        <w:t xml:space="preserve"> contours of consumerism among</w:t>
      </w:r>
      <w:r w:rsidRPr="00477F61">
        <w:t xml:space="preserve"> elite and non-elite white households, they voiced concern over the obscurity of the roots of gentility and its application as an anthropologic</w:t>
      </w:r>
      <w:r w:rsidR="00306511">
        <w:t xml:space="preserve">al theory of material culture. </w:t>
      </w:r>
      <w:r w:rsidRPr="00477F61">
        <w:t>They write, “But why Englishmen, either at home or in the colonies, developed the particular sets of attitudes towards household artifacts and their uses that gentility required, or accepted the dictates of ever-changing fashions in pursuing it, is a question that needs much greater understanding than we currently have of how an</w:t>
      </w:r>
      <w:r w:rsidR="0012257E">
        <w:t xml:space="preserve">d why cultural change occurs.” </w:t>
      </w:r>
      <w:r w:rsidRPr="00477F61">
        <w:t>This critique of gentil</w:t>
      </w:r>
      <w:r w:rsidR="0012257E">
        <w:t xml:space="preserve">ity raises pressing questions. </w:t>
      </w:r>
      <w:r w:rsidRPr="00477F61">
        <w:t>Why did elites, particularly in this period of increasing demographic and economic stability and class consolidation, need to distinguish themselves from their slaves or lesser neighbors by adopting a genteel ethos, by building imposing mansion houses, by trave</w:t>
      </w:r>
      <w:r w:rsidR="0012257E">
        <w:t xml:space="preserve">ling in embellished carriages? </w:t>
      </w:r>
      <w:r w:rsidRPr="00477F61">
        <w:t>Why did they cling so tightly to a sometimes unreliable middle man thousands of miles away to procure goods of the most current taste and fashion, and then complain bitterly when he failed, while in th</w:t>
      </w:r>
      <w:r w:rsidR="0012257E">
        <w:t xml:space="preserve">e same letter asking for more? </w:t>
      </w:r>
      <w:r w:rsidRPr="00477F61">
        <w:t xml:space="preserve">What reasons could the planter elite possibly have for needing to distinguish themselves from their slaves or poorer neighbors materially when, by the mid-eighteenth century, historians and archaeologists agree that “the Chesapeake gentry class was strongly entrenched </w:t>
      </w:r>
      <w:r w:rsidR="0012257E">
        <w:t xml:space="preserve">in power” (Kulikoff 1986:261)? </w:t>
      </w:r>
      <w:r w:rsidRPr="00477F61">
        <w:t>Historians and archaeologists have offered some intriguing answers to these questions.</w:t>
      </w:r>
    </w:p>
    <w:p w:rsidR="00731D7C" w:rsidRPr="00477F61" w:rsidRDefault="00731D7C" w:rsidP="00731D7C">
      <w:pPr>
        <w:spacing w:line="480" w:lineRule="auto"/>
        <w:ind w:firstLine="720"/>
        <w:rPr>
          <w:b/>
        </w:rPr>
      </w:pPr>
      <w:r w:rsidRPr="00477F61">
        <w:rPr>
          <w:i/>
        </w:rPr>
        <w:lastRenderedPageBreak/>
        <w:t>Debt and Dependence.</w:t>
      </w:r>
      <w:r w:rsidRPr="00477F61">
        <w:rPr>
          <w:b/>
        </w:rPr>
        <w:t xml:space="preserve"> </w:t>
      </w:r>
      <w:r w:rsidRPr="00477F61">
        <w:t>While the economic prosperity in the decades surrounding the mid-eighteenth century opened up colonial access to credit from Britain and resulted in a “buying spree” of consumer goods, it had the destabilizing effect of introducing a world of debt thus far un</w:t>
      </w:r>
      <w:r w:rsidR="0012257E">
        <w:t xml:space="preserve">known to large-scale planters. </w:t>
      </w:r>
      <w:r w:rsidRPr="00477F61">
        <w:t>Gent</w:t>
      </w:r>
      <w:r w:rsidR="0012257E">
        <w:t xml:space="preserve">ility, therefore, had a price. </w:t>
      </w:r>
      <w:r w:rsidRPr="00477F61">
        <w:t>The entangling web of credit and debt was a direct result of the consignment system through which planters sold their tobacco to English agents, who extended the credit tobacco growers then used to purchase a range of imported goods.  As the colonists quickly discovered</w:t>
      </w:r>
      <w:r w:rsidR="0012257E">
        <w:t xml:space="preserve">, it was not a perfect system. </w:t>
      </w:r>
      <w:r w:rsidRPr="00477F61">
        <w:t>Colonial planters often thought that their crops were valued too low, often made purchases in excess of the credit earned through the tobacco sale, and often grew more indebted as crop failures led to credit extensions from one se</w:t>
      </w:r>
      <w:r w:rsidR="0012257E">
        <w:t xml:space="preserve">ason to the next (Breen 1985). </w:t>
      </w:r>
      <w:r w:rsidRPr="00477F61">
        <w:t xml:space="preserve">George Washington faced these uncomfortable circumstances created by a desire for English goods (which began possibly as early as 1754 when he was just 22) and a decrease in the amount paid for this tobacco such that a decade after his first recorded purchase of English goods, he owed his London merchant </w:t>
      </w:r>
      <w:r>
        <w:t>£</w:t>
      </w:r>
      <w:r w:rsidR="0012257E">
        <w:t xml:space="preserve">1,800 (Pogue 1994:106). </w:t>
      </w:r>
      <w:r w:rsidRPr="00477F61">
        <w:t>This flawed system led to a credit crisis and severe credit contractions in the 1760s and again before the war when English factors began to call in their debts – all the while, debt doubled from</w:t>
      </w:r>
      <w:r w:rsidR="0012257E">
        <w:t xml:space="preserve"> 1766 to 1776 (Breen 1985:128).</w:t>
      </w:r>
      <w:r w:rsidRPr="00477F61">
        <w:t xml:space="preserve"> Today’s culture of debit is largely anonymous and impersonal – one could hardly imagine sending a personal letter to a l</w:t>
      </w:r>
      <w:r w:rsidR="0012257E">
        <w:t xml:space="preserve">arge bank asking for leniency. </w:t>
      </w:r>
      <w:r w:rsidRPr="00477F61">
        <w:t>However, Breen (1985:91) argues that because independence and personal autonomy were highly valued by the planter elite, they came to associate being in debt with the loss of personal liberty and of an affr</w:t>
      </w:r>
      <w:r w:rsidR="0012257E">
        <w:t>ont to a person’s independence.</w:t>
      </w:r>
      <w:r w:rsidRPr="00477F61">
        <w:t xml:space="preserve"> “When hard-pressed British merchants began to call insolvent Tidewater gentlemen to account, the planters acted like ‘friends’ betrayed” (Breen 1985:123).    </w:t>
      </w:r>
    </w:p>
    <w:p w:rsidR="00731D7C" w:rsidRPr="00477F61" w:rsidRDefault="00731D7C" w:rsidP="00731D7C">
      <w:pPr>
        <w:spacing w:line="480" w:lineRule="auto"/>
      </w:pPr>
      <w:r w:rsidRPr="00477F61">
        <w:lastRenderedPageBreak/>
        <w:tab/>
        <w:t>Colonial planters were not only at the mercy of English factors for the value of their tobacco and the extension or retraction of their credit, but also for th</w:t>
      </w:r>
      <w:r w:rsidR="0012257E">
        <w:t xml:space="preserve">eir role as personal shoppers. </w:t>
      </w:r>
      <w:r w:rsidRPr="00477F61">
        <w:t>Despite the fact that George Washington and other gentry planters had access to a wider range of goods from England, they were still dependent on a middle man, on a metropolitan arbiter of taste, to deliver the goods they desired</w:t>
      </w:r>
      <w:r>
        <w:t xml:space="preserve"> (Rozbicki 1998; Yokota 2011)</w:t>
      </w:r>
      <w:r w:rsidR="0012257E">
        <w:t xml:space="preserve">. </w:t>
      </w:r>
      <w:r w:rsidRPr="00477F61">
        <w:t>“George Washington’s orders for supplies to be shipped from England to Mount Vernon by his merchant Robert Cary exhibit two conspicuous characteristics: first, an acute concern that all objects be as close to what was currently the approved high taste as possible and, second, an equally acute reliance on Cary to decide for Washington what was ‘in the newest ta</w:t>
      </w:r>
      <w:r w:rsidR="0012257E">
        <w:t xml:space="preserve">ste’” (Rozbicki 1998:141-142). </w:t>
      </w:r>
      <w:r w:rsidRPr="00477F61">
        <w:t>We know from Washington and Cary’s correspondence, that the former’s expectations oft</w:t>
      </w:r>
      <w:r w:rsidR="0012257E">
        <w:t xml:space="preserve">en went unmet (Ragsdale 1989). </w:t>
      </w:r>
      <w:r w:rsidRPr="00477F61">
        <w:t>Subservience, frustration, embarrassment, fear of losing personal autonomy, threats to the tobacco culture and, therefore, the Virginia planter’s way of life</w:t>
      </w:r>
      <w:r w:rsidR="00134A2C">
        <w:t>,</w:t>
      </w:r>
      <w:r w:rsidRPr="00477F61">
        <w:t xml:space="preserve"> </w:t>
      </w:r>
      <w:r w:rsidR="00134A2C">
        <w:t xml:space="preserve">all </w:t>
      </w:r>
      <w:r w:rsidRPr="00477F61">
        <w:t>caused an unease and anxiety on the part of the gentry during this period.</w:t>
      </w:r>
    </w:p>
    <w:p w:rsidR="00731D7C" w:rsidRPr="00477F61" w:rsidRDefault="00731D7C" w:rsidP="00731D7C">
      <w:pPr>
        <w:spacing w:line="480" w:lineRule="auto"/>
        <w:ind w:firstLine="720"/>
      </w:pPr>
      <w:r w:rsidRPr="00477F61">
        <w:rPr>
          <w:i/>
        </w:rPr>
        <w:t>Religion and the Challenge to Cultural Legitimacy.</w:t>
      </w:r>
      <w:r w:rsidR="0012257E">
        <w:t xml:space="preserve"> </w:t>
      </w:r>
      <w:r w:rsidRPr="00477F61">
        <w:t xml:space="preserve">Economic challenges and their effects on ideological confidence were not the only ones faced by Virginia’s </w:t>
      </w:r>
      <w:r w:rsidR="0012257E">
        <w:t xml:space="preserve">mid-eighteenth century elites. </w:t>
      </w:r>
      <w:r w:rsidRPr="00477F61">
        <w:t>Rhys Isaac’s (1982) anthropologically-inspired historical narrative of religious change in the Revolutionary period depicts a society organized by the ideals of patriarchy transforming to one defined by values of toleration, morality, mutual comp</w:t>
      </w:r>
      <w:r w:rsidR="0012257E">
        <w:t xml:space="preserve">act, and individual autonomy.  </w:t>
      </w:r>
      <w:r w:rsidRPr="00477F61">
        <w:t>During the period from 1740 through 1790, “distinct gentry families emerged and came to be more and more set apart by an increasingly refined way of life” as seen in architecture, landscape change, and other forms of mat</w:t>
      </w:r>
      <w:r w:rsidR="0012257E">
        <w:t xml:space="preserve">erial culture (Isaac 1982:73). </w:t>
      </w:r>
      <w:r w:rsidRPr="00477F61">
        <w:t>By the mid-eighteenth century, the gentry sought class exclusion and a strict social hierarchy during all governmental and popular events, from court days to c</w:t>
      </w:r>
      <w:r w:rsidR="0012257E">
        <w:t xml:space="preserve">hurch services to cock fights. </w:t>
      </w:r>
      <w:r w:rsidRPr="00477F61">
        <w:t xml:space="preserve">Even as they </w:t>
      </w:r>
      <w:r w:rsidRPr="00477F61">
        <w:lastRenderedPageBreak/>
        <w:t>sought to isolate themselves at the top of this ladder by concentrating resources and positions of power in all aspects of colonial life, their position was weakened by revolutionary popular movements, both political and religious, through the destabilization of the consignment system, and through the continued control of colonial society by the</w:t>
      </w:r>
      <w:r w:rsidR="0012257E">
        <w:t xml:space="preserve"> British (Isaac 1982:137-138). </w:t>
      </w:r>
      <w:r w:rsidRPr="00477F61">
        <w:rPr>
          <w:rFonts w:eastAsia="Calibri"/>
        </w:rPr>
        <w:t>The popular religious movement called the Great Awakening provided colonists with the vocabulary to express their challenge to the hierarchical power structures symbolically reinforced in every manifestation of material culture from the traditional, in landscape, architecture, church, and court, to the phenomenological, interpersonal interactions between travelers on roads and d</w:t>
      </w:r>
      <w:r w:rsidR="0012257E">
        <w:rPr>
          <w:rFonts w:eastAsia="Calibri"/>
        </w:rPr>
        <w:t xml:space="preserve">uring popular sporting events. </w:t>
      </w:r>
      <w:r w:rsidRPr="00477F61">
        <w:rPr>
          <w:rFonts w:eastAsia="Calibri"/>
        </w:rPr>
        <w:t>Before the Great Awakening, power and hierarchy characterized colonial mentality i</w:t>
      </w:r>
      <w:r w:rsidR="0012257E">
        <w:rPr>
          <w:rFonts w:eastAsia="Calibri"/>
        </w:rPr>
        <w:t xml:space="preserve">nfluenced by Old World ideals. </w:t>
      </w:r>
      <w:r w:rsidRPr="00477F61">
        <w:rPr>
          <w:rFonts w:eastAsia="Calibri"/>
        </w:rPr>
        <w:t xml:space="preserve">After the Great Awakening, a shift in mentality occurred as the colonial experience, through the form of religion, challenged the traditional social order and sought to instill a new one.  </w:t>
      </w:r>
    </w:p>
    <w:p w:rsidR="00731D7C" w:rsidRDefault="00731D7C" w:rsidP="00731D7C">
      <w:pPr>
        <w:spacing w:line="480" w:lineRule="auto"/>
        <w:ind w:firstLine="720"/>
      </w:pPr>
      <w:r w:rsidRPr="00477F61">
        <w:rPr>
          <w:i/>
        </w:rPr>
        <w:t>Provincialism and the St</w:t>
      </w:r>
      <w:r w:rsidR="0012257E">
        <w:rPr>
          <w:i/>
        </w:rPr>
        <w:t>ruggle for Cultural Legitimacy.</w:t>
      </w:r>
      <w:r w:rsidRPr="00477F61">
        <w:rPr>
          <w:i/>
        </w:rPr>
        <w:t xml:space="preserve"> </w:t>
      </w:r>
      <w:r w:rsidR="00E56086">
        <w:t xml:space="preserve">By the mid-eighteenth century, Kulikoff (1986:280) argues that </w:t>
      </w:r>
      <w:r w:rsidRPr="00477F61">
        <w:t xml:space="preserve">the </w:t>
      </w:r>
      <w:r w:rsidR="00E56086">
        <w:t>Chesapeake</w:t>
      </w:r>
      <w:r w:rsidR="00E56086" w:rsidRPr="00477F61">
        <w:t xml:space="preserve"> </w:t>
      </w:r>
      <w:r w:rsidRPr="00477F61">
        <w:t xml:space="preserve">planter elite </w:t>
      </w:r>
      <w:r w:rsidR="00E56086">
        <w:t xml:space="preserve">had </w:t>
      </w:r>
      <w:r w:rsidRPr="00477F61">
        <w:t>coalesced into a dominant</w:t>
      </w:r>
      <w:r w:rsidR="00E56086">
        <w:t>, powerful, and self-conscious</w:t>
      </w:r>
      <w:r w:rsidRPr="00477F61">
        <w:t xml:space="preserve"> socio-economic class</w:t>
      </w:r>
      <w:r w:rsidR="00E56086">
        <w:t>.</w:t>
      </w:r>
      <w:r w:rsidRPr="00477F61">
        <w:t xml:space="preserve"> </w:t>
      </w:r>
      <w:r w:rsidR="00E56086">
        <w:t xml:space="preserve">Wealthy families in previous decades still had to contend with a rebellious workforce in need of constant supervision that lessened time for leisurely </w:t>
      </w:r>
      <w:r w:rsidR="00AA2F52">
        <w:t xml:space="preserve">and educational </w:t>
      </w:r>
      <w:r w:rsidR="00E56086">
        <w:t>pursuits</w:t>
      </w:r>
      <w:r w:rsidR="00AA2F52">
        <w:t xml:space="preserve"> that would distinguish them from yeoman pla</w:t>
      </w:r>
      <w:r w:rsidR="0012257E">
        <w:t xml:space="preserve">nters (Kulikoff 1986:276-280). </w:t>
      </w:r>
      <w:r w:rsidR="00E56086">
        <w:t xml:space="preserve">Despite </w:t>
      </w:r>
      <w:r w:rsidR="00AA2F52">
        <w:t>the formation of this cohesive ruling class</w:t>
      </w:r>
      <w:r w:rsidR="00E56086">
        <w:t xml:space="preserve">, </w:t>
      </w:r>
      <w:r w:rsidRPr="00477F61">
        <w:t>Rozbicki (1998) argues that the group struggled for cultural legitimacy and recognition of authority not from unruly yeoman planters or rebellious enslaved African Americans, bu</w:t>
      </w:r>
      <w:r w:rsidR="0012257E">
        <w:t xml:space="preserve">t from their peers in England. </w:t>
      </w:r>
      <w:r w:rsidRPr="00477F61">
        <w:t>The goal of upper class colonial Americans and Englishmen was the same, Rozbicki (1998:24) suggests, to retain “control over the</w:t>
      </w:r>
      <w:r w:rsidR="0012257E">
        <w:t xml:space="preserve"> symbolic power of gentility.” </w:t>
      </w:r>
      <w:r w:rsidRPr="00477F61">
        <w:t xml:space="preserve">Control, in the form of restricted access to objects embodying taste, architectural forms, education, among others, provided legitimacy and </w:t>
      </w:r>
      <w:r w:rsidRPr="00477F61">
        <w:lastRenderedPageBreak/>
        <w:t>cultural ac</w:t>
      </w:r>
      <w:r w:rsidR="0012257E">
        <w:t xml:space="preserve">ceptance of genteel authority. </w:t>
      </w:r>
      <w:r w:rsidRPr="00477F61">
        <w:t>Therefore, if we are to apply this model to material culture, planter elites controlled these hallmarks of gentility to provide legitim</w:t>
      </w:r>
      <w:r w:rsidR="0012257E">
        <w:t>acy or acceptance of authority.</w:t>
      </w:r>
      <w:r w:rsidRPr="00477F61">
        <w:t xml:space="preserve"> However, problematically, gentility was an ideology that necessitated legitimization on th</w:t>
      </w:r>
      <w:r w:rsidR="0012257E">
        <w:t>e part of appropriate arbiters.</w:t>
      </w:r>
      <w:r w:rsidRPr="00477F61">
        <w:t xml:space="preserve"> </w:t>
      </w:r>
      <w:r>
        <w:t>Yokota (2011:10) uses words like “marginality”, “inferiority”, and “liminality” to describe the relationship between colonial expatriates and Br</w:t>
      </w:r>
      <w:r w:rsidR="0012257E">
        <w:t xml:space="preserve">itish still living in England. </w:t>
      </w:r>
      <w:r>
        <w:t>Purchasing and importing goods from these “arbiters of taste” formed a bridge between subject and colonizer, between frontier an</w:t>
      </w:r>
      <w:r w:rsidR="0012257E">
        <w:t>d motherland (Yokota 2011: 75).</w:t>
      </w:r>
      <w:r>
        <w:t xml:space="preserve"> </w:t>
      </w:r>
      <w:r w:rsidRPr="00477F61">
        <w:t xml:space="preserve">For an ideology to be legitimate, it must be deemed so by arbiters who were in a position to judge such things.  </w:t>
      </w:r>
    </w:p>
    <w:p w:rsidR="00731D7C" w:rsidRPr="00477F61" w:rsidRDefault="00731D7C" w:rsidP="00731D7C">
      <w:pPr>
        <w:spacing w:line="480" w:lineRule="auto"/>
        <w:ind w:left="720"/>
      </w:pPr>
      <w:r w:rsidRPr="00477F61">
        <w:t>For genteel style, taste, literary and architectural forms, manners, dress, or virtues to be recognized as authentic and reputable, they had to carry the mark of approval by an authority qualified to decla</w:t>
      </w:r>
      <w:r w:rsidR="0012257E">
        <w:t>re such standards legitimate...</w:t>
      </w:r>
      <w:r w:rsidRPr="00477F61">
        <w:t xml:space="preserve"> For colonial gentry there was practically only one available source of such arbitration, the metropolis that not only defined what was polite and refined but also controlled this precious capital by assigning it </w:t>
      </w:r>
      <w:r>
        <w:t>to the anointed</w:t>
      </w:r>
      <w:r w:rsidRPr="00477F61">
        <w:t xml:space="preserve"> (Rozbicki 1998:24-25).</w:t>
      </w:r>
    </w:p>
    <w:p w:rsidR="00731D7C" w:rsidRPr="00477F61" w:rsidRDefault="00731D7C" w:rsidP="00731D7C">
      <w:pPr>
        <w:spacing w:line="480" w:lineRule="auto"/>
        <w:ind w:firstLine="720"/>
      </w:pPr>
      <w:r w:rsidRPr="00477F61">
        <w:t>Unfortunately for the colonial gentry, metropolitan elite jud</w:t>
      </w:r>
      <w:r>
        <w:t>ges did not comment favorably upon</w:t>
      </w:r>
      <w:r w:rsidRPr="00477F61">
        <w:t xml:space="preserve"> colonial attempts at gentility and, </w:t>
      </w:r>
      <w:r w:rsidR="0012257E">
        <w:t>therefore, cultural legitimacy.</w:t>
      </w:r>
      <w:r w:rsidRPr="00477F61">
        <w:t xml:space="preserve"> Rozbicki (1998:77) remarks that negative cultural commentary in the form of “condescension and patronizing stereotypes” was so ubiquitous as to only require a sample in his study. Captured in a “wide variety of publications, from journals, travel literature, political pamphlets, and scientific treatises to novels, drama, and poetry,” patronizing commentary found by Rozbicki included common themes of ridicule and mockery centered on provincialism, lack of education, tendency towards alcoholism and vulgar behavior, participation in the slave system, and simply bad taste – </w:t>
      </w:r>
      <w:r w:rsidRPr="00477F61">
        <w:lastRenderedPageBreak/>
        <w:t>all affronts to the legitimacy-seeking colonial elite</w:t>
      </w:r>
      <w:r>
        <w:t xml:space="preserve"> (Rozbicki 1998; Yokota 2011)</w:t>
      </w:r>
      <w:r w:rsidRPr="00477F61">
        <w:t>.</w:t>
      </w:r>
      <w:r>
        <w:t xml:space="preserve"> </w:t>
      </w:r>
      <w:r w:rsidRPr="00477F61">
        <w:t>Rozbicki (1998:37) writes, “It was the relative rapidity with which – after the introduction of slavery on a large scale – wealth and power were concentrated in the hands of the planter gentry that played a key role in creating a demand for g</w:t>
      </w:r>
      <w:r w:rsidR="0012257E">
        <w:t xml:space="preserve">entility.” </w:t>
      </w:r>
      <w:r>
        <w:t>In other words, Roz</w:t>
      </w:r>
      <w:r w:rsidRPr="00477F61">
        <w:t>b</w:t>
      </w:r>
      <w:r>
        <w:t>i</w:t>
      </w:r>
      <w:r w:rsidRPr="00477F61">
        <w:t>cki argues that the phenomenon of gentility did not arise from a benign desire for a beautiful an</w:t>
      </w:r>
      <w:r>
        <w:t>d polite world, as Bushman (1992</w:t>
      </w:r>
      <w:r w:rsidRPr="00477F61">
        <w:t>) suggests, but instead that the colonial gentry purposefully sought out a cultural norm imported from England and enacted on American soil in order to legitimize their claim to authority an</w:t>
      </w:r>
      <w:r w:rsidR="0012257E">
        <w:t xml:space="preserve">d control of colonial society. </w:t>
      </w:r>
      <w:r w:rsidRPr="00477F61">
        <w:t>It was a tool of social control and order, and not simply a m</w:t>
      </w:r>
      <w:r w:rsidR="0012257E">
        <w:t xml:space="preserve">odel of virtue and refinement. </w:t>
      </w:r>
      <w:r w:rsidR="00AA2F52">
        <w:t>My</w:t>
      </w:r>
      <w:r w:rsidRPr="00477F61">
        <w:t xml:space="preserve"> primary critique of Rozbicki’s study is that he leaves unexplored the material realm to support his contention that behind a genteel lifestyle was a struggle for power, control, and legitimacy</w:t>
      </w:r>
      <w:r>
        <w:t>.</w:t>
      </w:r>
    </w:p>
    <w:p w:rsidR="00731D7C" w:rsidRPr="004A2DA4" w:rsidRDefault="00731D7C" w:rsidP="00731D7C">
      <w:pPr>
        <w:spacing w:line="480" w:lineRule="auto"/>
        <w:ind w:firstLine="720"/>
        <w:rPr>
          <w:b/>
        </w:rPr>
      </w:pPr>
      <w:r w:rsidRPr="00477F61">
        <w:t>Therefore, despite the fact that the colonial planter gentry lived stably entrenched at the top of the colonial social hierarchy, their steadfast pursuit of a genteel life bolstered by access to</w:t>
      </w:r>
      <w:r>
        <w:t xml:space="preserve"> and acquisition</w:t>
      </w:r>
      <w:r w:rsidRPr="00477F61">
        <w:t xml:space="preserve"> and display of fine imported goods becomes better contextualized in light of their growing debt and dependence in the international marketplace and their desire for approval from their pe</w:t>
      </w:r>
      <w:r w:rsidR="0012257E">
        <w:t xml:space="preserve">rceived peers back in England. </w:t>
      </w:r>
      <w:r>
        <w:t>As she details the process of nation building in America in the decades after the Revolutionary War, Yokota (2011) discovers that the gravitational pull of the motherland was so strong that Americans continued to seek out European models of culture and gentility embodied in imported goods eve</w:t>
      </w:r>
      <w:r w:rsidR="0012257E">
        <w:t>n after they won their freedom.</w:t>
      </w:r>
      <w:r>
        <w:t xml:space="preserve"> “When Washington and other colonial elites pledged to change their life-long purchasing habits by signing non-importation and non-consumption agreements, they did not agree to abandon European standards of gentility,” standards that drove consumption into the ninete</w:t>
      </w:r>
      <w:r w:rsidR="0012257E">
        <w:t xml:space="preserve">enth century (Yokota 2011:86). </w:t>
      </w:r>
      <w:r>
        <w:t xml:space="preserve">Decades passed before Americans found their footing in the global marketplace by, for example, </w:t>
      </w:r>
      <w:r>
        <w:lastRenderedPageBreak/>
        <w:t>forging direct trade relationships to China for their prized porcelain and other exports and eschewing the Engl</w:t>
      </w:r>
      <w:r w:rsidR="0012257E">
        <w:t xml:space="preserve">ish middle man (Yokota 2011). </w:t>
      </w:r>
      <w:r w:rsidRPr="00477F61">
        <w:t xml:space="preserve">This context forms the backdrop from which </w:t>
      </w:r>
      <w:r w:rsidR="00AA2F52">
        <w:t>my</w:t>
      </w:r>
      <w:r w:rsidRPr="00477F61">
        <w:t xml:space="preserve"> hypothesis about differential access to goods is based.  </w:t>
      </w:r>
    </w:p>
    <w:p w:rsidR="00731D7C" w:rsidRPr="00477F61" w:rsidRDefault="00731D7C" w:rsidP="00731D7C">
      <w:pPr>
        <w:spacing w:line="480" w:lineRule="auto"/>
        <w:ind w:firstLine="720"/>
        <w:rPr>
          <w:rStyle w:val="normal0"/>
        </w:rPr>
      </w:pPr>
      <w:r>
        <w:rPr>
          <w:rStyle w:val="normal0"/>
        </w:rPr>
        <w:t>To conclude, t</w:t>
      </w:r>
      <w:r w:rsidRPr="00477F61">
        <w:rPr>
          <w:rStyle w:val="normal0"/>
        </w:rPr>
        <w:t>he consumer revolution of the mid-eighteenth century was co</w:t>
      </w:r>
      <w:r>
        <w:rPr>
          <w:rStyle w:val="normal0"/>
        </w:rPr>
        <w:t>ncomitant with the shift among</w:t>
      </w:r>
      <w:r w:rsidRPr="00477F61">
        <w:rPr>
          <w:rStyle w:val="normal0"/>
        </w:rPr>
        <w:t xml:space="preserve"> gentry planters towards the wholesale adoption of ideals of gentility and refinement as applied to one’s daily </w:t>
      </w:r>
      <w:r w:rsidR="0012257E">
        <w:rPr>
          <w:rStyle w:val="normal0"/>
        </w:rPr>
        <w:t>life and material surroundings.</w:t>
      </w:r>
      <w:r w:rsidRPr="00477F61">
        <w:rPr>
          <w:rStyle w:val="normal0"/>
        </w:rPr>
        <w:t xml:space="preserve"> The two phenomena – gentility and the consumer revolution – went hand and hand as evidenced in this discussion of changes that George Washington wrought to his mansion over time, “the reshaping and furnishing of his mansion also made it an enduring monument to the consumer revolution and to the pursuit of gentility and power that affected the lives of many of the Virginian’s contemporaries” (Sweeney 1994:1). This all-encompassing goal of genteel lifestyles on the part of the planter elite motivated consumerism to new heights as seen in all forms of material culture from grand architectu</w:t>
      </w:r>
      <w:r w:rsidR="0012257E">
        <w:rPr>
          <w:rStyle w:val="normal0"/>
        </w:rPr>
        <w:t>re to everyday eating utensils.</w:t>
      </w:r>
      <w:r w:rsidRPr="00477F61">
        <w:rPr>
          <w:rStyle w:val="normal0"/>
        </w:rPr>
        <w:t xml:space="preserve"> Some scholars have dedicated their research to documenting and detailing all aspects of genteel material culture (i.e., Carr and Walsh 1994) while others have sought to problematize and theorize its ori</w:t>
      </w:r>
      <w:r>
        <w:rPr>
          <w:rStyle w:val="normal0"/>
        </w:rPr>
        <w:t>gins and functions (i.e., Shack</w:t>
      </w:r>
      <w:r w:rsidRPr="00477F61">
        <w:rPr>
          <w:rStyle w:val="normal0"/>
        </w:rPr>
        <w:t>e</w:t>
      </w:r>
      <w:r>
        <w:rPr>
          <w:rStyle w:val="normal0"/>
        </w:rPr>
        <w:t>l 1993;</w:t>
      </w:r>
      <w:r w:rsidR="0012257E">
        <w:rPr>
          <w:rStyle w:val="normal0"/>
        </w:rPr>
        <w:t xml:space="preserve"> Leone 2005). </w:t>
      </w:r>
      <w:r>
        <w:rPr>
          <w:rStyle w:val="normal0"/>
        </w:rPr>
        <w:t>What these studies have i</w:t>
      </w:r>
      <w:r w:rsidRPr="00477F61">
        <w:rPr>
          <w:rStyle w:val="normal0"/>
        </w:rPr>
        <w:t xml:space="preserve">n common, however, is </w:t>
      </w:r>
      <w:r>
        <w:rPr>
          <w:rStyle w:val="normal0"/>
        </w:rPr>
        <w:t>an adherence</w:t>
      </w:r>
      <w:r w:rsidRPr="00477F61">
        <w:rPr>
          <w:rStyle w:val="normal0"/>
        </w:rPr>
        <w:t xml:space="preserve"> to gentility as the g</w:t>
      </w:r>
      <w:r w:rsidR="0012257E">
        <w:rPr>
          <w:rStyle w:val="normal0"/>
        </w:rPr>
        <w:t xml:space="preserve">rand narrative of consumerism. </w:t>
      </w:r>
      <w:r w:rsidRPr="00477F61">
        <w:rPr>
          <w:rStyle w:val="normal0"/>
        </w:rPr>
        <w:t>Such a grand historical narrative is absent to date from consumer studie</w:t>
      </w:r>
      <w:r w:rsidR="0012257E">
        <w:rPr>
          <w:rStyle w:val="normal0"/>
        </w:rPr>
        <w:t>s focusing on non-elite habits.</w:t>
      </w:r>
      <w:r w:rsidRPr="00477F61">
        <w:rPr>
          <w:rStyle w:val="normal0"/>
        </w:rPr>
        <w:t xml:space="preserve"> Out-dated models, such as the motivation to emulate upper classes (Veblen 1899</w:t>
      </w:r>
      <w:r>
        <w:rPr>
          <w:rStyle w:val="normal0"/>
        </w:rPr>
        <w:t>; Simmel 1904</w:t>
      </w:r>
      <w:r w:rsidRPr="00477F61">
        <w:rPr>
          <w:rStyle w:val="normal0"/>
        </w:rPr>
        <w:t>), have largely been discre</w:t>
      </w:r>
      <w:r w:rsidR="0012257E">
        <w:rPr>
          <w:rStyle w:val="normal0"/>
        </w:rPr>
        <w:t xml:space="preserve">dited in this post-modern era. </w:t>
      </w:r>
      <w:r w:rsidRPr="00477F61">
        <w:rPr>
          <w:rStyle w:val="normal0"/>
        </w:rPr>
        <w:t xml:space="preserve">What is left are competing theories of consumer motivation that either more accurately reflect colonial conditions or modern theoretical fractures.  </w:t>
      </w:r>
    </w:p>
    <w:p w:rsidR="00731D7C" w:rsidRPr="00477F61" w:rsidRDefault="00731D7C" w:rsidP="00731D7C">
      <w:pPr>
        <w:spacing w:line="480" w:lineRule="auto"/>
        <w:ind w:firstLine="720"/>
      </w:pPr>
      <w:r w:rsidRPr="00477F61">
        <w:rPr>
          <w:i/>
        </w:rPr>
        <w:t>Non-elite Consumerism.</w:t>
      </w:r>
      <w:r w:rsidR="0012257E">
        <w:t xml:space="preserve"> </w:t>
      </w:r>
      <w:r w:rsidRPr="00477F61">
        <w:t xml:space="preserve">The narrative explaining non-elite consumer motivations is comparatively more diffuse, less well-formulated, and understudied for this region and time </w:t>
      </w:r>
      <w:r w:rsidR="0012257E">
        <w:lastRenderedPageBreak/>
        <w:t xml:space="preserve">period. </w:t>
      </w:r>
      <w:r w:rsidRPr="00477F61">
        <w:t xml:space="preserve">It may be that slaves and poor and middling whites were not motivated to enter stores to accomplish one single-minded goal, such as </w:t>
      </w:r>
      <w:r w:rsidR="00AA2F52">
        <w:t xml:space="preserve">the pursuit of </w:t>
      </w:r>
      <w:r w:rsidRPr="00477F61">
        <w:t>gentility, but ma</w:t>
      </w:r>
      <w:r w:rsidR="0012257E">
        <w:t>ny, both economic and cultural.</w:t>
      </w:r>
      <w:r w:rsidRPr="00477F61">
        <w:t xml:space="preserve"> To date, most of the literature on slave-related material culture falls within the conversation of creolization and cosmology</w:t>
      </w:r>
      <w:r>
        <w:t xml:space="preserve"> (Samford 1996)</w:t>
      </w:r>
      <w:r w:rsidRPr="00477F61">
        <w:t>, and not within the framework of consumerism and consumer choice, with some exceptions (Heath 1997, 1999a, 1999b, 2004</w:t>
      </w:r>
      <w:r>
        <w:t>; Galle 2006, 2010</w:t>
      </w:r>
      <w:r w:rsidR="0012257E">
        <w:t xml:space="preserve">). </w:t>
      </w:r>
      <w:r w:rsidRPr="00477F61">
        <w:t>Heath (1999b:48) cautions that “the focus on ethnicity and cosmology itself as the principle explanatory device for interpreting the detritus of quarters, shops, and other spaces inhabited by slaves risks diminishing the impact of slavery itself on individual choice and on the creation and ma</w:t>
      </w:r>
      <w:r w:rsidR="0012257E">
        <w:t>intenance of group identities.”</w:t>
      </w:r>
      <w:r w:rsidRPr="00477F61">
        <w:t xml:space="preserve"> Perhaps because of this singular focus on discovering and tracing “Africanisms” in the archaeological and documentary record, the world of slave consumerism remains less theorized than that of elite whites.  </w:t>
      </w:r>
    </w:p>
    <w:p w:rsidR="00731D7C" w:rsidRPr="00477F61" w:rsidRDefault="00731D7C" w:rsidP="00731D7C">
      <w:pPr>
        <w:spacing w:line="480" w:lineRule="auto"/>
        <w:ind w:firstLine="720"/>
      </w:pPr>
      <w:r w:rsidRPr="00477F61">
        <w:rPr>
          <w:i/>
        </w:rPr>
        <w:t>Conspicuous Production.</w:t>
      </w:r>
      <w:r w:rsidR="0012257E">
        <w:t xml:space="preserve"> </w:t>
      </w:r>
      <w:r w:rsidRPr="00477F61">
        <w:t>Bell’s (2000) dissertation is one of the fe</w:t>
      </w:r>
      <w:r>
        <w:t>w to explore consumerism among</w:t>
      </w:r>
      <w:r w:rsidRPr="00477F61">
        <w:t xml:space="preserve"> a broad swath of wealt</w:t>
      </w:r>
      <w:r w:rsidR="0012257E">
        <w:t>h categories in rural Virginia.</w:t>
      </w:r>
      <w:r w:rsidRPr="00477F61">
        <w:t xml:space="preserve"> Her findings, from probate inventories and the archaeological record, suggest that consumer motivations </w:t>
      </w:r>
      <w:r>
        <w:t>of</w:t>
      </w:r>
      <w:r w:rsidRPr="00477F61">
        <w:t xml:space="preserve"> the majority of Virginia’s colonial and nineteenth </w:t>
      </w:r>
      <w:r w:rsidR="0012257E">
        <w:t>century residents were complex.</w:t>
      </w:r>
      <w:r w:rsidRPr="00477F61">
        <w:t xml:space="preserve"> Theories of emulation cannot explain the fact that most consumers put economic and agricultural needs at the tops of their shopping lists, as opposed to fine consumer goods meant to serve as symbo</w:t>
      </w:r>
      <w:r w:rsidR="0012257E">
        <w:t xml:space="preserve">ls of conspicuous consumption. </w:t>
      </w:r>
      <w:r w:rsidRPr="00477F61">
        <w:t xml:space="preserve">By individually cataloguing and </w:t>
      </w:r>
      <w:r>
        <w:t>analyzing</w:t>
      </w:r>
      <w:r w:rsidRPr="00477F61">
        <w:t xml:space="preserve"> probate inventories dating from 1700 to 1900, Bell is able to establish the fact that domestic amenities made up a much smaller proportion of one’s estate than did agricultural goods, especially amongst wealthier planters – hence her argument for conspicuous production as oppos</w:t>
      </w:r>
      <w:r w:rsidR="0012257E">
        <w:t xml:space="preserve">ed to conspicuous consumption. </w:t>
      </w:r>
      <w:r>
        <w:t xml:space="preserve">Conspicuous production, a way to signal success through products tied to agriculture, was a consumer motivation shared by both elite and non-elite rural Virginians. </w:t>
      </w:r>
      <w:r w:rsidRPr="00477F61">
        <w:lastRenderedPageBreak/>
        <w:t>Costly signaling, Bell argues, can be found mainly in categories of material culture like property, livestock, and slaves, and in addition to fine ceramics, wigs, and clocks.</w:t>
      </w:r>
      <w:r w:rsidR="0012257E">
        <w:t xml:space="preserve"> </w:t>
      </w:r>
      <w:r>
        <w:t>Investments in expenditures related to an agrarian way of life brought disparate consumers together under a shared motivation – to succeed at farming and animal husbandry and to ensure the economic viability of future</w:t>
      </w:r>
      <w:r w:rsidR="0012257E">
        <w:t xml:space="preserve"> generations of family members.</w:t>
      </w:r>
      <w:r>
        <w:t xml:space="preserve"> </w:t>
      </w:r>
      <w:r w:rsidRPr="00477F61">
        <w:t xml:space="preserve">Her work alerts us to the fundamental idea that material culture of all levels, from high style to mundane and prosaic, has the potential to inform us of cultural principals enacted in tangible remains.  </w:t>
      </w:r>
    </w:p>
    <w:p w:rsidR="00731D7C" w:rsidRPr="00477F61" w:rsidRDefault="00731D7C" w:rsidP="00731D7C">
      <w:pPr>
        <w:spacing w:line="480" w:lineRule="auto"/>
        <w:ind w:firstLine="720"/>
      </w:pPr>
      <w:r w:rsidRPr="00477F61">
        <w:rPr>
          <w:i/>
        </w:rPr>
        <w:t>Costly Signaling.</w:t>
      </w:r>
      <w:r w:rsidR="0012257E">
        <w:t xml:space="preserve"> </w:t>
      </w:r>
      <w:r w:rsidRPr="00477F61">
        <w:t>Jillian Galle’s (2006, 2010) work offers the most recent example of an anthropological approac</w:t>
      </w:r>
      <w:r w:rsidR="0012257E">
        <w:t>h to slave consumption to date.</w:t>
      </w:r>
      <w:r w:rsidRPr="00477F61">
        <w:t xml:space="preserve"> In her use of DAACS, the Digital Archaeological Archive of Comparative Slavery (DAACS 2011), Galle employs costly-signaling theory, an outgrowth of evolutionary theory, to suggest that slaves living in Virginia increasingly purchased goods of European manufacture to communicate to each other certain personal, non-readily apparent qualities such as knowledge of fashion, economic independ</w:t>
      </w:r>
      <w:r w:rsidR="0012257E">
        <w:t>ence, and reproductive fitness.</w:t>
      </w:r>
      <w:r w:rsidRPr="00477F61">
        <w:t xml:space="preserve"> Much like Carson’s (1994) argument that the consumer revolution developed during a time of high population mobility and within a “world of strangers,” Galle too approaches the material record as a collection of signs and signals between individuals and groups whose personal </w:t>
      </w:r>
      <w:r w:rsidR="0012257E">
        <w:t xml:space="preserve">qualities were widely unknown. </w:t>
      </w:r>
      <w:r w:rsidRPr="00477F61">
        <w:t>There is still much room in the theoretical arena of slave material culture because, as Heath (2010:4) notes, costly-signaling theory “</w:t>
      </w:r>
      <w:r w:rsidRPr="00477F61">
        <w:rPr>
          <w:rFonts w:eastAsia="Calibri"/>
        </w:rPr>
        <w:t>runs the risk of explaining all motivations, and masking nuanced behavior that may not have responded to evolutionary imperatives</w:t>
      </w:r>
      <w:r w:rsidRPr="00477F61">
        <w:t xml:space="preserve">.”  </w:t>
      </w:r>
    </w:p>
    <w:p w:rsidR="00731D7C" w:rsidRPr="00477F61" w:rsidRDefault="00731D7C" w:rsidP="00731D7C">
      <w:pPr>
        <w:spacing w:line="480" w:lineRule="auto"/>
        <w:ind w:firstLine="720"/>
      </w:pPr>
      <w:r w:rsidRPr="00477F61">
        <w:rPr>
          <w:i/>
        </w:rPr>
        <w:t>Agency Theory.</w:t>
      </w:r>
      <w:r w:rsidRPr="00477F61">
        <w:t xml:space="preserve"> Other approaches to consumerism, not just on the part of enslaved individuals, have fallen under the gen</w:t>
      </w:r>
      <w:r w:rsidR="0012257E">
        <w:t>eral category of agency theory.</w:t>
      </w:r>
      <w:r w:rsidRPr="00477F61">
        <w:t xml:space="preserve"> In other words, individual, free actions are visible in the archaeological record through consumer items as proxies for the </w:t>
      </w:r>
      <w:r w:rsidRPr="00477F61">
        <w:lastRenderedPageBreak/>
        <w:t>expression of cho</w:t>
      </w:r>
      <w:r w:rsidR="0012257E">
        <w:t xml:space="preserve">ice, identity, and personhood. </w:t>
      </w:r>
      <w:r w:rsidRPr="00477F61">
        <w:t>Focusing on the free white population in the colonies during the years before the American Revolution, Breen (2004) offers the compelling argument that it was the collective action of consumerism – be it in a store or through the consignment system – that allowed for the development of a shared language of protest and resistance fundamental to the developing politics of independen</w:t>
      </w:r>
      <w:r w:rsidR="0012257E">
        <w:t xml:space="preserve">ce. </w:t>
      </w:r>
      <w:r w:rsidRPr="00477F61">
        <w:t>As the act of consumption became more common, “ordinary colonists believed that they had a right to make choices from among contending prod</w:t>
      </w:r>
      <w:r w:rsidR="0012257E">
        <w:t>ucts in a consumer marketplace.</w:t>
      </w:r>
      <w:r w:rsidRPr="00477F61">
        <w:t xml:space="preserve"> Selections reflecting personal preference for color, weight, and texture were expressions of a cultural process known as sel</w:t>
      </w:r>
      <w:r w:rsidR="0012257E">
        <w:t>f-fashioning” (Breen 2004:243).</w:t>
      </w:r>
      <w:r w:rsidRPr="00477F61">
        <w:t xml:space="preserve"> </w:t>
      </w:r>
      <w:r w:rsidRPr="00477F61">
        <w:rPr>
          <w:rFonts w:eastAsia="Calibri"/>
        </w:rPr>
        <w:t>The freedom that colonists derived from choosing consumer goods allotted them a modicum of independence not felt before in their provincial standing and peripheral relationship t</w:t>
      </w:r>
      <w:r w:rsidR="0012257E">
        <w:rPr>
          <w:rFonts w:eastAsia="Calibri"/>
        </w:rPr>
        <w:t xml:space="preserve">o England. </w:t>
      </w:r>
      <w:r w:rsidRPr="00477F61">
        <w:rPr>
          <w:rFonts w:eastAsia="Calibri"/>
        </w:rPr>
        <w:t>Paradoxically, despite this feeling of independence cultivated by consumerism, some have argued that the colonists were becoming more British than the British themselves through their purchase and use of impo</w:t>
      </w:r>
      <w:r w:rsidR="0012257E">
        <w:rPr>
          <w:rFonts w:eastAsia="Calibri"/>
        </w:rPr>
        <w:t xml:space="preserve">rts from England (Deetz 1977). </w:t>
      </w:r>
      <w:r w:rsidRPr="00477F61">
        <w:rPr>
          <w:rFonts w:eastAsia="Calibri"/>
        </w:rPr>
        <w:t>Those freedoms underwent challenges with the Stamp Act of 1765, addressed by the subsequent adoption of the non-importation acts, and were the colonists’ way of politicizing consumerism and making their nascent independence known to the English merchants and t</w:t>
      </w:r>
      <w:r w:rsidR="0012257E">
        <w:rPr>
          <w:rFonts w:eastAsia="Calibri"/>
        </w:rPr>
        <w:t xml:space="preserve">he parliament. </w:t>
      </w:r>
      <w:r w:rsidRPr="00477F61">
        <w:t>These individual acts become collectively political as colonists also began to realize that by withholding the expression of choice, ideas of indep</w:t>
      </w:r>
      <w:r w:rsidR="0012257E">
        <w:t xml:space="preserve">endence could be communicated. </w:t>
      </w:r>
      <w:r w:rsidRPr="00477F61">
        <w:t>The group agency which drew from the experience of interacting with this newly developing world of goods offers an inspiring model for scholars of material culture research.</w:t>
      </w:r>
    </w:p>
    <w:p w:rsidR="00731D7C" w:rsidRPr="00477F61" w:rsidRDefault="00731D7C" w:rsidP="00731D7C">
      <w:pPr>
        <w:spacing w:line="480" w:lineRule="auto"/>
        <w:ind w:firstLine="720"/>
      </w:pPr>
      <w:r w:rsidRPr="00477F61">
        <w:t xml:space="preserve">Martin’s (2008) study, too, focuses on </w:t>
      </w:r>
      <w:r>
        <w:t>the importance of choice among</w:t>
      </w:r>
      <w:r w:rsidRPr="00477F61">
        <w:t xml:space="preserve"> enslaved shop-goers in Virginia’s backcountry during the eighteenth centu</w:t>
      </w:r>
      <w:r w:rsidR="0012257E">
        <w:t>ry.</w:t>
      </w:r>
      <w:r w:rsidRPr="00477F61">
        <w:t xml:space="preserve"> Martin provides a detailed study of the purchases made by slaves who pa</w:t>
      </w:r>
      <w:r>
        <w:t>tronized the store of John Hook</w:t>
      </w:r>
      <w:r w:rsidRPr="00477F61">
        <w:t xml:space="preserve"> in the late eighteenth and </w:t>
      </w:r>
      <w:r w:rsidR="0012257E">
        <w:lastRenderedPageBreak/>
        <w:t xml:space="preserve">early nineteenth century. </w:t>
      </w:r>
      <w:r w:rsidRPr="00477F61">
        <w:t>She (2008:174) writes, “The ability to purchase consumer goods put slaves on the same performance stage as poorer whites, and it allowed them to ma</w:t>
      </w:r>
      <w:r w:rsidR="0012257E">
        <w:t xml:space="preserve">ke choices – however limited.” </w:t>
      </w:r>
      <w:r w:rsidRPr="00477F61">
        <w:t>Further, “but it is through their purchases at John Hook’s store that these slav</w:t>
      </w:r>
      <w:r w:rsidR="0012257E">
        <w:t xml:space="preserve">es exercised powers of agency… </w:t>
      </w:r>
      <w:r w:rsidRPr="00477F61">
        <w:t>Despite the horrors of their servitude, they too participated, in the smallest of ways, in a con</w:t>
      </w:r>
      <w:r w:rsidR="0012257E">
        <w:t>sumer world” (Martin 2008:192).</w:t>
      </w:r>
      <w:r w:rsidRPr="00477F61">
        <w:t xml:space="preserve"> For example, she uses the purchase made by a slave named Suckey, a looking glass or mirror, as a departure point for an interpretation of the meaning of this object to an enslaved woman. Through a cross-cultural study of the significance of mirrors, Martin posits that the object may have possessed a cosmo</w:t>
      </w:r>
      <w:r w:rsidR="0012257E">
        <w:t xml:space="preserve">logical purpose for its owner. </w:t>
      </w:r>
      <w:r w:rsidRPr="00477F61">
        <w:t xml:space="preserve">Here we see the effects of choice, and the meaning of choice, operational on an individual level.       </w:t>
      </w:r>
    </w:p>
    <w:p w:rsidR="00731D7C" w:rsidRPr="00477F61" w:rsidRDefault="00731D7C" w:rsidP="00731D7C">
      <w:pPr>
        <w:spacing w:line="480" w:lineRule="auto"/>
        <w:ind w:firstLine="720"/>
      </w:pPr>
      <w:r>
        <w:rPr>
          <w:rFonts w:eastAsia="Calibri"/>
          <w:i/>
        </w:rPr>
        <w:t>The P</w:t>
      </w:r>
      <w:r w:rsidRPr="00477F61">
        <w:rPr>
          <w:rFonts w:eastAsia="Calibri"/>
          <w:i/>
        </w:rPr>
        <w:t>olitic</w:t>
      </w:r>
      <w:r>
        <w:rPr>
          <w:rFonts w:eastAsia="Calibri"/>
          <w:i/>
        </w:rPr>
        <w:t>s of C</w:t>
      </w:r>
      <w:r w:rsidRPr="00477F61">
        <w:rPr>
          <w:rFonts w:eastAsia="Calibri"/>
          <w:i/>
        </w:rPr>
        <w:t xml:space="preserve">hoice. </w:t>
      </w:r>
      <w:r w:rsidRPr="00477F61">
        <w:rPr>
          <w:rFonts w:eastAsia="Calibri"/>
        </w:rPr>
        <w:t>Marxist historical archaeologists and critical theorists have recently engaged scholars of consume</w:t>
      </w:r>
      <w:r w:rsidR="0012257E">
        <w:rPr>
          <w:rFonts w:eastAsia="Calibri"/>
        </w:rPr>
        <w:t xml:space="preserve">rism in a debate about agency. </w:t>
      </w:r>
      <w:r w:rsidRPr="00477F61">
        <w:rPr>
          <w:rFonts w:eastAsia="Calibri"/>
        </w:rPr>
        <w:t>Specifically, Wurst and McGuire (1999) and Mullins (2004) have argued that by emphasizing enslaved African and African American participation in the marketplace and acts of consumption, we run the risk of ignoring the tensions of domination and resistance, of power and inequality that existed i</w:t>
      </w:r>
      <w:r w:rsidR="0012257E">
        <w:rPr>
          <w:rFonts w:eastAsia="Calibri"/>
        </w:rPr>
        <w:t xml:space="preserve">n the pre-emancipation period. </w:t>
      </w:r>
      <w:r w:rsidRPr="00477F61">
        <w:rPr>
          <w:rFonts w:eastAsia="Calibri"/>
        </w:rPr>
        <w:t>Wurst and McGuire</w:t>
      </w:r>
      <w:r w:rsidRPr="00477F61">
        <w:t xml:space="preserve"> (1999:198-199) caution, “the focus on individual meanings and consumption masks the social relations that lay beneath, sustaining the illusion that inequality and exploitation do not exi</w:t>
      </w:r>
      <w:r w:rsidR="0012257E">
        <w:t xml:space="preserve">st in modern core capitalism.” </w:t>
      </w:r>
      <w:r w:rsidRPr="00477F61">
        <w:rPr>
          <w:rFonts w:eastAsia="Calibri"/>
        </w:rPr>
        <w:t>In Wurst and McGuire’s critique of consumerism and consumer behavior theory, not just as it applies to enslaved Africans but to all consumers, they argue that free</w:t>
      </w:r>
      <w:r w:rsidRPr="00477F61">
        <w:t>dom of choice is a false notion and</w:t>
      </w:r>
      <w:r w:rsidRPr="00477F61">
        <w:rPr>
          <w:rFonts w:eastAsia="Calibri"/>
        </w:rPr>
        <w:t xml:space="preserve"> that even within constrained options not all choices are equal</w:t>
      </w:r>
      <w:r w:rsidR="0012257E">
        <w:t xml:space="preserve">. </w:t>
      </w:r>
      <w:r w:rsidRPr="00477F61">
        <w:rPr>
          <w:rFonts w:eastAsia="Calibri"/>
        </w:rPr>
        <w:t>These authors suggest that access to the marketplace may have been denied to some individuals at certai</w:t>
      </w:r>
      <w:r w:rsidR="0012257E">
        <w:rPr>
          <w:rFonts w:eastAsia="Calibri"/>
        </w:rPr>
        <w:t xml:space="preserve">n times and in certain places. </w:t>
      </w:r>
      <w:r w:rsidRPr="00477F61">
        <w:rPr>
          <w:rFonts w:eastAsia="Calibri"/>
        </w:rPr>
        <w:t xml:space="preserve">This was surely the case for enslaved individuals living in the vicinity of Alexandria who were </w:t>
      </w:r>
      <w:r w:rsidRPr="00477F61">
        <w:rPr>
          <w:rFonts w:eastAsia="Calibri"/>
        </w:rPr>
        <w:lastRenderedPageBreak/>
        <w:t>only allowed to travel to market early on Sunday mornings</w:t>
      </w:r>
      <w:r w:rsidRPr="00477F61">
        <w:t xml:space="preserve"> (Thompson 2001:92)</w:t>
      </w:r>
      <w:r w:rsidR="00B72CF5">
        <w:rPr>
          <w:rFonts w:eastAsia="Calibri"/>
        </w:rPr>
        <w:t xml:space="preserve">. </w:t>
      </w:r>
      <w:r w:rsidRPr="00477F61">
        <w:rPr>
          <w:rFonts w:eastAsia="Calibri"/>
        </w:rPr>
        <w:t>Additionally, once at market, consumers’ choices were not boundless, but instead constrained by factors such as geographical access, socio-economic status, and gender and household composition or stage of lifecycle</w:t>
      </w:r>
      <w:r w:rsidRPr="00477F61">
        <w:t xml:space="preserve"> (Heath </w:t>
      </w:r>
      <w:r w:rsidRPr="00477F61">
        <w:rPr>
          <w:rFonts w:eastAsia="Calibri"/>
        </w:rPr>
        <w:t>2004)</w:t>
      </w:r>
      <w:r w:rsidR="00B72CF5">
        <w:t xml:space="preserve">. </w:t>
      </w:r>
      <w:r w:rsidRPr="00477F61">
        <w:t>“We find it self-evident that</w:t>
      </w:r>
      <w:r w:rsidR="00B72CF5">
        <w:t xml:space="preserve"> all people are not equivalent. </w:t>
      </w:r>
      <w:r w:rsidRPr="00477F61">
        <w:t xml:space="preserve">In any social context only certain individuals—holders of privileged social status within certain social groups—will have broad freedom of choice” (Wurst and McGuire 1999:193).    </w:t>
      </w:r>
    </w:p>
    <w:p w:rsidR="00731D7C" w:rsidRPr="00477F61" w:rsidRDefault="00731D7C" w:rsidP="00731D7C">
      <w:pPr>
        <w:spacing w:line="480" w:lineRule="auto"/>
        <w:ind w:firstLine="720"/>
      </w:pPr>
      <w:r w:rsidRPr="00477F61">
        <w:t>Mullins (2004), on the other hand, is not quite so dismissive about the potential of consumer studies to illuminate agency in the archaeological record, but is critical of the historical archaeology of consumerism to date – he argues that our efforts thus far have found little relevance beyond our disciplinary boundaries despite the su</w:t>
      </w:r>
      <w:r w:rsidR="00B72CF5">
        <w:t>bject’s broad scholarly appeal.</w:t>
      </w:r>
      <w:r w:rsidRPr="00477F61">
        <w:t xml:space="preserve"> He cites two reasons for our lack</w:t>
      </w:r>
      <w:r w:rsidR="00B72CF5">
        <w:t xml:space="preserve"> of cross-disciplinary impact. </w:t>
      </w:r>
      <w:r w:rsidRPr="00477F61">
        <w:t xml:space="preserve">The first echoes Wurst and McGuire’s critique: that we have yet to fully appreciate consumption as a political act and recognize “a complex range of politicized consumption patterns that variously reproduce, negotiate, and resist dominant ideology and structural </w:t>
      </w:r>
      <w:r w:rsidR="00B72CF5">
        <w:t>inequality” (Mullins 2004:197).</w:t>
      </w:r>
      <w:r w:rsidRPr="00477F61">
        <w:t xml:space="preserve"> He (2004:210) stresses, we must be “critical of the empowering aspects of material consumption” and understand that though the consumer movement of the eighteenth century had revolutionary qualities, it d</w:t>
      </w:r>
      <w:r w:rsidR="00B72CF5">
        <w:t>id not affect everyone equally.</w:t>
      </w:r>
      <w:r w:rsidRPr="00477F61">
        <w:t xml:space="preserve"> But despite the fact that the consumer arena was an unlevel playing field, Mullins urges historical archaeologists to explore the competing forces that operate on the unequal yet transformative potential of material goods.  </w:t>
      </w:r>
    </w:p>
    <w:p w:rsidR="00731D7C" w:rsidRPr="00477F61" w:rsidRDefault="00731D7C" w:rsidP="00731D7C">
      <w:pPr>
        <w:spacing w:line="480" w:lineRule="auto"/>
        <w:ind w:firstLine="720"/>
      </w:pPr>
      <w:r w:rsidRPr="00477F61">
        <w:t>For example, returning to the previous discussion of consumer motivations, most historiographies of consumerism begin with emulation models and trickle down theories of material culture (Veblen 1899</w:t>
      </w:r>
      <w:r>
        <w:t>; Simmel 1904</w:t>
      </w:r>
      <w:r w:rsidR="00B72CF5">
        <w:t>).</w:t>
      </w:r>
      <w:r w:rsidRPr="00477F61">
        <w:t xml:space="preserve"> Mullins</w:t>
      </w:r>
      <w:r>
        <w:t>’</w:t>
      </w:r>
      <w:r w:rsidRPr="00477F61">
        <w:t xml:space="preserve"> perspective on consumer motivations challenges archaeologists to potentially allow room for a discussion of a revised theory of </w:t>
      </w:r>
      <w:r w:rsidRPr="00477F61">
        <w:lastRenderedPageBreak/>
        <w:t>emulation for the</w:t>
      </w:r>
      <w:r w:rsidR="00B72CF5">
        <w:t xml:space="preserve"> movement of material culture.</w:t>
      </w:r>
      <w:r w:rsidRPr="00477F61">
        <w:t xml:space="preserve"> “Emulation is infeasible in its most mechanical caricature as poor people instrumentally parroting the elite, but it is not without so</w:t>
      </w:r>
      <w:r w:rsidR="00B72CF5">
        <w:t xml:space="preserve">me genuine interpretive power… </w:t>
      </w:r>
      <w:r w:rsidRPr="00477F61">
        <w:t xml:space="preserve">There is clear evidence that many middling or impoverished consumers were swayed by consumer goods and consumption patterns they literally saw displayed in public [or private] space: African-American and European immigrant domestics, for example, often were introduced to particular goods through their labor in White genteel homes…”  </w:t>
      </w:r>
      <w:r w:rsidR="00B72CF5">
        <w:t>(Mullins 2004:205).</w:t>
      </w:r>
      <w:r w:rsidR="00AA2F52">
        <w:t xml:space="preserve"> </w:t>
      </w:r>
      <w:r w:rsidRPr="00477F61">
        <w:t>Kern (2010:80-83) writes evocatively of the enmeshment of enslaved cooks and kitchen assistants in the material world of their elite owners, from Anglo-American food preparation and service traditions, to the actual English-made implements that aided in</w:t>
      </w:r>
      <w:r w:rsidR="00B72CF5">
        <w:t xml:space="preserve"> cooking and presenting meals. </w:t>
      </w:r>
      <w:r w:rsidRPr="00477F61">
        <w:t>It was quite likely that these slaves were as well or even better versed than their white owners in a culture of foodways that was not their own</w:t>
      </w:r>
      <w:r>
        <w:t xml:space="preserve"> and that they acted as agents of enculturating white elite youth into appropriate genteel behaviors at the table</w:t>
      </w:r>
      <w:r w:rsidR="00B72CF5">
        <w:t>.</w:t>
      </w:r>
      <w:r w:rsidRPr="00477F61">
        <w:t xml:space="preserve"> Her work raises the question, are the forces of emulation at play when enslaved individuals made purchases of punch bowls made in the Netherlands</w:t>
      </w:r>
      <w:r w:rsidR="00B72CF5">
        <w:t xml:space="preserve"> or stonewares made in England?</w:t>
      </w:r>
      <w:r w:rsidRPr="00477F61">
        <w:t xml:space="preserve"> Or are we witness to a process of enculturation and sociali</w:t>
      </w:r>
      <w:r w:rsidR="00B72CF5">
        <w:t xml:space="preserve">zation, which starts at birth? </w:t>
      </w:r>
      <w:r>
        <w:t xml:space="preserve">Or did enslaved individuals working in close proximity to white households appropriate, emulate, and borrow objects of gentility to bolster their positions within the slave community, internalize the ideals of freedom that come from expressions of choice, or communicate aspects </w:t>
      </w:r>
      <w:r w:rsidR="00B72CF5">
        <w:t xml:space="preserve">of identity, skill or success? </w:t>
      </w:r>
      <w:r w:rsidRPr="00477F61">
        <w:t xml:space="preserve">Mullins goes on to suggest, however, that while the practice of emulation may have, and still does, exist, there is much more complexity in how goods and therefore ideals were emulated, and how properties such as appropriation and reinterpretation might have affected an object’s original intention.      </w:t>
      </w:r>
    </w:p>
    <w:p w:rsidR="00731D7C" w:rsidRPr="00477F61" w:rsidRDefault="00731D7C" w:rsidP="00731D7C">
      <w:pPr>
        <w:spacing w:line="480" w:lineRule="auto"/>
        <w:ind w:firstLine="720"/>
      </w:pPr>
      <w:r w:rsidRPr="00477F61">
        <w:lastRenderedPageBreak/>
        <w:t xml:space="preserve">The second critique leveled by Mullins suggests that our methodological approach to consumerism </w:t>
      </w:r>
      <w:r w:rsidR="00AA2F52">
        <w:t>is</w:t>
      </w:r>
      <w:r w:rsidRPr="00477F61">
        <w:t xml:space="preserve"> flaw</w:t>
      </w:r>
      <w:r w:rsidR="00AA2F52">
        <w:t>ed</w:t>
      </w:r>
      <w:r w:rsidR="00B72CF5">
        <w:t xml:space="preserve">. </w:t>
      </w:r>
      <w:r w:rsidRPr="00477F61">
        <w:t>It is worth revisiting Wurst and McGuire’s (1999:193) contention that “choice is a privilege of the powerful and well to do” in comparison with the vision Breen (2004) has for the power of material culture in co</w:t>
      </w:r>
      <w:r w:rsidR="00B72CF5">
        <w:t xml:space="preserve">lonial America. </w:t>
      </w:r>
      <w:r w:rsidRPr="00477F61">
        <w:t>He writes, “The Anglo-American consumer economy of the eighteenth-century was in ma</w:t>
      </w:r>
      <w:r w:rsidR="00B72CF5">
        <w:t>ny ways strikingly egalitarian.</w:t>
      </w:r>
      <w:r w:rsidRPr="00477F61">
        <w:t xml:space="preserve"> Anyone with money could pu</w:t>
      </w:r>
      <w:r w:rsidR="00B72CF5">
        <w:t>rchase what he or she desired.”</w:t>
      </w:r>
      <w:r w:rsidRPr="00477F61">
        <w:t xml:space="preserve"> Was the col</w:t>
      </w:r>
      <w:r w:rsidR="00B72CF5">
        <w:t xml:space="preserve">onial marketplace egalitarian? </w:t>
      </w:r>
      <w:r w:rsidRPr="00477F61">
        <w:t xml:space="preserve">Or was it solely in control of </w:t>
      </w:r>
      <w:r w:rsidR="00B72CF5">
        <w:t xml:space="preserve">the powerful privileged class? </w:t>
      </w:r>
      <w:r>
        <w:t>T</w:t>
      </w:r>
      <w:r w:rsidRPr="00477F61">
        <w:t>he fundamental question posed by this dissertation in regards to differential access to consumer goods is not a new one, just one that has remained unexplored since Carson initially posed it in 2001, “How evenly or unevenly have [material possessions] been distributed and how have those difference</w:t>
      </w:r>
      <w:r w:rsidR="00B72CF5">
        <w:t>s rearranged the social order?”</w:t>
      </w:r>
      <w:r w:rsidRPr="00477F61">
        <w:t xml:space="preserve"> I believe that this disagreement over the level of choice available to anyone but the colonial elite stems directly from the fact that this concept has not yet been systematically explored from </w:t>
      </w:r>
      <w:r w:rsidR="00F873FE">
        <w:t xml:space="preserve">a </w:t>
      </w:r>
      <w:r w:rsidRPr="00477F61">
        <w:t>multi-so</w:t>
      </w:r>
      <w:r w:rsidR="00B72CF5">
        <w:t>urce material culture approach.</w:t>
      </w:r>
      <w:r w:rsidRPr="00477F61">
        <w:t xml:space="preserve"> Theorizing about choice and its nature can only be made relevant and tested through data collection, the application of middle range theory, analysis, and theoretical interpre</w:t>
      </w:r>
      <w:r w:rsidR="00B72CF5">
        <w:t xml:space="preserve">tation. </w:t>
      </w:r>
      <w:r w:rsidR="00AA2F52">
        <w:t xml:space="preserve">Compellingly, Mullins </w:t>
      </w:r>
      <w:r w:rsidRPr="00477F61">
        <w:t>(2004:208) seems to be suggesting just the kind of approach needed to reconcile the perspectives of Wurst and McGuire and Breen, “</w:t>
      </w:r>
      <w:r w:rsidRPr="00477F61">
        <w:rPr>
          <w:b/>
        </w:rPr>
        <w:t>despite the overwhelming turn to consumption [in archaeology], it seems that few scholars have wrestled with how systematic object analysis might provide fresh insight into how things structure and encourage various forms of desire and identity formation.”</w:t>
      </w:r>
      <w:r w:rsidR="00B72CF5">
        <w:t xml:space="preserve"> </w:t>
      </w:r>
      <w:r w:rsidRPr="00477F61">
        <w:t>Systematic, comparative object analysis from multiple sources of evidence in combination with a critical approach to the empowering act of consumption and consumer choice – these are the goals</w:t>
      </w:r>
      <w:r w:rsidR="00B72CF5">
        <w:t xml:space="preserve"> of this dissertation research.</w:t>
      </w:r>
      <w:r w:rsidRPr="00477F61">
        <w:t xml:space="preserve"> This is where a triangulation of sources representing the totality of the mid-eighteenth century consumer revolution – George Washington’s orders for </w:t>
      </w:r>
      <w:r w:rsidRPr="00477F61">
        <w:lastRenderedPageBreak/>
        <w:t>goods, local stores accounts and inventories, and the archaeological record – and a querying of avenues of access to goods become integral in working through the complexities</w:t>
      </w:r>
      <w:r>
        <w:t xml:space="preserve"> of consumer motivations among</w:t>
      </w:r>
      <w:r w:rsidRPr="00477F61">
        <w:t xml:space="preserve"> non-elites.</w:t>
      </w:r>
    </w:p>
    <w:p w:rsidR="00731D7C" w:rsidRPr="00477F61" w:rsidRDefault="00731D7C" w:rsidP="00731D7C">
      <w:pPr>
        <w:spacing w:line="480" w:lineRule="auto"/>
        <w:rPr>
          <w:b/>
        </w:rPr>
      </w:pPr>
      <w:r w:rsidRPr="00477F61">
        <w:rPr>
          <w:b/>
        </w:rPr>
        <w:t xml:space="preserve">Materiality of Motivation  </w:t>
      </w:r>
    </w:p>
    <w:p w:rsidR="00731D7C" w:rsidRPr="00477F61" w:rsidRDefault="00731D7C" w:rsidP="00731D7C">
      <w:pPr>
        <w:spacing w:line="480" w:lineRule="auto"/>
        <w:ind w:firstLine="720"/>
        <w:rPr>
          <w:rStyle w:val="normal0"/>
        </w:rPr>
      </w:pPr>
      <w:r w:rsidRPr="00477F61">
        <w:rPr>
          <w:rStyle w:val="normal0"/>
        </w:rPr>
        <w:t>How have scholars tackled the study of this complex subject fro</w:t>
      </w:r>
      <w:r w:rsidR="00B72CF5">
        <w:rPr>
          <w:rStyle w:val="normal0"/>
        </w:rPr>
        <w:t>m a methodological perspective?</w:t>
      </w:r>
      <w:r w:rsidRPr="00477F61">
        <w:rPr>
          <w:rStyle w:val="normal0"/>
        </w:rPr>
        <w:t xml:space="preserve"> Research on consumerism can be characterized as solidly interdisciplinary and primarily based on systema</w:t>
      </w:r>
      <w:r>
        <w:rPr>
          <w:rStyle w:val="normal0"/>
        </w:rPr>
        <w:t>tic data analyses (Table 3-1</w:t>
      </w:r>
      <w:r w:rsidR="00B72CF5">
        <w:rPr>
          <w:rStyle w:val="normal0"/>
        </w:rPr>
        <w:t>).</w:t>
      </w:r>
      <w:r w:rsidRPr="00477F61">
        <w:rPr>
          <w:rStyle w:val="normal0"/>
        </w:rPr>
        <w:t xml:space="preserve"> The bulk of the analytical work on the consumer revolution as it pertains to the New World began in the ear</w:t>
      </w:r>
      <w:r>
        <w:rPr>
          <w:rStyle w:val="normal0"/>
        </w:rPr>
        <w:t xml:space="preserve">ly 1990s simultaneously from </w:t>
      </w:r>
      <w:r w:rsidRPr="00477F61">
        <w:rPr>
          <w:rStyle w:val="normal0"/>
        </w:rPr>
        <w:t>archaeological and historical perspective</w:t>
      </w:r>
      <w:r>
        <w:rPr>
          <w:rStyle w:val="normal0"/>
        </w:rPr>
        <w:t>s</w:t>
      </w:r>
      <w:r w:rsidR="00B72CF5">
        <w:rPr>
          <w:rStyle w:val="normal0"/>
        </w:rPr>
        <w:t>.</w:t>
      </w:r>
      <w:r w:rsidRPr="00477F61">
        <w:rPr>
          <w:rStyle w:val="normal0"/>
        </w:rPr>
        <w:t xml:space="preserve"> Carr and Walsh’s (1994) study of probate inventories from multiple Chesapeake counties exposed in detail the trend of consumerism as a commonality of different social classes (with estate values from </w:t>
      </w:r>
      <w:r>
        <w:rPr>
          <w:rStyle w:val="normal0"/>
        </w:rPr>
        <w:t>£</w:t>
      </w:r>
      <w:r w:rsidRPr="00477F61">
        <w:rPr>
          <w:rStyle w:val="normal0"/>
        </w:rPr>
        <w:t xml:space="preserve">0 to </w:t>
      </w:r>
      <w:r>
        <w:rPr>
          <w:rStyle w:val="normal0"/>
        </w:rPr>
        <w:t>£</w:t>
      </w:r>
      <w:r w:rsidRPr="00477F61">
        <w:rPr>
          <w:rStyle w:val="normal0"/>
        </w:rPr>
        <w:t xml:space="preserve">491 and above) and paved the way for future studies that </w:t>
      </w:r>
      <w:r>
        <w:rPr>
          <w:rStyle w:val="normal0"/>
        </w:rPr>
        <w:t xml:space="preserve">have </w:t>
      </w:r>
      <w:r w:rsidRPr="00477F61">
        <w:rPr>
          <w:rStyle w:val="normal0"/>
        </w:rPr>
        <w:t xml:space="preserve">built on this foundational </w:t>
      </w:r>
      <w:r w:rsidR="00F873FE">
        <w:rPr>
          <w:rStyle w:val="normal0"/>
        </w:rPr>
        <w:t>research</w:t>
      </w:r>
      <w:r w:rsidR="00B72CF5">
        <w:rPr>
          <w:rStyle w:val="normal0"/>
        </w:rPr>
        <w:t xml:space="preserve">. </w:t>
      </w:r>
      <w:r w:rsidRPr="00477F61">
        <w:rPr>
          <w:rStyle w:val="normal0"/>
        </w:rPr>
        <w:t>They developed a list of 12 amenities, called the “amenities index,” that allowed for a statistically-based measure of lifestyle cha</w:t>
      </w:r>
      <w:r w:rsidR="00B72CF5">
        <w:rPr>
          <w:rStyle w:val="normal0"/>
        </w:rPr>
        <w:t xml:space="preserve">nge in the eighteenth century. </w:t>
      </w:r>
      <w:r w:rsidRPr="00477F61">
        <w:rPr>
          <w:rStyle w:val="normal0"/>
        </w:rPr>
        <w:t>They found that prior to 1700, the acquisition of amenities remained low; however after 1700 the score gradually increased until it reached an averag</w:t>
      </w:r>
      <w:r>
        <w:rPr>
          <w:rStyle w:val="normal0"/>
        </w:rPr>
        <w:t>e of five</w:t>
      </w:r>
      <w:r w:rsidRPr="00477F61">
        <w:rPr>
          <w:rStyle w:val="normal0"/>
        </w:rPr>
        <w:t xml:space="preserve"> a</w:t>
      </w:r>
      <w:r w:rsidR="00B72CF5">
        <w:rPr>
          <w:rStyle w:val="normal0"/>
        </w:rPr>
        <w:t>menities per household in 1770.</w:t>
      </w:r>
      <w:r w:rsidRPr="00477F61">
        <w:rPr>
          <w:rStyle w:val="normal0"/>
        </w:rPr>
        <w:t xml:space="preserve"> This trend was not just observable among the highest wealth categories, but the data “make clear that inhabitants at all levels of wealth were improving their standard of consumption” (Carr and Walsh 1994:70).  </w:t>
      </w:r>
    </w:p>
    <w:p w:rsidR="00CD7BDC" w:rsidRDefault="00CD7BDC">
      <w:pPr>
        <w:rPr>
          <w:rStyle w:val="normal0"/>
        </w:rPr>
      </w:pPr>
      <w:r>
        <w:rPr>
          <w:rStyle w:val="normal0"/>
        </w:rPr>
        <w:br w:type="page"/>
      </w:r>
    </w:p>
    <w:p w:rsidR="00CD7BDC" w:rsidRPr="00FB3397" w:rsidRDefault="00CD7BDC" w:rsidP="00CD7BDC">
      <w:pPr>
        <w:spacing w:line="480" w:lineRule="auto"/>
      </w:pPr>
      <w:proofErr w:type="gramStart"/>
      <w:r w:rsidRPr="00EE5CA5">
        <w:rPr>
          <w:b/>
        </w:rPr>
        <w:lastRenderedPageBreak/>
        <w:t>Table 3-1.</w:t>
      </w:r>
      <w:proofErr w:type="gramEnd"/>
      <w:r w:rsidRPr="00EE5CA5">
        <w:rPr>
          <w:b/>
        </w:rPr>
        <w:t xml:space="preserve"> </w:t>
      </w:r>
      <w:r w:rsidRPr="00FB3397">
        <w:t>Systematic studies of eighteenth- and nineteenth-century consumerism.</w:t>
      </w:r>
    </w:p>
    <w:tbl>
      <w:tblPr>
        <w:tblW w:w="9280" w:type="dxa"/>
        <w:tblLook w:val="04A0"/>
      </w:tblPr>
      <w:tblGrid>
        <w:gridCol w:w="860"/>
        <w:gridCol w:w="1079"/>
        <w:gridCol w:w="2060"/>
        <w:gridCol w:w="1946"/>
        <w:gridCol w:w="1060"/>
        <w:gridCol w:w="2275"/>
      </w:tblGrid>
      <w:tr w:rsidR="00CD7BDC" w:rsidRPr="00A94232" w:rsidTr="00CD7BDC">
        <w:trPr>
          <w:trHeight w:val="450"/>
        </w:trPr>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CD7BDC" w:rsidRPr="00A94232" w:rsidRDefault="00CD7BDC" w:rsidP="00CD7BDC">
            <w:pPr>
              <w:jc w:val="center"/>
              <w:rPr>
                <w:b/>
                <w:bCs/>
                <w:color w:val="000000"/>
                <w:sz w:val="16"/>
                <w:szCs w:val="16"/>
              </w:rPr>
            </w:pPr>
            <w:r w:rsidRPr="00A94232">
              <w:rPr>
                <w:b/>
                <w:bCs/>
                <w:color w:val="000000"/>
                <w:sz w:val="16"/>
                <w:szCs w:val="16"/>
              </w:rPr>
              <w:t>Authors</w:t>
            </w:r>
          </w:p>
        </w:tc>
        <w:tc>
          <w:tcPr>
            <w:tcW w:w="1079"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D7BDC" w:rsidRPr="00A94232" w:rsidRDefault="00CD7BDC" w:rsidP="00CD7BDC">
            <w:pPr>
              <w:jc w:val="center"/>
              <w:rPr>
                <w:b/>
                <w:bCs/>
                <w:color w:val="000000"/>
                <w:sz w:val="16"/>
                <w:szCs w:val="16"/>
              </w:rPr>
            </w:pPr>
            <w:r w:rsidRPr="00A94232">
              <w:rPr>
                <w:b/>
                <w:bCs/>
                <w:color w:val="000000"/>
                <w:sz w:val="16"/>
                <w:szCs w:val="16"/>
              </w:rPr>
              <w:t>Publication Date</w:t>
            </w:r>
          </w:p>
        </w:tc>
        <w:tc>
          <w:tcPr>
            <w:tcW w:w="206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D7BDC" w:rsidRPr="00A94232" w:rsidRDefault="00CD7BDC" w:rsidP="00CD7BDC">
            <w:pPr>
              <w:jc w:val="center"/>
              <w:rPr>
                <w:b/>
                <w:bCs/>
                <w:color w:val="000000"/>
                <w:sz w:val="16"/>
                <w:szCs w:val="16"/>
              </w:rPr>
            </w:pPr>
            <w:r w:rsidRPr="00A94232">
              <w:rPr>
                <w:b/>
                <w:bCs/>
                <w:color w:val="000000"/>
                <w:sz w:val="16"/>
                <w:szCs w:val="16"/>
              </w:rPr>
              <w:t>Datasets</w:t>
            </w:r>
          </w:p>
        </w:tc>
        <w:tc>
          <w:tcPr>
            <w:tcW w:w="1946"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D7BDC" w:rsidRPr="00A94232" w:rsidRDefault="00CD7BDC" w:rsidP="00CD7BDC">
            <w:pPr>
              <w:jc w:val="center"/>
              <w:rPr>
                <w:b/>
                <w:bCs/>
                <w:color w:val="000000"/>
                <w:sz w:val="16"/>
                <w:szCs w:val="16"/>
              </w:rPr>
            </w:pPr>
            <w:r w:rsidRPr="00A94232">
              <w:rPr>
                <w:b/>
                <w:bCs/>
                <w:color w:val="000000"/>
                <w:sz w:val="16"/>
                <w:szCs w:val="16"/>
              </w:rPr>
              <w:t>Area of Study</w:t>
            </w:r>
          </w:p>
        </w:tc>
        <w:tc>
          <w:tcPr>
            <w:tcW w:w="106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D7BDC" w:rsidRPr="00A94232" w:rsidRDefault="00CD7BDC" w:rsidP="00CD7BDC">
            <w:pPr>
              <w:jc w:val="center"/>
              <w:rPr>
                <w:b/>
                <w:bCs/>
                <w:color w:val="000000"/>
                <w:sz w:val="16"/>
                <w:szCs w:val="16"/>
              </w:rPr>
            </w:pPr>
            <w:r w:rsidRPr="00A94232">
              <w:rPr>
                <w:b/>
                <w:bCs/>
                <w:color w:val="000000"/>
                <w:sz w:val="16"/>
                <w:szCs w:val="16"/>
              </w:rPr>
              <w:t>Period of Study</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D7BDC" w:rsidRPr="00A94232" w:rsidRDefault="00CD7BDC" w:rsidP="00CD7BDC">
            <w:pPr>
              <w:jc w:val="center"/>
              <w:rPr>
                <w:b/>
                <w:bCs/>
                <w:color w:val="000000"/>
                <w:sz w:val="16"/>
                <w:szCs w:val="16"/>
              </w:rPr>
            </w:pPr>
            <w:r w:rsidRPr="00A94232">
              <w:rPr>
                <w:b/>
                <w:bCs/>
                <w:color w:val="000000"/>
                <w:sz w:val="16"/>
                <w:szCs w:val="16"/>
              </w:rPr>
              <w:t>Subject</w:t>
            </w:r>
          </w:p>
        </w:tc>
      </w:tr>
      <w:tr w:rsidR="00CD7BDC" w:rsidRPr="00A94232" w:rsidTr="00CD7BDC">
        <w:trPr>
          <w:trHeight w:val="67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Martin</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1993</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Store Accounts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Regional (VA's Backcountry)</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1760-1810</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Exploration of Consumerism amongst Ethnic, Racial, Class Categories</w:t>
            </w:r>
          </w:p>
        </w:tc>
      </w:tr>
      <w:tr w:rsidR="00CD7BDC" w:rsidRPr="00A94232" w:rsidTr="00CD7BDC">
        <w:trPr>
          <w:trHeight w:val="67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Shackel</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1993</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Archaeological Record and Probate Inventories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City (Annapolis, MD) and Region (Anne Arundel County, MD)</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1690s-1870s</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Comparison of Wealth Categories over Time</w:t>
            </w:r>
          </w:p>
        </w:tc>
      </w:tr>
      <w:tr w:rsidR="00CD7BDC" w:rsidRPr="00A94232" w:rsidTr="00CD7BDC">
        <w:trPr>
          <w:trHeight w:val="450"/>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Carr and Walsh</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1994</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Probate Inventories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Regional</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1680s-1770s</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 xml:space="preserve">Comparison of Wealth Categories over Time </w:t>
            </w:r>
          </w:p>
        </w:tc>
      </w:tr>
      <w:tr w:rsidR="00CD7BDC" w:rsidRPr="00A94232" w:rsidTr="00CD7BDC">
        <w:trPr>
          <w:trHeight w:val="450"/>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Heath</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1997</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Store Accounts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Regional (Bedford and Franklin County, VA)</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1771-1776, 1800-1808</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Comparison of Consumer Habits of Slaves over Time</w:t>
            </w:r>
          </w:p>
        </w:tc>
      </w:tr>
      <w:tr w:rsidR="00CD7BDC" w:rsidRPr="00A94232" w:rsidTr="00CD7BDC">
        <w:trPr>
          <w:trHeight w:val="800"/>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Veech</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1998</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Archaeological Record and Store Accounts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Local (Barnes Plantation, Fairfax County, VA)</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1740-1770</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 xml:space="preserve">Study of Abraham Barnes' Consumer Habits in Comparison to nearby Plantation Owners </w:t>
            </w:r>
          </w:p>
        </w:tc>
      </w:tr>
      <w:tr w:rsidR="00CD7BDC" w:rsidRPr="00A94232" w:rsidTr="00CD7BDC">
        <w:trPr>
          <w:trHeight w:val="67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Crane et al.</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1999</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Archaeological Record and Store Accounts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Local (Dumfries, VA)</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1760-1775</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 xml:space="preserve">Exploration and Comparison of Consumer Behavior of Boarding House Owner </w:t>
            </w:r>
          </w:p>
        </w:tc>
      </w:tr>
      <w:tr w:rsidR="00CD7BDC" w:rsidRPr="00A94232" w:rsidTr="00CD7BDC">
        <w:trPr>
          <w:trHeight w:val="57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Goodwin</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1999</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Archaeological Record and Courtesy Literature</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Regional (MA)</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1660-1760</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 xml:space="preserve">Study of Merchant Class Consumerism </w:t>
            </w:r>
          </w:p>
        </w:tc>
      </w:tr>
      <w:tr w:rsidR="00CD7BDC" w:rsidRPr="00A94232" w:rsidTr="00CD7BDC">
        <w:trPr>
          <w:trHeight w:val="458"/>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Bell</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2000</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Archaeological Record and Probate Inventories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Regional (VA's Piedmont and Tidewater)</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1700-1900</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 xml:space="preserve">Comparison of Wealth Categories over Time </w:t>
            </w:r>
          </w:p>
        </w:tc>
      </w:tr>
      <w:tr w:rsidR="00CD7BDC" w:rsidRPr="00A94232" w:rsidTr="00CD7BDC">
        <w:trPr>
          <w:trHeight w:val="593"/>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 xml:space="preserve">Reber </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2003</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Store Accounts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Local (Colchester, VA)</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1759-1766</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Exploration of Consumerism amongst Fairfax County Residents</w:t>
            </w:r>
          </w:p>
        </w:tc>
      </w:tr>
      <w:tr w:rsidR="00CD7BDC" w:rsidRPr="00A94232" w:rsidTr="00CD7BDC">
        <w:trPr>
          <w:trHeight w:val="647"/>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Heath</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2004</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Plantation Ledgers and Store Accounts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Regional (VA's Piedmont)</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1770-1810</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Comparison between Enslaved Men and Women as Producers and Consumers</w:t>
            </w:r>
          </w:p>
        </w:tc>
      </w:tr>
      <w:tr w:rsidR="00CD7BDC" w:rsidRPr="00A94232" w:rsidTr="00CD7BDC">
        <w:trPr>
          <w:trHeight w:val="656"/>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Clemens</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2005</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Probate Inventories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Regional (Rural Mid-Atlantic: MD, PA, CT)</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1760-1820</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 xml:space="preserve">Comparison of Wealth Categories from Rural Areas over Time </w:t>
            </w:r>
          </w:p>
        </w:tc>
      </w:tr>
      <w:tr w:rsidR="00CD7BDC" w:rsidRPr="00A94232" w:rsidTr="00CD7BDC">
        <w:trPr>
          <w:trHeight w:val="67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Martin</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2008</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Store Accounts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Regional (VA's Backcountry)</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1760-1810</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Exploration of Consumerism amongst Ethnic, Racial, Class Categories</w:t>
            </w:r>
          </w:p>
        </w:tc>
      </w:tr>
      <w:tr w:rsidR="00CD7BDC" w:rsidRPr="00A94232" w:rsidTr="00CD7BDC">
        <w:trPr>
          <w:trHeight w:val="845"/>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Nash</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2009</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Probate Inventories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Atlantic World (SC, VA, MA and England)</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1670-1770</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 xml:space="preserve">Comparison between Colonies and England and amongst Wealth Categories in SC </w:t>
            </w:r>
          </w:p>
        </w:tc>
      </w:tr>
      <w:tr w:rsidR="00CD7BDC" w:rsidRPr="00A94232" w:rsidTr="00CD7BDC">
        <w:trPr>
          <w:trHeight w:val="656"/>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Hatch</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2009</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 xml:space="preserve">Archaeological Record </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Regional (VA)</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1670-1850</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Comparison of Consumer Goods between Slave Sites over Time</w:t>
            </w:r>
          </w:p>
        </w:tc>
      </w:tr>
      <w:tr w:rsidR="00CD7BDC" w:rsidRPr="00A94232" w:rsidTr="00CD7BDC">
        <w:trPr>
          <w:trHeight w:val="656"/>
        </w:trPr>
        <w:tc>
          <w:tcPr>
            <w:tcW w:w="860" w:type="dxa"/>
            <w:tcBorders>
              <w:top w:val="nil"/>
              <w:left w:val="single" w:sz="4" w:space="0" w:color="auto"/>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Galle</w:t>
            </w:r>
          </w:p>
        </w:tc>
        <w:tc>
          <w:tcPr>
            <w:tcW w:w="1079"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jc w:val="right"/>
              <w:rPr>
                <w:color w:val="000000"/>
                <w:sz w:val="16"/>
                <w:szCs w:val="16"/>
              </w:rPr>
            </w:pPr>
            <w:r w:rsidRPr="00A94232">
              <w:rPr>
                <w:color w:val="000000"/>
                <w:sz w:val="16"/>
                <w:szCs w:val="16"/>
              </w:rPr>
              <w:t>2010</w:t>
            </w:r>
          </w:p>
        </w:tc>
        <w:tc>
          <w:tcPr>
            <w:tcW w:w="2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Archaeological Record</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Regional (VA)</w:t>
            </w:r>
          </w:p>
        </w:tc>
        <w:tc>
          <w:tcPr>
            <w:tcW w:w="1060"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1700-1800</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Comparison of Consumer Goods between Slave Sites over Time</w:t>
            </w:r>
          </w:p>
        </w:tc>
      </w:tr>
      <w:tr w:rsidR="00CD7BDC" w:rsidRPr="00A94232" w:rsidTr="00CD7BDC">
        <w:trPr>
          <w:trHeight w:val="638"/>
        </w:trPr>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CD7BDC" w:rsidRPr="00A94232" w:rsidRDefault="00CD7BDC" w:rsidP="00CD7BDC">
            <w:pPr>
              <w:rPr>
                <w:color w:val="000000"/>
                <w:sz w:val="16"/>
                <w:szCs w:val="16"/>
              </w:rPr>
            </w:pPr>
            <w:r w:rsidRPr="00A94232">
              <w:rPr>
                <w:color w:val="000000"/>
                <w:sz w:val="16"/>
                <w:szCs w:val="16"/>
              </w:rPr>
              <w:t>Lee</w:t>
            </w:r>
          </w:p>
        </w:tc>
        <w:tc>
          <w:tcPr>
            <w:tcW w:w="1079" w:type="dxa"/>
            <w:tcBorders>
              <w:top w:val="nil"/>
              <w:left w:val="nil"/>
              <w:bottom w:val="single" w:sz="4" w:space="0" w:color="auto"/>
              <w:right w:val="single" w:sz="4" w:space="0" w:color="auto"/>
            </w:tcBorders>
            <w:shd w:val="clear" w:color="auto" w:fill="auto"/>
            <w:noWrap/>
            <w:vAlign w:val="bottom"/>
            <w:hideMark/>
          </w:tcPr>
          <w:p w:rsidR="00CD7BDC" w:rsidRPr="00A94232" w:rsidRDefault="00CD7BDC" w:rsidP="00CD7BDC">
            <w:pPr>
              <w:jc w:val="right"/>
              <w:rPr>
                <w:color w:val="000000"/>
                <w:sz w:val="16"/>
                <w:szCs w:val="16"/>
              </w:rPr>
            </w:pPr>
            <w:r w:rsidRPr="00A94232">
              <w:rPr>
                <w:color w:val="000000"/>
                <w:sz w:val="16"/>
                <w:szCs w:val="16"/>
              </w:rPr>
              <w:t>2012</w:t>
            </w:r>
          </w:p>
        </w:tc>
        <w:tc>
          <w:tcPr>
            <w:tcW w:w="2060" w:type="dxa"/>
            <w:tcBorders>
              <w:top w:val="nil"/>
              <w:left w:val="nil"/>
              <w:bottom w:val="single" w:sz="4" w:space="0" w:color="auto"/>
              <w:right w:val="single" w:sz="4" w:space="0" w:color="auto"/>
            </w:tcBorders>
            <w:shd w:val="clear" w:color="auto" w:fill="auto"/>
            <w:noWrap/>
            <w:vAlign w:val="bottom"/>
            <w:hideMark/>
          </w:tcPr>
          <w:p w:rsidR="00CD7BDC" w:rsidRPr="00A94232" w:rsidRDefault="00CD7BDC" w:rsidP="00CD7BDC">
            <w:pPr>
              <w:rPr>
                <w:color w:val="000000"/>
                <w:sz w:val="16"/>
                <w:szCs w:val="16"/>
              </w:rPr>
            </w:pPr>
            <w:r w:rsidRPr="00A94232">
              <w:rPr>
                <w:color w:val="000000"/>
                <w:sz w:val="16"/>
                <w:szCs w:val="16"/>
              </w:rPr>
              <w:t>Archaeological Record and Plantation Ledgers</w:t>
            </w:r>
          </w:p>
        </w:tc>
        <w:tc>
          <w:tcPr>
            <w:tcW w:w="1946"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Local and Regional (Poplar Forest Plantation, Bedford County, Piedmont, VA)</w:t>
            </w:r>
          </w:p>
        </w:tc>
        <w:tc>
          <w:tcPr>
            <w:tcW w:w="1060" w:type="dxa"/>
            <w:tcBorders>
              <w:top w:val="nil"/>
              <w:left w:val="nil"/>
              <w:bottom w:val="single" w:sz="4" w:space="0" w:color="auto"/>
              <w:right w:val="single" w:sz="4" w:space="0" w:color="auto"/>
            </w:tcBorders>
            <w:shd w:val="clear" w:color="auto" w:fill="auto"/>
            <w:noWrap/>
            <w:vAlign w:val="bottom"/>
            <w:hideMark/>
          </w:tcPr>
          <w:p w:rsidR="00CD7BDC" w:rsidRPr="00A94232" w:rsidRDefault="00CD7BDC" w:rsidP="00CD7BDC">
            <w:pPr>
              <w:rPr>
                <w:color w:val="000000"/>
                <w:sz w:val="16"/>
                <w:szCs w:val="16"/>
              </w:rPr>
            </w:pPr>
            <w:r w:rsidRPr="00A94232">
              <w:rPr>
                <w:color w:val="000000"/>
                <w:sz w:val="16"/>
                <w:szCs w:val="16"/>
              </w:rPr>
              <w:t>1840s-1860s</w:t>
            </w:r>
          </w:p>
        </w:tc>
        <w:tc>
          <w:tcPr>
            <w:tcW w:w="2275" w:type="dxa"/>
            <w:tcBorders>
              <w:top w:val="nil"/>
              <w:left w:val="nil"/>
              <w:bottom w:val="single" w:sz="4" w:space="0" w:color="auto"/>
              <w:right w:val="single" w:sz="4" w:space="0" w:color="auto"/>
            </w:tcBorders>
            <w:shd w:val="clear" w:color="auto" w:fill="auto"/>
            <w:vAlign w:val="bottom"/>
            <w:hideMark/>
          </w:tcPr>
          <w:p w:rsidR="00CD7BDC" w:rsidRPr="00A94232" w:rsidRDefault="00CD7BDC" w:rsidP="00CD7BDC">
            <w:pPr>
              <w:rPr>
                <w:color w:val="000000"/>
                <w:sz w:val="16"/>
                <w:szCs w:val="16"/>
              </w:rPr>
            </w:pPr>
            <w:r w:rsidRPr="00A94232">
              <w:rPr>
                <w:color w:val="000000"/>
                <w:sz w:val="16"/>
                <w:szCs w:val="16"/>
              </w:rPr>
              <w:t>Slave Production and Consumption Practices on an Antebellum Plantation</w:t>
            </w:r>
          </w:p>
        </w:tc>
      </w:tr>
    </w:tbl>
    <w:p w:rsidR="00CD7BDC" w:rsidRDefault="00CD7BDC" w:rsidP="00CD7BDC">
      <w:pPr>
        <w:ind w:firstLine="720"/>
        <w:rPr>
          <w:b/>
        </w:rPr>
      </w:pPr>
    </w:p>
    <w:p w:rsidR="00CD7BDC" w:rsidRDefault="00CD7BDC" w:rsidP="00CD7BDC">
      <w:pPr>
        <w:spacing w:line="480" w:lineRule="auto"/>
        <w:rPr>
          <w:rStyle w:val="normal0"/>
        </w:rPr>
      </w:pPr>
    </w:p>
    <w:p w:rsidR="00731D7C" w:rsidRDefault="00731D7C" w:rsidP="00731D7C">
      <w:pPr>
        <w:spacing w:line="480" w:lineRule="auto"/>
        <w:ind w:firstLine="720"/>
        <w:rPr>
          <w:rFonts w:eastAsia="Calibri"/>
        </w:rPr>
      </w:pPr>
      <w:r w:rsidRPr="00477F61">
        <w:rPr>
          <w:rStyle w:val="normal0"/>
        </w:rPr>
        <w:lastRenderedPageBreak/>
        <w:t xml:space="preserve">This methodology has resonated so profoundly in historical and archaeological communities as to have spurred at least seven mutations of the original amenities index (see </w:t>
      </w:r>
      <w:r>
        <w:rPr>
          <w:rStyle w:val="normal0"/>
        </w:rPr>
        <w:t>Shackel 1993; Veech 199</w:t>
      </w:r>
      <w:r w:rsidRPr="00477F61">
        <w:rPr>
          <w:rStyle w:val="normal0"/>
        </w:rPr>
        <w:t>8</w:t>
      </w:r>
      <w:r>
        <w:rPr>
          <w:rStyle w:val="normal0"/>
        </w:rPr>
        <w:t xml:space="preserve">; </w:t>
      </w:r>
      <w:r w:rsidRPr="00477F61">
        <w:rPr>
          <w:rStyle w:val="normal0"/>
        </w:rPr>
        <w:t>Bell 2000; Clemens 2005; Hatch 2009; Na</w:t>
      </w:r>
      <w:r>
        <w:rPr>
          <w:rStyle w:val="normal0"/>
        </w:rPr>
        <w:t>sh 2009</w:t>
      </w:r>
      <w:r w:rsidR="00B72CF5">
        <w:rPr>
          <w:rStyle w:val="normal0"/>
        </w:rPr>
        <w:t>).</w:t>
      </w:r>
      <w:r w:rsidRPr="00477F61">
        <w:rPr>
          <w:rStyle w:val="normal0"/>
        </w:rPr>
        <w:t xml:space="preserve"> Around the same time, Shackel (1993), in addition to an analysis of probate inventories</w:t>
      </w:r>
      <w:r>
        <w:rPr>
          <w:rStyle w:val="normal0"/>
        </w:rPr>
        <w:t>,</w:t>
      </w:r>
      <w:r w:rsidRPr="00FB3FF7">
        <w:rPr>
          <w:rStyle w:val="normal0"/>
        </w:rPr>
        <w:t xml:space="preserve"> </w:t>
      </w:r>
      <w:r w:rsidRPr="00477F61">
        <w:rPr>
          <w:rStyle w:val="normal0"/>
        </w:rPr>
        <w:t xml:space="preserve">brought the archaeological record to bear on the picture of consumerism in Annapolis and surrounding Anne </w:t>
      </w:r>
      <w:r w:rsidR="00B72CF5">
        <w:rPr>
          <w:rStyle w:val="normal0"/>
        </w:rPr>
        <w:t>Arundel County.</w:t>
      </w:r>
      <w:r w:rsidRPr="00477F61">
        <w:rPr>
          <w:rStyle w:val="normal0"/>
        </w:rPr>
        <w:t xml:space="preserve"> His question had less to </w:t>
      </w:r>
      <w:r w:rsidR="00AA2F52">
        <w:rPr>
          <w:rStyle w:val="normal0"/>
        </w:rPr>
        <w:t xml:space="preserve">do </w:t>
      </w:r>
      <w:r w:rsidRPr="00477F61">
        <w:rPr>
          <w:rStyle w:val="normal0"/>
        </w:rPr>
        <w:t xml:space="preserve">with detailing the specifics of the revolution and more to do with the cultural implications of capitalism and </w:t>
      </w:r>
      <w:r w:rsidR="00B72CF5">
        <w:rPr>
          <w:rStyle w:val="normal0"/>
        </w:rPr>
        <w:t>its effects on consumer habits.</w:t>
      </w:r>
      <w:r w:rsidRPr="00477F61">
        <w:rPr>
          <w:rStyle w:val="normal0"/>
        </w:rPr>
        <w:t xml:space="preserve"> This was the first data-driven, anthropologically-based study of consumerism for this specific pha</w:t>
      </w:r>
      <w:r w:rsidR="00B72CF5">
        <w:rPr>
          <w:rStyle w:val="normal0"/>
        </w:rPr>
        <w:t xml:space="preserve">se of the consumer revolution. </w:t>
      </w:r>
      <w:r w:rsidRPr="00477F61">
        <w:rPr>
          <w:rStyle w:val="normal0"/>
        </w:rPr>
        <w:t>Analyzing the consumer revolution through probate inventories continues as a productive approach today (for e</w:t>
      </w:r>
      <w:r>
        <w:rPr>
          <w:rStyle w:val="normal0"/>
        </w:rPr>
        <w:t>xample, Bell 2000; Clemens 2005;</w:t>
      </w:r>
      <w:r w:rsidRPr="00477F61">
        <w:rPr>
          <w:rStyle w:val="normal0"/>
        </w:rPr>
        <w:t xml:space="preserve"> Nash 2009), d</w:t>
      </w:r>
      <w:r w:rsidRPr="00477F61">
        <w:rPr>
          <w:rFonts w:eastAsia="Calibri"/>
        </w:rPr>
        <w:t>espite their inherent biases (see Pogue 1993, 1997 and Veech 1998 for discussions)</w:t>
      </w:r>
      <w:r w:rsidRPr="00477F61">
        <w:t>.</w:t>
      </w:r>
      <w:r w:rsidRPr="00477F61">
        <w:rPr>
          <w:rFonts w:eastAsia="Calibri"/>
        </w:rPr>
        <w:t xml:space="preserve">  </w:t>
      </w:r>
    </w:p>
    <w:p w:rsidR="00CD7BDC" w:rsidRPr="00477F61" w:rsidRDefault="00CD7BDC" w:rsidP="00CD7BDC">
      <w:pPr>
        <w:spacing w:line="480" w:lineRule="auto"/>
        <w:ind w:firstLine="720"/>
        <w:rPr>
          <w:rStyle w:val="normal0"/>
        </w:rPr>
      </w:pPr>
      <w:r>
        <w:t>I</w:t>
      </w:r>
      <w:r w:rsidRPr="00477F61">
        <w:rPr>
          <w:rFonts w:eastAsia="Calibri"/>
        </w:rPr>
        <w:t>n light of research questions devoted to African-American consumer habits and in response to some of the biases that hinder full interpretation of the material world through probate inventories, archaeologists and material culture specialists</w:t>
      </w:r>
      <w:r w:rsidRPr="00477F61">
        <w:t xml:space="preserve"> increasingly bega</w:t>
      </w:r>
      <w:r w:rsidRPr="00477F61">
        <w:rPr>
          <w:rFonts w:eastAsia="Calibri"/>
        </w:rPr>
        <w:t>n to examine documents like store ledgers</w:t>
      </w:r>
      <w:r w:rsidRPr="00477F61">
        <w:t xml:space="preserve"> as early as the late 1990s</w:t>
      </w:r>
      <w:r w:rsidRPr="00477F61">
        <w:rPr>
          <w:rFonts w:eastAsia="Calibri"/>
        </w:rPr>
        <w:t xml:space="preserve"> (Heath </w:t>
      </w:r>
      <w:r w:rsidRPr="00477F61">
        <w:t>1997</w:t>
      </w:r>
      <w:r w:rsidRPr="00477F61">
        <w:rPr>
          <w:rFonts w:eastAsia="Calibri"/>
        </w:rPr>
        <w:t>; Veech 1998</w:t>
      </w:r>
      <w:r>
        <w:rPr>
          <w:rFonts w:eastAsia="Calibri"/>
        </w:rPr>
        <w:t xml:space="preserve">; </w:t>
      </w:r>
      <w:r w:rsidRPr="00477F61">
        <w:t>Crane et al. 1999</w:t>
      </w:r>
      <w:r w:rsidRPr="00477F61">
        <w:rPr>
          <w:rFonts w:eastAsia="Calibri"/>
        </w:rPr>
        <w:t xml:space="preserve">). </w:t>
      </w:r>
      <w:r w:rsidRPr="00477F61">
        <w:rPr>
          <w:rStyle w:val="normal0"/>
        </w:rPr>
        <w:t>While probate inventories offer a snapshot of material ownership at the time of death of free individuals, store accounts instead present a dynamic record of consumer purchases on the part of wealthy individuals like George Washington and George Mason (Hackett 2000), but also by small and middling planters as well as enslaved individuals who entered stores on behalf of their masters, neighbors,</w:t>
      </w:r>
      <w:r>
        <w:rPr>
          <w:rStyle w:val="normal0"/>
        </w:rPr>
        <w:t xml:space="preserve"> relatives, or for themselves. </w:t>
      </w:r>
      <w:r w:rsidRPr="00477F61">
        <w:rPr>
          <w:rStyle w:val="normal0"/>
        </w:rPr>
        <w:t xml:space="preserve">Preliminary findings of this research suggest that the purchases made by slaves and free consumers were remarkably </w:t>
      </w:r>
      <w:r>
        <w:rPr>
          <w:rStyle w:val="normal0"/>
        </w:rPr>
        <w:t xml:space="preserve">similar (Martin 2008:179-178). </w:t>
      </w:r>
      <w:r w:rsidRPr="00477F61">
        <w:rPr>
          <w:rStyle w:val="normal0"/>
        </w:rPr>
        <w:t xml:space="preserve">Archaeological research supports this initial finding that lower class whites and slaves are for the most part materially indistinguishable, at least when applying traditional </w:t>
      </w:r>
      <w:r w:rsidRPr="00477F61">
        <w:rPr>
          <w:rStyle w:val="normal0"/>
        </w:rPr>
        <w:lastRenderedPageBreak/>
        <w:t>cr</w:t>
      </w:r>
      <w:r>
        <w:rPr>
          <w:rStyle w:val="normal0"/>
        </w:rPr>
        <w:t xml:space="preserve">iteria (Heath and Breen 2012). </w:t>
      </w:r>
      <w:r w:rsidRPr="00477F61">
        <w:rPr>
          <w:rStyle w:val="normal0"/>
        </w:rPr>
        <w:t xml:space="preserve">It is the hypothesis of this dissertation work, however, that real, yet subtle differences in the materiality </w:t>
      </w:r>
      <w:r>
        <w:rPr>
          <w:rStyle w:val="normal0"/>
        </w:rPr>
        <w:t>of consumer choices made by different groups are</w:t>
      </w:r>
      <w:r w:rsidRPr="00477F61">
        <w:rPr>
          <w:rStyle w:val="normal0"/>
        </w:rPr>
        <w:t xml:space="preserve"> measurable in the archaeological record once the totality of data available is brought to bear on the question of consumerism in this crucial period.</w:t>
      </w:r>
    </w:p>
    <w:p w:rsidR="00731D7C" w:rsidRPr="00477F61" w:rsidRDefault="00731D7C" w:rsidP="00731D7C">
      <w:pPr>
        <w:spacing w:line="480" w:lineRule="auto"/>
        <w:ind w:firstLine="720"/>
      </w:pPr>
      <w:r w:rsidRPr="00477F61">
        <w:t>Determining consumer motivations from patterns of material remains presents a challenge to historical arc</w:t>
      </w:r>
      <w:r w:rsidR="00B72CF5">
        <w:t xml:space="preserve">haeologists. </w:t>
      </w:r>
      <w:r w:rsidRPr="00477F61">
        <w:t xml:space="preserve">However, </w:t>
      </w:r>
      <w:r w:rsidR="00F873FE">
        <w:t>it is</w:t>
      </w:r>
      <w:r w:rsidR="00BA14E2">
        <w:t xml:space="preserve"> hypothesize</w:t>
      </w:r>
      <w:r w:rsidR="00F873FE">
        <w:t>d here</w:t>
      </w:r>
      <w:r w:rsidRPr="00477F61">
        <w:t xml:space="preserve"> that through the lens of material inequality and restricted access to both high style and everyday objects, it is possible to discern consumer motivation in the archaeol</w:t>
      </w:r>
      <w:r w:rsidR="00B72CF5">
        <w:t>ogical and documentary records.</w:t>
      </w:r>
      <w:r w:rsidRPr="00477F61">
        <w:t xml:space="preserve"> If simple emulation or a benign quest for gentility were at play facilitating and cultivating the emerging consumer revolution on the part of gentry planters, then I would suggest little disparity would exist in terms of the availability and distribution of both costly and cheap good</w:t>
      </w:r>
      <w:r>
        <w:t>s in the colonial marketplace.</w:t>
      </w:r>
      <w:r w:rsidR="00B72CF5">
        <w:t xml:space="preserve"> </w:t>
      </w:r>
      <w:r>
        <w:t xml:space="preserve">The question remains to be explored – how different were the goods stocked in stores versus those </w:t>
      </w:r>
      <w:r w:rsidR="00B72CF5">
        <w:t xml:space="preserve">available through consignment? </w:t>
      </w:r>
      <w:r w:rsidRPr="00477F61">
        <w:t xml:space="preserve">As the Scottish retail network developed along the shores of the upper Potomac region, we should </w:t>
      </w:r>
      <w:r w:rsidR="00BA14E2">
        <w:t>see</w:t>
      </w:r>
      <w:r w:rsidRPr="00477F61">
        <w:t xml:space="preserve"> a decrease in the reliance on the part of large-scale tobacco produc</w:t>
      </w:r>
      <w:r w:rsidR="00B72CF5">
        <w:t xml:space="preserve">ers on the consignment system. </w:t>
      </w:r>
      <w:r w:rsidRPr="00477F61">
        <w:t>This</w:t>
      </w:r>
      <w:r w:rsidR="00BA14E2">
        <w:t xml:space="preserve"> expectation</w:t>
      </w:r>
      <w:r w:rsidRPr="00477F61">
        <w:t xml:space="preserve">, however, </w:t>
      </w:r>
      <w:r w:rsidR="00BA14E2">
        <w:t>is not met</w:t>
      </w:r>
      <w:r w:rsidR="00B72CF5">
        <w:t>.</w:t>
      </w:r>
      <w:r w:rsidRPr="00477F61">
        <w:t xml:space="preserve"> George Washington, for example, heavily and consistently invested in thousands of goods from his factor in England with the exception of two years: in 1758, when he was away fighting the French and Indian War and in 1769, during the height of the non-imp</w:t>
      </w:r>
      <w:r>
        <w:t>ortation agreements, as will be extensively explored in Chapter 5</w:t>
      </w:r>
      <w:r w:rsidR="00B72CF5">
        <w:t xml:space="preserve">. </w:t>
      </w:r>
      <w:r w:rsidRPr="00477F61">
        <w:t xml:space="preserve">Additionally, Washington and his peers relied on their factors for not only high style, but also utilitarian goods like storage jars and milk pans, though these were more </w:t>
      </w:r>
      <w:r>
        <w:t>conveniently</w:t>
      </w:r>
      <w:r w:rsidRPr="00477F61">
        <w:t xml:space="preserve"> available </w:t>
      </w:r>
      <w:r>
        <w:t>at the local store</w:t>
      </w:r>
      <w:r w:rsidRPr="00477F61">
        <w:t xml:space="preserve"> than those imported through consignment.  </w:t>
      </w:r>
    </w:p>
    <w:p w:rsidR="00731D7C" w:rsidRPr="00477F61" w:rsidRDefault="00731D7C" w:rsidP="00731D7C">
      <w:pPr>
        <w:spacing w:line="480" w:lineRule="auto"/>
        <w:ind w:firstLine="720"/>
      </w:pPr>
      <w:r w:rsidRPr="00477F61">
        <w:lastRenderedPageBreak/>
        <w:t xml:space="preserve">Shopkeepers and merchants like Alexander Henderson tried to meet the needs of their upper class patrons, but usually were </w:t>
      </w:r>
      <w:r w:rsidR="00B72CF5">
        <w:t>not rewarded for these efforts.</w:t>
      </w:r>
      <w:r w:rsidRPr="00477F61">
        <w:t xml:space="preserve"> For example, Henderson’s schemes of goods show that in the first two years of Colchester’s documented operation, he ordered hundreds of more costly Chinese export porcelain vessels to be sold t</w:t>
      </w:r>
      <w:r w:rsidR="00B72CF5">
        <w:t xml:space="preserve">o those who could afford them. </w:t>
      </w:r>
      <w:r w:rsidRPr="00477F61">
        <w:t>However, after 1760, no additional porcelains were ordered suggesting that they were not, in essence, flyi</w:t>
      </w:r>
      <w:r>
        <w:t>ng off the shelves (</w:t>
      </w:r>
      <w:r w:rsidRPr="00477F61">
        <w:t>see Patrick 1990 for similar finding</w:t>
      </w:r>
      <w:r w:rsidR="00B72CF5">
        <w:t xml:space="preserve">s at other Chesapeake stores). </w:t>
      </w:r>
      <w:r w:rsidRPr="00477F61">
        <w:t xml:space="preserve">This consumer evidence </w:t>
      </w:r>
      <w:r w:rsidR="00BA14E2">
        <w:t>raises</w:t>
      </w:r>
      <w:r w:rsidRPr="00477F61">
        <w:t xml:space="preserve"> the question, why did George Washington and others of his socio-economic class remain loyal to the consignment system even as store owners trie</w:t>
      </w:r>
      <w:r w:rsidR="00B72CF5">
        <w:t>d to meet their consumer needs?</w:t>
      </w:r>
      <w:r w:rsidRPr="00477F61">
        <w:t xml:space="preserve"> Patrick (1990:68) writes that some merchants in his study attempted to expand to a larger market in the late 1760s and 1770s, but “old habits were slow to die in Maryland and Virginia, and the elite population’s persistent attachment to the consignment system method continued to plague local merchants eager to expand their markets.” Was this pattern re</w:t>
      </w:r>
      <w:r w:rsidR="00B72CF5">
        <w:t>ally just a symptom of inertia?</w:t>
      </w:r>
      <w:r w:rsidRPr="00477F61">
        <w:t xml:space="preserve"> Or was there something more to this commitment to a relatively closed system of access to consumer goods on the part of an increasingly anxious and destabilized group?  </w:t>
      </w:r>
    </w:p>
    <w:p w:rsidR="00731D7C" w:rsidRPr="00477F61" w:rsidRDefault="00731D7C" w:rsidP="00731D7C">
      <w:pPr>
        <w:spacing w:line="480" w:lineRule="auto"/>
        <w:ind w:firstLine="720"/>
      </w:pPr>
      <w:r w:rsidRPr="00477F61">
        <w:t xml:space="preserve">In his work, Patrick (1990:72-73) just begins to explore the margins of this issue: </w:t>
      </w:r>
    </w:p>
    <w:p w:rsidR="00731D7C" w:rsidRPr="00477F61" w:rsidRDefault="00731D7C" w:rsidP="00731D7C">
      <w:pPr>
        <w:spacing w:line="480" w:lineRule="auto"/>
        <w:ind w:left="720"/>
      </w:pPr>
      <w:r w:rsidRPr="00477F61">
        <w:t>“No real logical answer exists for why the Chesapeake gentry foreswore local shops, with the exception that British agents offered the highly</w:t>
      </w:r>
      <w:r w:rsidR="00B72CF5">
        <w:t xml:space="preserve"> desirable services of banker… </w:t>
      </w:r>
      <w:r w:rsidRPr="00477F61">
        <w:t>Perhaps the elite’s tenacious grip on the traditional method of conducting business ha</w:t>
      </w:r>
      <w:r w:rsidR="00B72CF5">
        <w:t xml:space="preserve">d a symbolic meaning for them… </w:t>
      </w:r>
      <w:r w:rsidRPr="00477F61">
        <w:t xml:space="preserve">If the colonial gentry in the Chesapeake truly permitted a materialistic determinism based on consumption to assist in creating structured social distancing, then undoubtedly they clung to the consignment system beyond its usefulness.”  </w:t>
      </w:r>
    </w:p>
    <w:p w:rsidR="00731D7C" w:rsidRPr="00477F61" w:rsidRDefault="00731D7C" w:rsidP="00731D7C">
      <w:pPr>
        <w:spacing w:line="480" w:lineRule="auto"/>
      </w:pPr>
      <w:r w:rsidRPr="00477F61">
        <w:lastRenderedPageBreak/>
        <w:t xml:space="preserve">I would even grant the Chesapeake gentry less reason than Patrick does, for throughout the ledgers of Glassford and Company, we see that merchants and stores also acted like banks, by extending credit on tobacco sold </w:t>
      </w:r>
      <w:r w:rsidR="00B72CF5">
        <w:t xml:space="preserve">to them (see also Cuddy 2008). </w:t>
      </w:r>
      <w:r w:rsidRPr="00477F61">
        <w:t>Patrick (1990:76) concludes, “Thus, the geographical pocket centering around the Chesapeake [as opposed to New England] where the consignment system was preferred by the elite was one more attempt of the wealthy to remove them</w:t>
      </w:r>
      <w:r w:rsidR="00B72CF5">
        <w:t xml:space="preserve">selves and control commoners.” </w:t>
      </w:r>
      <w:r w:rsidRPr="00477F61">
        <w:t xml:space="preserve">I hypothesize that through the systematic exploration of object access and distribution, elite material consumer motivations will become even clearer.            </w:t>
      </w:r>
    </w:p>
    <w:p w:rsidR="00731D7C" w:rsidRPr="00477F61" w:rsidRDefault="00731D7C" w:rsidP="00731D7C">
      <w:pPr>
        <w:spacing w:line="480" w:lineRule="auto"/>
        <w:ind w:firstLine="720"/>
      </w:pPr>
      <w:r w:rsidRPr="00477F61">
        <w:t xml:space="preserve">That being said, however, as Bell (2000:576) writes, “Motive is enormously complex – difficult to sort out among living populations, and even more </w:t>
      </w:r>
      <w:r w:rsidR="00B72CF5">
        <w:t xml:space="preserve">so at an historical distance.” </w:t>
      </w:r>
      <w:r w:rsidRPr="00477F61">
        <w:t>Through a systematic exploration of object access and distribution, I will create the baseline of a material universe from which individuals could exp</w:t>
      </w:r>
      <w:r w:rsidR="00B72CF5">
        <w:t xml:space="preserve">ress varying levels of choice. </w:t>
      </w:r>
      <w:r w:rsidRPr="00477F61">
        <w:t>Without it, moti</w:t>
      </w:r>
      <w:r w:rsidR="00B72CF5">
        <w:t xml:space="preserve">vation is completely obscured. </w:t>
      </w:r>
      <w:r w:rsidRPr="00477F61">
        <w:t>With it, we may be able to arrive at a more nuanced interpretation of motivatio</w:t>
      </w:r>
      <w:r>
        <w:t>n that allows room for different</w:t>
      </w:r>
      <w:r w:rsidRPr="00477F61">
        <w:t xml:space="preserve"> defensible expressions. </w:t>
      </w:r>
    </w:p>
    <w:p w:rsidR="00731D7C" w:rsidRPr="00477F61" w:rsidRDefault="00731D7C" w:rsidP="00731D7C">
      <w:pPr>
        <w:spacing w:line="480" w:lineRule="auto"/>
        <w:rPr>
          <w:b/>
        </w:rPr>
      </w:pPr>
      <w:r w:rsidRPr="00477F61">
        <w:rPr>
          <w:b/>
        </w:rPr>
        <w:t>Development of the Consumer Economy</w:t>
      </w:r>
    </w:p>
    <w:p w:rsidR="00731D7C" w:rsidRDefault="00731D7C" w:rsidP="00731D7C">
      <w:pPr>
        <w:spacing w:line="480" w:lineRule="auto"/>
      </w:pPr>
      <w:r w:rsidRPr="00477F61">
        <w:tab/>
      </w:r>
      <w:r>
        <w:t>Understanding consumer motivations must be based on an exploration of the ways in which goods travel</w:t>
      </w:r>
      <w:r w:rsidR="00B72CF5">
        <w:t>ed throughout colonial society.</w:t>
      </w:r>
      <w:r>
        <w:t xml:space="preserve"> The following pages discuss these avenues, which were available to different segments of the colonial population, and why certain individuals chose the avenues that they did.  </w:t>
      </w:r>
    </w:p>
    <w:p w:rsidR="00731D7C" w:rsidRPr="00477F61" w:rsidRDefault="00731D7C" w:rsidP="00731D7C">
      <w:pPr>
        <w:spacing w:line="480" w:lineRule="auto"/>
        <w:ind w:firstLine="720"/>
      </w:pPr>
      <w:r w:rsidRPr="00477F61">
        <w:rPr>
          <w:i/>
        </w:rPr>
        <w:t>Early Retail Trade.</w:t>
      </w:r>
      <w:r w:rsidR="00B72CF5">
        <w:t xml:space="preserve"> </w:t>
      </w:r>
      <w:r w:rsidRPr="00477F61">
        <w:t xml:space="preserve">Before the large-scale expansion of retail stores along the Potomac River watershed in the 1740s, individuals obtained goods through the consignment system either directly or indirectly through a nearby planter with a relationship to a British agent, by frequenting plantation-operated stores, or via a system of peddling where merchants traveled </w:t>
      </w:r>
      <w:r w:rsidRPr="00477F61">
        <w:lastRenderedPageBreak/>
        <w:t>between plantations</w:t>
      </w:r>
      <w:r>
        <w:t>,</w:t>
      </w:r>
      <w:r w:rsidR="00B72CF5">
        <w:t xml:space="preserve"> usually by boat. </w:t>
      </w:r>
      <w:r w:rsidRPr="00477F61">
        <w:t>By the 1690s, large planter participation in the consignment system became the primary mode in which tobacco was sold and goods were imported to the</w:t>
      </w:r>
      <w:r w:rsidR="00B72CF5">
        <w:t xml:space="preserve"> Chesapeake (Ragsdale 1996:4). </w:t>
      </w:r>
      <w:r w:rsidRPr="00477F61">
        <w:t>In these personal planter-factor relationships, forged during the unstable years of the tobacco trade between 1690 and 1720, planters were willing to pay high prices for shipping, duties, insurance, unloading, and storage of the cargo with the hopes that a motivated factor could procure</w:t>
      </w:r>
      <w:r w:rsidR="00BA14E2">
        <w:t xml:space="preserve"> for</w:t>
      </w:r>
      <w:r w:rsidRPr="00477F61">
        <w:t xml:space="preserve"> them the highest prices for the sale (R</w:t>
      </w:r>
      <w:r w:rsidR="00B72CF5">
        <w:t>agsdale 1996:4; Reber 2003:21).</w:t>
      </w:r>
      <w:r w:rsidRPr="00477F61">
        <w:t xml:space="preserve"> The factors were inspired to perform on behalf of the planter because of the sales commission (approximately two and a half to three percent), which was dependent, of course, </w:t>
      </w:r>
      <w:r w:rsidR="00B72CF5">
        <w:t>on the price (Ragsdale 1996:5).</w:t>
      </w:r>
      <w:r w:rsidRPr="00477F61">
        <w:t xml:space="preserve"> As the consignment system matured, these British agents began to offer their clients additional services such as </w:t>
      </w:r>
      <w:r w:rsidR="00B72CF5">
        <w:t xml:space="preserve">banking and personal shopping. </w:t>
      </w:r>
      <w:r w:rsidRPr="00477F61">
        <w:t>Planters, too, began to assume a different role in their local communities, particularly in their relationshi</w:t>
      </w:r>
      <w:r w:rsidR="00B72CF5">
        <w:t>ps with smaller-scale planters.</w:t>
      </w:r>
      <w:r w:rsidRPr="00477F61">
        <w:t xml:space="preserve"> They offered their neighbor yeoman planters credit with which to buy land or slaves and bought their tobacco to re-sell on the European market.  </w:t>
      </w:r>
    </w:p>
    <w:p w:rsidR="00731D7C" w:rsidRPr="00477F61" w:rsidRDefault="00731D7C" w:rsidP="00731D7C">
      <w:pPr>
        <w:spacing w:line="480" w:lineRule="auto"/>
        <w:ind w:firstLine="720"/>
      </w:pPr>
      <w:r w:rsidRPr="00477F61">
        <w:t>In the late seventee</w:t>
      </w:r>
      <w:r>
        <w:t>nth and early eighteenth centuries</w:t>
      </w:r>
      <w:r w:rsidRPr="00477F61">
        <w:t xml:space="preserve">, smaller planters had fewer choices than their larger-scale neighbors in terms of opportunities to sell tobacco and purchase goods </w:t>
      </w:r>
      <w:r w:rsidR="00B72CF5">
        <w:t>than they would by mid-century.</w:t>
      </w:r>
      <w:r w:rsidRPr="00477F61">
        <w:t xml:space="preserve"> Few permanent stores existed, except those run by merchant-planters on </w:t>
      </w:r>
      <w:r w:rsidR="00BA14E2">
        <w:t>t</w:t>
      </w:r>
      <w:r w:rsidR="00B72CF5">
        <w:t xml:space="preserve">heir plantations or nearby. </w:t>
      </w:r>
      <w:r w:rsidR="00BA14E2">
        <w:t>“‘</w:t>
      </w:r>
      <w:r w:rsidRPr="00477F61">
        <w:t xml:space="preserve">Great’ men saw them as a profitable sideline integral in an overall package of financially productive plantation activities, but they also may have been seen as a means of expressing individual largesse service to the community, providing necessities to smaller planters, servants, and laborers whose low incomes prevented direct orders or stockpiles of </w:t>
      </w:r>
      <w:r w:rsidR="00B72CF5">
        <w:t xml:space="preserve">goods” (Yentsch 1994:134-135). </w:t>
      </w:r>
      <w:r w:rsidRPr="00477F61">
        <w:t xml:space="preserve">For example, the inventory of the wealthy Addison family who resided at Oxon Hill, just across the Potomac from Mount Vernon, indicates </w:t>
      </w:r>
      <w:r w:rsidRPr="00477F61">
        <w:lastRenderedPageBreak/>
        <w:t>that Thomas Addison possibly operated a store by the time of his death in 1727 (Garrow and Wheaton 1986</w:t>
      </w:r>
      <w:r>
        <w:t>; Yentsch 1994:134</w:t>
      </w:r>
      <w:r w:rsidR="00B72CF5">
        <w:t xml:space="preserve">). </w:t>
      </w:r>
      <w:r w:rsidRPr="00477F61">
        <w:t>Martin (1993:179) writes of more informal transactions wherein planters purchased goods from England to sell to their nei</w:t>
      </w:r>
      <w:r w:rsidR="00B72CF5">
        <w:t xml:space="preserve">ghbors until supplies ran out. </w:t>
      </w:r>
      <w:r w:rsidRPr="00477F61">
        <w:t>Yeoman planters could procure goods through the services of oc</w:t>
      </w:r>
      <w:r w:rsidR="00B72CF5">
        <w:t xml:space="preserve">casional peddlers and traders. </w:t>
      </w:r>
      <w:r w:rsidRPr="00477F61">
        <w:t>Martin (2008:13) describes, “The first retail trade thus constituted a kind of waterborne peddling in which merchants traveled to countless private landings t</w:t>
      </w:r>
      <w:r w:rsidR="00B72CF5">
        <w:t xml:space="preserve">o buy tobacco and sell goods.” </w:t>
      </w:r>
      <w:r w:rsidRPr="00477F61">
        <w:t xml:space="preserve">John Mercer, the individual associated with the establishment of the town of Marlborough, </w:t>
      </w:r>
      <w:r>
        <w:t xml:space="preserve">Virginia, </w:t>
      </w:r>
      <w:r w:rsidRPr="00477F61">
        <w:t>began his career as a trader with the help of a sloop, as evidenced in</w:t>
      </w:r>
      <w:r w:rsidR="00B72CF5">
        <w:t xml:space="preserve"> his ledger (Watkins 1968:16). </w:t>
      </w:r>
      <w:r w:rsidRPr="00477F61">
        <w:t>He bartered deerskins for “sundry goods” which he then sold to various individuals; his payme</w:t>
      </w:r>
      <w:r w:rsidR="00B72CF5">
        <w:t xml:space="preserve">nts included tobacco and cash. </w:t>
      </w:r>
      <w:r w:rsidRPr="00477F61">
        <w:t xml:space="preserve">He purchased a lot of earthenware from William Rogers of Yorktown and a load of oysters, again presumably for resale.      </w:t>
      </w:r>
    </w:p>
    <w:p w:rsidR="00731D7C" w:rsidRPr="00477F61" w:rsidRDefault="00731D7C" w:rsidP="00731D7C">
      <w:pPr>
        <w:spacing w:line="480" w:lineRule="auto"/>
        <w:ind w:firstLine="720"/>
      </w:pPr>
      <w:r w:rsidRPr="00477F61">
        <w:rPr>
          <w:i/>
        </w:rPr>
        <w:t>Development of a Consumer Marketplace.</w:t>
      </w:r>
      <w:r w:rsidR="00B72CF5">
        <w:t xml:space="preserve"> </w:t>
      </w:r>
      <w:r w:rsidRPr="00477F61">
        <w:t>Beginning in about 1730, the tobacco trade and its economic and material consequences underwent a profound restructuring</w:t>
      </w:r>
      <w:r w:rsidR="00BA14E2">
        <w:t xml:space="preserve"> resulting</w:t>
      </w:r>
      <w:r w:rsidRPr="00477F61">
        <w:t xml:space="preserve"> in a change in the ways in which residents of the Chesapeake sold tobacco</w:t>
      </w:r>
      <w:r w:rsidR="00B72CF5">
        <w:t xml:space="preserve"> and purchased consumer goods. </w:t>
      </w:r>
      <w:r w:rsidRPr="00477F61">
        <w:t>Scholars attribute the catalyst of this restructuring to the establishment of the Inspection Act of 1730 and the development of the direct trade system of tobacco sales (Isaac 1982; Ragsdale 1996; Reber 200</w:t>
      </w:r>
      <w:r w:rsidR="00B72CF5">
        <w:t>3; Martin 2008).</w:t>
      </w:r>
      <w:r w:rsidRPr="00477F61">
        <w:t xml:space="preserve"> With the passage of the tobacco inspection act, there was a concerted effort on the part of lawmakers and their gentry supporters to improve the overall quality of Chesapeake tobacco and avoid the boom and bust cycles that had plagued the tobac</w:t>
      </w:r>
      <w:r w:rsidR="00B72CF5">
        <w:t xml:space="preserve">co market in previous decades. </w:t>
      </w:r>
      <w:r w:rsidRPr="00477F61">
        <w:t>Therefore, with the passage of the act, low grade or “trash” tobacco was to be destroyed and all tobacco had to be inspected at officially-designated warehouses that would then store the acceptable tobacco for export. The effects of the act, som</w:t>
      </w:r>
      <w:r w:rsidR="00B72CF5">
        <w:t xml:space="preserve">e unintended, were three-fold. </w:t>
      </w:r>
      <w:r w:rsidRPr="00477F61">
        <w:t xml:space="preserve">First, it aided in standardizing and making more efficient the </w:t>
      </w:r>
      <w:r w:rsidRPr="00477F61">
        <w:lastRenderedPageBreak/>
        <w:t>tobacco trade by offering exporters a few designated ports of departure and shorter waiting tim</w:t>
      </w:r>
      <w:r w:rsidR="00B72CF5">
        <w:t>es for crop pickup and loading.</w:t>
      </w:r>
      <w:r w:rsidRPr="00477F61">
        <w:t xml:space="preserve"> Second, it took the onus of tobacco grading off of the merchant and placed it</w:t>
      </w:r>
      <w:r w:rsidR="00B72CF5">
        <w:t xml:space="preserve"> onto an independent inspector.</w:t>
      </w:r>
      <w:r w:rsidRPr="00477F61">
        <w:t xml:space="preserve"> This spurred on what came to be known as the direct trade system of tobacco sales (as opposed to the consignment system) that allowed merchants to “purchase tobacco sight unseen and trust that it would sell on the reexpo</w:t>
      </w:r>
      <w:r w:rsidR="00B72CF5">
        <w:t xml:space="preserve">rt market” (Ragsdale 1996:12). </w:t>
      </w:r>
      <w:r w:rsidRPr="00477F61">
        <w:t xml:space="preserve">Those who took the most advantage of this new direct trade system were the Glasgow merchants who, by the eve of the Revolution, bought half of the tobacco grown in the </w:t>
      </w:r>
      <w:r w:rsidR="00B72CF5">
        <w:t xml:space="preserve">Chesapeake (Ragsdale 1996:13). </w:t>
      </w:r>
      <w:r w:rsidRPr="00477F61">
        <w:t xml:space="preserve">Reber (2003:22) refers to this restructuring as </w:t>
      </w:r>
      <w:r w:rsidR="00B72CF5">
        <w:t>the “bifurcation of the trade.”</w:t>
      </w:r>
      <w:r w:rsidRPr="00477F61">
        <w:t xml:space="preserve"> Finally, the tobacco inspection act created a series of inspection stations throughout the Chesapeake, which subsequently offered centralized locations for a full range of associated </w:t>
      </w:r>
      <w:r w:rsidR="00B72CF5">
        <w:t xml:space="preserve">activities. </w:t>
      </w:r>
      <w:r w:rsidRPr="00477F61">
        <w:t xml:space="preserve">In fact, Scottish merchants took advantage of these new, convenient nodes of commercial activity and often set up their stores nearby (Ragsdale 1996:14; Martin 2008:14).  </w:t>
      </w:r>
    </w:p>
    <w:p w:rsidR="00731D7C" w:rsidRPr="00477F61" w:rsidRDefault="00731D7C" w:rsidP="00731D7C">
      <w:pPr>
        <w:spacing w:line="480" w:lineRule="auto"/>
        <w:rPr>
          <w:b/>
        </w:rPr>
      </w:pPr>
      <w:r w:rsidRPr="00477F61">
        <w:rPr>
          <w:b/>
        </w:rPr>
        <w:t>Forms of Eighteenth-Century Commodity Exchange</w:t>
      </w:r>
    </w:p>
    <w:p w:rsidR="00731D7C" w:rsidRPr="00477F61" w:rsidRDefault="00731D7C" w:rsidP="00731D7C">
      <w:pPr>
        <w:spacing w:line="480" w:lineRule="auto"/>
        <w:ind w:firstLine="720"/>
      </w:pPr>
      <w:r w:rsidRPr="00477F61">
        <w:t>Therefore, by the mid-eighteenth century, there existed two primary, formal avenues for procuring consumer goods: the consignment syste</w:t>
      </w:r>
      <w:r w:rsidR="00B72CF5">
        <w:t xml:space="preserve">m and the direct trade system. </w:t>
      </w:r>
      <w:r w:rsidRPr="00477F61">
        <w:t>By formal, I mean those transactions for which there was usual</w:t>
      </w:r>
      <w:r w:rsidR="00B72CF5">
        <w:t xml:space="preserve">ly a paper trail of some kind. </w:t>
      </w:r>
      <w:r w:rsidRPr="00477F61">
        <w:t>This bifurcation of trade and resulting bifurcation of avenues of access to consumer goods, though not exclusive, tended to divide along lines</w:t>
      </w:r>
      <w:r w:rsidRPr="00B459FA">
        <w:t xml:space="preserve"> </w:t>
      </w:r>
      <w:r>
        <w:t xml:space="preserve">of </w:t>
      </w:r>
      <w:r w:rsidR="00B72CF5">
        <w:t>class and race.</w:t>
      </w:r>
      <w:r w:rsidRPr="00477F61">
        <w:t xml:space="preserve"> These two avenues were supplemented by other formal avenues of access to goods including auctions, inheritance, and marriage.  </w:t>
      </w:r>
    </w:p>
    <w:p w:rsidR="00731D7C" w:rsidRPr="00477F61" w:rsidRDefault="00731D7C" w:rsidP="00731D7C">
      <w:pPr>
        <w:spacing w:line="480" w:lineRule="auto"/>
        <w:ind w:firstLine="720"/>
      </w:pPr>
      <w:r w:rsidRPr="00477F61">
        <w:rPr>
          <w:i/>
        </w:rPr>
        <w:t xml:space="preserve">Why Consign? </w:t>
      </w:r>
      <w:r w:rsidR="00BA14E2">
        <w:t>V</w:t>
      </w:r>
      <w:r w:rsidRPr="00477F61">
        <w:t>arious scholars have raised the question</w:t>
      </w:r>
      <w:r w:rsidR="00BA14E2">
        <w:t xml:space="preserve"> of</w:t>
      </w:r>
      <w:r w:rsidRPr="00477F61">
        <w:t xml:space="preserve"> why large-scale planters continue</w:t>
      </w:r>
      <w:r w:rsidR="00BA14E2">
        <w:t>d</w:t>
      </w:r>
      <w:r w:rsidRPr="00477F61">
        <w:t xml:space="preserve"> with the consignment system after direct trade became a standard economic mode ca. 174</w:t>
      </w:r>
      <w:r w:rsidR="00BA14E2">
        <w:t>0.</w:t>
      </w:r>
      <w:r w:rsidR="00B72CF5">
        <w:t xml:space="preserve"> </w:t>
      </w:r>
      <w:r w:rsidRPr="00477F61">
        <w:t xml:space="preserve">The reason certainly cannot be explained by convenience, as George Washington and his peers often had to wait appreciable amounts of </w:t>
      </w:r>
      <w:r w:rsidR="00B72CF5">
        <w:t>time for their goods to arrive.</w:t>
      </w:r>
      <w:r w:rsidRPr="00477F61">
        <w:t xml:space="preserve"> “By choice, the </w:t>
      </w:r>
      <w:r w:rsidRPr="00477F61">
        <w:lastRenderedPageBreak/>
        <w:t>elite preferred the aggravation and anticipation of waiting for the return of their orders from London, perhaps as much as a year later from initial</w:t>
      </w:r>
      <w:r w:rsidR="00B72CF5">
        <w:t xml:space="preserve"> placement” (Patrick 1990:69). </w:t>
      </w:r>
      <w:r w:rsidRPr="00477F61">
        <w:t xml:space="preserve">Hypotheses have been offered ranging on the spectrum from economic to cultural to a combination of both.  </w:t>
      </w:r>
    </w:p>
    <w:p w:rsidR="00731D7C" w:rsidRPr="00477F61" w:rsidRDefault="00731D7C" w:rsidP="00731D7C">
      <w:pPr>
        <w:spacing w:line="480" w:lineRule="auto"/>
        <w:ind w:firstLine="720"/>
      </w:pPr>
      <w:r w:rsidRPr="00477F61">
        <w:t>One of the most often cited reasons for the continuation of the consignment system is that it allowed elites open, unrestricted access to the trans-Atlantic world of goods, a mainline to fashion, gentility, and high taste (Patrick 1990</w:t>
      </w:r>
      <w:r>
        <w:t>;</w:t>
      </w:r>
      <w:r w:rsidRPr="00C110EB">
        <w:t xml:space="preserve"> </w:t>
      </w:r>
      <w:r>
        <w:t xml:space="preserve">Ragsdale 1996; </w:t>
      </w:r>
      <w:r w:rsidRPr="00477F61">
        <w:t>Martin</w:t>
      </w:r>
      <w:r w:rsidR="0010739B">
        <w:t xml:space="preserve"> 2008). </w:t>
      </w:r>
      <w:r>
        <w:t>Bushman (1992</w:t>
      </w:r>
      <w:r w:rsidRPr="00477F61">
        <w:t>) argues that gentry planters like George Washington in the 1760s “did not consider New York or Philadelphia shops [much less those closer by in Virginia or Maryland] adequ</w:t>
      </w:r>
      <w:r w:rsidR="0010739B">
        <w:t xml:space="preserve">ate for his fashionable needs… </w:t>
      </w:r>
      <w:r w:rsidRPr="00477F61">
        <w:t>Virtually every item Washington ordered could be purchased in Philadelphia in the 1760s, though perhaps not always to meet Washington’s standards.”   Additionally, British factors could supply the operators of large plantations with the quantity of goods necessary for continued operation, for example, large quantities of oznabrigs for slave clothing or farming implem</w:t>
      </w:r>
      <w:r w:rsidR="0010739B">
        <w:t>ents to keep fields maintained.</w:t>
      </w:r>
      <w:r w:rsidRPr="00477F61">
        <w:t xml:space="preserve"> As Martin (2008:43) notes, “A consignment system allowed planters to order almost anything they desired” regardless of price, fueled by the</w:t>
      </w:r>
      <w:r w:rsidR="0010739B">
        <w:t xml:space="preserve"> extension of generous credit. </w:t>
      </w:r>
      <w:r w:rsidRPr="00477F61">
        <w:t>Additionally, “the consignment system gave the purchaser almost unmediated access to all the shops in England, constrained only by the diligence of one’s merchant facto</w:t>
      </w:r>
      <w:r w:rsidR="0010739B">
        <w:t xml:space="preserve">r or friend” (Martin 2008:43). </w:t>
      </w:r>
      <w:r w:rsidRPr="00477F61">
        <w:t>Therefore, if pursuit of fashion dominated the interests of a gentleman, the consignment system could answer the demand with a dir</w:t>
      </w:r>
      <w:r w:rsidR="0010739B">
        <w:t>ect line to the fashion center.</w:t>
      </w:r>
      <w:r w:rsidRPr="00477F61">
        <w:t xml:space="preserve"> Ragsdale (1996) casts this reason for the continuation of the system in light of the personal shopper relationship, wherein one individual was responsible for procuring the goods that the planter trust</w:t>
      </w:r>
      <w:r w:rsidR="0010739B">
        <w:t xml:space="preserve">ed were of the latest fashion. </w:t>
      </w:r>
      <w:r w:rsidRPr="00477F61">
        <w:t xml:space="preserve">When the factor failed to perform, elite shoppers may still have preferred the slights in taste of </w:t>
      </w:r>
      <w:r w:rsidR="0010739B">
        <w:t xml:space="preserve">an Englishman than a colonist. </w:t>
      </w:r>
      <w:r w:rsidRPr="00477F61">
        <w:t xml:space="preserve">The personal shopper aspect of the relationship was considered a “distinct privileged of </w:t>
      </w:r>
      <w:r w:rsidRPr="00477F61">
        <w:lastRenderedPageBreak/>
        <w:t>the colony’s wealthiest</w:t>
      </w:r>
      <w:r w:rsidR="0010739B">
        <w:t xml:space="preserve"> planters” (Ragsdale 1996:32). </w:t>
      </w:r>
      <w:r w:rsidRPr="00477F61">
        <w:t>This argument aligns well with that offered by Rozbicki (1998) – that elite Virginians sought cultural legitimacy from their peers in England, as opposed to those mo</w:t>
      </w:r>
      <w:r w:rsidR="0010739B">
        <w:t>re conveniently located.</w:t>
      </w:r>
      <w:r w:rsidRPr="00477F61">
        <w:t xml:space="preserve"> Further, Ragsdale (1996) suggests that the simple fact of enjoying a personal relationship with a British factor, even if he did work for the planter, was a social advantage.    </w:t>
      </w:r>
    </w:p>
    <w:p w:rsidR="00731D7C" w:rsidRPr="00477F61" w:rsidRDefault="00731D7C" w:rsidP="00731D7C">
      <w:pPr>
        <w:spacing w:line="480" w:lineRule="auto"/>
        <w:ind w:firstLine="720"/>
      </w:pPr>
      <w:r w:rsidRPr="00477F61">
        <w:t xml:space="preserve">Not </w:t>
      </w:r>
      <w:r w:rsidR="00BA14E2">
        <w:t>only</w:t>
      </w:r>
      <w:r w:rsidRPr="00477F61">
        <w:t xml:space="preserve"> was open access to high quality and high quantities of goods a foundation of the continued factor-planter relationship, but so too was the extension of</w:t>
      </w:r>
      <w:r w:rsidR="0010739B">
        <w:t xml:space="preserve"> serious quantities of credit. </w:t>
      </w:r>
      <w:r w:rsidRPr="00477F61">
        <w:t>Though Scottish merchants made credit available to all of their customers, they were unwilling and unable to supply the large sums of credit necessary for establishing and maintaining large, diverse plantation op</w:t>
      </w:r>
      <w:r w:rsidR="0010739B">
        <w:t>erations (Ragsdale 1996:30-32).</w:t>
      </w:r>
      <w:r w:rsidRPr="00477F61">
        <w:t xml:space="preserve"> For this reason alone, it would have been difficult for Washington and his peers to e</w:t>
      </w:r>
      <w:r>
        <w:t>xtricate themselves from the bo</w:t>
      </w:r>
      <w:r w:rsidRPr="00477F61">
        <w:t>nds of the system even without</w:t>
      </w:r>
      <w:r w:rsidR="0010739B">
        <w:t xml:space="preserve"> the other motivating factors. </w:t>
      </w:r>
      <w:r w:rsidRPr="00477F61">
        <w:t>As mentioned previously, elite planters were all too well-aware of these credit and debt issues.</w:t>
      </w:r>
    </w:p>
    <w:p w:rsidR="00731D7C" w:rsidRPr="00477F61" w:rsidRDefault="00731D7C" w:rsidP="00731D7C">
      <w:pPr>
        <w:spacing w:line="480" w:lineRule="auto"/>
        <w:ind w:firstLine="720"/>
      </w:pPr>
      <w:r w:rsidRPr="00477F61">
        <w:t xml:space="preserve"> Additionally, British factors maintained a monopoly on the h</w:t>
      </w:r>
      <w:r w:rsidR="0010739B">
        <w:t xml:space="preserve">igh-end of the tobacco market. </w:t>
      </w:r>
      <w:r w:rsidRPr="00477F61">
        <w:t xml:space="preserve">These individuals had the time and resources to invest in the marketing and sale of high grade tobacco of the sweet-scented variety, outlets to which the Scottish </w:t>
      </w:r>
      <w:r w:rsidR="0010739B">
        <w:t xml:space="preserve">merchants did not have access. </w:t>
      </w:r>
      <w:r w:rsidRPr="00477F61">
        <w:t>Therefore, planters in the lower tidewater region</w:t>
      </w:r>
      <w:r w:rsidR="00F873FE">
        <w:t>,</w:t>
      </w:r>
      <w:r w:rsidRPr="00477F61">
        <w:t xml:space="preserve"> where the soil was richest for the culti</w:t>
      </w:r>
      <w:r w:rsidR="00F873FE">
        <w:t xml:space="preserve">vation of this tobacco product, </w:t>
      </w:r>
      <w:r w:rsidRPr="00477F61">
        <w:t>had incentive to keep the consignment trade alive and active (Ragsdale 1996:30-32).</w:t>
      </w:r>
    </w:p>
    <w:p w:rsidR="00731D7C" w:rsidRPr="00477F61" w:rsidRDefault="00731D7C" w:rsidP="00731D7C">
      <w:pPr>
        <w:spacing w:line="480" w:lineRule="auto"/>
        <w:ind w:firstLine="720"/>
      </w:pPr>
      <w:r w:rsidRPr="00477F61">
        <w:t>The final economic reason for the continuance of the consignment system, Martin (2008:44) suggests, was that it was, in fact, cheaper because it “allowed one to avoid the profit markup that local</w:t>
      </w:r>
      <w:r w:rsidR="0010739B">
        <w:t xml:space="preserve"> merchants took as middlemen.” </w:t>
      </w:r>
      <w:r w:rsidRPr="00477F61">
        <w:t xml:space="preserve">However, this observation is open to question, largely because it has not yet </w:t>
      </w:r>
      <w:r w:rsidR="0010739B">
        <w:t xml:space="preserve">been systematically addressed. </w:t>
      </w:r>
      <w:r w:rsidRPr="00477F61">
        <w:t xml:space="preserve">Did agents really offer goods at a </w:t>
      </w:r>
      <w:r w:rsidRPr="00477F61">
        <w:lastRenderedPageBreak/>
        <w:t>cheaper rate when taking into account shipping expenses, insurance, commission, and other fees th</w:t>
      </w:r>
      <w:r w:rsidR="0010739B">
        <w:t xml:space="preserve">at were a fact of consignment? </w:t>
      </w:r>
      <w:r w:rsidRPr="00477F61">
        <w:t>In fact, Ragsdale (1996:32-33) cites economic expense as one of the main reasons that, as the tobacco trade began to decline, the disadvantages of the system be</w:t>
      </w:r>
      <w:r w:rsidR="0010739B">
        <w:t>gan to outweigh the advantages.</w:t>
      </w:r>
      <w:r w:rsidRPr="00477F61">
        <w:t xml:space="preserve"> Quoting wealthy planter Landon Carter,  </w:t>
      </w:r>
    </w:p>
    <w:p w:rsidR="00731D7C" w:rsidRPr="00477F61" w:rsidRDefault="00251EE8" w:rsidP="00731D7C">
      <w:pPr>
        <w:spacing w:line="480" w:lineRule="auto"/>
        <w:ind w:left="720"/>
      </w:pPr>
      <w:r>
        <w:t>“</w:t>
      </w:r>
      <w:r w:rsidR="00731D7C" w:rsidRPr="00477F61">
        <w:t>it must be madness that can continue attached to such a trade and the favour or whatever it is that inclines a man to trade to London is very dear</w:t>
      </w:r>
      <w:r>
        <w:t>ly purchased.”</w:t>
      </w:r>
      <w:r w:rsidR="0010739B">
        <w:t xml:space="preserve"> </w:t>
      </w:r>
      <w:r w:rsidR="00731D7C" w:rsidRPr="00477F61">
        <w:t>And, indeed, the charges for freight, duties, insurance premiums, loading and unloading, storage, brokerage, and the merchants’ commission inflated the costs of marketing the crop, all</w:t>
      </w:r>
      <w:r w:rsidR="0010739B">
        <w:t xml:space="preserve"> at the expense of the planter.</w:t>
      </w:r>
      <w:r w:rsidR="00731D7C" w:rsidRPr="00477F61">
        <w:t xml:space="preserve"> The sources of the merchants’ profits was the commission of 2 ½ or 3 percent of the final sales price and the</w:t>
      </w:r>
      <w:r>
        <w:t xml:space="preserve"> manipulation of customs duties</w:t>
      </w:r>
      <w:r w:rsidR="00731D7C" w:rsidRPr="00477F61">
        <w:t xml:space="preserve"> (Ragsdale 1996:32-33).  </w:t>
      </w:r>
    </w:p>
    <w:p w:rsidR="00731D7C" w:rsidRPr="00477F61" w:rsidRDefault="00731D7C" w:rsidP="00731D7C">
      <w:pPr>
        <w:spacing w:line="480" w:lineRule="auto"/>
      </w:pPr>
      <w:r w:rsidRPr="00477F61">
        <w:t xml:space="preserve">The displeasure that planters sometimes expressed with the system, be they motivated by perceived costliness, delays in shipping, </w:t>
      </w:r>
      <w:r w:rsidR="00BA14E2">
        <w:t xml:space="preserve">or </w:t>
      </w:r>
      <w:r w:rsidRPr="00477F61">
        <w:t xml:space="preserve">aggravation over the reliance on a middle man to interpret one’s material wants and needs, were never outweighed by the advantages previously mentioned until the complete economic restructuring that came with the American Revolution.   </w:t>
      </w:r>
    </w:p>
    <w:p w:rsidR="00731D7C" w:rsidRPr="00477F61" w:rsidRDefault="00731D7C" w:rsidP="00731D7C">
      <w:pPr>
        <w:spacing w:line="480" w:lineRule="auto"/>
        <w:ind w:firstLine="720"/>
      </w:pPr>
      <w:r w:rsidRPr="00477F61">
        <w:t xml:space="preserve">However, perhaps the economics of the situation do not explain the entire consignment saga.  As Patrick (1990:75-76) notes, </w:t>
      </w:r>
    </w:p>
    <w:p w:rsidR="00731D7C" w:rsidRPr="00477F61" w:rsidRDefault="00731D7C" w:rsidP="00731D7C">
      <w:pPr>
        <w:spacing w:line="480" w:lineRule="auto"/>
        <w:ind w:left="720"/>
      </w:pPr>
      <w:r w:rsidRPr="00477F61">
        <w:t>Because the answer does not appear to be of a rational, economic need for the maintenance of the</w:t>
      </w:r>
      <w:r w:rsidR="0010739B">
        <w:t xml:space="preserve"> consignment system, then what?</w:t>
      </w:r>
      <w:r w:rsidRPr="00477F61">
        <w:t xml:space="preserve"> The gentry’s solid stance behind the superannuated consignment method is summed up by George Washington who maintained the consignment status quo until the political calamities of 1774, yet as early as 1766 had been reminding his London agent that he could shop more cheaply a</w:t>
      </w:r>
      <w:r w:rsidR="0010739B">
        <w:t>nd satisfyingly in local shops.</w:t>
      </w:r>
      <w:r w:rsidRPr="00477F61">
        <w:t xml:space="preserve"> Washington was merely posturing and threatening in this </w:t>
      </w:r>
      <w:r w:rsidRPr="00477F61">
        <w:lastRenderedPageBreak/>
        <w:t>statem</w:t>
      </w:r>
      <w:r w:rsidR="0010739B">
        <w:t xml:space="preserve">ent; the documents prove that. </w:t>
      </w:r>
      <w:r w:rsidRPr="00477F61">
        <w:t>But his frustration is palpable and thus places the attraction of personalized selling, purchasing and banking (being a mark of distinction and class) over the difficulties of sh</w:t>
      </w:r>
      <w:r w:rsidR="00251EE8">
        <w:t>opping through a British agent.</w:t>
      </w:r>
      <w:r w:rsidRPr="00477F61">
        <w:t xml:space="preserve">  </w:t>
      </w:r>
    </w:p>
    <w:p w:rsidR="00731D7C" w:rsidRPr="00477F61" w:rsidRDefault="00731D7C" w:rsidP="00731D7C">
      <w:pPr>
        <w:spacing w:line="480" w:lineRule="auto"/>
      </w:pPr>
      <w:r w:rsidRPr="00477F61">
        <w:t>Symbolic or cultural meanings for the maintenance of the consignment system, and the objects entangled in its transactions, offer some illuminating interpretations a</w:t>
      </w:r>
      <w:r w:rsidR="0010739B">
        <w:t>s to its survival.</w:t>
      </w:r>
      <w:r w:rsidRPr="00477F61">
        <w:t xml:space="preserve"> Grant McCracken (1988) suggests that consumer goods can act in two ways – as instruments of c</w:t>
      </w:r>
      <w:r w:rsidR="0010739B">
        <w:t xml:space="preserve">ultural continuity and change. </w:t>
      </w:r>
      <w:r w:rsidRPr="00477F61">
        <w:t>Therefore avenues of acce</w:t>
      </w:r>
      <w:r w:rsidR="0010739B">
        <w:t xml:space="preserve">ss to these goods do the same. </w:t>
      </w:r>
      <w:r w:rsidRPr="00477F61">
        <w:t>Because, as Douglas and Isherwood (1979) propose, consumer goods are the tangible representatives of cultural principles, goods and their systems of procurement can act as stabilizers or cultural</w:t>
      </w:r>
      <w:r w:rsidR="0010739B">
        <w:t xml:space="preserve"> moorings in a world of change.</w:t>
      </w:r>
      <w:r w:rsidRPr="00477F61">
        <w:t xml:space="preserve"> “Goods,” McCracken (1988:131) writes, “create a kind of ballast that works against</w:t>
      </w:r>
      <w:r w:rsidR="0010739B">
        <w:t xml:space="preserve"> cultural drift.” </w:t>
      </w:r>
      <w:r w:rsidRPr="00477F61">
        <w:t>Kellar (2004) found evidence of this principle in action in her study of the material culture of slaves living on St. John’s Island</w:t>
      </w:r>
      <w:r>
        <w:t xml:space="preserve"> in the Caribbean</w:t>
      </w:r>
      <w:r w:rsidR="0010739B">
        <w:t xml:space="preserve">. </w:t>
      </w:r>
      <w:r w:rsidRPr="00477F61">
        <w:t>The artifacts revealed a reliance on goods that embodied conservative cultural principles and ties back to Africa in the earlier contexts, a relia</w:t>
      </w:r>
      <w:r w:rsidR="0010739B">
        <w:t xml:space="preserve">nce that diminished over time. </w:t>
      </w:r>
      <w:r w:rsidRPr="00477F61">
        <w:t xml:space="preserve">Does the continued participation on the part of elite planters in the consignment system represent a kind of ballast </w:t>
      </w:r>
      <w:r>
        <w:t>of tradition, an</w:t>
      </w:r>
      <w:r w:rsidRPr="00477F61">
        <w:t xml:space="preserve"> instrument of continuity during a period </w:t>
      </w:r>
      <w:r w:rsidR="0010739B">
        <w:t>of significant colonial change?</w:t>
      </w:r>
      <w:r w:rsidRPr="00477F61">
        <w:t xml:space="preserve"> Did the consignment system act as an anchor when “everywhere a frenetic chasing after fashionable goods had generated disorder” (Breen 2004:156)?</w:t>
      </w:r>
    </w:p>
    <w:p w:rsidR="00731D7C" w:rsidRPr="00477F61" w:rsidRDefault="00731D7C" w:rsidP="00731D7C">
      <w:pPr>
        <w:spacing w:line="480" w:lineRule="auto"/>
        <w:ind w:firstLine="720"/>
      </w:pPr>
      <w:r w:rsidRPr="00477F61">
        <w:t>Kellar found that in addition to artifacts acting as ballast, the early contexts also showed evidence of goods operating as fences or socio-cultural barriers, a concept developed by both Douglas and Isherwoo</w:t>
      </w:r>
      <w:r w:rsidR="0010739B">
        <w:t xml:space="preserve">d (1979) and McCracken (1988). </w:t>
      </w:r>
      <w:r w:rsidRPr="00477F61">
        <w:t>In her example, the slaves of St. John used goods as a method to separate and insulate themsel</w:t>
      </w:r>
      <w:r w:rsidR="0010739B">
        <w:t xml:space="preserve">ves from the dominant culture. </w:t>
      </w:r>
      <w:r w:rsidRPr="00477F61">
        <w:t xml:space="preserve">Goods and their systems of procurement could also be said to act as fences to insulate and separate </w:t>
      </w:r>
      <w:r w:rsidRPr="00477F61">
        <w:lastRenderedPageBreak/>
        <w:t xml:space="preserve">dominant cultures from subordinate ones or </w:t>
      </w:r>
      <w:r>
        <w:t xml:space="preserve">as ways of marking or bounding </w:t>
      </w:r>
      <w:r w:rsidRPr="00477F61">
        <w:t>socio</w:t>
      </w:r>
      <w:r w:rsidR="0010739B">
        <w:t>-economic and racial territory.</w:t>
      </w:r>
      <w:r w:rsidRPr="00477F61">
        <w:t xml:space="preserve"> In this way, perhaps, the consignment system reflected a kind of barrier to the emulative advances of lower classes striving for the positive effects of donning fashionable cloth</w:t>
      </w:r>
      <w:r w:rsidR="0010739B">
        <w:t xml:space="preserve">es or eating in mannerly ways. </w:t>
      </w:r>
      <w:r w:rsidRPr="00477F61">
        <w:t>Perhaps the consignment system was another tool in the developme</w:t>
      </w:r>
      <w:r>
        <w:t>n</w:t>
      </w:r>
      <w:r w:rsidRPr="00477F61">
        <w:t xml:space="preserve">t and protection of the genteel ideology as described by Rozbicki.   </w:t>
      </w:r>
    </w:p>
    <w:p w:rsidR="00731D7C" w:rsidRPr="00477F61" w:rsidRDefault="00731D7C" w:rsidP="00731D7C">
      <w:pPr>
        <w:spacing w:line="480" w:lineRule="auto"/>
        <w:ind w:firstLine="720"/>
      </w:pPr>
      <w:r w:rsidRPr="00477F61">
        <w:rPr>
          <w:i/>
        </w:rPr>
        <w:t>Why direct trade?</w:t>
      </w:r>
      <w:r w:rsidR="0010739B">
        <w:t xml:space="preserve"> </w:t>
      </w:r>
      <w:r w:rsidRPr="00477F61">
        <w:t xml:space="preserve">Scholars have noted that the Scottish merchants predicted that stealing gentry planters away from their agents might be difficult and instead decided to focus on the smaller planter’s business (Patrick 1990; Yentsch 1994; Ragsdale 1996), or those “growers who often owned only a couple of slaves and a few acres of arable land but who nevertheless accounted for over two-thirds of the tobacco produced in Virginia </w:t>
      </w:r>
      <w:r w:rsidR="0010739B">
        <w:t>and Maryland” (Breen 2004:123).</w:t>
      </w:r>
      <w:r w:rsidRPr="00477F61">
        <w:t xml:space="preserve"> These planters </w:t>
      </w:r>
      <w:r>
        <w:t>now had a world of goods catering</w:t>
      </w:r>
      <w:r w:rsidRPr="00477F61">
        <w:t xml:space="preserve"> to their needs open up in the </w:t>
      </w:r>
      <w:r w:rsidR="0010739B">
        <w:t xml:space="preserve">form of these Scottish stores. </w:t>
      </w:r>
      <w:r w:rsidRPr="00477F61">
        <w:t xml:space="preserve">Additionally, Scottish merchants targeted less well established parts of Virginia outside the lower Chesapeake region either “along the Potomac where the local Oronoco leaf sold well on the French market or increasingly in the Upper James district and throughout the Piedmont” bringing stores filled with inexpensive household and plantation goods to the newly settled areas of Virginia (Ragsdale 1996:16).   </w:t>
      </w:r>
    </w:p>
    <w:p w:rsidR="00731D7C" w:rsidRPr="00F70741" w:rsidRDefault="00731D7C" w:rsidP="00731D7C">
      <w:pPr>
        <w:spacing w:line="480" w:lineRule="auto"/>
        <w:ind w:firstLine="720"/>
      </w:pPr>
      <w:r w:rsidRPr="00477F61">
        <w:t>To their benefit, yeoman tobacco planters were no longer reliant on their large-planter neighbors to buy their tobacco and, in addition, had easier access to credit to buy goods once their tobacco was sold</w:t>
      </w:r>
      <w:r w:rsidR="0010739B">
        <w:t xml:space="preserve"> to the store merchant. </w:t>
      </w:r>
      <w:r w:rsidRPr="00477F61">
        <w:t>Small planters, therefore, could purchase the goods they desired well in advance of their ability to pay for them, while the merchant benefitted from increased business by those to whom they extended generous credit – therefore debt could equally affect l</w:t>
      </w:r>
      <w:r w:rsidR="0010739B">
        <w:t xml:space="preserve">arge and small planters alike. </w:t>
      </w:r>
      <w:r w:rsidRPr="00477F61">
        <w:t xml:space="preserve">Debt was often allowed to accumulate for more than </w:t>
      </w:r>
      <w:r w:rsidRPr="00F70741">
        <w:lastRenderedPageBreak/>
        <w:t>four years before merchants began to collect payment either in the form of tobacco notes or other collateral (Cuddy 2008:62)</w:t>
      </w:r>
      <w:r w:rsidR="00F70741">
        <w:t xml:space="preserve">. </w:t>
      </w:r>
      <w:r w:rsidRPr="00F70741">
        <w:t xml:space="preserve">Isaac (1982:137) describes,  </w:t>
      </w:r>
    </w:p>
    <w:p w:rsidR="00731D7C" w:rsidRPr="00477F61" w:rsidRDefault="00731D7C" w:rsidP="00731D7C">
      <w:pPr>
        <w:spacing w:line="480" w:lineRule="auto"/>
        <w:ind w:left="720"/>
      </w:pPr>
      <w:r w:rsidRPr="00F70741">
        <w:t>The Scots</w:t>
      </w:r>
      <w:r w:rsidRPr="00477F61">
        <w:t xml:space="preserve"> interlopers, much resented yet highly successful, operated differently.  Instead of receiving and returning consignments, they sent out employees to establish trading stores in man</w:t>
      </w:r>
      <w:r w:rsidR="00F70741">
        <w:t>y places throughout the colony.</w:t>
      </w:r>
      <w:r w:rsidRPr="00477F61">
        <w:t xml:space="preserve"> At such outposts these ‘factors’ sold imported goo</w:t>
      </w:r>
      <w:r w:rsidR="00F70741">
        <w:t xml:space="preserve">ds on credit at a high markup. </w:t>
      </w:r>
      <w:r w:rsidRPr="00477F61">
        <w:t>In exchange they took tobacco, which they shipped to Glasgow, where it was disposed of – largely on the expanding Continental marke</w:t>
      </w:r>
      <w:r w:rsidR="00F70741">
        <w:t xml:space="preserve">t – for the merchants’ profit. </w:t>
      </w:r>
      <w:r w:rsidRPr="00477F61">
        <w:t>This new system reduced the role of colonial gentlemen as intermediaries between smal</w:t>
      </w:r>
      <w:r w:rsidR="00251EE8">
        <w:t>l growers and overseas markets.</w:t>
      </w:r>
      <w:r w:rsidRPr="00477F61">
        <w:t xml:space="preserve">  </w:t>
      </w:r>
    </w:p>
    <w:p w:rsidR="00731D7C" w:rsidRPr="00477F61" w:rsidRDefault="00731D7C" w:rsidP="00731D7C">
      <w:pPr>
        <w:spacing w:line="480" w:lineRule="auto"/>
      </w:pPr>
      <w:r>
        <w:t>Reber (2003)</w:t>
      </w:r>
      <w:r w:rsidRPr="00477F61">
        <w:t xml:space="preserve"> suggested that these realigned relationships formed in the direct trade or direct purchase method</w:t>
      </w:r>
      <w:r w:rsidR="00F70741">
        <w:t xml:space="preserve"> were not without their costs. </w:t>
      </w:r>
      <w:r w:rsidRPr="00477F61">
        <w:t xml:space="preserve">On the plus side, farmers did not have to assume the costs and </w:t>
      </w:r>
      <w:r w:rsidR="00F70741">
        <w:t xml:space="preserve">risks of shipping the tobacco. </w:t>
      </w:r>
      <w:r w:rsidRPr="00477F61">
        <w:t>They did, however, have little choice in the price at which the tobacco was s</w:t>
      </w:r>
      <w:r>
        <w:t>old to the merchant (</w:t>
      </w:r>
      <w:r w:rsidRPr="00477F61">
        <w:t>the standard price</w:t>
      </w:r>
      <w:r>
        <w:t>)</w:t>
      </w:r>
      <w:r w:rsidRPr="00477F61">
        <w:t xml:space="preserve"> (Reber 2003:22).</w:t>
      </w:r>
    </w:p>
    <w:p w:rsidR="00731D7C" w:rsidRPr="00477F61" w:rsidRDefault="00731D7C" w:rsidP="00731D7C">
      <w:pPr>
        <w:spacing w:line="480" w:lineRule="auto"/>
        <w:ind w:firstLine="720"/>
      </w:pPr>
      <w:r w:rsidRPr="00477F61">
        <w:t xml:space="preserve">The potential to rack up high </w:t>
      </w:r>
      <w:r>
        <w:t>amount</w:t>
      </w:r>
      <w:r w:rsidRPr="00477F61">
        <w:t>s of debt was not the only thing that consigners and</w:t>
      </w:r>
      <w:r w:rsidR="00F70741">
        <w:t xml:space="preserve"> store customers had in common.</w:t>
      </w:r>
      <w:r w:rsidRPr="00477F61">
        <w:t xml:space="preserve"> It appears that complaints about the merchandise were heard from consignment customers and direct purchasers alike (Hamrick a</w:t>
      </w:r>
      <w:r w:rsidR="00F70741">
        <w:t xml:space="preserve">nd Hamrick 1999; Martin 2008). </w:t>
      </w:r>
      <w:r w:rsidRPr="00477F61">
        <w:t>The correspondence between piedmont merchant John Hook and his suppliers reveals patterns of complaint and disappointment with not only the cost that Hook was charged for shipments of go</w:t>
      </w:r>
      <w:r w:rsidR="00F70741">
        <w:t>ods, but also of their quality.</w:t>
      </w:r>
      <w:r w:rsidRPr="00477F61">
        <w:t xml:space="preserve"> Hook complained that the buttons he was sent did not match the fabrics he offered for s</w:t>
      </w:r>
      <w:r w:rsidR="00F70741">
        <w:t xml:space="preserve">ale rendering them unsellable. </w:t>
      </w:r>
      <w:r w:rsidRPr="00477F61">
        <w:t xml:space="preserve">He also repeatedly reported on the unsuitability of the agricultural implements he was sent – skinny scythes, small hoes, bad quality sickles – suggesting that both fashion and function were on the minds of Hook’s </w:t>
      </w:r>
      <w:r w:rsidR="00F70741">
        <w:t xml:space="preserve">customers (Martin 2008:56-59). </w:t>
      </w:r>
      <w:r w:rsidRPr="00477F61">
        <w:t xml:space="preserve">Though we do not have the commentary of the customers </w:t>
      </w:r>
      <w:r w:rsidRPr="00477F61">
        <w:lastRenderedPageBreak/>
        <w:t>themselves, their savvy in participating in this co</w:t>
      </w:r>
      <w:r>
        <w:t>nsumer revolution wa</w:t>
      </w:r>
      <w:r w:rsidRPr="00477F61">
        <w:t xml:space="preserve">s reflected in Hook’s correspondence </w:t>
      </w:r>
      <w:r>
        <w:t>when he wrote</w:t>
      </w:r>
      <w:r w:rsidRPr="00477F61">
        <w:t xml:space="preserve"> that the success of the store “was absolutely dependent on the ‘dispatch, exactness, and judgement in the choise of goods, respecting the quality, collours, patterns an</w:t>
      </w:r>
      <w:r w:rsidR="00F70741">
        <w:t xml:space="preserve">d fashions’” (Martin 2008:59). </w:t>
      </w:r>
      <w:r w:rsidRPr="00477F61">
        <w:t>Colchester merchant Alexander Henderson’s letterbook reveals a similar pattern of distressed communications back to John Glassford</w:t>
      </w:r>
      <w:r w:rsidR="00311A37">
        <w:t xml:space="preserve"> in Scotland. </w:t>
      </w:r>
      <w:r>
        <w:t>Henderson groused</w:t>
      </w:r>
      <w:r w:rsidRPr="00477F61">
        <w:t xml:space="preserve"> that the “earthenware from Glasgow is intolerably bad and 50% dearer than from L</w:t>
      </w:r>
      <w:r>
        <w:t>iverpool,” complained</w:t>
      </w:r>
      <w:r w:rsidRPr="00477F61">
        <w:t xml:space="preserve"> that the “Princess Linne</w:t>
      </w:r>
      <w:r>
        <w:t>n last Sent was very bad,” prayed</w:t>
      </w:r>
      <w:r w:rsidRPr="00477F61">
        <w:t xml:space="preserve"> that the “printed Co</w:t>
      </w:r>
      <w:r>
        <w:t>ttons be of good patterns,” let</w:t>
      </w:r>
      <w:r w:rsidRPr="00477F61">
        <w:t xml:space="preserve"> it be known that “there is great complaints of my China” and </w:t>
      </w:r>
      <w:r>
        <w:t xml:space="preserve">concluded </w:t>
      </w:r>
      <w:r w:rsidRPr="00477F61">
        <w:t>that “the Complaints of the Shoes Sent in for these two years have been so great &amp; frequent that I cannot help taking notice of it again” (Hamrick and H</w:t>
      </w:r>
      <w:r w:rsidR="00311A37">
        <w:t xml:space="preserve">amrick 1999). </w:t>
      </w:r>
      <w:r w:rsidRPr="00477F61">
        <w:t>Henderso</w:t>
      </w:r>
      <w:r w:rsidR="00BA14E2">
        <w:t xml:space="preserve">n clearly catered to customers </w:t>
      </w:r>
      <w:r w:rsidRPr="00477F61">
        <w:t xml:space="preserve">who knew what they wanted and were not afraid to make their voices heard. </w:t>
      </w:r>
    </w:p>
    <w:p w:rsidR="00731D7C" w:rsidRPr="00477F61" w:rsidRDefault="00731D7C" w:rsidP="00731D7C">
      <w:pPr>
        <w:spacing w:line="480" w:lineRule="auto"/>
        <w:ind w:firstLine="720"/>
      </w:pPr>
      <w:r w:rsidRPr="00477F61">
        <w:t>Despite the characterization of the bifurcation of the tobacco economy which directed sales of the crop either to British factors or colonial merchants, the wealthy did make purchases of cons</w:t>
      </w:r>
      <w:r w:rsidR="00311A37">
        <w:t xml:space="preserve">umer goods at colonial stores. </w:t>
      </w:r>
      <w:r w:rsidRPr="00477F61">
        <w:t>In a pinch or perhaps as a part of a trip for business or pleasure, gentry planters had the ability to “travel to higher-order towns in which greater selection of goods existed” (Martin 2008:44) in addition t</w:t>
      </w:r>
      <w:r w:rsidR="00311A37">
        <w:t xml:space="preserve">o the stores in smaller towns. </w:t>
      </w:r>
      <w:r w:rsidRPr="00477F61">
        <w:t>George Washington’s plantation ledger records a few of these types of transactions</w:t>
      </w:r>
      <w:r w:rsidR="00311A37">
        <w:t xml:space="preserve">. </w:t>
      </w:r>
      <w:r>
        <w:t>On July 6, 1757, he paid</w:t>
      </w:r>
      <w:r w:rsidRPr="00477F61">
        <w:t xml:space="preserve"> “Jones the Taylor in Williamsburg” £</w:t>
      </w:r>
      <w:r w:rsidR="00311A37">
        <w:t xml:space="preserve">5.0.9. </w:t>
      </w:r>
      <w:r>
        <w:t>In 1766, Washington paid</w:t>
      </w:r>
      <w:r w:rsidRPr="00477F61">
        <w:t xml:space="preserve"> his neighbor George Fairfax £1 “to buy sundry trifles in Williamsburg.”  Similarly, neighbor George Mason paid Washington £1 for “two pr of Snap Earings (in Williamsburg)” that he pi</w:t>
      </w:r>
      <w:r w:rsidR="00311A37">
        <w:t xml:space="preserve">cked up for Mason’s daughters. </w:t>
      </w:r>
      <w:r w:rsidRPr="00477F61">
        <w:t>Closer by, on J</w:t>
      </w:r>
      <w:r>
        <w:t>anuary 12, 1759, Washington paid</w:t>
      </w:r>
      <w:r w:rsidRPr="00477F61">
        <w:t xml:space="preserve"> £0.6.6 for un</w:t>
      </w:r>
      <w:r w:rsidR="00311A37">
        <w:t>known “Expences at Colchester.”</w:t>
      </w:r>
      <w:r w:rsidRPr="00477F61">
        <w:t xml:space="preserve"> This entry into W</w:t>
      </w:r>
      <w:r>
        <w:t>ashington’s cash accounts occurred</w:t>
      </w:r>
      <w:r w:rsidRPr="00477F61">
        <w:t xml:space="preserve"> 14 additional times through </w:t>
      </w:r>
      <w:r w:rsidRPr="00477F61">
        <w:lastRenderedPageBreak/>
        <w:t>1774 (Washington 1750-1774).  Martin (2008:44-45) notes, “Options for the acquisition of goods exploded for the wealthy. They could tap into vast formal and informal local system</w:t>
      </w:r>
      <w:r w:rsidR="00311A37">
        <w:t xml:space="preserve">s used by ordinary Virginians… </w:t>
      </w:r>
      <w:r w:rsidRPr="00477F61">
        <w:t>Thus few barriers confronted wealthy Virginians who wanted to acquire part</w:t>
      </w:r>
      <w:r w:rsidR="00311A37">
        <w:t>icular goods, even luxury ones.</w:t>
      </w:r>
      <w:r w:rsidRPr="00477F61">
        <w:t xml:space="preserve"> They could use the web of relatives and friends and business associates and mercantile partners locally and abroad.” </w:t>
      </w:r>
    </w:p>
    <w:p w:rsidR="00731D7C" w:rsidRPr="00477F61" w:rsidRDefault="00731D7C" w:rsidP="00731D7C">
      <w:pPr>
        <w:spacing w:line="480" w:lineRule="auto"/>
        <w:ind w:firstLine="720"/>
      </w:pPr>
      <w:r w:rsidRPr="00477F61">
        <w:t>There was a more informal aspect to the direct trade system that opened consumer opportunities for customers possessing purchasing power through</w:t>
      </w:r>
      <w:r w:rsidR="00311A37">
        <w:t xml:space="preserve"> resources other than tobacco. </w:t>
      </w:r>
      <w:r w:rsidRPr="00477F61">
        <w:t>The entry of slaves into the eighteenth-century market system has only recently come under study as “the nature of slaves’ access to consumer goods and the items they chose to buy remain largely undocumented, testimony to the uneasiness and ambivalence that such slave activities produced among white</w:t>
      </w:r>
      <w:r>
        <w:t>s</w:t>
      </w:r>
      <w:r w:rsidRPr="00477F61">
        <w:t xml:space="preserve"> and how difficult it was to keep legal or customary </w:t>
      </w:r>
      <w:r w:rsidR="00311A37">
        <w:t xml:space="preserve">boundaries” (Martin 2008:176). </w:t>
      </w:r>
      <w:r w:rsidRPr="00477F61">
        <w:t>For this reason, scholars have begun to turn to the archaeological record for evidence of goods potentially purchased at stores (Heath 1997, 1999a, 1</w:t>
      </w:r>
      <w:r w:rsidR="00311A37">
        <w:t xml:space="preserve">999b, 2004; Galle 2006, 2010). </w:t>
      </w:r>
      <w:r w:rsidRPr="00477F61">
        <w:t>Slave presence in stores, however, wa</w:t>
      </w:r>
      <w:r w:rsidR="00311A37">
        <w:t xml:space="preserve">s not uncommon by mid-century. </w:t>
      </w:r>
      <w:r w:rsidRPr="00477F61">
        <w:t>Often serving masters as errand-runners, George Washington trusted Juby enough to dispatch her to Daniel Payne’s store in Dumfries to purchase 15 bars of iron, just as James Mercer did for Tom and Reginal Graham did for Jack (Hamrick</w:t>
      </w:r>
      <w:r w:rsidR="00311A37">
        <w:t xml:space="preserve"> and Hamrick 2007:10, 12, 23). </w:t>
      </w:r>
      <w:r w:rsidRPr="00477F61">
        <w:t xml:space="preserve">Perhaps merchants’ comfort level in transacting with slaves acting as customers on behalf of their masters eased their participation in stores as consumers themselves.   </w:t>
      </w:r>
    </w:p>
    <w:p w:rsidR="00731D7C" w:rsidRPr="00477F61" w:rsidRDefault="00731D7C" w:rsidP="00731D7C">
      <w:pPr>
        <w:spacing w:line="480" w:lineRule="auto"/>
        <w:ind w:firstLine="720"/>
      </w:pPr>
      <w:r w:rsidRPr="00477F61">
        <w:t xml:space="preserve">Much of this research hinges on the productive potential of slaves living on plantations in the eighteenth and nineteenth century who possessed enough free time and </w:t>
      </w:r>
      <w:r>
        <w:t>energy</w:t>
      </w:r>
      <w:r w:rsidRPr="00477F61">
        <w:t xml:space="preserve"> to undertake economic endeavors after their required duties ceased for the day (Hudson 1994; Heath 1997, 1999a, 1999b; Thompson 2</w:t>
      </w:r>
      <w:r w:rsidR="00311A37">
        <w:t xml:space="preserve">001; Galle 2006; Martin 2008). </w:t>
      </w:r>
      <w:r w:rsidRPr="00477F61">
        <w:t xml:space="preserve">Martin (2008:174) argues that slaves </w:t>
      </w:r>
      <w:r w:rsidRPr="00477F61">
        <w:lastRenderedPageBreak/>
        <w:t>initially worked for themselves to provide for basic needs no</w:t>
      </w:r>
      <w:r w:rsidR="00311A37">
        <w:t xml:space="preserve">t met by planters’ provisions. </w:t>
      </w:r>
      <w:r w:rsidRPr="00477F61">
        <w:t>Over time, this labor resulted in a production of goods or services that surpassed the individual’s or family’s needs and allowed slaves to participate in economic transactions su</w:t>
      </w:r>
      <w:r w:rsidR="00311A37">
        <w:t xml:space="preserve">ch as barter or sale of goods. </w:t>
      </w:r>
      <w:r w:rsidRPr="00477F61">
        <w:t xml:space="preserve">Galle (2006:27-28) writes, </w:t>
      </w:r>
    </w:p>
    <w:p w:rsidR="00731D7C" w:rsidRPr="00477F61" w:rsidRDefault="00731D7C" w:rsidP="00731D7C">
      <w:pPr>
        <w:spacing w:line="480" w:lineRule="auto"/>
        <w:ind w:left="720"/>
      </w:pPr>
      <w:r w:rsidRPr="00477F61">
        <w:t xml:space="preserve">Merchants’ account books and slave owners’ journals demonstrate that by the 1770s enslaved Africans and African Americans in the New World were actively pursuing </w:t>
      </w:r>
      <w:r w:rsidR="00311A37">
        <w:t xml:space="preserve">the acquisition of cash money. </w:t>
      </w:r>
      <w:r w:rsidRPr="00477F61">
        <w:t>Just as the elite and middling classes were scrambling for the latest fashions, primary sources indicate that slaves sold vegetables, chickens, eggs, crafts, and, in some cases, their own labor to earn money to purchase European goods from store</w:t>
      </w:r>
      <w:r w:rsidR="00311A37">
        <w:t xml:space="preserve">s and urban and rural markets. </w:t>
      </w:r>
      <w:r w:rsidRPr="00477F61">
        <w:t>They worked into the night cultivating their own gardens, making brooms, baskets, and quilts, and occasionally completing</w:t>
      </w:r>
      <w:r w:rsidR="00251EE8">
        <w:t xml:space="preserve"> jobs for which they were paid.</w:t>
      </w:r>
      <w:r w:rsidRPr="00477F61">
        <w:t xml:space="preserve">    </w:t>
      </w:r>
    </w:p>
    <w:p w:rsidR="00731D7C" w:rsidRPr="00477F61" w:rsidRDefault="00731D7C" w:rsidP="00731D7C">
      <w:pPr>
        <w:spacing w:line="480" w:lineRule="auto"/>
      </w:pPr>
      <w:r w:rsidRPr="00477F61">
        <w:t>Most of this kind of documented activity occurred at Mount Vernon in the post-Revolut</w:t>
      </w:r>
      <w:r w:rsidR="00311A37">
        <w:t xml:space="preserve">ionary period (Thompson 2001). </w:t>
      </w:r>
      <w:r w:rsidRPr="00477F61">
        <w:t xml:space="preserve">There is some evidence, however, that George Washington paid slaves in cash for unknown goods or services in the pre-Revolutionary </w:t>
      </w:r>
      <w:r w:rsidR="00311A37">
        <w:t xml:space="preserve">period (Washington 1750-1774). </w:t>
      </w:r>
      <w:r w:rsidRPr="00477F61">
        <w:t>There are 18 unique instances of George Washington’s tra</w:t>
      </w:r>
      <w:r>
        <w:t>nsactions with slaves</w:t>
      </w:r>
      <w:r w:rsidR="00311A37">
        <w:t xml:space="preserve">. </w:t>
      </w:r>
      <w:r w:rsidRPr="00477F61">
        <w:t>The clearest reference occ</w:t>
      </w:r>
      <w:r>
        <w:t>urs in 1757 when Washington paid</w:t>
      </w:r>
      <w:r w:rsidRPr="00477F61">
        <w:t xml:space="preserve"> his slaves £0.7.</w:t>
      </w:r>
      <w:r w:rsidR="00311A37">
        <w:t xml:space="preserve">6 for potatoes, etc. </w:t>
      </w:r>
      <w:r>
        <w:t>He also gave</w:t>
      </w:r>
      <w:r w:rsidRPr="00477F61">
        <w:t xml:space="preserve"> cash directly to his slave Negro Joe for unknown reasons</w:t>
      </w:r>
      <w:r w:rsidR="00311A37">
        <w:t xml:space="preserve"> in 1760 and 1764 (Negro Joe). </w:t>
      </w:r>
      <w:r w:rsidRPr="00477F61">
        <w:t>Two of the entries mention the phrase “taking up,” which had many hist</w:t>
      </w:r>
      <w:r>
        <w:t xml:space="preserve">orical definitions including to </w:t>
      </w:r>
      <w:r w:rsidRPr="00477F61">
        <w:t>hire, to borrow, to accept or pay, and to take into one’s protection, patronage, or other relation (Ox</w:t>
      </w:r>
      <w:r w:rsidR="00311A37">
        <w:t xml:space="preserve">ford English Dictionary 2012). </w:t>
      </w:r>
      <w:r w:rsidRPr="00477F61">
        <w:t>It is unclear if these transactions represent paymen</w:t>
      </w:r>
      <w:r w:rsidR="00311A37">
        <w:t>ts to slaves or something else.</w:t>
      </w:r>
      <w:r w:rsidRPr="00477F61">
        <w:t xml:space="preserve"> Most of the entries mention the names of enslaved individuals owned </w:t>
      </w:r>
      <w:r w:rsidR="00311A37">
        <w:t xml:space="preserve">by other people. </w:t>
      </w:r>
      <w:r w:rsidRPr="00477F61">
        <w:t xml:space="preserve">Though speculative, I believe that these transactions represent payments of Washington </w:t>
      </w:r>
      <w:r w:rsidRPr="00477F61">
        <w:lastRenderedPageBreak/>
        <w:t>directly to the slaves, as opposed to payments to the master me</w:t>
      </w:r>
      <w:r w:rsidR="00311A37">
        <w:t xml:space="preserve">diated by the enslaved person. </w:t>
      </w:r>
      <w:r w:rsidRPr="00477F61">
        <w:t>This is because none of the transactions are repeated in the section of the plantation ledger that is organized under the s</w:t>
      </w:r>
      <w:r w:rsidR="00311A37">
        <w:t xml:space="preserve">pecific account holder’s name. </w:t>
      </w:r>
      <w:r w:rsidRPr="00477F61">
        <w:t xml:space="preserve">For example, there is no entry in Colonel Fairfax’s account that shows Washington paying him, for example, for renting the slaves mentioned.    </w:t>
      </w:r>
    </w:p>
    <w:p w:rsidR="00731D7C" w:rsidRPr="00477F61" w:rsidRDefault="00731D7C" w:rsidP="00731D7C">
      <w:pPr>
        <w:spacing w:line="480" w:lineRule="auto"/>
        <w:ind w:firstLine="720"/>
      </w:pPr>
      <w:r w:rsidRPr="00477F61">
        <w:t>What they did with this cash or goods in some cases is best documented in a few ledgers such as the “Memorandum Book” for negroes kept by Andrew Bailey,</w:t>
      </w:r>
      <w:r>
        <w:t xml:space="preserve"> a storekeeper in Virginia, and</w:t>
      </w:r>
      <w:r w:rsidRPr="00477F61">
        <w:t xml:space="preserve"> the “ledger for blacks” kept by Anne Frame</w:t>
      </w:r>
      <w:r>
        <w:t xml:space="preserve"> of Berkley County</w:t>
      </w:r>
      <w:r w:rsidRPr="00477F61">
        <w:t>, and the ledgers John Hook kept for slaves who frequente</w:t>
      </w:r>
      <w:r w:rsidR="00311A37">
        <w:t xml:space="preserve">d his store (Martin 2008:177). </w:t>
      </w:r>
      <w:r w:rsidRPr="00477F61">
        <w:t xml:space="preserve">There is also </w:t>
      </w:r>
      <w:r>
        <w:t xml:space="preserve">a more </w:t>
      </w:r>
      <w:r w:rsidRPr="00477F61">
        <w:t>sporadic record of these types of transactions in accounts</w:t>
      </w:r>
      <w:r>
        <w:t xml:space="preserve"> like those</w:t>
      </w:r>
      <w:r w:rsidRPr="00477F61">
        <w:t xml:space="preserve"> of William Johnston</w:t>
      </w:r>
      <w:r>
        <w:t xml:space="preserve"> who operated a store in Yorktown in the 1730s</w:t>
      </w:r>
      <w:r w:rsidRPr="00477F61">
        <w:t xml:space="preserve"> or Alexander Henderson </w:t>
      </w:r>
      <w:r>
        <w:t xml:space="preserve">of Colchester </w:t>
      </w:r>
      <w:r w:rsidRPr="00477F61">
        <w:t>who intermix</w:t>
      </w:r>
      <w:r>
        <w:t>ed</w:t>
      </w:r>
      <w:r w:rsidRPr="00477F61">
        <w:t xml:space="preserve"> slave accounts with white </w:t>
      </w:r>
      <w:r>
        <w:t xml:space="preserve">or possibly free black </w:t>
      </w:r>
      <w:r w:rsidRPr="00477F61">
        <w:t>accounts</w:t>
      </w:r>
      <w:r>
        <w:t xml:space="preserve"> </w:t>
      </w:r>
      <w:r w:rsidRPr="00477F61">
        <w:t>(Martin 2008:177</w:t>
      </w:r>
      <w:r>
        <w:t>-178</w:t>
      </w:r>
      <w:r w:rsidR="00311A37">
        <w:t>).</w:t>
      </w:r>
      <w:r w:rsidRPr="00477F61">
        <w:t xml:space="preserve"> Finally, there are intriguing yet speculative suggestions of slave participation in the formal marketplace through the myriad entries in “Accounts of Goods Sold for Ready Money” and “Goods in Barter” that record transactions between Alexander Henderson and individuals who either did not have accounts or who paid for the goods in cash or for those individuals paying in goods instead of cash (Mount Vernon Ladies’ Association 1764-1769).         </w:t>
      </w:r>
    </w:p>
    <w:p w:rsidR="00731D7C" w:rsidRDefault="00731D7C" w:rsidP="00731D7C">
      <w:pPr>
        <w:spacing w:line="480" w:lineRule="auto"/>
      </w:pPr>
      <w:r w:rsidRPr="00477F61">
        <w:tab/>
      </w:r>
      <w:r w:rsidRPr="00477F61">
        <w:rPr>
          <w:i/>
        </w:rPr>
        <w:t>Beyond Consignment and Direct Trade: Other Formal Avenues of Access to Goods</w:t>
      </w:r>
      <w:r w:rsidR="00311A37">
        <w:t xml:space="preserve">. </w:t>
      </w:r>
      <w:r w:rsidRPr="00477F61">
        <w:t>Documents reveal consumer practices in addition to planter sale of tobacco to either English factors or local merchants; both wealthy and poor individuals could formally acquire goods through auctions, sales between individuals, and through life even</w:t>
      </w:r>
      <w:r w:rsidR="00311A37">
        <w:t xml:space="preserve">ts such as marriage and death. </w:t>
      </w:r>
      <w:r w:rsidRPr="00477F61">
        <w:t>Martin (2008:46-47) writes, “An obscure part of the local economy involved the auctioning of goods to satisfy sanctions of wills or pay off debts, to sell off overst</w:t>
      </w:r>
      <w:r w:rsidR="00311A37">
        <w:t xml:space="preserve">ock or the estates of stores.” </w:t>
      </w:r>
      <w:r w:rsidRPr="00477F61">
        <w:lastRenderedPageBreak/>
        <w:t>Unknown is “whether ‘secondhand’ purchase remained significantly cheaper than new items at a local store, but obviously such sales provided an alternative, if only occasional, venue for the purchase of goods.</w:t>
      </w:r>
      <w:r w:rsidR="00311A37">
        <w:t xml:space="preserve">” </w:t>
      </w:r>
      <w:r>
        <w:t>Though these auctions and vendue sales (or wholesale auctions) remain obscure to material culture researchers because of their inconsistent generation of documentary evidence, Breen (2004:140) believes that, “From the perspective of less affluent Americans… vendue sales and peddling may have brought more British manufactures into colonial homes than did u</w:t>
      </w:r>
      <w:r w:rsidR="00311A37">
        <w:t>rban shops and country stores.”</w:t>
      </w:r>
      <w:r w:rsidRPr="00477F61">
        <w:t xml:space="preserve"> </w:t>
      </w:r>
      <w:r>
        <w:t>Auctions date back to the late seventeenth century, but their size and scale kept constant with the growth of the consumer revolution such that by 1750 “they functioned as a major outlet in the great chain of</w:t>
      </w:r>
      <w:r w:rsidR="00311A37">
        <w:t xml:space="preserve"> acquisition” (Breen 2004:140).</w:t>
      </w:r>
      <w:r>
        <w:t xml:space="preserve"> Often, merchants sponsored vendues to unload quickly excess, unwanted, or unfashionable merchandise or to liquidate a store’s estate in the event of closure or relocation (Breen 2004; Martin 2008).  </w:t>
      </w:r>
    </w:p>
    <w:p w:rsidR="00731D7C" w:rsidRDefault="00731D7C" w:rsidP="00731D7C">
      <w:pPr>
        <w:spacing w:line="480" w:lineRule="auto"/>
        <w:ind w:firstLine="720"/>
      </w:pPr>
      <w:r w:rsidRPr="00477F61">
        <w:t>We know, for example, that George Washington participated in at least one public auction in the years before the Revolution.  Long time family friends, the Fairfaxes of Belvoir (specifically George William and Sally Cary Fairfax), returned to England in 1773 and directed Washington to rent the nearby mansion and sell the household furnishi</w:t>
      </w:r>
      <w:r w:rsidR="00311A37">
        <w:t xml:space="preserve">ngs at auction (Shott 1978:8). </w:t>
      </w:r>
      <w:r w:rsidRPr="00477F61">
        <w:t>Washington did so and spent £169.12.6 on furni</w:t>
      </w:r>
      <w:r>
        <w:t>shings for his own use (Table 3-2</w:t>
      </w:r>
      <w:r w:rsidRPr="00477F61">
        <w:t xml:space="preserve">).  Washington invested over £10 each in carpets, blankets, a mahogany chest of drawers, a mahogany sideboard, a sette bed, a mirror in a gilt frame and over £30 each on 12 </w:t>
      </w:r>
      <w:r>
        <w:t>chairs and 3 curtains.  Smaller-</w:t>
      </w:r>
      <w:r w:rsidRPr="00477F61">
        <w:t>scale purchases included pickle pots, a roasting fork, fireplace implements, and a bust of the “Immortal Shakespeare.”  Most of these items were easily procured through British factors, though furniture like chests and sideboards are underrepresented in Washington’s invoices and orders suggesting that these were goods more often procured locally (Mount Ve</w:t>
      </w:r>
      <w:r w:rsidR="00311A37">
        <w:t>rnon Ladies’ Association 1774).</w:t>
      </w:r>
      <w:r w:rsidRPr="00477F61">
        <w:t xml:space="preserve"> Washington’s plantation ledger records a large payment of </w:t>
      </w:r>
      <w:r w:rsidRPr="00477F61">
        <w:lastRenderedPageBreak/>
        <w:t xml:space="preserve">£123 to the executors of John Spotswood’s estate for “Sundrys bought at the Sale” in 1761 (Washington 1750-1774).   </w:t>
      </w:r>
    </w:p>
    <w:p w:rsidR="00CD7BDC" w:rsidRDefault="00CD7BDC" w:rsidP="00CD7BDC">
      <w:pPr>
        <w:spacing w:line="480" w:lineRule="auto"/>
        <w:ind w:firstLine="720"/>
      </w:pPr>
      <w:r w:rsidRPr="00477F61">
        <w:t>Documentary evidence also exists of a transaction between John Posey and George Washington wherein the former sold the latter £200 worth of livestock and household and p</w:t>
      </w:r>
      <w:r>
        <w:t>lantation furnishings (Table 3-3</w:t>
      </w:r>
      <w:r w:rsidRPr="00477F61">
        <w:t>)</w:t>
      </w:r>
      <w:r>
        <w:t xml:space="preserve"> (Posey 1767). </w:t>
      </w:r>
      <w:r w:rsidRPr="00477F61">
        <w:t>Posey, like the Fairfaxes, lived on a neighboring plantation to Mount Vernon suggesting that community ties often influenced the flow</w:t>
      </w:r>
      <w:r>
        <w:t xml:space="preserve"> of goods in colonial society. </w:t>
      </w:r>
      <w:r w:rsidRPr="00477F61">
        <w:t>Posey, unlike the Fairfaxes however, was not considered o</w:t>
      </w:r>
      <w:r>
        <w:t xml:space="preserve">ne of the area’s elite. </w:t>
      </w:r>
      <w:r w:rsidRPr="00477F61">
        <w:t>He suffered financial difficulties which eventually entangled the likes of George Washington and George Mason</w:t>
      </w:r>
      <w:r>
        <w:t xml:space="preserve">, from whom he borrowed money. </w:t>
      </w:r>
      <w:r w:rsidRPr="00477F61">
        <w:t xml:space="preserve">In 1763, for example, Posey owed Washington £700; to secure this debt, Washington took a mortgage on Posey’s land, slaves and livestock </w:t>
      </w:r>
      <w:r w:rsidRPr="006B2E79">
        <w:t xml:space="preserve">(Thompson </w:t>
      </w:r>
      <w:r>
        <w:t xml:space="preserve">1989:38). </w:t>
      </w:r>
      <w:r w:rsidRPr="00477F61">
        <w:t>When Posey could not repay his debt to Washington in 1767, he sold these goods as partial payment (Pecoraro 2011). The nature of the goods purchased from Posey differs from that sold by the Fairfaxes – probably due in part to the financial si</w:t>
      </w:r>
      <w:r>
        <w:t xml:space="preserve">tuations of the former owners. </w:t>
      </w:r>
      <w:r w:rsidRPr="00477F61">
        <w:t xml:space="preserve">The list of goods does include silver utensils and other implements, a mirror, and two desks, but most of the items are </w:t>
      </w:r>
      <w:r>
        <w:t xml:space="preserve">related to </w:t>
      </w:r>
      <w:r w:rsidRPr="00477F61">
        <w:t>plantation work including a substantial quantity of livestock, barrels of flour, bushe</w:t>
      </w:r>
      <w:r>
        <w:t xml:space="preserve">ls of oysters, and an ox cart. </w:t>
      </w:r>
      <w:r w:rsidRPr="00477F61">
        <w:t xml:space="preserve">Therefore, satisfying debts between individual parties also instigated the movement of goods.  </w:t>
      </w:r>
    </w:p>
    <w:p w:rsidR="00731D7C" w:rsidRDefault="00731D7C" w:rsidP="00731D7C">
      <w:pPr>
        <w:rPr>
          <w:b/>
        </w:rPr>
      </w:pPr>
      <w:r>
        <w:rPr>
          <w:b/>
        </w:rPr>
        <w:br w:type="page"/>
      </w:r>
    </w:p>
    <w:p w:rsidR="00731D7C" w:rsidRDefault="00731D7C" w:rsidP="00731D7C">
      <w:proofErr w:type="gramStart"/>
      <w:r w:rsidRPr="002D77C6">
        <w:rPr>
          <w:b/>
        </w:rPr>
        <w:lastRenderedPageBreak/>
        <w:t>Table 3-2.</w:t>
      </w:r>
      <w:proofErr w:type="gramEnd"/>
      <w:r w:rsidRPr="002D77C6">
        <w:rPr>
          <w:b/>
        </w:rPr>
        <w:t xml:space="preserve"> </w:t>
      </w:r>
      <w:r>
        <w:t>Transcription of the i</w:t>
      </w:r>
      <w:r w:rsidRPr="00FB3397">
        <w:t xml:space="preserve">nventory of house furniture bought by George Washington from Colonel Fairfax’s Belvoir estate auction, August 15, 1774. </w:t>
      </w:r>
    </w:p>
    <w:p w:rsidR="00731D7C" w:rsidRDefault="00731D7C" w:rsidP="00731D7C">
      <w:r w:rsidRPr="00477F61">
        <w:t xml:space="preserve"> </w:t>
      </w:r>
    </w:p>
    <w:tbl>
      <w:tblPr>
        <w:tblW w:w="8209" w:type="dxa"/>
        <w:tblInd w:w="89" w:type="dxa"/>
        <w:tblLook w:val="04A0"/>
      </w:tblPr>
      <w:tblGrid>
        <w:gridCol w:w="6139"/>
        <w:gridCol w:w="1080"/>
        <w:gridCol w:w="450"/>
        <w:gridCol w:w="540"/>
      </w:tblGrid>
      <w:tr w:rsidR="00731D7C" w:rsidRPr="00A94232" w:rsidTr="00E91746">
        <w:trPr>
          <w:trHeight w:val="255"/>
        </w:trPr>
        <w:tc>
          <w:tcPr>
            <w:tcW w:w="6139"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731D7C" w:rsidRPr="00A94232" w:rsidRDefault="00731D7C" w:rsidP="00E91746">
            <w:pPr>
              <w:rPr>
                <w:b/>
                <w:bCs/>
                <w:color w:val="000000"/>
                <w:sz w:val="20"/>
                <w:szCs w:val="20"/>
              </w:rPr>
            </w:pPr>
            <w:r w:rsidRPr="00A94232">
              <w:rPr>
                <w:b/>
                <w:bCs/>
                <w:color w:val="000000"/>
                <w:sz w:val="20"/>
                <w:szCs w:val="20"/>
              </w:rPr>
              <w:t>Description</w:t>
            </w:r>
          </w:p>
        </w:tc>
        <w:tc>
          <w:tcPr>
            <w:tcW w:w="1080" w:type="dxa"/>
            <w:tcBorders>
              <w:top w:val="single" w:sz="4" w:space="0" w:color="auto"/>
              <w:left w:val="nil"/>
              <w:bottom w:val="single" w:sz="4" w:space="0" w:color="auto"/>
              <w:right w:val="single" w:sz="4" w:space="0" w:color="auto"/>
            </w:tcBorders>
            <w:shd w:val="clear" w:color="000000" w:fill="D8D8D8"/>
            <w:noWrap/>
            <w:vAlign w:val="bottom"/>
            <w:hideMark/>
          </w:tcPr>
          <w:p w:rsidR="00731D7C" w:rsidRPr="00A94232" w:rsidRDefault="00731D7C" w:rsidP="00E91746">
            <w:pPr>
              <w:jc w:val="right"/>
              <w:rPr>
                <w:b/>
                <w:bCs/>
                <w:color w:val="000000"/>
                <w:sz w:val="20"/>
                <w:szCs w:val="20"/>
              </w:rPr>
            </w:pPr>
            <w:r w:rsidRPr="00A94232">
              <w:rPr>
                <w:b/>
                <w:bCs/>
                <w:color w:val="000000"/>
                <w:sz w:val="20"/>
                <w:szCs w:val="20"/>
              </w:rPr>
              <w:t>£</w:t>
            </w:r>
          </w:p>
        </w:tc>
        <w:tc>
          <w:tcPr>
            <w:tcW w:w="450" w:type="dxa"/>
            <w:tcBorders>
              <w:top w:val="single" w:sz="4" w:space="0" w:color="auto"/>
              <w:left w:val="nil"/>
              <w:bottom w:val="single" w:sz="4" w:space="0" w:color="auto"/>
              <w:right w:val="single" w:sz="4" w:space="0" w:color="auto"/>
            </w:tcBorders>
            <w:shd w:val="clear" w:color="000000" w:fill="D8D8D8"/>
            <w:noWrap/>
            <w:vAlign w:val="bottom"/>
            <w:hideMark/>
          </w:tcPr>
          <w:p w:rsidR="00731D7C" w:rsidRPr="00A94232" w:rsidRDefault="00731D7C" w:rsidP="00E91746">
            <w:pPr>
              <w:jc w:val="right"/>
              <w:rPr>
                <w:b/>
                <w:bCs/>
                <w:color w:val="000000"/>
                <w:sz w:val="20"/>
                <w:szCs w:val="20"/>
              </w:rPr>
            </w:pPr>
            <w:r w:rsidRPr="00A94232">
              <w:rPr>
                <w:b/>
                <w:bCs/>
                <w:color w:val="000000"/>
                <w:sz w:val="20"/>
                <w:szCs w:val="20"/>
              </w:rPr>
              <w:t>s</w:t>
            </w:r>
          </w:p>
        </w:tc>
        <w:tc>
          <w:tcPr>
            <w:tcW w:w="540" w:type="dxa"/>
            <w:tcBorders>
              <w:top w:val="single" w:sz="4" w:space="0" w:color="auto"/>
              <w:left w:val="nil"/>
              <w:bottom w:val="single" w:sz="4" w:space="0" w:color="auto"/>
              <w:right w:val="single" w:sz="4" w:space="0" w:color="auto"/>
            </w:tcBorders>
            <w:shd w:val="clear" w:color="000000" w:fill="D8D8D8"/>
            <w:noWrap/>
            <w:vAlign w:val="bottom"/>
            <w:hideMark/>
          </w:tcPr>
          <w:p w:rsidR="00731D7C" w:rsidRPr="00A94232" w:rsidRDefault="00731D7C" w:rsidP="00E91746">
            <w:pPr>
              <w:jc w:val="right"/>
              <w:rPr>
                <w:b/>
                <w:bCs/>
                <w:color w:val="000000"/>
                <w:sz w:val="20"/>
                <w:szCs w:val="20"/>
              </w:rPr>
            </w:pPr>
            <w:r w:rsidRPr="00A94232">
              <w:rPr>
                <w:b/>
                <w:bCs/>
                <w:color w:val="000000"/>
                <w:sz w:val="20"/>
                <w:szCs w:val="20"/>
              </w:rPr>
              <w:t>d</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Gilbert Simpson 5 butter or pickle potts</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7</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xml:space="preserve">2 potts from [Lawson] Parker Do. </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2</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6. pickle pots of different sizes</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4</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2 doz mountain wine</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4</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4 chariot glafses and frames</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12</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irons for a boat canopy in the cellar</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12</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10. pewter water plates</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8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Mahog.</w:t>
            </w:r>
            <w:r w:rsidRPr="00A94232">
              <w:rPr>
                <w:color w:val="000000"/>
                <w:sz w:val="20"/>
                <w:szCs w:val="20"/>
                <w:vertAlign w:val="superscript"/>
              </w:rPr>
              <w:t>y</w:t>
            </w:r>
            <w:r w:rsidRPr="00A94232">
              <w:rPr>
                <w:color w:val="000000"/>
                <w:sz w:val="20"/>
                <w:szCs w:val="20"/>
              </w:rPr>
              <w:t xml:space="preserve"> Shaving Desk</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4</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sette bed and furniture</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13</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4 Mahogany chairs          in use</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4</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chamber carpett</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8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oval glafs w.</w:t>
            </w:r>
            <w:r w:rsidRPr="00A94232">
              <w:rPr>
                <w:color w:val="000000"/>
                <w:sz w:val="20"/>
                <w:szCs w:val="20"/>
                <w:vertAlign w:val="superscript"/>
              </w:rPr>
              <w:t>t</w:t>
            </w:r>
            <w:r w:rsidRPr="00A94232">
              <w:rPr>
                <w:color w:val="000000"/>
                <w:sz w:val="20"/>
                <w:szCs w:val="20"/>
              </w:rPr>
              <w:t xml:space="preserve"> Guilt Frame in the Green room</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4</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5</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8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Mahog.</w:t>
            </w:r>
            <w:r w:rsidRPr="00A94232">
              <w:rPr>
                <w:color w:val="000000"/>
                <w:sz w:val="20"/>
                <w:szCs w:val="20"/>
                <w:vertAlign w:val="superscript"/>
              </w:rPr>
              <w:t>y</w:t>
            </w:r>
            <w:r w:rsidRPr="00A94232">
              <w:rPr>
                <w:color w:val="000000"/>
                <w:sz w:val="20"/>
                <w:szCs w:val="20"/>
              </w:rPr>
              <w:t xml:space="preserve"> Chest of Drawers in Mrs. Fairfax's Chamber</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12</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10</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8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Mahog.</w:t>
            </w:r>
            <w:r w:rsidRPr="00A94232">
              <w:rPr>
                <w:color w:val="000000"/>
                <w:sz w:val="20"/>
                <w:szCs w:val="20"/>
                <w:vertAlign w:val="superscript"/>
              </w:rPr>
              <w:t>y</w:t>
            </w:r>
            <w:r w:rsidRPr="00A94232">
              <w:rPr>
                <w:color w:val="000000"/>
                <w:sz w:val="20"/>
                <w:szCs w:val="20"/>
              </w:rPr>
              <w:t xml:space="preserve"> sideboard</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12</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5</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8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Mahog.</w:t>
            </w:r>
            <w:r w:rsidRPr="00A94232">
              <w:rPr>
                <w:color w:val="000000"/>
                <w:sz w:val="20"/>
                <w:szCs w:val="20"/>
                <w:vertAlign w:val="superscript"/>
              </w:rPr>
              <w:t>y</w:t>
            </w:r>
            <w:r w:rsidRPr="00A94232">
              <w:rPr>
                <w:color w:val="000000"/>
                <w:sz w:val="20"/>
                <w:szCs w:val="20"/>
              </w:rPr>
              <w:t xml:space="preserve"> Cistreen and stand</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4</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8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Mahog.</w:t>
            </w:r>
            <w:r w:rsidRPr="00A94232">
              <w:rPr>
                <w:color w:val="000000"/>
                <w:sz w:val="20"/>
                <w:szCs w:val="20"/>
                <w:vertAlign w:val="superscript"/>
              </w:rPr>
              <w:t>y</w:t>
            </w:r>
            <w:r w:rsidRPr="00A94232">
              <w:rPr>
                <w:color w:val="000000"/>
                <w:sz w:val="20"/>
                <w:szCs w:val="20"/>
              </w:rPr>
              <w:t xml:space="preserve"> Voider, a dish trea and knife trea</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10</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Japan bread trea</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7</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12 Chairs and 3 window curtains from Dining Room</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31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looking glass and Guilt frame</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13</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5</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xml:space="preserve">2 Candlesticks and bust of the Immortal Shakespeare </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3 floor carpetts in Chintz room</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3</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5</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Large Carpet</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8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Mahog.</w:t>
            </w:r>
            <w:r w:rsidRPr="00A94232">
              <w:rPr>
                <w:color w:val="000000"/>
                <w:sz w:val="20"/>
                <w:szCs w:val="20"/>
                <w:vertAlign w:val="superscript"/>
              </w:rPr>
              <w:t>y</w:t>
            </w:r>
            <w:r w:rsidRPr="00A94232">
              <w:rPr>
                <w:color w:val="000000"/>
                <w:sz w:val="20"/>
                <w:szCs w:val="20"/>
              </w:rPr>
              <w:t xml:space="preserve"> wash desk, bottle and &amp;c</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2</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r>
      <w:tr w:rsidR="00731D7C" w:rsidRPr="00A94232" w:rsidTr="00E91746">
        <w:trPr>
          <w:trHeight w:val="28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Mahog.</w:t>
            </w:r>
            <w:r w:rsidRPr="00A94232">
              <w:rPr>
                <w:color w:val="000000"/>
                <w:sz w:val="20"/>
                <w:szCs w:val="20"/>
                <w:vertAlign w:val="superscript"/>
              </w:rPr>
              <w:t>y</w:t>
            </w:r>
            <w:r w:rsidRPr="00A94232">
              <w:rPr>
                <w:color w:val="000000"/>
                <w:sz w:val="20"/>
                <w:szCs w:val="20"/>
              </w:rPr>
              <w:t xml:space="preserve"> close stool….pan broke</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10</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2 matrafses</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4</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11</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pr. andirons, tongs, fender and shovell</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3</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10</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pr. Do           Do        Do             Do</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3</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17</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pr. Do           Do        Do             Do  smaller</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17</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pr. Dogs in the Great Kitchen</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3</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pott rack in Do.</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4</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a roasting fork</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2</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a Plate Baskett</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3</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8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Mahog.</w:t>
            </w:r>
            <w:r w:rsidRPr="00A94232">
              <w:rPr>
                <w:color w:val="000000"/>
                <w:sz w:val="20"/>
                <w:szCs w:val="20"/>
                <w:vertAlign w:val="superscript"/>
              </w:rPr>
              <w:t>y</w:t>
            </w:r>
            <w:r w:rsidRPr="00A94232">
              <w:rPr>
                <w:color w:val="000000"/>
                <w:sz w:val="20"/>
                <w:szCs w:val="20"/>
              </w:rPr>
              <w:t xml:space="preserve"> Spider made Tea Table</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11</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xml:space="preserve">1 old </w:t>
            </w:r>
            <w:r w:rsidR="00311A37">
              <w:rPr>
                <w:color w:val="000000"/>
                <w:sz w:val="20"/>
                <w:szCs w:val="20"/>
              </w:rPr>
              <w:t>screen</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10</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carpett</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2</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15</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pr. bellows and brush</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11</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window curtains</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2</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large marble mortar</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a pott rack (ceiling) in the cellar</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7</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r>
      <w:tr w:rsidR="00731D7C" w:rsidRPr="00A94232" w:rsidTr="00E91746">
        <w:trPr>
          <w:trHeight w:val="28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a Mahog.</w:t>
            </w:r>
            <w:r w:rsidRPr="00A94232">
              <w:rPr>
                <w:color w:val="000000"/>
                <w:sz w:val="20"/>
                <w:szCs w:val="20"/>
                <w:vertAlign w:val="superscript"/>
              </w:rPr>
              <w:t>y</w:t>
            </w:r>
            <w:r w:rsidRPr="00A94232">
              <w:rPr>
                <w:color w:val="000000"/>
                <w:sz w:val="20"/>
                <w:szCs w:val="20"/>
              </w:rPr>
              <w:t xml:space="preserve"> card table</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4</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To a bed a pair blanketts &amp; 1 quilt or coverlaid Pillows bolster &amp; ca</w:t>
            </w:r>
          </w:p>
        </w:tc>
        <w:tc>
          <w:tcPr>
            <w:tcW w:w="1080" w:type="dxa"/>
            <w:tcBorders>
              <w:top w:val="nil"/>
              <w:left w:val="nil"/>
              <w:bottom w:val="nil"/>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11</w:t>
            </w:r>
          </w:p>
        </w:tc>
        <w:tc>
          <w:tcPr>
            <w:tcW w:w="450" w:type="dxa"/>
            <w:tcBorders>
              <w:top w:val="nil"/>
              <w:left w:val="nil"/>
              <w:bottom w:val="nil"/>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nil"/>
              <w:left w:val="nil"/>
              <w:bottom w:val="nil"/>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85"/>
        </w:trPr>
        <w:tc>
          <w:tcPr>
            <w:tcW w:w="6139" w:type="dxa"/>
            <w:tcBorders>
              <w:top w:val="nil"/>
              <w:left w:val="single" w:sz="4" w:space="0" w:color="auto"/>
              <w:bottom w:val="single" w:sz="4" w:space="0" w:color="auto"/>
              <w:right w:val="nil"/>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1 Mahog</w:t>
            </w:r>
            <w:r w:rsidRPr="00A94232">
              <w:rPr>
                <w:color w:val="000000"/>
                <w:sz w:val="20"/>
                <w:szCs w:val="20"/>
                <w:vertAlign w:val="superscript"/>
              </w:rPr>
              <w:t>y</w:t>
            </w:r>
            <w:r w:rsidRPr="00A94232">
              <w:rPr>
                <w:color w:val="000000"/>
                <w:sz w:val="20"/>
                <w:szCs w:val="20"/>
              </w:rPr>
              <w:t xml:space="preserve"> Card Table from Col</w:t>
            </w:r>
            <w:r w:rsidRPr="00A94232">
              <w:rPr>
                <w:color w:val="000000"/>
                <w:sz w:val="20"/>
                <w:szCs w:val="20"/>
                <w:vertAlign w:val="superscript"/>
              </w:rPr>
              <w:t>o</w:t>
            </w:r>
            <w:r w:rsidRPr="00A94232">
              <w:rPr>
                <w:color w:val="000000"/>
                <w:sz w:val="20"/>
                <w:szCs w:val="20"/>
              </w:rPr>
              <w:t xml:space="preserve"> Lee</w:t>
            </w:r>
          </w:p>
        </w:tc>
        <w:tc>
          <w:tcPr>
            <w:tcW w:w="1080" w:type="dxa"/>
            <w:tcBorders>
              <w:top w:val="single" w:sz="4" w:space="0" w:color="auto"/>
              <w:left w:val="single" w:sz="4" w:space="0" w:color="auto"/>
              <w:bottom w:val="single" w:sz="4" w:space="0" w:color="auto"/>
              <w:right w:val="nil"/>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not given</w:t>
            </w:r>
          </w:p>
        </w:tc>
        <w:tc>
          <w:tcPr>
            <w:tcW w:w="450" w:type="dxa"/>
            <w:tcBorders>
              <w:top w:val="single" w:sz="4" w:space="0" w:color="auto"/>
              <w:left w:val="nil"/>
              <w:bottom w:val="single" w:sz="4" w:space="0" w:color="auto"/>
              <w:right w:val="nil"/>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rsidR="00731D7C" w:rsidRPr="00A94232" w:rsidRDefault="00731D7C" w:rsidP="00E91746">
            <w:pPr>
              <w:rPr>
                <w:color w:val="000000"/>
                <w:sz w:val="20"/>
                <w:szCs w:val="20"/>
              </w:rPr>
            </w:pPr>
            <w:r w:rsidRPr="00A94232">
              <w:rPr>
                <w:color w:val="000000"/>
                <w:sz w:val="20"/>
                <w:szCs w:val="20"/>
              </w:rPr>
              <w:t> </w:t>
            </w:r>
          </w:p>
        </w:tc>
      </w:tr>
      <w:tr w:rsidR="00731D7C" w:rsidRPr="00A94232" w:rsidTr="00E91746">
        <w:trPr>
          <w:trHeight w:val="255"/>
        </w:trPr>
        <w:tc>
          <w:tcPr>
            <w:tcW w:w="6139" w:type="dxa"/>
            <w:tcBorders>
              <w:top w:val="nil"/>
              <w:left w:val="single" w:sz="4" w:space="0" w:color="auto"/>
              <w:bottom w:val="single" w:sz="4" w:space="0" w:color="auto"/>
              <w:right w:val="single" w:sz="4" w:space="0" w:color="auto"/>
            </w:tcBorders>
            <w:shd w:val="clear" w:color="auto" w:fill="auto"/>
            <w:noWrap/>
            <w:vAlign w:val="bottom"/>
            <w:hideMark/>
          </w:tcPr>
          <w:p w:rsidR="00731D7C" w:rsidRPr="00A94232" w:rsidRDefault="00731D7C" w:rsidP="00E91746">
            <w:pPr>
              <w:rPr>
                <w:b/>
                <w:bCs/>
                <w:color w:val="000000"/>
                <w:sz w:val="20"/>
                <w:szCs w:val="20"/>
              </w:rPr>
            </w:pPr>
            <w:r w:rsidRPr="00A94232">
              <w:rPr>
                <w:b/>
                <w:bCs/>
                <w:color w:val="000000"/>
                <w:sz w:val="20"/>
                <w:szCs w:val="20"/>
              </w:rPr>
              <w:t>TOTAL</w:t>
            </w:r>
          </w:p>
        </w:tc>
        <w:tc>
          <w:tcPr>
            <w:tcW w:w="108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169</w:t>
            </w:r>
          </w:p>
        </w:tc>
        <w:tc>
          <w:tcPr>
            <w:tcW w:w="45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12</w:t>
            </w:r>
          </w:p>
        </w:tc>
        <w:tc>
          <w:tcPr>
            <w:tcW w:w="540" w:type="dxa"/>
            <w:tcBorders>
              <w:top w:val="nil"/>
              <w:left w:val="nil"/>
              <w:bottom w:val="single" w:sz="4" w:space="0" w:color="auto"/>
              <w:right w:val="single" w:sz="4" w:space="0" w:color="auto"/>
            </w:tcBorders>
            <w:shd w:val="clear" w:color="auto" w:fill="auto"/>
            <w:noWrap/>
            <w:vAlign w:val="bottom"/>
            <w:hideMark/>
          </w:tcPr>
          <w:p w:rsidR="00731D7C" w:rsidRPr="00A94232" w:rsidRDefault="00731D7C" w:rsidP="00E91746">
            <w:pPr>
              <w:jc w:val="right"/>
              <w:rPr>
                <w:color w:val="000000"/>
                <w:sz w:val="20"/>
                <w:szCs w:val="20"/>
              </w:rPr>
            </w:pPr>
            <w:r w:rsidRPr="00A94232">
              <w:rPr>
                <w:color w:val="000000"/>
                <w:sz w:val="20"/>
                <w:szCs w:val="20"/>
              </w:rPr>
              <w:t>6</w:t>
            </w:r>
          </w:p>
        </w:tc>
      </w:tr>
    </w:tbl>
    <w:p w:rsidR="00731D7C" w:rsidRDefault="00311A37" w:rsidP="00731D7C">
      <w:pPr>
        <w:rPr>
          <w:b/>
        </w:rPr>
      </w:pPr>
      <w:proofErr w:type="gramStart"/>
      <w:r>
        <w:rPr>
          <w:b/>
        </w:rPr>
        <w:lastRenderedPageBreak/>
        <w:t>Table 3-3.</w:t>
      </w:r>
      <w:proofErr w:type="gramEnd"/>
      <w:r w:rsidR="00731D7C" w:rsidRPr="002D77C6">
        <w:rPr>
          <w:b/>
        </w:rPr>
        <w:t xml:space="preserve"> </w:t>
      </w:r>
      <w:r w:rsidR="00731D7C" w:rsidRPr="00FB3397">
        <w:t>List of goods purchased by George Washington from John Posey, October 2, 1767.</w:t>
      </w:r>
    </w:p>
    <w:p w:rsidR="00731D7C" w:rsidRPr="00FB3397" w:rsidRDefault="00731D7C" w:rsidP="00731D7C">
      <w:pPr>
        <w:rPr>
          <w:b/>
        </w:rPr>
      </w:pPr>
    </w:p>
    <w:tbl>
      <w:tblPr>
        <w:tblW w:w="5779" w:type="dxa"/>
        <w:tblInd w:w="89" w:type="dxa"/>
        <w:tblLook w:val="04A0"/>
      </w:tblPr>
      <w:tblGrid>
        <w:gridCol w:w="1459"/>
        <w:gridCol w:w="4320"/>
      </w:tblGrid>
      <w:tr w:rsidR="00731D7C" w:rsidRPr="005E7FEA" w:rsidTr="00E91746">
        <w:trPr>
          <w:trHeight w:val="255"/>
        </w:trPr>
        <w:tc>
          <w:tcPr>
            <w:tcW w:w="1459"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731D7C" w:rsidRPr="005E7FEA" w:rsidRDefault="00731D7C" w:rsidP="00E91746">
            <w:pPr>
              <w:rPr>
                <w:b/>
                <w:bCs/>
                <w:color w:val="000000"/>
              </w:rPr>
            </w:pPr>
            <w:r w:rsidRPr="005E7FEA">
              <w:rPr>
                <w:b/>
                <w:bCs/>
                <w:color w:val="000000"/>
              </w:rPr>
              <w:t>Quantity</w:t>
            </w:r>
          </w:p>
        </w:tc>
        <w:tc>
          <w:tcPr>
            <w:tcW w:w="4320" w:type="dxa"/>
            <w:tcBorders>
              <w:top w:val="single" w:sz="4" w:space="0" w:color="auto"/>
              <w:left w:val="nil"/>
              <w:bottom w:val="single" w:sz="4" w:space="0" w:color="auto"/>
              <w:right w:val="single" w:sz="4" w:space="0" w:color="auto"/>
            </w:tcBorders>
            <w:shd w:val="clear" w:color="000000" w:fill="D8D8D8"/>
            <w:noWrap/>
            <w:vAlign w:val="bottom"/>
            <w:hideMark/>
          </w:tcPr>
          <w:p w:rsidR="00731D7C" w:rsidRPr="005E7FEA" w:rsidRDefault="00731D7C" w:rsidP="00E91746">
            <w:pPr>
              <w:rPr>
                <w:b/>
                <w:bCs/>
                <w:color w:val="000000"/>
              </w:rPr>
            </w:pPr>
            <w:r w:rsidRPr="005E7FEA">
              <w:rPr>
                <w:b/>
                <w:bCs/>
                <w:color w:val="000000"/>
              </w:rPr>
              <w:t>Description of Purchase</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20</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horses &amp; mares</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40</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head of black cattle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3</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yoke of work steers</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80</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head of hogs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40</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head of sheep</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ox cart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horse cart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8</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good feather beds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clock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large looking glass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2</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desks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4</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guns two of which are silver mounted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Hat</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ferry boat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battoe</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scow</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tent and Marquee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pair of canteens</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3</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cases with silver spoons</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large silver spoon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silver strainer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silver ladle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2</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silver salts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silver cruet stand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12</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silver table knives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12</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silver forks</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2</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table silver Candlesticks</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silver stand for snuffers</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forty gallon Copper Kettle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twenty gallon Copper Ditto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thousand bushells of Oister shells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2</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 xml:space="preserve">new wheat fans </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1</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four wheele carriage with new harnefs</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jc w:val="right"/>
              <w:rPr>
                <w:color w:val="000000"/>
              </w:rPr>
            </w:pPr>
            <w:r w:rsidRPr="005E7FEA">
              <w:rPr>
                <w:color w:val="000000"/>
              </w:rPr>
              <w:t>340</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new flower Barrels</w:t>
            </w:r>
          </w:p>
        </w:tc>
      </w:tr>
      <w:tr w:rsidR="00731D7C" w:rsidRPr="005E7FEA" w:rsidTr="00E91746">
        <w:trPr>
          <w:trHeight w:val="255"/>
        </w:trPr>
        <w:tc>
          <w:tcPr>
            <w:tcW w:w="1459" w:type="dxa"/>
            <w:tcBorders>
              <w:top w:val="nil"/>
              <w:left w:val="single" w:sz="4" w:space="0" w:color="auto"/>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Total Value</w:t>
            </w:r>
          </w:p>
        </w:tc>
        <w:tc>
          <w:tcPr>
            <w:tcW w:w="4320" w:type="dxa"/>
            <w:tcBorders>
              <w:top w:val="nil"/>
              <w:left w:val="nil"/>
              <w:bottom w:val="single" w:sz="4" w:space="0" w:color="auto"/>
              <w:right w:val="single" w:sz="4" w:space="0" w:color="auto"/>
            </w:tcBorders>
            <w:shd w:val="clear" w:color="auto" w:fill="auto"/>
            <w:noWrap/>
            <w:vAlign w:val="bottom"/>
            <w:hideMark/>
          </w:tcPr>
          <w:p w:rsidR="00731D7C" w:rsidRPr="005E7FEA" w:rsidRDefault="00731D7C" w:rsidP="00E91746">
            <w:pPr>
              <w:rPr>
                <w:color w:val="000000"/>
              </w:rPr>
            </w:pPr>
            <w:r w:rsidRPr="005E7FEA">
              <w:rPr>
                <w:color w:val="000000"/>
              </w:rPr>
              <w:t>200 pounds sterling</w:t>
            </w:r>
          </w:p>
        </w:tc>
      </w:tr>
    </w:tbl>
    <w:p w:rsidR="00731D7C" w:rsidRPr="002D77C6" w:rsidRDefault="00731D7C" w:rsidP="00731D7C">
      <w:pPr>
        <w:rPr>
          <w:b/>
        </w:rPr>
      </w:pPr>
    </w:p>
    <w:p w:rsidR="00731D7C" w:rsidRDefault="00731D7C" w:rsidP="00731D7C">
      <w:r>
        <w:br w:type="page"/>
      </w:r>
    </w:p>
    <w:p w:rsidR="00731D7C" w:rsidRPr="00477F61" w:rsidRDefault="00731D7C" w:rsidP="00731D7C">
      <w:pPr>
        <w:spacing w:line="480" w:lineRule="auto"/>
        <w:ind w:firstLine="720"/>
      </w:pPr>
      <w:r w:rsidRPr="00477F61">
        <w:lastRenderedPageBreak/>
        <w:t>Martin (2008:47-49) discusses inheritance as a primary mode in which goods were transferred between i</w:t>
      </w:r>
      <w:r w:rsidR="00BA14E2">
        <w:t>ndividuals, particularly among</w:t>
      </w:r>
      <w:r w:rsidRPr="00477F61">
        <w:t xml:space="preserve"> family members.  As discussed in Breen (2003), our best and earliest glimpse at the material world of Mount Vernon is found in Lawrence Washington’s estate invento</w:t>
      </w:r>
      <w:r w:rsidR="00311A37">
        <w:t>ry of 1753.</w:t>
      </w:r>
      <w:r>
        <w:t xml:space="preserve"> His will stipulated</w:t>
      </w:r>
      <w:r w:rsidRPr="00477F61">
        <w:t xml:space="preserve"> that his wife and heir Ann Fairfax Washington could choose what she wished from the inventory an</w:t>
      </w:r>
      <w:r w:rsidR="00311A37">
        <w:t>d sell the rest to repay debts.</w:t>
      </w:r>
      <w:r w:rsidRPr="00477F61">
        <w:t xml:space="preserve"> It is unknown what articles Ann chose for her new household, which she established with George Lee five months after Lawrence Washington’s death, or</w:t>
      </w:r>
      <w:r>
        <w:t xml:space="preserve"> which were sold to repay debts;</w:t>
      </w:r>
      <w:r w:rsidRPr="00477F61">
        <w:t xml:space="preserve"> however it is possible that the things she left behind would have been there when George Washington leased the property beginning in 1754 (</w:t>
      </w:r>
      <w:r>
        <w:t>Abbot 1983[1]:232-235</w:t>
      </w:r>
      <w:r w:rsidR="00311A37">
        <w:t>).</w:t>
      </w:r>
      <w:r w:rsidRPr="00477F61">
        <w:t xml:space="preserve"> Supporting evidence documents that Washington paid £55 for “sundrys” left behind in the house </w:t>
      </w:r>
      <w:r w:rsidR="00311A37">
        <w:t xml:space="preserve">(Dalzell and Dalzell 1998:37). </w:t>
      </w:r>
      <w:r w:rsidRPr="00477F61">
        <w:t xml:space="preserve">Additionally, in the pre-Revolutionary period, we know that George Washington’s material world changed upon his marriage to Martha Dandridge Custis in 1759, a wealthy widow living in the lower tidewater region.  </w:t>
      </w:r>
    </w:p>
    <w:p w:rsidR="00731D7C" w:rsidRPr="00477F61" w:rsidRDefault="00731D7C" w:rsidP="00731D7C">
      <w:pPr>
        <w:spacing w:line="480" w:lineRule="auto"/>
        <w:ind w:firstLine="720"/>
      </w:pPr>
      <w:r w:rsidRPr="00477F61">
        <w:t>Upon the death of her first husband, Daniel Parke Custis, Martha inherited one-third of her late husband’s pro</w:t>
      </w:r>
      <w:r w:rsidR="00311A37">
        <w:t>perty (Breen 2003).</w:t>
      </w:r>
      <w:r>
        <w:t xml:space="preserve"> Archaeological</w:t>
      </w:r>
      <w:r w:rsidRPr="00477F61">
        <w:t xml:space="preserve"> and museum collections data provide evidence that Martha Custis brought with her house</w:t>
      </w:r>
      <w:r w:rsidR="00311A37">
        <w:t xml:space="preserve">hold items that she inherited. </w:t>
      </w:r>
      <w:r w:rsidRPr="00477F61">
        <w:t>Additionally, a list of “Sundrys taken and usd by Mrs Custis out of the Inventories” suggests that some of these goods may have been introduced to Mount Vernon in 1759 (</w:t>
      </w:r>
      <w:r>
        <w:t>Abbot 1988[6]:232-235</w:t>
      </w:r>
      <w:r w:rsidR="00311A37">
        <w:t xml:space="preserve">). </w:t>
      </w:r>
      <w:r w:rsidRPr="00477F61">
        <w:t xml:space="preserve">The more expensive items in this list include livestock, horses, a </w:t>
      </w:r>
      <w:r w:rsidR="00311A37">
        <w:t xml:space="preserve">chariot and harness, and wine. </w:t>
      </w:r>
      <w:r w:rsidRPr="00477F61">
        <w:t>Other foodstuffs, beverages, household furniture, and tablewares are listed, as are agricultural implements.</w:t>
      </w:r>
    </w:p>
    <w:p w:rsidR="00731D7C" w:rsidRDefault="00731D7C" w:rsidP="00731D7C">
      <w:pPr>
        <w:spacing w:line="480" w:lineRule="auto"/>
        <w:ind w:firstLine="720"/>
      </w:pPr>
      <w:r w:rsidRPr="00477F61">
        <w:rPr>
          <w:i/>
        </w:rPr>
        <w:t>Informal Avenues of Access to Goods.</w:t>
      </w:r>
      <w:r w:rsidR="00311A37">
        <w:t xml:space="preserve"> </w:t>
      </w:r>
      <w:r w:rsidRPr="00477F61">
        <w:t>Goods traveled through eighteenth century hands in ways for whi</w:t>
      </w:r>
      <w:r w:rsidR="00311A37">
        <w:t>ch little documentation exists.</w:t>
      </w:r>
      <w:r w:rsidRPr="00477F61">
        <w:t xml:space="preserve"> Archaeologists entered into this dialogue and </w:t>
      </w:r>
      <w:r w:rsidRPr="00477F61">
        <w:lastRenderedPageBreak/>
        <w:t>sought to detail internal plantation dynamics that accounted for the existence of certain art</w:t>
      </w:r>
      <w:r w:rsidR="00311A37">
        <w:t xml:space="preserve">ifacts on slave-related sites. </w:t>
      </w:r>
      <w:r w:rsidRPr="00477F61">
        <w:t>These informal avenues of access most often cited include: provisioning; theft; handing down of out-dated or old items; allotting rewards to slaves during holidays or after periods of intense labor; gardening, hunting, or</w:t>
      </w:r>
      <w:r w:rsidR="005F19E1">
        <w:t xml:space="preserve"> fishing; and trade and barter </w:t>
      </w:r>
      <w:r w:rsidRPr="00477F61">
        <w:t>(</w:t>
      </w:r>
      <w:r w:rsidR="005F19E1">
        <w:t xml:space="preserve">for example, </w:t>
      </w:r>
      <w:r w:rsidRPr="00477F61">
        <w:t xml:space="preserve">Otto 1984; Orser 1987; Samford 1996; Morgan 1998; </w:t>
      </w:r>
      <w:r w:rsidR="005F19E1">
        <w:t xml:space="preserve">Heath and Bennett 2000; </w:t>
      </w:r>
      <w:r w:rsidRPr="00477F61">
        <w:t>Pogue 2001</w:t>
      </w:r>
      <w:r>
        <w:t>b</w:t>
      </w:r>
      <w:r w:rsidRPr="00477F61">
        <w:t xml:space="preserve">; </w:t>
      </w:r>
      <w:r>
        <w:t xml:space="preserve">Thompson 2001; </w:t>
      </w:r>
      <w:r w:rsidRPr="00477F61">
        <w:t xml:space="preserve">Penningroth 2003; </w:t>
      </w:r>
      <w:r>
        <w:t xml:space="preserve">Breen 2004; </w:t>
      </w:r>
      <w:r w:rsidRPr="00477F61">
        <w:t>Gall</w:t>
      </w:r>
      <w:r w:rsidR="00311A37">
        <w:t xml:space="preserve">e 2006; Kern 2010). </w:t>
      </w:r>
      <w:r w:rsidRPr="00477F61">
        <w:t xml:space="preserve">Some tension has always underlain this discussion of access to goods through these avenues, in addition to consumerism, because of the notions of power and resistance inherent in the act of coming into or taking possession of material </w:t>
      </w:r>
      <w:r w:rsidR="00311A37">
        <w:t>culture (Galle 2006).</w:t>
      </w:r>
      <w:r w:rsidRPr="00477F61">
        <w:t xml:space="preserve"> Power relationships imbued in the transfer of objects deserve exploration; however, it is important to acknowledge the complexity of how artifacts were obtained, used, and discarded and that all of these avenues could have been occurring simultaneously</w:t>
      </w:r>
      <w:r>
        <w:t xml:space="preserve"> for diverse segments of colonial society</w:t>
      </w:r>
      <w:r w:rsidRPr="00477F61">
        <w:t>.</w:t>
      </w:r>
      <w:r w:rsidR="00311A37">
        <w:t xml:space="preserve"> </w:t>
      </w:r>
      <w:r>
        <w:t>For example, theft served as a way in which slaves obta</w:t>
      </w:r>
      <w:r w:rsidR="00311A37">
        <w:t xml:space="preserve">ined goods from their masters. </w:t>
      </w:r>
      <w:r>
        <w:t>George Washington’s apprehension of this activity is captured in a document relating to the possibility of the wife of a carpenter</w:t>
      </w:r>
      <w:r w:rsidR="00311A37">
        <w:t xml:space="preserve"> opening a shop in Alexandria. </w:t>
      </w:r>
      <w:r>
        <w:t>Washington fea</w:t>
      </w:r>
      <w:r w:rsidR="005F19E1">
        <w:t>red that if she wa</w:t>
      </w:r>
      <w:r>
        <w:t>s to have dealings with Mount Vernon slaves coming to the store, the shop would become “no more than a receptacle for stol</w:t>
      </w:r>
      <w:r w:rsidR="00311A37">
        <w:t>en produce” (Thompson 2001:95).</w:t>
      </w:r>
      <w:r>
        <w:t xml:space="preserve"> Breen (2004:104-111) regards theft from stores as but another avenue of access to goods in the “great chain of colonial acquisition.”  Colonial newspapers document the widespread occurrence of theft on the part of whites with “a larcenous turn of mind” taking advantage of “the wonderful new opportunities presented by an empi</w:t>
      </w:r>
      <w:r w:rsidR="00311A37">
        <w:t xml:space="preserve">re of goods” (Breen 2004:104). </w:t>
      </w:r>
      <w:r>
        <w:t>Theft, then, contributed widely to the movement of goods in colonial society, just as it does today.</w:t>
      </w:r>
      <w:r w:rsidR="00311A37">
        <w:t xml:space="preserve"> </w:t>
      </w:r>
      <w:r w:rsidR="00251EE8">
        <w:t xml:space="preserve">These small acts of </w:t>
      </w:r>
      <w:r w:rsidR="00761666">
        <w:t>larceny</w:t>
      </w:r>
      <w:r w:rsidR="00251EE8">
        <w:t xml:space="preserve"> must be contextualized in the </w:t>
      </w:r>
      <w:r w:rsidR="00761666">
        <w:t xml:space="preserve">broader context of </w:t>
      </w:r>
      <w:r w:rsidR="00761666">
        <w:lastRenderedPageBreak/>
        <w:t xml:space="preserve">theft that occurred throughout the colonial world – theft of Africans from villages into the system of slavery, and theft of slave labor on the part of white masters. </w:t>
      </w:r>
      <w:r w:rsidR="00251EE8">
        <w:t xml:space="preserve"> </w:t>
      </w:r>
      <w:r>
        <w:t xml:space="preserve">    </w:t>
      </w:r>
      <w:r w:rsidRPr="00477F61">
        <w:t xml:space="preserve">  </w:t>
      </w:r>
    </w:p>
    <w:p w:rsidR="00731D7C" w:rsidRPr="00477F61" w:rsidRDefault="00731D7C" w:rsidP="00731D7C">
      <w:pPr>
        <w:spacing w:line="480" w:lineRule="auto"/>
        <w:ind w:firstLine="720"/>
      </w:pPr>
      <w:r>
        <w:t>Glimpses of other informal avenues of access are afforded to</w:t>
      </w:r>
      <w:r w:rsidRPr="00477F61">
        <w:t xml:space="preserve"> peddlers and itinerant traders </w:t>
      </w:r>
      <w:r>
        <w:t xml:space="preserve">who </w:t>
      </w:r>
      <w:r w:rsidRPr="00477F61">
        <w:t>continued to operate after the establishment of stores, visiting plantations and offering their wares to whomever might be interested (Berlin 1998:137; Martin 2008:46).</w:t>
      </w:r>
      <w:r w:rsidR="00311A37">
        <w:t xml:space="preserve"> </w:t>
      </w:r>
      <w:r>
        <w:t>They operated much to the opposition of country store owners who complained about the</w:t>
      </w:r>
      <w:r w:rsidR="00311A37">
        <w:t xml:space="preserve"> competition (Breen 2004:144). </w:t>
      </w:r>
      <w:r>
        <w:t>Because of their liminal status in colonial society (they were rumored to spread disease and sell stole</w:t>
      </w:r>
      <w:r w:rsidR="005F19E1">
        <w:t>n goods), peddlar</w:t>
      </w:r>
      <w:r>
        <w:t>s</w:t>
      </w:r>
      <w:r w:rsidR="005F19E1">
        <w:t>’</w:t>
      </w:r>
      <w:r>
        <w:t xml:space="preserve"> commercial activities were often legislated against in an effort to limit their commerce (Breen 2004:145), offering another piece of evidence of their existence.</w:t>
      </w:r>
      <w:r w:rsidR="00311A37">
        <w:t xml:space="preserve"> </w:t>
      </w:r>
      <w:r w:rsidRPr="00477F61">
        <w:t xml:space="preserve">Occasional or regular public markets </w:t>
      </w:r>
      <w:r>
        <w:t xml:space="preserve">(often accompanying court days) </w:t>
      </w:r>
      <w:r w:rsidRPr="00477F61">
        <w:t>offered spaces for economic as well as cultural exchanges for blacks and whites alike (Martin 1993:</w:t>
      </w:r>
      <w:r w:rsidR="00311A37">
        <w:t>161; Morgan 1998:372).</w:t>
      </w:r>
      <w:r w:rsidRPr="00477F61">
        <w:t xml:space="preserve"> Alexandria in the late eighteenth and nineteenth century had just one of these markets open Sundays and to slaves, befo</w:t>
      </w:r>
      <w:r w:rsidR="00311A37">
        <w:t xml:space="preserve">re 9:00 am (Thompson 2001:92). </w:t>
      </w:r>
      <w:r w:rsidRPr="00477F61">
        <w:t>Artisans and local craftsmen occasionally catered to planters like George Washington by making shoes or performing specialized services such as carpentry, knitting, or midwifery (Martin 2008:49-51; Washington 1750-1774).</w:t>
      </w:r>
    </w:p>
    <w:p w:rsidR="00731D7C" w:rsidRPr="00DE4354" w:rsidRDefault="00731D7C" w:rsidP="00731D7C">
      <w:pPr>
        <w:spacing w:line="480" w:lineRule="auto"/>
        <w:rPr>
          <w:b/>
        </w:rPr>
      </w:pPr>
      <w:r w:rsidRPr="00DE4354">
        <w:rPr>
          <w:b/>
        </w:rPr>
        <w:t>Conclusion</w:t>
      </w:r>
    </w:p>
    <w:p w:rsidR="00731D7C" w:rsidRPr="00477F61" w:rsidRDefault="00731D7C" w:rsidP="00731D7C">
      <w:pPr>
        <w:spacing w:line="480" w:lineRule="auto"/>
        <w:ind w:firstLine="720"/>
      </w:pPr>
      <w:r>
        <w:t>As the eighteenth-century consumer economy began to bifurcate into a dual system of tobacco consignment and retail trade at local stores, other forms of economic exchange continued to operate outside the bounds of t</w:t>
      </w:r>
      <w:r w:rsidR="00311A37">
        <w:t xml:space="preserve">he formal, documented economy. </w:t>
      </w:r>
      <w:r>
        <w:t xml:space="preserve">For elites, consigning their tobacco to English factors gave them the credit they needed to purchase all sorts of </w:t>
      </w:r>
      <w:r w:rsidR="00311A37">
        <w:t xml:space="preserve">goods. </w:t>
      </w:r>
      <w:r>
        <w:t>These</w:t>
      </w:r>
      <w:r w:rsidR="005F19E1">
        <w:t xml:space="preserve"> items</w:t>
      </w:r>
      <w:r>
        <w:t xml:space="preserve"> enabled </w:t>
      </w:r>
      <w:r w:rsidR="005F19E1">
        <w:t>wealthy men and women to re-create</w:t>
      </w:r>
      <w:r>
        <w:t xml:space="preserve"> a genteel existence mimicking to the best of their ability the English model they knew or thought they knew. </w:t>
      </w:r>
      <w:r>
        <w:lastRenderedPageBreak/>
        <w:t>Problematically, this bridge back to the heart of the trans-Atlantic world (the source of high culture and fashion) was not as stable as George Wash</w:t>
      </w:r>
      <w:r w:rsidR="00311A37">
        <w:t xml:space="preserve">ington and his peers expected. </w:t>
      </w:r>
      <w:r>
        <w:t>Forces such as debt, dependence on a middleman (who was that ill-fitting combination of friend and business partner), popular religious movements, and a struggle for cultural legitimacy in the eyes of disdainful metropolitan arbiters continually destabilized th</w:t>
      </w:r>
      <w:r w:rsidR="00311A37">
        <w:t>ese attempts a bridge building.</w:t>
      </w:r>
      <w:r>
        <w:t xml:space="preserve"> The weakness in many of these narratives is the primacy of documentary sources as opposed to systematic analyses of the other important primary source </w:t>
      </w:r>
      <w:r w:rsidR="00311A37">
        <w:t xml:space="preserve">– the material culture itself. </w:t>
      </w:r>
      <w:r>
        <w:t>The only real theoretical challenge to this narrative argues for an acknowledgement of the concept of conspicuous production and the importance of agricultural success based on material possessions, as opposed to conspicuous consumption and a single-minded emphasis on objec</w:t>
      </w:r>
      <w:r w:rsidR="00311A37">
        <w:t xml:space="preserve">ts of luxury and extravagance. </w:t>
      </w:r>
      <w:r>
        <w:t xml:space="preserve">The goals of agricultural self-sufficiency and prosperity bound plantation dwellers of all kinds under a common motivation – to consume and pass onto future generations those tools of production to support and sustain a rural existence.   </w:t>
      </w:r>
    </w:p>
    <w:p w:rsidR="00731D7C" w:rsidRPr="00477F61" w:rsidRDefault="00731D7C" w:rsidP="00731D7C">
      <w:pPr>
        <w:spacing w:line="480" w:lineRule="auto"/>
      </w:pPr>
      <w:r>
        <w:tab/>
        <w:t>For non-elites, the interpretation of consumer desires, once mired in models of emulation and top-down movements of goods and ideas through society, has now focused on theories of agency countering that people of lower classes bought into the consumer revolution to signal their personal successes or attunement to fashion, create communities, protest inequalities, and perhaps even emulate their elite neighbors, employers, or owners but purposefully and in complex ways that may have punched holes in the fences erected by elite participation in the economically</w:t>
      </w:r>
      <w:r w:rsidR="00311A37">
        <w:t xml:space="preserve"> exclusive consignment system. </w:t>
      </w:r>
      <w:r>
        <w:t xml:space="preserve">Within the current literature, there is much room to explore the constraints of one’s ability to act as a free agent within the bounds of the colonial marketplace, but also to explore the reasons behind the consumer choices they made, though hindered, at one well-documented, well-excavated plantation. </w:t>
      </w:r>
    </w:p>
    <w:p w:rsidR="008203A5" w:rsidRPr="00223C79" w:rsidRDefault="008203A5" w:rsidP="00BE6873">
      <w:pPr>
        <w:spacing w:line="480" w:lineRule="auto"/>
        <w:jc w:val="center"/>
        <w:rPr>
          <w:b/>
        </w:rPr>
      </w:pPr>
      <w:r>
        <w:rPr>
          <w:b/>
        </w:rPr>
        <w:lastRenderedPageBreak/>
        <w:t xml:space="preserve">Chapter 4: The </w:t>
      </w:r>
      <w:r w:rsidRPr="00FE5AFD">
        <w:rPr>
          <w:b/>
        </w:rPr>
        <w:t>Development of the Upper Chesapeake Region</w:t>
      </w:r>
      <w:r>
        <w:rPr>
          <w:b/>
        </w:rPr>
        <w:t xml:space="preserve"> through 1775</w:t>
      </w:r>
    </w:p>
    <w:p w:rsidR="008203A5" w:rsidRDefault="008203A5" w:rsidP="008203A5">
      <w:pPr>
        <w:spacing w:line="480" w:lineRule="auto"/>
      </w:pPr>
      <w:r>
        <w:tab/>
        <w:t>His</w:t>
      </w:r>
      <w:r w:rsidR="00311A37">
        <w:t xml:space="preserve">tories of Mount Vernon abound. </w:t>
      </w:r>
      <w:r>
        <w:t xml:space="preserve">Research on the plantation’s slaves and </w:t>
      </w:r>
      <w:r w:rsidR="005F19E1">
        <w:t>George Washington</w:t>
      </w:r>
      <w:r>
        <w:t>’s sentiments on slavery perv</w:t>
      </w:r>
      <w:r w:rsidR="00311A37">
        <w:t xml:space="preserve">ade the historical literature. </w:t>
      </w:r>
      <w:r>
        <w:t xml:space="preserve">Biographies of </w:t>
      </w:r>
      <w:r w:rsidR="005F19E1">
        <w:t>the first president</w:t>
      </w:r>
      <w:r>
        <w:t xml:space="preserve"> are even more preval</w:t>
      </w:r>
      <w:r w:rsidR="00311A37">
        <w:t xml:space="preserve">ent. </w:t>
      </w:r>
      <w:r>
        <w:t>However, there is room within these crowded fields for discussion</w:t>
      </w:r>
      <w:r w:rsidR="005F19E1">
        <w:t xml:space="preserve"> of four important topics which contribute specifically to this dissertation</w:t>
      </w:r>
      <w:r w:rsidR="00311A37">
        <w:t xml:space="preserve">. </w:t>
      </w:r>
      <w:r>
        <w:t>The first focuses on the regional and demographic dev</w:t>
      </w:r>
      <w:r w:rsidR="00311A37">
        <w:t xml:space="preserve">elopment of the upper Potomac. </w:t>
      </w:r>
      <w:r>
        <w:t>The second presents a picture of the Washing</w:t>
      </w:r>
      <w:r w:rsidR="005F19E1">
        <w:t>ton households on Mount Vernon N</w:t>
      </w:r>
      <w:r>
        <w:t>eck in the decades</w:t>
      </w:r>
      <w:r w:rsidR="00311A37">
        <w:t xml:space="preserve"> before the Revolutionary War. </w:t>
      </w:r>
      <w:r>
        <w:t>The third contributes a micro-scale history of the landscape and archi</w:t>
      </w:r>
      <w:r w:rsidR="00311A37">
        <w:t xml:space="preserve">tecture of early Mount Vernon. </w:t>
      </w:r>
      <w:r>
        <w:t>The final section offers a glimpse at the charter generation of slaves brought to the upper Potomac region generally and then to M</w:t>
      </w:r>
      <w:r w:rsidR="00311A37">
        <w:t xml:space="preserve">ount Vernon more specifically. </w:t>
      </w:r>
      <w:r>
        <w:t>These four discussions offer the context necessary for a discussion of consumerism.</w:t>
      </w:r>
    </w:p>
    <w:p w:rsidR="008203A5" w:rsidRDefault="008203A5" w:rsidP="008203A5">
      <w:pPr>
        <w:spacing w:line="480" w:lineRule="auto"/>
      </w:pPr>
      <w:r w:rsidRPr="002E487D">
        <w:rPr>
          <w:b/>
        </w:rPr>
        <w:t>Regional Development</w:t>
      </w:r>
      <w:r>
        <w:t xml:space="preserve">  </w:t>
      </w:r>
    </w:p>
    <w:p w:rsidR="008203A5" w:rsidRDefault="008203A5" w:rsidP="008203A5">
      <w:pPr>
        <w:spacing w:line="480" w:lineRule="auto"/>
        <w:ind w:firstLine="720"/>
      </w:pPr>
      <w:r w:rsidRPr="002E487D">
        <w:rPr>
          <w:i/>
        </w:rPr>
        <w:t>Early Settlement.</w:t>
      </w:r>
      <w:r w:rsidR="00311A37">
        <w:t xml:space="preserve"> </w:t>
      </w:r>
      <w:r>
        <w:t>Fairfax County was carved from the lands of the Northern Neck (located between the Potomac and Rappahannock Rivers) and originally established as a proprietary in 1649 by Kin</w:t>
      </w:r>
      <w:r w:rsidR="00311A37">
        <w:t xml:space="preserve">g Charles II (Sweig 1978:5-8). </w:t>
      </w:r>
      <w:r>
        <w:t>As the colonial population grew and spread from Northumberland County, new coun</w:t>
      </w:r>
      <w:r w:rsidR="00311A37">
        <w:t xml:space="preserve">ties were created (Table 4-1). </w:t>
      </w:r>
      <w:r>
        <w:t>Therefore, Fairfax County was first in Northumberland, t</w:t>
      </w:r>
      <w:r w:rsidR="005F19E1">
        <w:t>hen Westmoreland, then Stafford</w:t>
      </w:r>
      <w:r w:rsidR="00311A37">
        <w:t xml:space="preserve"> (Sweig 1978:8). </w:t>
      </w:r>
      <w:r>
        <w:t xml:space="preserve">The area saw the greatest land rush when encompassed by Stafford County, specifically during the 1720s and </w:t>
      </w:r>
      <w:r w:rsidR="00311A37">
        <w:t xml:space="preserve">early 1730s (Sweig 1978:15). </w:t>
      </w:r>
      <w:r>
        <w:t>Speculators, who anticipated the creation of a new county and who were looking to turn a profit while land values were s</w:t>
      </w:r>
      <w:r w:rsidR="00311A37">
        <w:t xml:space="preserve">till low, instigated the boom. </w:t>
      </w:r>
      <w:r>
        <w:t>Gentry planters in more well-established counties of the lower Northern Neck became the absentee large landowners</w:t>
      </w:r>
      <w:r w:rsidR="00311A37">
        <w:t xml:space="preserve"> of the future Fairfax County. </w:t>
      </w:r>
      <w:r>
        <w:t xml:space="preserve">Stafford became Prince William County (from 1731 to </w:t>
      </w:r>
      <w:r w:rsidR="00311A37">
        <w:lastRenderedPageBreak/>
        <w:t xml:space="preserve">1742). </w:t>
      </w:r>
      <w:r>
        <w:t xml:space="preserve">Prince William had only been in existence for a year when its residents began petitioning for the establishment of a new county called Fairfax (Sweig 1978:6).  </w:t>
      </w:r>
    </w:p>
    <w:p w:rsidR="008203A5" w:rsidRDefault="008203A5" w:rsidP="008203A5">
      <w:pPr>
        <w:spacing w:line="480" w:lineRule="auto"/>
        <w:ind w:firstLine="720"/>
      </w:pPr>
      <w:r>
        <w:t>In 1741, William Fairfax, the Collector of Customs for the South Potomac River and cousin of Lord Fairfax, the proprietor of the lands that would become Fairfax County, finished construction on Belvoir Mansion (Sweig 197</w:t>
      </w:r>
      <w:r w:rsidR="00311A37">
        <w:t xml:space="preserve">8:6). </w:t>
      </w:r>
      <w:r>
        <w:t>This event was significant, for the imposing brick plantation house was the first of its kind in the area and embodied the immense wealth and power of the Fairfax family (Dalzell and Dal</w:t>
      </w:r>
      <w:r w:rsidR="00311A37">
        <w:t xml:space="preserve">zell 1999:29; Veech 1998:121). </w:t>
      </w:r>
      <w:r>
        <w:t>In December of 1742, the county of Fairfax was created and named for Lord Thomas Fairfax, the sixth Lord of Fairfax and proprietor of the</w:t>
      </w:r>
      <w:r w:rsidR="00311A37">
        <w:t xml:space="preserve"> Northern Neck (Sweig 1978:10).</w:t>
      </w:r>
      <w:r>
        <w:t xml:space="preserve"> The Fairfaxes were titled lords who held lands and posi</w:t>
      </w:r>
      <w:r w:rsidR="00311A37">
        <w:t xml:space="preserve">tions in England and Virginia. </w:t>
      </w:r>
      <w:r>
        <w:t>They exemplified genteel society and “when it came to matters of refinement, tastefulness, and elegance, all eyes in Fairfax County looked toward the Barons of Belv</w:t>
      </w:r>
      <w:r w:rsidR="00311A37">
        <w:t xml:space="preserve">oir Mansion” (Veech 1998:121). </w:t>
      </w:r>
      <w:r>
        <w:t>Lawrence Washington inherited the Little Hunting Creek tract (Mount Vernon’s earlier name) just as the county of Fairfax was being carved from Prince Wil</w:t>
      </w:r>
      <w:r w:rsidR="00311A37">
        <w:t xml:space="preserve">liam County (Sweig 1978:9-10). </w:t>
      </w:r>
      <w:r>
        <w:t>In 1742, when Fairfax County was created, its boundaries overlapped with Truro Parish and it encompassed Loudon and Arlington</w:t>
      </w:r>
      <w:r w:rsidR="00311A37">
        <w:t xml:space="preserve"> counties and Alexandria City. </w:t>
      </w:r>
      <w:r>
        <w:t xml:space="preserve">It was later reduced in size by further divisions in the region (Sweig 1978:36).  </w:t>
      </w:r>
    </w:p>
    <w:p w:rsidR="008203A5" w:rsidRDefault="008203A5" w:rsidP="008203A5">
      <w:pPr>
        <w:spacing w:line="480" w:lineRule="auto"/>
        <w:ind w:firstLine="720"/>
      </w:pPr>
    </w:p>
    <w:p w:rsidR="008203A5" w:rsidRDefault="008203A5" w:rsidP="008203A5">
      <w:pPr>
        <w:spacing w:line="480" w:lineRule="auto"/>
      </w:pPr>
      <w:r w:rsidRPr="006E5652">
        <w:rPr>
          <w:b/>
        </w:rPr>
        <w:t>Table 4-1.</w:t>
      </w:r>
      <w:r>
        <w:t xml:space="preserve"> Counties encompassing Fairfax before its creation.</w:t>
      </w:r>
    </w:p>
    <w:tbl>
      <w:tblPr>
        <w:tblW w:w="4247" w:type="dxa"/>
        <w:tblInd w:w="91" w:type="dxa"/>
        <w:tblLook w:val="04A0"/>
      </w:tblPr>
      <w:tblGrid>
        <w:gridCol w:w="2177"/>
        <w:gridCol w:w="2070"/>
      </w:tblGrid>
      <w:tr w:rsidR="008203A5" w:rsidRPr="006E5652" w:rsidTr="00E91746">
        <w:trPr>
          <w:trHeight w:val="315"/>
        </w:trPr>
        <w:tc>
          <w:tcPr>
            <w:tcW w:w="2177"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8203A5" w:rsidRPr="006E5652" w:rsidRDefault="008203A5" w:rsidP="00E91746">
            <w:pPr>
              <w:jc w:val="center"/>
              <w:rPr>
                <w:rFonts w:eastAsia="Times New Roman"/>
                <w:b/>
                <w:bCs/>
                <w:color w:val="000000"/>
              </w:rPr>
            </w:pPr>
            <w:r w:rsidRPr="006E5652">
              <w:rPr>
                <w:rFonts w:eastAsia="Times New Roman"/>
                <w:b/>
                <w:bCs/>
                <w:color w:val="000000"/>
              </w:rPr>
              <w:t>Year Established</w:t>
            </w:r>
          </w:p>
        </w:tc>
        <w:tc>
          <w:tcPr>
            <w:tcW w:w="207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5652" w:rsidRDefault="008203A5" w:rsidP="00E91746">
            <w:pPr>
              <w:jc w:val="center"/>
              <w:rPr>
                <w:rFonts w:eastAsia="Times New Roman"/>
                <w:b/>
                <w:bCs/>
                <w:color w:val="000000"/>
              </w:rPr>
            </w:pPr>
            <w:r w:rsidRPr="006E5652">
              <w:rPr>
                <w:rFonts w:eastAsia="Times New Roman"/>
                <w:b/>
                <w:bCs/>
                <w:color w:val="000000"/>
              </w:rPr>
              <w:t>County</w:t>
            </w:r>
          </w:p>
        </w:tc>
      </w:tr>
      <w:tr w:rsidR="008203A5" w:rsidRPr="006E5652" w:rsidTr="00E91746">
        <w:trPr>
          <w:trHeight w:val="31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5652" w:rsidRDefault="008203A5" w:rsidP="00E91746">
            <w:pPr>
              <w:jc w:val="right"/>
              <w:rPr>
                <w:rFonts w:eastAsia="Times New Roman"/>
                <w:color w:val="000000"/>
              </w:rPr>
            </w:pPr>
            <w:r w:rsidRPr="006E5652">
              <w:rPr>
                <w:rFonts w:eastAsia="Times New Roman"/>
                <w:color w:val="000000"/>
              </w:rPr>
              <w:t>1648</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E5652" w:rsidRDefault="008203A5" w:rsidP="00E91746">
            <w:pPr>
              <w:rPr>
                <w:rFonts w:eastAsia="Times New Roman"/>
                <w:color w:val="000000"/>
              </w:rPr>
            </w:pPr>
            <w:r w:rsidRPr="006E5652">
              <w:rPr>
                <w:rFonts w:eastAsia="Times New Roman"/>
                <w:color w:val="000000"/>
              </w:rPr>
              <w:t>Northumberland</w:t>
            </w:r>
          </w:p>
        </w:tc>
      </w:tr>
      <w:tr w:rsidR="008203A5" w:rsidRPr="006E5652" w:rsidTr="00E91746">
        <w:trPr>
          <w:trHeight w:val="31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5652" w:rsidRDefault="008203A5" w:rsidP="00E91746">
            <w:pPr>
              <w:jc w:val="right"/>
              <w:rPr>
                <w:rFonts w:eastAsia="Times New Roman"/>
                <w:color w:val="000000"/>
              </w:rPr>
            </w:pPr>
            <w:r w:rsidRPr="006E5652">
              <w:rPr>
                <w:rFonts w:eastAsia="Times New Roman"/>
                <w:color w:val="000000"/>
              </w:rPr>
              <w:t>1653</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E5652" w:rsidRDefault="008203A5" w:rsidP="00E91746">
            <w:pPr>
              <w:rPr>
                <w:rFonts w:eastAsia="Times New Roman"/>
                <w:color w:val="000000"/>
              </w:rPr>
            </w:pPr>
            <w:r w:rsidRPr="006E5652">
              <w:rPr>
                <w:rFonts w:eastAsia="Times New Roman"/>
                <w:color w:val="000000"/>
              </w:rPr>
              <w:t>Westmoreland</w:t>
            </w:r>
          </w:p>
        </w:tc>
      </w:tr>
      <w:tr w:rsidR="008203A5" w:rsidRPr="006E5652" w:rsidTr="00E91746">
        <w:trPr>
          <w:trHeight w:val="31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5652" w:rsidRDefault="008203A5" w:rsidP="00E91746">
            <w:pPr>
              <w:jc w:val="right"/>
              <w:rPr>
                <w:rFonts w:eastAsia="Times New Roman"/>
                <w:color w:val="000000"/>
              </w:rPr>
            </w:pPr>
            <w:r w:rsidRPr="006E5652">
              <w:rPr>
                <w:rFonts w:eastAsia="Times New Roman"/>
                <w:color w:val="000000"/>
              </w:rPr>
              <w:t>1664</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E5652" w:rsidRDefault="008203A5" w:rsidP="00E91746">
            <w:pPr>
              <w:rPr>
                <w:rFonts w:eastAsia="Times New Roman"/>
                <w:color w:val="000000"/>
              </w:rPr>
            </w:pPr>
            <w:r w:rsidRPr="006E5652">
              <w:rPr>
                <w:rFonts w:eastAsia="Times New Roman"/>
                <w:color w:val="000000"/>
              </w:rPr>
              <w:t>Stafford</w:t>
            </w:r>
          </w:p>
        </w:tc>
      </w:tr>
      <w:tr w:rsidR="008203A5" w:rsidRPr="006E5652" w:rsidTr="00E91746">
        <w:trPr>
          <w:trHeight w:val="31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5652" w:rsidRDefault="008203A5" w:rsidP="00E91746">
            <w:pPr>
              <w:jc w:val="right"/>
              <w:rPr>
                <w:rFonts w:eastAsia="Times New Roman"/>
                <w:color w:val="000000"/>
              </w:rPr>
            </w:pPr>
            <w:r w:rsidRPr="006E5652">
              <w:rPr>
                <w:rFonts w:eastAsia="Times New Roman"/>
                <w:color w:val="000000"/>
              </w:rPr>
              <w:t>1731</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E5652" w:rsidRDefault="008203A5" w:rsidP="00E91746">
            <w:pPr>
              <w:rPr>
                <w:rFonts w:eastAsia="Times New Roman"/>
                <w:color w:val="000000"/>
              </w:rPr>
            </w:pPr>
            <w:r w:rsidRPr="006E5652">
              <w:rPr>
                <w:rFonts w:eastAsia="Times New Roman"/>
                <w:color w:val="000000"/>
              </w:rPr>
              <w:t>Prince William</w:t>
            </w:r>
          </w:p>
        </w:tc>
      </w:tr>
      <w:tr w:rsidR="008203A5" w:rsidRPr="006E5652" w:rsidTr="00E91746">
        <w:trPr>
          <w:trHeight w:val="31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5652" w:rsidRDefault="008203A5" w:rsidP="00E91746">
            <w:pPr>
              <w:jc w:val="right"/>
              <w:rPr>
                <w:rFonts w:eastAsia="Times New Roman"/>
                <w:color w:val="000000"/>
              </w:rPr>
            </w:pPr>
            <w:r w:rsidRPr="006E5652">
              <w:rPr>
                <w:rFonts w:eastAsia="Times New Roman"/>
                <w:color w:val="000000"/>
              </w:rPr>
              <w:t>1742</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E5652" w:rsidRDefault="008203A5" w:rsidP="00E91746">
            <w:pPr>
              <w:rPr>
                <w:rFonts w:eastAsia="Times New Roman"/>
                <w:color w:val="000000"/>
              </w:rPr>
            </w:pPr>
            <w:r w:rsidRPr="006E5652">
              <w:rPr>
                <w:rFonts w:eastAsia="Times New Roman"/>
                <w:color w:val="000000"/>
              </w:rPr>
              <w:t>Fairfax</w:t>
            </w:r>
          </w:p>
        </w:tc>
      </w:tr>
    </w:tbl>
    <w:p w:rsidR="008203A5" w:rsidRDefault="008203A5" w:rsidP="008203A5">
      <w:pPr>
        <w:spacing w:line="480" w:lineRule="auto"/>
        <w:ind w:firstLine="720"/>
      </w:pPr>
    </w:p>
    <w:p w:rsidR="008203A5" w:rsidRDefault="008203A5" w:rsidP="008203A5">
      <w:pPr>
        <w:spacing w:line="480" w:lineRule="auto"/>
        <w:ind w:firstLine="720"/>
      </w:pPr>
      <w:r>
        <w:lastRenderedPageBreak/>
        <w:t>Only the Governor’s Palace in Williamsburg ranked higher than Belvoir as Virginia’s nexus for genteel social and po</w:t>
      </w:r>
      <w:r w:rsidR="00311A37">
        <w:t xml:space="preserve">litical life (Veech 1998:125). </w:t>
      </w:r>
      <w:r>
        <w:t>With this beacon of hope</w:t>
      </w:r>
      <w:r w:rsidR="005F19E1">
        <w:t xml:space="preserve"> to free white planters</w:t>
      </w:r>
      <w:r>
        <w:t>, the settlement o</w:t>
      </w:r>
      <w:r w:rsidR="00311A37">
        <w:t>f the county proceeded rapidly.</w:t>
      </w:r>
      <w:r>
        <w:t xml:space="preserve"> Roads, a county court, three Anglican churches, and tobacco warehouses served the earliest residents of F</w:t>
      </w:r>
      <w:r w:rsidR="00311A37">
        <w:t xml:space="preserve">airfax County (Sweig 1978:11). </w:t>
      </w:r>
      <w:r>
        <w:t>Three tobacco warehouses existed between the years 1732 and 1742 on the future lands of Fairfax County: on the Occoquan River; at the little falls of the Potomac; and at the mouth of Great Hunting Creek (which would later become Al</w:t>
      </w:r>
      <w:r w:rsidR="00265A1F">
        <w:t xml:space="preserve">exandria) (Sweig 1978:24, 26). </w:t>
      </w:r>
      <w:r>
        <w:t xml:space="preserve">The Virginia assembly facilitated access between the opposing banks of the Potomac between 1738 and 1742 by authorizing </w:t>
      </w:r>
      <w:r w:rsidR="00265A1F">
        <w:t>three ferries.</w:t>
      </w:r>
      <w:r>
        <w:t xml:space="preserve"> In 1753, it became even more convenient for Mount Vernon’s neighbors to access Maryland when John Posey’s petition to establish a ferry on his land</w:t>
      </w:r>
      <w:r w:rsidR="00265A1F">
        <w:t xml:space="preserve">s was granted (Sweig 1978:58). </w:t>
      </w:r>
      <w:r>
        <w:t xml:space="preserve">The creation of a new courthouse on the Occoquan River may have facilitated the land boom of the 1720s as speculators then had reason to come to the undeveloped area and easy access via the ferry associated with the courthouse (Sweig 1978:17).  </w:t>
      </w:r>
    </w:p>
    <w:p w:rsidR="008203A5" w:rsidRDefault="008203A5" w:rsidP="008203A5">
      <w:pPr>
        <w:spacing w:line="480" w:lineRule="auto"/>
        <w:ind w:firstLine="720"/>
      </w:pPr>
      <w:r w:rsidRPr="002E487D">
        <w:rPr>
          <w:i/>
        </w:rPr>
        <w:t>Economic Networks.</w:t>
      </w:r>
      <w:r w:rsidR="00265A1F">
        <w:t xml:space="preserve"> </w:t>
      </w:r>
      <w:r>
        <w:t>In the early years of the settlement of Fairfax County, rivers and other waterways determined patterns of occupation, for roads were st</w:t>
      </w:r>
      <w:r w:rsidR="00265A1F">
        <w:t xml:space="preserve">ill primitive (Sweig 1978:20). </w:t>
      </w:r>
      <w:r>
        <w:t>The major plantations of Mount Vernon, Gunston Hall, and Belvoir were situated on the Potomac River in part because of the access this waterway offered, and the major towns of Alexandria and Colchester and tobacco warehouses were established</w:t>
      </w:r>
      <w:r w:rsidR="00265A1F">
        <w:t xml:space="preserve"> on tributaries of the Potomac.</w:t>
      </w:r>
      <w:r>
        <w:t xml:space="preserve"> There was one road that offered access from the ferry across the Occoquan at the town of Colchester (established in 1753) north to Alexandria (established in 1749), following an Indian trail called the Potomac</w:t>
      </w:r>
      <w:r w:rsidR="00265A1F">
        <w:t xml:space="preserve"> Path (Sweig 1978:20, 37, 49). </w:t>
      </w:r>
      <w:r>
        <w:t>To give easier access to the large plantations sprouting up along the Potomac, the road split into River Road to the east and Back Road to the west (</w:t>
      </w:r>
      <w:r w:rsidRPr="00FD7853">
        <w:t xml:space="preserve">Figure </w:t>
      </w:r>
      <w:r w:rsidR="00265A1F">
        <w:t xml:space="preserve">4-1). </w:t>
      </w:r>
      <w:r>
        <w:t xml:space="preserve">Colchester was about 7 miles from Mount Vernon by way of this </w:t>
      </w:r>
      <w:r>
        <w:lastRenderedPageBreak/>
        <w:t>River Road</w:t>
      </w:r>
      <w:r w:rsidR="00265A1F">
        <w:t xml:space="preserve"> and 18 miles from Alexandria. </w:t>
      </w:r>
      <w:r>
        <w:t xml:space="preserve">Alexandria sat 6.5 miles from Mount Vernon by way of the River Road.  Road and bridge building kept pace with population growth in the 1750s; however, despite rapid development and increasing lands under cultivation, the majority of Fairfax County in this period was very much a forested landscape (Sweig 1978:56-58).  </w:t>
      </w:r>
    </w:p>
    <w:p w:rsidR="008203A5" w:rsidRDefault="008203A5" w:rsidP="008203A5">
      <w:pPr>
        <w:spacing w:line="480" w:lineRule="auto"/>
        <w:ind w:firstLine="720"/>
      </w:pPr>
      <w:r>
        <w:t>As the routes of these roads prove, Colchester and Alexandria provided the economic and social an</w:t>
      </w:r>
      <w:r w:rsidR="00265A1F">
        <w:t xml:space="preserve">chors of young Fairfax County. </w:t>
      </w:r>
      <w:r>
        <w:t xml:space="preserve">The two towns offered planters of this upper Potomac region places to sell their tobacco, after inspection at the warehouse, and other commodities, for resale in local and foreign markets. They also offered places to buy the goods necessary to establish and operate home and plantation, </w:t>
      </w:r>
      <w:r w:rsidR="00265A1F">
        <w:t xml:space="preserve">in addition to other services. </w:t>
      </w:r>
      <w:r>
        <w:t>Both Colchester and Alexandria had stores operated by John Glassford (b.1715-1783), owner of Glassford &amp; Company, a large Scottish trading firm that consisted of several stores on the banks of the Potomac R</w:t>
      </w:r>
      <w:r w:rsidR="00265A1F">
        <w:t xml:space="preserve">iver in Virginia and Maryland. </w:t>
      </w:r>
      <w:r>
        <w:t>Merchant Alexander Henderson managed stores on behalf of Glassford in both towns, opening the Colchester store in 1758 and the Alexandria store in 1767 (Cuddy 2008:62).</w:t>
      </w:r>
    </w:p>
    <w:p w:rsidR="008203A5" w:rsidRDefault="008203A5" w:rsidP="008203A5">
      <w:pPr>
        <w:spacing w:line="480" w:lineRule="auto"/>
        <w:ind w:firstLine="720"/>
      </w:pPr>
    </w:p>
    <w:p w:rsidR="008203A5" w:rsidRDefault="008203A5" w:rsidP="008203A5">
      <w:r>
        <w:rPr>
          <w:noProof/>
        </w:rPr>
        <w:lastRenderedPageBreak/>
        <w:drawing>
          <wp:inline distT="0" distB="0" distL="0" distR="0">
            <wp:extent cx="5509280" cy="7315200"/>
            <wp:effectExtent l="19050" t="0" r="0" b="0"/>
            <wp:docPr id="12" name="Picture 2" descr="MV_Belv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V_Belvoir.jpg"/>
                    <pic:cNvPicPr/>
                  </pic:nvPicPr>
                  <pic:blipFill>
                    <a:blip r:embed="rId14" cstate="print"/>
                    <a:stretch>
                      <a:fillRect/>
                    </a:stretch>
                  </pic:blipFill>
                  <pic:spPr>
                    <a:xfrm>
                      <a:off x="0" y="0"/>
                      <a:ext cx="5509280" cy="7315200"/>
                    </a:xfrm>
                    <a:prstGeom prst="rect">
                      <a:avLst/>
                    </a:prstGeom>
                  </pic:spPr>
                </pic:pic>
              </a:graphicData>
            </a:graphic>
          </wp:inline>
        </w:drawing>
      </w:r>
    </w:p>
    <w:p w:rsidR="008203A5" w:rsidRPr="004F7425" w:rsidRDefault="008203A5" w:rsidP="008203A5">
      <w:r>
        <w:rPr>
          <w:b/>
        </w:rPr>
        <w:t>Figure 4-1</w:t>
      </w:r>
      <w:r w:rsidRPr="00493E88">
        <w:rPr>
          <w:b/>
        </w:rPr>
        <w:t xml:space="preserve">. </w:t>
      </w:r>
      <w:r w:rsidRPr="004F7425">
        <w:t>Elements of the Mount Vernon neighborhood ca. 1749</w:t>
      </w:r>
      <w:r w:rsidR="00223BC1">
        <w:t>.</w:t>
      </w:r>
      <w:r w:rsidRPr="004F7425">
        <w:t xml:space="preserve"> (Map by Luke Pecoraro, 2012).</w:t>
      </w:r>
    </w:p>
    <w:p w:rsidR="008203A5" w:rsidRPr="00493E88" w:rsidRDefault="008203A5" w:rsidP="008203A5">
      <w:pPr>
        <w:rPr>
          <w:b/>
        </w:rPr>
      </w:pPr>
    </w:p>
    <w:p w:rsidR="008203A5" w:rsidRDefault="008203A5" w:rsidP="008203A5">
      <w:pPr>
        <w:spacing w:line="480" w:lineRule="auto"/>
        <w:ind w:firstLine="720"/>
      </w:pPr>
      <w:r>
        <w:lastRenderedPageBreak/>
        <w:t>Before Colchester was formally established as a town in 1753, a blacksmith’s shop, a church, and a ferry across the Occoquan made the vicinity a convenient stopping point for residents an</w:t>
      </w:r>
      <w:r w:rsidR="00223BC1">
        <w:t xml:space="preserve">d travelers (Sprouse 1975:16). </w:t>
      </w:r>
      <w:r>
        <w:t>The town was first surveyed in 1754 and 42 lots and 4 streets were laid out within its triangular</w:t>
      </w:r>
      <w:r w:rsidR="00223BC1">
        <w:t xml:space="preserve"> boundaries (Sprouse 1975:20). </w:t>
      </w:r>
      <w:r>
        <w:t>Commercial activities dominated life in Colchester.  George Washington paid cash for unspecified expenses at Colchester multiple times in the late 1750s through the early</w:t>
      </w:r>
      <w:r w:rsidR="00223BC1">
        <w:t xml:space="preserve"> 1770s (Washington 1750-1774). </w:t>
      </w:r>
      <w:r>
        <w:t>At least three shops conducted mercantile activities in the decades before the Revolutionary Wa</w:t>
      </w:r>
      <w:r w:rsidR="00223BC1">
        <w:t xml:space="preserve">r. </w:t>
      </w:r>
      <w:r>
        <w:t xml:space="preserve">Alexander Henderson feared his </w:t>
      </w:r>
      <w:r w:rsidR="005F19E1">
        <w:t xml:space="preserve">two </w:t>
      </w:r>
      <w:r>
        <w:t>competitors: Scottish merchant Benjamin Grayson and Hector Ross, merchant for George Oswald and Company of</w:t>
      </w:r>
      <w:r w:rsidR="00223BC1">
        <w:t xml:space="preserve"> Glasgow (Sprouse 1975:26-29). </w:t>
      </w:r>
      <w:r>
        <w:t>Hector Ross purchased tobacco and corn from George Washington and provided clothing and other items for Washington’s white servants, tenants, and slaves (Ja</w:t>
      </w:r>
      <w:r w:rsidR="00223BC1">
        <w:t xml:space="preserve">ckson and Twohig 1976[1]:263). </w:t>
      </w:r>
      <w:r>
        <w:t xml:space="preserve">Grayson owned the lots upon which the tobacco warehouse, relocated to Colchester in 1761, was </w:t>
      </w:r>
      <w:r w:rsidR="00223BC1">
        <w:t xml:space="preserve">to be built (Sprouse 1975:55). </w:t>
      </w:r>
      <w:r>
        <w:t xml:space="preserve">Other commercial operations in Colchester included a vineyard and taverns (Sprouse 1975:59-66).  </w:t>
      </w:r>
    </w:p>
    <w:p w:rsidR="008203A5" w:rsidRDefault="008203A5" w:rsidP="008203A5">
      <w:pPr>
        <w:spacing w:line="480" w:lineRule="auto"/>
        <w:ind w:firstLine="720"/>
      </w:pPr>
      <w:r>
        <w:t>Commerce drew colonial Virginians to the area that would become Alexandria, as well.  A tobacco inspection station at the end of Oronoco Street, known as Hugh West’s Hunting Creek Warehouse, brought planters to the future town in the 1730s and by the early 1740s, at least three merchants had s</w:t>
      </w:r>
      <w:r w:rsidR="00223BC1">
        <w:t xml:space="preserve">ettled nearby (Cuddy 2008:23). </w:t>
      </w:r>
      <w:r>
        <w:t>In 1749, planters petitioned the assembly who authorized the acquisition of 60 acres of land from Philip and John Alexander and Hugh West to be divided and the lots sold to</w:t>
      </w:r>
      <w:r w:rsidR="00223BC1">
        <w:t xml:space="preserve"> Alexandria’s first residents. </w:t>
      </w:r>
      <w:r>
        <w:t xml:space="preserve">George Washington, in his early career as a surveyor, drew </w:t>
      </w:r>
      <w:r w:rsidR="00223BC1">
        <w:t>the Plan of Alexandria in 1749.</w:t>
      </w:r>
      <w:r>
        <w:t xml:space="preserve"> Alexandria’s initial success was marked by petitions for expansion merely 12 years after its establishment as a </w:t>
      </w:r>
      <w:r w:rsidR="00223BC1">
        <w:t xml:space="preserve">town (Reps 1972:202, 207-213). </w:t>
      </w:r>
      <w:r>
        <w:t xml:space="preserve">In the meantime, the Fairfax County courthouse was moved to Alexandria </w:t>
      </w:r>
      <w:r>
        <w:lastRenderedPageBreak/>
        <w:t xml:space="preserve">in 1752, fairs were authorized to be held twice a year, and a church was erected in 1751, solidifying </w:t>
      </w:r>
      <w:r w:rsidR="005F19E1">
        <w:t>the town’s</w:t>
      </w:r>
      <w:r>
        <w:t xml:space="preserve"> position as not only a commercial, but a governmental and social center in the upper Potom</w:t>
      </w:r>
      <w:r w:rsidR="00223BC1">
        <w:t xml:space="preserve">ac region (Sweig 1978:37, 40). </w:t>
      </w:r>
      <w:r>
        <w:t>Seven ordinaries were licensed for Alexandria in the 1760s and five in Colchester, more than anywhere else in Fairfax County, which provides evidence that these two towns had become the natural gathering places for residents and visitors (Sweig 1978:72).</w:t>
      </w:r>
    </w:p>
    <w:p w:rsidR="008203A5" w:rsidRDefault="008203A5" w:rsidP="008203A5">
      <w:pPr>
        <w:spacing w:line="480" w:lineRule="auto"/>
        <w:ind w:firstLine="720"/>
      </w:pPr>
      <w:r>
        <w:t>The 1760s represent a period of further development of the upper Potomac region and significant ch</w:t>
      </w:r>
      <w:r w:rsidR="00223BC1">
        <w:t xml:space="preserve">ange in the plantation system. </w:t>
      </w:r>
      <w:r>
        <w:t>Alexandria and Colchester continued to be centers of trade and commerce througho</w:t>
      </w:r>
      <w:r w:rsidR="00223BC1">
        <w:t xml:space="preserve">ut the decade (Sweig 1978:72). </w:t>
      </w:r>
      <w:r>
        <w:t>However, by the 1770s the two towns had begun to diverge onto two di</w:t>
      </w:r>
      <w:r w:rsidR="00223BC1">
        <w:t xml:space="preserve">fferent economic trajectories. </w:t>
      </w:r>
      <w:r>
        <w:t>In 1771, the court ordered that a larger tobacco warehouse be constructed in Colchester to accommodate the e</w:t>
      </w:r>
      <w:r w:rsidR="00223BC1">
        <w:t xml:space="preserve">xcess tobacco inspected there. </w:t>
      </w:r>
      <w:r>
        <w:t>Sweig (1978:81) suggests that while Colchester continued to serve as a center for the tobacco trade, “Alexandria had begun to give more attention to wheat, flour, and other commercia</w:t>
      </w:r>
      <w:r w:rsidR="00223BC1">
        <w:t xml:space="preserve">l enterprises than to tobacco. </w:t>
      </w:r>
      <w:r>
        <w:t xml:space="preserve">This may have saved the town, for with the end of the tobacco boom in </w:t>
      </w:r>
      <w:r w:rsidR="005F19E1">
        <w:t xml:space="preserve">the </w:t>
      </w:r>
      <w:r>
        <w:t>later eighteenth century, a town such as Colchester, built almost solel</w:t>
      </w:r>
      <w:r w:rsidR="00223BC1">
        <w:t xml:space="preserve">y on that staple, was doomed.” </w:t>
      </w:r>
      <w:r>
        <w:t>The tobacco boom had already begun to dwindle by the la</w:t>
      </w:r>
      <w:r w:rsidR="00223BC1">
        <w:t xml:space="preserve">te 1760s in the upper Potomac. </w:t>
      </w:r>
      <w:r>
        <w:t xml:space="preserve">While tobacco remained the largest export from the South Potomac </w:t>
      </w:r>
      <w:r w:rsidR="00F23438">
        <w:t>Naval</w:t>
      </w:r>
      <w:r>
        <w:t xml:space="preserve"> District from 1749 through 1766, it was thereafter quickly surpa</w:t>
      </w:r>
      <w:r w:rsidR="00223BC1">
        <w:t xml:space="preserve">ssed by wheat (Preisser 1981). </w:t>
      </w:r>
      <w:r>
        <w:t>The fast rise in grain and flour exports is attributed to the increased settlement of the northern Piedmont and Valley regions of Virginia by settlers experienced in grain cultivation, the well-suited soils, and the intensified demand for the staple product by Europe and the West Indi</w:t>
      </w:r>
      <w:r w:rsidR="00223BC1">
        <w:t xml:space="preserve">es (Preisser 1981:289). </w:t>
      </w:r>
      <w:r>
        <w:t>Additionally, many local planters began the swi</w:t>
      </w:r>
      <w:r w:rsidR="00223BC1">
        <w:t>tch to mixed grain agriculture.</w:t>
      </w:r>
      <w:r>
        <w:t xml:space="preserve"> Alexandria cornered the market on this trade.</w:t>
      </w:r>
    </w:p>
    <w:p w:rsidR="008203A5" w:rsidRPr="008151C4" w:rsidRDefault="008203A5" w:rsidP="008203A5">
      <w:pPr>
        <w:spacing w:line="480" w:lineRule="auto"/>
      </w:pPr>
      <w:r>
        <w:lastRenderedPageBreak/>
        <w:tab/>
        <w:t>George Washington perhaps best exemplifies the regional agricultural de</w:t>
      </w:r>
      <w:r w:rsidR="00223BC1">
        <w:t xml:space="preserve">velopments during this period. </w:t>
      </w:r>
      <w:r>
        <w:t xml:space="preserve">From 1754 through 1766, Washington remained committed to tobacco as </w:t>
      </w:r>
      <w:r w:rsidR="00223BC1">
        <w:t xml:space="preserve">his main agricultural product. </w:t>
      </w:r>
      <w:r>
        <w:t xml:space="preserve">To that end, he more than doubled the size of his plantation between 1757 and 1761 from 2,300 acres to almost 4,800 and significantly increased his slave workforce through purchase, inheritance, </w:t>
      </w:r>
      <w:r w:rsidR="00223BC1">
        <w:t xml:space="preserve">and marriage (Pogue 1994:103). </w:t>
      </w:r>
      <w:r>
        <w:t>The plantation encompassed 5,500 acres by 1764 when he temporarily ceased purchasing additional lands due to m</w:t>
      </w:r>
      <w:r w:rsidR="00223BC1">
        <w:t xml:space="preserve">ounting debt (Pogue 1994:103). </w:t>
      </w:r>
      <w:r>
        <w:t>In 1766, Washington turned to mixed grain cultivation, an agricultural enterprise that demanded shorter periods of intense labor instead of the year-roun</w:t>
      </w:r>
      <w:r w:rsidR="00223BC1">
        <w:t xml:space="preserve">d slog of tobacco cultivation. </w:t>
      </w:r>
      <w:r>
        <w:t xml:space="preserve">With more field hands to profitably </w:t>
      </w:r>
      <w:r w:rsidR="00F23438">
        <w:t>utilize</w:t>
      </w:r>
      <w:r>
        <w:t>, Washington recommitted himself to developing a self-sufficient, diverse plantation, which included fisheries and cloth prod</w:t>
      </w:r>
      <w:r w:rsidR="00223BC1">
        <w:t xml:space="preserve">uction (Pogue 1994:106). </w:t>
      </w:r>
      <w:r w:rsidR="00F23438">
        <w:t>A</w:t>
      </w:r>
      <w:r>
        <w:t xml:space="preserve"> depression in the price of tobacco, fields poorly suited to tobacco cultivation, growing indebtedness, and dissatisfaction with the consignment system prompted these sweeping changes (Pogue 1994:106).         </w:t>
      </w:r>
    </w:p>
    <w:p w:rsidR="00F23438" w:rsidRDefault="008203A5" w:rsidP="008203A5">
      <w:pPr>
        <w:spacing w:line="480" w:lineRule="auto"/>
        <w:ind w:firstLine="720"/>
      </w:pPr>
      <w:r w:rsidRPr="002E487D">
        <w:rPr>
          <w:i/>
        </w:rPr>
        <w:t>Demographics.</w:t>
      </w:r>
      <w:r w:rsidR="00223BC1">
        <w:rPr>
          <w:i/>
        </w:rPr>
        <w:t xml:space="preserve"> </w:t>
      </w:r>
      <w:r>
        <w:t xml:space="preserve">In </w:t>
      </w:r>
      <w:r w:rsidR="00F23438">
        <w:t xml:space="preserve">1742, </w:t>
      </w:r>
      <w:r>
        <w:t>the year of Fairfax County’s founding, the total population is estimated at 4,000, one third of which we</w:t>
      </w:r>
      <w:r w:rsidR="00223BC1">
        <w:t xml:space="preserve">re slaves (Sweig 1978:19, 26). </w:t>
      </w:r>
      <w:r>
        <w:t>Population estimates based on tithable lists for 1749 show appreciable population growth and a ste</w:t>
      </w:r>
      <w:r w:rsidR="00223BC1">
        <w:t xml:space="preserve">ady ratio of whites to blacks. </w:t>
      </w:r>
      <w:r>
        <w:t xml:space="preserve">The total population of Fairfax County in 1749 is estimated at 6,260, with 4,452 (or 71 percent) white and 1,808 (29 percent) black.  In 1782, the next year for which data allow for population approximations, Fairfax County’s black population had grown to 41 percent (Sweig 1978:35).  </w:t>
      </w:r>
    </w:p>
    <w:p w:rsidR="008203A5" w:rsidRPr="00715C54" w:rsidRDefault="008203A5" w:rsidP="008203A5">
      <w:pPr>
        <w:spacing w:line="480" w:lineRule="auto"/>
        <w:ind w:firstLine="720"/>
      </w:pPr>
      <w:r>
        <w:t>The mid-century estimates were derived from two tithable lists recorded by the Reverend Charles Green, minister of Truro Parish, for both Truro and Cameron Parishes that comprised Fairfax Count</w:t>
      </w:r>
      <w:r w:rsidR="00223BC1">
        <w:t xml:space="preserve">y at the time (Sweig 1978:30). </w:t>
      </w:r>
      <w:r>
        <w:t xml:space="preserve">These lists offer a glimpse into slave ownership in </w:t>
      </w:r>
      <w:r>
        <w:lastRenderedPageBreak/>
        <w:t>the county</w:t>
      </w:r>
      <w:r w:rsidR="00F23438">
        <w:t xml:space="preserve"> and also for Lawrence Washington, George Washington’s elder half-brother from whom he inherited Mount Vernon plantation</w:t>
      </w:r>
      <w:r w:rsidR="00223BC1">
        <w:t>.</w:t>
      </w:r>
      <w:r>
        <w:t xml:space="preserve"> The majori</w:t>
      </w:r>
      <w:r w:rsidR="009B458D">
        <w:t>ty of slave holders owned six or</w:t>
      </w:r>
      <w:r>
        <w:t xml:space="preserve"> fewer slaves; however, this </w:t>
      </w:r>
      <w:r w:rsidR="00F23438">
        <w:t xml:space="preserve">population </w:t>
      </w:r>
      <w:r>
        <w:t xml:space="preserve">amounted to only a quarter </w:t>
      </w:r>
      <w:r w:rsidR="00223BC1">
        <w:t xml:space="preserve">of the total slave population. </w:t>
      </w:r>
      <w:r>
        <w:t xml:space="preserve">Stated another way, an enslaved individual living in Fairfax County in the mid-eighteenth century would have most likely </w:t>
      </w:r>
      <w:r w:rsidR="00F23438">
        <w:t>lived</w:t>
      </w:r>
      <w:r>
        <w:t xml:space="preserve">  on a large plantation in </w:t>
      </w:r>
      <w:r w:rsidR="00F23438">
        <w:t>a group</w:t>
      </w:r>
      <w:r>
        <w:t xml:space="preserve"> of 20 to </w:t>
      </w:r>
      <w:r w:rsidR="00223BC1">
        <w:t>40 individuals (Sweig 1978:30).</w:t>
      </w:r>
      <w:r>
        <w:t xml:space="preserve"> Additionally, the </w:t>
      </w:r>
      <w:r w:rsidR="00F23438">
        <w:t xml:space="preserve">1749 </w:t>
      </w:r>
      <w:r>
        <w:t>list for Truro Parish, containing Mount Vernon, recorded noteworthy information regarding Lawrence Washington, which suggests that he typified the patte</w:t>
      </w:r>
      <w:r w:rsidR="00223BC1">
        <w:t>rn of other large slave owners.</w:t>
      </w:r>
      <w:r>
        <w:t xml:space="preserve"> Specifically, Washington was one of only four m</w:t>
      </w:r>
      <w:r w:rsidR="00223BC1">
        <w:t xml:space="preserve">en owning more than 25 slaves. </w:t>
      </w:r>
      <w:r>
        <w:t>In fact, he was the third highest slaveholder, owning 27 slaves above the age of 16 (Steadman 1964:537; Sweig 1978:32, table VI) and</w:t>
      </w:r>
      <w:r w:rsidRPr="00910E0E">
        <w:t xml:space="preserve"> </w:t>
      </w:r>
      <w:r>
        <w:t>among the 13 percent of plantation owners who held almost half of the total sla</w:t>
      </w:r>
      <w:r w:rsidR="00223BC1">
        <w:t xml:space="preserve">ve population (Sweig 1983:30). </w:t>
      </w:r>
      <w:r>
        <w:t>Those slaves labored on a large plantation of more th</w:t>
      </w:r>
      <w:r w:rsidR="00223BC1">
        <w:t>an 2,000 acres (Toner 1891:13).</w:t>
      </w:r>
      <w:r>
        <w:t xml:space="preserve"> A plantation of this size ranked George Washington among the top seven percent of Fairfax County land owners in the early 1760s, and</w:t>
      </w:r>
      <w:r w:rsidR="00F23438">
        <w:t xml:space="preserve"> presumably</w:t>
      </w:r>
      <w:r>
        <w:t xml:space="preserve"> would have ranked Lawrence Washington s</w:t>
      </w:r>
      <w:r w:rsidR="00223BC1">
        <w:t xml:space="preserve">imilarly high a decade before. </w:t>
      </w:r>
      <w:r>
        <w:t xml:space="preserve">Only 37 Fairfax County residents owned plantations larger than 999 acres in the early 1760s (Reber 2003:23, table 1).   </w:t>
      </w:r>
    </w:p>
    <w:p w:rsidR="008203A5" w:rsidRDefault="008203A5" w:rsidP="008203A5">
      <w:pPr>
        <w:spacing w:line="480" w:lineRule="auto"/>
        <w:ind w:firstLine="720"/>
      </w:pPr>
      <w:r>
        <w:t>In terms of demographic breakdown of the region’s slave population, a survey of probate inventories dating from 1742 to 1770 found a relatively equal ratio of enslaved</w:t>
      </w:r>
      <w:r w:rsidR="00223BC1">
        <w:t xml:space="preserve"> men to women (Sweig 1983:14). </w:t>
      </w:r>
      <w:r>
        <w:t xml:space="preserve">The list of slaves recorded as part of the settlement of Lawrence Washington’s estate </w:t>
      </w:r>
      <w:r w:rsidR="00F23438">
        <w:t xml:space="preserve">in 1754 </w:t>
      </w:r>
      <w:r>
        <w:t>evidences a similar ratio (Abbot 1983[1]:229) (Table 4-2</w:t>
      </w:r>
      <w:r w:rsidRPr="00F90406">
        <w:t>)</w:t>
      </w:r>
      <w:r w:rsidR="00223BC1">
        <w:t xml:space="preserve">. </w:t>
      </w:r>
      <w:r w:rsidR="00F23438">
        <w:t>Assigning</w:t>
      </w:r>
      <w:r>
        <w:t xml:space="preserve"> sex based on given names</w:t>
      </w:r>
      <w:r w:rsidR="00F23438">
        <w:t>, which I have done</w:t>
      </w:r>
      <w:r>
        <w:t xml:space="preserve"> to the best of my ability, </w:t>
      </w:r>
      <w:r w:rsidR="00223BC1">
        <w:t xml:space="preserve">given that some are ambiguous. </w:t>
      </w:r>
      <w:r>
        <w:t xml:space="preserve">Washington’s slave community in 1754 was comprised of 56 percent (n=35) males </w:t>
      </w:r>
      <w:r w:rsidR="00223BC1">
        <w:t xml:space="preserve">and 44 percent (n=27) females. </w:t>
      </w:r>
      <w:r w:rsidR="00052019">
        <w:t>Though clearly male-dominated, t</w:t>
      </w:r>
      <w:r>
        <w:t xml:space="preserve">he relatively even sex ratios </w:t>
      </w:r>
      <w:r w:rsidR="00052019">
        <w:t xml:space="preserve">could </w:t>
      </w:r>
      <w:r w:rsidR="00052019">
        <w:lastRenderedPageBreak/>
        <w:t xml:space="preserve">have </w:t>
      </w:r>
      <w:r>
        <w:t>promoted the formation of families and data on the high proportion of slaves that were children support the development of a n</w:t>
      </w:r>
      <w:r w:rsidR="00223BC1">
        <w:t xml:space="preserve">ative born enslaved community. </w:t>
      </w:r>
      <w:r>
        <w:t>Again referring to the 1754 list of Washington’s slaves, approximately one quarter (16 of 62) of the individuals listed were children (T</w:t>
      </w:r>
      <w:r w:rsidRPr="007C7CFA">
        <w:t xml:space="preserve">able </w:t>
      </w:r>
      <w:r>
        <w:t>4-2</w:t>
      </w:r>
      <w:r w:rsidRPr="007C7CFA">
        <w:t>).</w:t>
      </w:r>
    </w:p>
    <w:p w:rsidR="00223BC1" w:rsidRDefault="00223BC1" w:rsidP="008203A5">
      <w:pPr>
        <w:spacing w:line="480" w:lineRule="auto"/>
        <w:ind w:firstLine="720"/>
      </w:pPr>
    </w:p>
    <w:p w:rsidR="008203A5" w:rsidRDefault="008203A5" w:rsidP="008D4C63">
      <w:pPr>
        <w:tabs>
          <w:tab w:val="left" w:pos="630"/>
        </w:tabs>
      </w:pPr>
      <w:r>
        <w:rPr>
          <w:b/>
        </w:rPr>
        <w:t>Table 4-2</w:t>
      </w:r>
      <w:r w:rsidRPr="00F90406">
        <w:rPr>
          <w:b/>
        </w:rPr>
        <w:t xml:space="preserve">. </w:t>
      </w:r>
      <w:r w:rsidRPr="004F7425">
        <w:t>Demographic makeup of Lawrence Washington’s enslaved community</w:t>
      </w:r>
      <w:r w:rsidR="008D4C63">
        <w:t xml:space="preserve"> sorted on sex and age category</w:t>
      </w:r>
      <w:r w:rsidRPr="004F7425">
        <w:t>.</w:t>
      </w:r>
      <w:r>
        <w:t xml:space="preserve">  </w:t>
      </w:r>
    </w:p>
    <w:p w:rsidR="008D4C63" w:rsidRDefault="008D4C63" w:rsidP="008D4C63">
      <w:pPr>
        <w:tabs>
          <w:tab w:val="left" w:pos="630"/>
        </w:tabs>
      </w:pPr>
    </w:p>
    <w:tbl>
      <w:tblPr>
        <w:tblW w:w="2800" w:type="dxa"/>
        <w:tblInd w:w="91" w:type="dxa"/>
        <w:tblLook w:val="04A0"/>
      </w:tblPr>
      <w:tblGrid>
        <w:gridCol w:w="1500"/>
        <w:gridCol w:w="628"/>
        <w:gridCol w:w="672"/>
      </w:tblGrid>
      <w:tr w:rsidR="00B64CF5" w:rsidRPr="00B64CF5" w:rsidTr="00B64CF5">
        <w:trPr>
          <w:trHeight w:val="255"/>
        </w:trPr>
        <w:tc>
          <w:tcPr>
            <w:tcW w:w="1500"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B64CF5" w:rsidRPr="00B64CF5" w:rsidRDefault="00B64CF5" w:rsidP="00B64CF5">
            <w:pPr>
              <w:jc w:val="center"/>
              <w:rPr>
                <w:rFonts w:eastAsia="Times New Roman"/>
                <w:b/>
                <w:bCs/>
                <w:sz w:val="20"/>
                <w:szCs w:val="20"/>
              </w:rPr>
            </w:pPr>
            <w:r w:rsidRPr="00B64CF5">
              <w:rPr>
                <w:rFonts w:eastAsia="Times New Roman"/>
                <w:b/>
                <w:bCs/>
                <w:sz w:val="20"/>
                <w:szCs w:val="20"/>
              </w:rPr>
              <w:t>Name</w:t>
            </w:r>
          </w:p>
        </w:tc>
        <w:tc>
          <w:tcPr>
            <w:tcW w:w="628" w:type="dxa"/>
            <w:tcBorders>
              <w:top w:val="single" w:sz="4" w:space="0" w:color="auto"/>
              <w:left w:val="nil"/>
              <w:bottom w:val="single" w:sz="4" w:space="0" w:color="auto"/>
              <w:right w:val="single" w:sz="4" w:space="0" w:color="auto"/>
            </w:tcBorders>
            <w:shd w:val="clear" w:color="000000" w:fill="D8D8D8"/>
            <w:noWrap/>
            <w:vAlign w:val="bottom"/>
            <w:hideMark/>
          </w:tcPr>
          <w:p w:rsidR="00B64CF5" w:rsidRPr="00B64CF5" w:rsidRDefault="00B64CF5" w:rsidP="00B64CF5">
            <w:pPr>
              <w:jc w:val="center"/>
              <w:rPr>
                <w:rFonts w:eastAsia="Times New Roman"/>
                <w:b/>
                <w:bCs/>
                <w:sz w:val="20"/>
                <w:szCs w:val="20"/>
              </w:rPr>
            </w:pPr>
            <w:r w:rsidRPr="00B64CF5">
              <w:rPr>
                <w:rFonts w:eastAsia="Times New Roman"/>
                <w:b/>
                <w:bCs/>
                <w:sz w:val="20"/>
                <w:szCs w:val="20"/>
              </w:rPr>
              <w:t>Sex</w:t>
            </w:r>
          </w:p>
        </w:tc>
        <w:tc>
          <w:tcPr>
            <w:tcW w:w="672" w:type="dxa"/>
            <w:tcBorders>
              <w:top w:val="single" w:sz="4" w:space="0" w:color="auto"/>
              <w:left w:val="nil"/>
              <w:bottom w:val="single" w:sz="4" w:space="0" w:color="auto"/>
              <w:right w:val="single" w:sz="4" w:space="0" w:color="auto"/>
            </w:tcBorders>
            <w:shd w:val="clear" w:color="000000" w:fill="D8D8D8"/>
            <w:noWrap/>
            <w:vAlign w:val="bottom"/>
            <w:hideMark/>
          </w:tcPr>
          <w:p w:rsidR="00B64CF5" w:rsidRPr="00B64CF5" w:rsidRDefault="00B64CF5" w:rsidP="00B64CF5">
            <w:pPr>
              <w:jc w:val="center"/>
              <w:rPr>
                <w:rFonts w:eastAsia="Times New Roman"/>
                <w:b/>
                <w:bCs/>
                <w:sz w:val="20"/>
                <w:szCs w:val="20"/>
              </w:rPr>
            </w:pPr>
            <w:r w:rsidRPr="00B64CF5">
              <w:rPr>
                <w:rFonts w:eastAsia="Times New Roman"/>
                <w:b/>
                <w:bCs/>
                <w:sz w:val="20"/>
                <w:szCs w:val="20"/>
              </w:rPr>
              <w:t>Age</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Old Moll</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Barbara</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Moll</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Milly</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Hannah</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Penny</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Nan</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Nan</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Dula</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Grace</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Phillis</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Kate</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Phebe</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Pharrow</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Couta</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Nell</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Sall</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Bella</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Barbara</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Lett</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Jenny</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Farrow</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Doll</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Sue</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Murreah</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Betty</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Lucy</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Lydia</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Frank</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Lawrence</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Ben</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Will</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Will</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James</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315"/>
        </w:trPr>
        <w:tc>
          <w:tcPr>
            <w:tcW w:w="2800" w:type="dxa"/>
            <w:gridSpan w:val="3"/>
            <w:tcBorders>
              <w:top w:val="nil"/>
              <w:left w:val="nil"/>
              <w:bottom w:val="nil"/>
              <w:right w:val="nil"/>
            </w:tcBorders>
            <w:shd w:val="clear" w:color="auto" w:fill="auto"/>
            <w:noWrap/>
            <w:vAlign w:val="bottom"/>
            <w:hideMark/>
          </w:tcPr>
          <w:p w:rsidR="00B64CF5" w:rsidRPr="00B64CF5" w:rsidRDefault="00B64CF5" w:rsidP="00B64CF5">
            <w:pPr>
              <w:rPr>
                <w:rFonts w:eastAsia="Times New Roman"/>
                <w:b/>
                <w:bCs/>
                <w:color w:val="000000"/>
              </w:rPr>
            </w:pPr>
            <w:r w:rsidRPr="00B64CF5">
              <w:rPr>
                <w:rFonts w:eastAsia="Times New Roman"/>
                <w:b/>
                <w:bCs/>
                <w:color w:val="000000"/>
              </w:rPr>
              <w:lastRenderedPageBreak/>
              <w:t>Table 4-2 (continued).</w:t>
            </w:r>
          </w:p>
        </w:tc>
      </w:tr>
      <w:tr w:rsidR="00B64CF5" w:rsidRPr="00B64CF5" w:rsidTr="00B64CF5">
        <w:trPr>
          <w:trHeight w:val="255"/>
        </w:trPr>
        <w:tc>
          <w:tcPr>
            <w:tcW w:w="1500" w:type="dxa"/>
            <w:tcBorders>
              <w:top w:val="nil"/>
              <w:left w:val="nil"/>
              <w:bottom w:val="nil"/>
              <w:right w:val="nil"/>
            </w:tcBorders>
            <w:shd w:val="clear" w:color="auto" w:fill="auto"/>
            <w:noWrap/>
            <w:vAlign w:val="bottom"/>
            <w:hideMark/>
          </w:tcPr>
          <w:p w:rsidR="00B64CF5" w:rsidRPr="00B64CF5" w:rsidRDefault="00B64CF5" w:rsidP="00B64CF5">
            <w:pPr>
              <w:rPr>
                <w:rFonts w:eastAsia="Times New Roman"/>
                <w:sz w:val="20"/>
                <w:szCs w:val="20"/>
              </w:rPr>
            </w:pPr>
          </w:p>
        </w:tc>
        <w:tc>
          <w:tcPr>
            <w:tcW w:w="628" w:type="dxa"/>
            <w:tcBorders>
              <w:top w:val="nil"/>
              <w:left w:val="nil"/>
              <w:bottom w:val="nil"/>
              <w:right w:val="nil"/>
            </w:tcBorders>
            <w:shd w:val="clear" w:color="auto" w:fill="auto"/>
            <w:vAlign w:val="bottom"/>
            <w:hideMark/>
          </w:tcPr>
          <w:p w:rsidR="00B64CF5" w:rsidRPr="00B64CF5" w:rsidRDefault="00B64CF5" w:rsidP="00B64CF5">
            <w:pPr>
              <w:rPr>
                <w:rFonts w:eastAsia="Times New Roman"/>
                <w:sz w:val="20"/>
                <w:szCs w:val="20"/>
              </w:rPr>
            </w:pPr>
          </w:p>
        </w:tc>
        <w:tc>
          <w:tcPr>
            <w:tcW w:w="672" w:type="dxa"/>
            <w:tcBorders>
              <w:top w:val="nil"/>
              <w:left w:val="nil"/>
              <w:bottom w:val="nil"/>
              <w:right w:val="nil"/>
            </w:tcBorders>
            <w:shd w:val="clear" w:color="auto" w:fill="auto"/>
            <w:noWrap/>
            <w:vAlign w:val="bottom"/>
            <w:hideMark/>
          </w:tcPr>
          <w:p w:rsidR="00B64CF5" w:rsidRPr="00B64CF5" w:rsidRDefault="00B64CF5" w:rsidP="00B64CF5">
            <w:pPr>
              <w:rPr>
                <w:rFonts w:eastAsia="Times New Roman"/>
                <w:color w:val="000000"/>
                <w:sz w:val="20"/>
                <w:szCs w:val="20"/>
              </w:rPr>
            </w:pPr>
          </w:p>
        </w:tc>
      </w:tr>
      <w:tr w:rsidR="00B64CF5" w:rsidRPr="00B64CF5" w:rsidTr="00B64CF5">
        <w:trPr>
          <w:trHeight w:val="255"/>
        </w:trPr>
        <w:tc>
          <w:tcPr>
            <w:tcW w:w="1500"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B64CF5" w:rsidRPr="00B64CF5" w:rsidRDefault="00B64CF5" w:rsidP="00B64CF5">
            <w:pPr>
              <w:jc w:val="center"/>
              <w:rPr>
                <w:rFonts w:eastAsia="Times New Roman"/>
                <w:b/>
                <w:bCs/>
                <w:sz w:val="20"/>
                <w:szCs w:val="20"/>
              </w:rPr>
            </w:pPr>
            <w:r w:rsidRPr="00B64CF5">
              <w:rPr>
                <w:rFonts w:eastAsia="Times New Roman"/>
                <w:b/>
                <w:bCs/>
                <w:sz w:val="20"/>
                <w:szCs w:val="20"/>
              </w:rPr>
              <w:t>Name</w:t>
            </w:r>
          </w:p>
        </w:tc>
        <w:tc>
          <w:tcPr>
            <w:tcW w:w="628" w:type="dxa"/>
            <w:tcBorders>
              <w:top w:val="single" w:sz="4" w:space="0" w:color="auto"/>
              <w:left w:val="nil"/>
              <w:bottom w:val="single" w:sz="4" w:space="0" w:color="auto"/>
              <w:right w:val="single" w:sz="4" w:space="0" w:color="auto"/>
            </w:tcBorders>
            <w:shd w:val="clear" w:color="000000" w:fill="D8D8D8"/>
            <w:noWrap/>
            <w:vAlign w:val="bottom"/>
            <w:hideMark/>
          </w:tcPr>
          <w:p w:rsidR="00B64CF5" w:rsidRPr="00B64CF5" w:rsidRDefault="00B64CF5" w:rsidP="00B64CF5">
            <w:pPr>
              <w:jc w:val="center"/>
              <w:rPr>
                <w:rFonts w:eastAsia="Times New Roman"/>
                <w:b/>
                <w:bCs/>
                <w:sz w:val="20"/>
                <w:szCs w:val="20"/>
              </w:rPr>
            </w:pPr>
            <w:r w:rsidRPr="00B64CF5">
              <w:rPr>
                <w:rFonts w:eastAsia="Times New Roman"/>
                <w:b/>
                <w:bCs/>
                <w:sz w:val="20"/>
                <w:szCs w:val="20"/>
              </w:rPr>
              <w:t>Sex</w:t>
            </w:r>
          </w:p>
        </w:tc>
        <w:tc>
          <w:tcPr>
            <w:tcW w:w="672" w:type="dxa"/>
            <w:tcBorders>
              <w:top w:val="single" w:sz="4" w:space="0" w:color="auto"/>
              <w:left w:val="nil"/>
              <w:bottom w:val="single" w:sz="4" w:space="0" w:color="auto"/>
              <w:right w:val="single" w:sz="4" w:space="0" w:color="auto"/>
            </w:tcBorders>
            <w:shd w:val="clear" w:color="000000" w:fill="D8D8D8"/>
            <w:noWrap/>
            <w:vAlign w:val="bottom"/>
            <w:hideMark/>
          </w:tcPr>
          <w:p w:rsidR="00B64CF5" w:rsidRPr="00B64CF5" w:rsidRDefault="00B64CF5" w:rsidP="00B64CF5">
            <w:pPr>
              <w:jc w:val="center"/>
              <w:rPr>
                <w:rFonts w:eastAsia="Times New Roman"/>
                <w:b/>
                <w:bCs/>
                <w:sz w:val="20"/>
                <w:szCs w:val="20"/>
              </w:rPr>
            </w:pPr>
            <w:r w:rsidRPr="00B64CF5">
              <w:rPr>
                <w:rFonts w:eastAsia="Times New Roman"/>
                <w:b/>
                <w:bCs/>
                <w:sz w:val="20"/>
                <w:szCs w:val="20"/>
              </w:rPr>
              <w:t>Age</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Dublin</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Acco</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Harry</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Roger</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Ceasaer</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Peter</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Abram</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Anteno</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Sando als Dicer</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Aaron</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Judah*</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Ned</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Camero</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Sambo</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Sando</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Scipio</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Tomboy</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Judah*</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Tom</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color w:val="000000"/>
                <w:sz w:val="20"/>
                <w:szCs w:val="20"/>
              </w:rPr>
            </w:pPr>
            <w:r w:rsidRPr="00B64CF5">
              <w:rPr>
                <w:rFonts w:eastAsia="Times New Roman"/>
                <w:color w:val="000000"/>
                <w:sz w:val="20"/>
                <w:szCs w:val="20"/>
              </w:rPr>
              <w:t>Adult</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Charles</w:t>
            </w:r>
          </w:p>
        </w:tc>
        <w:tc>
          <w:tcPr>
            <w:tcW w:w="628"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George</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Glasgow</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Phill</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Tom</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Prince</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Sam</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Tom</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r w:rsidR="00B64CF5" w:rsidRPr="00B64CF5" w:rsidTr="00B64CF5">
        <w:trPr>
          <w:trHeight w:val="255"/>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Tobey</w:t>
            </w:r>
          </w:p>
        </w:tc>
        <w:tc>
          <w:tcPr>
            <w:tcW w:w="628" w:type="dxa"/>
            <w:tcBorders>
              <w:top w:val="nil"/>
              <w:left w:val="nil"/>
              <w:bottom w:val="single" w:sz="4" w:space="0" w:color="auto"/>
              <w:right w:val="single" w:sz="4" w:space="0" w:color="auto"/>
            </w:tcBorders>
            <w:shd w:val="clear" w:color="auto" w:fill="auto"/>
            <w:noWrap/>
            <w:vAlign w:val="bottom"/>
            <w:hideMark/>
          </w:tcPr>
          <w:p w:rsidR="00B64CF5" w:rsidRPr="00B64CF5" w:rsidRDefault="00B64CF5" w:rsidP="00B64CF5">
            <w:pPr>
              <w:rPr>
                <w:rFonts w:eastAsia="Times New Roman"/>
                <w:sz w:val="20"/>
                <w:szCs w:val="20"/>
              </w:rPr>
            </w:pPr>
            <w:r w:rsidRPr="00B64CF5">
              <w:rPr>
                <w:rFonts w:eastAsia="Times New Roman"/>
                <w:sz w:val="20"/>
                <w:szCs w:val="20"/>
              </w:rPr>
              <w:t>M</w:t>
            </w:r>
          </w:p>
        </w:tc>
        <w:tc>
          <w:tcPr>
            <w:tcW w:w="672" w:type="dxa"/>
            <w:tcBorders>
              <w:top w:val="nil"/>
              <w:left w:val="nil"/>
              <w:bottom w:val="single" w:sz="4" w:space="0" w:color="auto"/>
              <w:right w:val="single" w:sz="4" w:space="0" w:color="auto"/>
            </w:tcBorders>
            <w:shd w:val="clear" w:color="auto" w:fill="auto"/>
            <w:vAlign w:val="bottom"/>
            <w:hideMark/>
          </w:tcPr>
          <w:p w:rsidR="00B64CF5" w:rsidRPr="00B64CF5" w:rsidRDefault="00B64CF5" w:rsidP="00B64CF5">
            <w:pPr>
              <w:rPr>
                <w:rFonts w:eastAsia="Times New Roman"/>
                <w:sz w:val="20"/>
                <w:szCs w:val="20"/>
              </w:rPr>
            </w:pPr>
            <w:r w:rsidRPr="00B64CF5">
              <w:rPr>
                <w:rFonts w:eastAsia="Times New Roman"/>
                <w:sz w:val="20"/>
                <w:szCs w:val="20"/>
              </w:rPr>
              <w:t>Child</w:t>
            </w:r>
          </w:p>
        </w:tc>
      </w:tr>
    </w:tbl>
    <w:p w:rsidR="008D4C63" w:rsidRPr="008D4C63" w:rsidRDefault="008D4C63" w:rsidP="008203A5">
      <w:pPr>
        <w:rPr>
          <w:sz w:val="20"/>
        </w:rPr>
      </w:pPr>
      <w:r>
        <w:rPr>
          <w:sz w:val="20"/>
        </w:rPr>
        <w:t>*Frank could refer to a man or woman, but I have assumed man merely based on modern naming practices.  The context of the document does not provide additional context and we have no other references exist pertaining to this individual.</w:t>
      </w:r>
    </w:p>
    <w:p w:rsidR="008203A5" w:rsidRDefault="008D4C63" w:rsidP="008203A5">
      <w:pPr>
        <w:rPr>
          <w:sz w:val="20"/>
        </w:rPr>
      </w:pPr>
      <w:r>
        <w:rPr>
          <w:b/>
          <w:sz w:val="20"/>
        </w:rPr>
        <w:t>*</w:t>
      </w:r>
      <w:r w:rsidR="008203A5" w:rsidRPr="002D4C74">
        <w:rPr>
          <w:b/>
          <w:sz w:val="20"/>
        </w:rPr>
        <w:t>*</w:t>
      </w:r>
      <w:r w:rsidR="008203A5" w:rsidRPr="002D4C74">
        <w:rPr>
          <w:sz w:val="20"/>
        </w:rPr>
        <w:t xml:space="preserve">I believe both of these individuals to be men based on the fact that they are </w:t>
      </w:r>
      <w:r w:rsidR="008203A5">
        <w:rPr>
          <w:sz w:val="20"/>
        </w:rPr>
        <w:t>listed next</w:t>
      </w:r>
      <w:r w:rsidR="008203A5" w:rsidRPr="002D4C74">
        <w:rPr>
          <w:sz w:val="20"/>
        </w:rPr>
        <w:t xml:space="preserve"> to enslaved women in another document </w:t>
      </w:r>
      <w:r w:rsidR="008203A5">
        <w:rPr>
          <w:sz w:val="20"/>
        </w:rPr>
        <w:t xml:space="preserve">suggesting a slave marriage </w:t>
      </w:r>
      <w:r w:rsidR="008203A5" w:rsidRPr="002D4C74">
        <w:rPr>
          <w:sz w:val="20"/>
        </w:rPr>
        <w:t>(Abbot 1983[1]:231).</w:t>
      </w:r>
    </w:p>
    <w:p w:rsidR="00223BC1" w:rsidRPr="002D4C74" w:rsidRDefault="00223BC1" w:rsidP="008203A5">
      <w:pPr>
        <w:rPr>
          <w:sz w:val="20"/>
        </w:rPr>
      </w:pPr>
    </w:p>
    <w:p w:rsidR="00223BC1" w:rsidRDefault="00223BC1" w:rsidP="00223BC1"/>
    <w:p w:rsidR="00223BC1" w:rsidRDefault="00223BC1" w:rsidP="00223BC1"/>
    <w:p w:rsidR="008203A5" w:rsidRDefault="008203A5" w:rsidP="008203A5">
      <w:pPr>
        <w:spacing w:line="480" w:lineRule="auto"/>
        <w:ind w:firstLine="720"/>
      </w:pPr>
      <w:r>
        <w:t>Lawrence Washington, then, for the most part characterized the broader pattern of slave ownership in early</w:t>
      </w:r>
      <w:r w:rsidR="00223BC1">
        <w:t xml:space="preserve"> Fairfax County. </w:t>
      </w:r>
      <w:r>
        <w:t>To summarize, many of Fairfax County’s slaves in the mid-eighteenth century lived on large plantations, like Washington’s, wi</w:t>
      </w:r>
      <w:r w:rsidR="00223BC1">
        <w:t xml:space="preserve">th large enslaved communities. </w:t>
      </w:r>
      <w:r>
        <w:t xml:space="preserve">His pattern of land and slave ownership fits with Sweig’s (1978:30) characterization of Fairfax County at mid-century as “a land of great plantations run by slave </w:t>
      </w:r>
      <w:r>
        <w:lastRenderedPageBreak/>
        <w:t>labor” as opposed to one of “small farmers where the slaves would labor a</w:t>
      </w:r>
      <w:r w:rsidR="00223BC1">
        <w:t xml:space="preserve">longside their white masters.” </w:t>
      </w:r>
      <w:r>
        <w:t xml:space="preserve">This pattern was particularly prevalent for plantations along the Potomac River, like Washington’s, where the proportion of slaves in the population reached approximately </w:t>
      </w:r>
      <w:r w:rsidR="00223BC1">
        <w:t xml:space="preserve">50 percent (Sweig 1983:10-11). </w:t>
      </w:r>
      <w:r>
        <w:t>The demographic breakdown of Washington’s slaves also tracks with the larger population trends where men and women were evenly weighted, promoting the formation o</w:t>
      </w:r>
      <w:r w:rsidR="00223BC1">
        <w:t xml:space="preserve">f family groups and offspring. </w:t>
      </w:r>
      <w:r>
        <w:t xml:space="preserve">The only point of difference between Lawrence Washington and his large planter peers was that most preferred to manage their upper Potomac lands from more comfortable and established locations further down the </w:t>
      </w:r>
      <w:r w:rsidR="00223BC1">
        <w:t xml:space="preserve">Northern Neck (Sweig 1983:31). </w:t>
      </w:r>
      <w:r>
        <w:t>Washington, instead, was one of the few large plantation landlords in residence.</w:t>
      </w:r>
    </w:p>
    <w:p w:rsidR="008203A5" w:rsidRPr="002D4C74" w:rsidRDefault="008203A5" w:rsidP="008203A5">
      <w:pPr>
        <w:spacing w:line="480" w:lineRule="auto"/>
        <w:ind w:firstLine="720"/>
        <w:rPr>
          <w:b/>
        </w:rPr>
      </w:pPr>
      <w:r>
        <w:t xml:space="preserve">These demographic details are of consequence to the development </w:t>
      </w:r>
      <w:r w:rsidR="00761666">
        <w:t xml:space="preserve">of </w:t>
      </w:r>
      <w:r w:rsidR="00223BC1">
        <w:t xml:space="preserve">black culture in this region. </w:t>
      </w:r>
      <w:r>
        <w:t>Sweig (1983) argues that the following factors led to the development of a locally informed, African-derived culture: absentee owners; concentrations of large slave communities on large plantations; and even sex ratios with</w:t>
      </w:r>
      <w:r w:rsidR="00223BC1">
        <w:t xml:space="preserve"> high proportions of children. </w:t>
      </w:r>
      <w:r>
        <w:t>Sweig (1983:10) contends that  “when absentee ownership coincided with large holdings, as it did in Fairfax, the opportunity for slave culture, little affected by white valu</w:t>
      </w:r>
      <w:r w:rsidR="00223BC1">
        <w:t xml:space="preserve">es, to develop was increased.” </w:t>
      </w:r>
      <w:r>
        <w:t>In addition, the concentration of these larger plantations along the Potomac River could have facilitated inter-plantation contact and the promotion and spread of a unique African-Ame</w:t>
      </w:r>
      <w:r w:rsidR="00223BC1">
        <w:t xml:space="preserve">rican culture (Sweig 1983:12). </w:t>
      </w:r>
      <w:r>
        <w:t>As networks of roads began to develop, one unintended consequence was the formation of cross-plantation networks</w:t>
      </w:r>
      <w:r w:rsidR="00223BC1">
        <w:t xml:space="preserve"> (Kulikoff 1986:340). </w:t>
      </w:r>
      <w:r>
        <w:t>Sweig (1983:12) suggests that the Potomac River provided this link between plantations that</w:t>
      </w:r>
      <w:r w:rsidR="00223BC1">
        <w:t xml:space="preserve"> facilitated marriages abroad. </w:t>
      </w:r>
      <w:r>
        <w:t>The mobility of the slave population at mid-century is captured in o</w:t>
      </w:r>
      <w:r w:rsidR="00223BC1">
        <w:t xml:space="preserve">ne local store’s account book. </w:t>
      </w:r>
      <w:r>
        <w:t>Between the years of 1758 and 1764, merchant Daniel Payne conducted transactions with slaves outright or on behalf of their masters on at least 14 different occasio</w:t>
      </w:r>
      <w:r w:rsidR="00223BC1">
        <w:t xml:space="preserve">ns (Hamrick and Hamrick </w:t>
      </w:r>
      <w:r w:rsidR="00223BC1">
        <w:lastRenderedPageBreak/>
        <w:t xml:space="preserve">2007). </w:t>
      </w:r>
      <w:r w:rsidR="008D4C63">
        <w:t>T</w:t>
      </w:r>
      <w:r>
        <w:t>he practice of renting and hiring slaves for short term projects</w:t>
      </w:r>
      <w:r w:rsidR="008D4C63">
        <w:t xml:space="preserve"> also</w:t>
      </w:r>
      <w:r w:rsidR="00223BC1">
        <w:t xml:space="preserve"> speaks to slave mobility. </w:t>
      </w:r>
      <w:r>
        <w:t>For example, George Washington hired an enslaved bricklayer named Guy from a Mr. Daingerfield, who lived on an unknown plantation in Virginia, from May of 1762 until October of 1763 (Jackso</w:t>
      </w:r>
      <w:r w:rsidR="00223BC1">
        <w:t xml:space="preserve">n and Twohig 1976[1]:297-298). </w:t>
      </w:r>
      <w:r>
        <w:t xml:space="preserve">The system worked the other way, as well.  For example, in 1760, Washington contracted to have an overseer and six enslaved carpenters build a barn on a neighbor’s plantation (Jackson and Twohig 1976[1]:291-292).      </w:t>
      </w:r>
    </w:p>
    <w:p w:rsidR="008203A5" w:rsidRDefault="008203A5" w:rsidP="008203A5">
      <w:pPr>
        <w:spacing w:line="480" w:lineRule="auto"/>
        <w:ind w:firstLine="720"/>
      </w:pPr>
      <w:r>
        <w:t>Historians generally agree that a cohesive social life for enslaved individuals began in the Chesapeake around 1740</w:t>
      </w:r>
      <w:r w:rsidR="00223BC1">
        <w:t xml:space="preserve"> (Kulikoff 1986; Berlin 1998). </w:t>
      </w:r>
      <w:r>
        <w:t>The rates of immigration of blacks from African to different regions of Virginia varied, particularly between the tidewater, upper Potomac, and piedmont.</w:t>
      </w:r>
      <w:r w:rsidR="00223BC1">
        <w:t xml:space="preserve"> </w:t>
      </w:r>
      <w:r>
        <w:t>The proportion of blacks in 1755 who had arrived in Virginia 5 years earlier varied from 4 to 8 percent in the lower tidewater to 15 to 21</w:t>
      </w:r>
      <w:r w:rsidR="00223BC1">
        <w:t xml:space="preserve"> percent in the upper Potomac. </w:t>
      </w:r>
      <w:r>
        <w:t>By 1755, most blacks brought to Virginia went to the newly settled lands of the pied</w:t>
      </w:r>
      <w:r w:rsidR="00223BC1">
        <w:t xml:space="preserve">mont. </w:t>
      </w:r>
      <w:r>
        <w:t>The decline in the slave trade and the increase in a native-born population meant diminished differences of African cultural heritages between blacks on plantations (Kulikoff 1986:335).</w:t>
      </w:r>
    </w:p>
    <w:p w:rsidR="008203A5" w:rsidRDefault="008203A5" w:rsidP="008203A5">
      <w:pPr>
        <w:spacing w:line="480" w:lineRule="auto"/>
        <w:ind w:firstLine="720"/>
      </w:pPr>
      <w:r>
        <w:t>If we isolate numbers of enslaved individuals imported to the upper Potomac region (to both the South and North Potomac Naval Districts) in the decades between 1710 and 1770 based on existing documentation, these numbers support Kulikoff’s (1986</w:t>
      </w:r>
      <w:r w:rsidR="005446F5">
        <w:t>:65-75</w:t>
      </w:r>
      <w:r>
        <w:t xml:space="preserve">) conclusions in regards to a decline in imports after 1750 </w:t>
      </w:r>
      <w:r w:rsidR="005446F5">
        <w:t xml:space="preserve">for the greater Chesapeake region, also drawn from naval office records </w:t>
      </w:r>
      <w:r>
        <w:t>(F</w:t>
      </w:r>
      <w:r w:rsidRPr="005F5488">
        <w:t>ig</w:t>
      </w:r>
      <w:r>
        <w:t>ure 4-2</w:t>
      </w:r>
      <w:r w:rsidRPr="005F5488">
        <w:t>).</w:t>
      </w:r>
      <w:r w:rsidR="00223BC1">
        <w:t xml:space="preserve"> </w:t>
      </w:r>
      <w:r>
        <w:t>The highest period of slave imports to this region took place in the 1730s, followed by a sig</w:t>
      </w:r>
      <w:r w:rsidR="00223BC1">
        <w:t xml:space="preserve">nificant decline in the 1740s. </w:t>
      </w:r>
      <w:r>
        <w:t>The numbers pick up again in the 1750s, but never</w:t>
      </w:r>
      <w:r w:rsidR="00223BC1">
        <w:t xml:space="preserve"> returned to the 1730s levels. </w:t>
      </w:r>
      <w:r>
        <w:t xml:space="preserve">The peak in the 1750s may be indicative of the developing piedmont region – perhaps more specifically, the future counties of Loudon and Fauquier </w:t>
      </w:r>
      <w:r w:rsidRPr="005F5488">
        <w:t>(Stevenson 1996).</w:t>
      </w:r>
      <w:r>
        <w:t xml:space="preserve">  </w:t>
      </w:r>
    </w:p>
    <w:p w:rsidR="008203A5" w:rsidRDefault="008203A5" w:rsidP="008203A5">
      <w:r w:rsidRPr="00B6543E">
        <w:rPr>
          <w:noProof/>
        </w:rPr>
        <w:lastRenderedPageBreak/>
        <w:drawing>
          <wp:inline distT="0" distB="0" distL="0" distR="0">
            <wp:extent cx="5524500" cy="3371850"/>
            <wp:effectExtent l="0" t="0" r="0"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203A5" w:rsidRDefault="008203A5" w:rsidP="008203A5">
      <w:r>
        <w:rPr>
          <w:b/>
        </w:rPr>
        <w:t>Figure 4-2</w:t>
      </w:r>
      <w:r w:rsidRPr="005F5488">
        <w:rPr>
          <w:b/>
        </w:rPr>
        <w:t>.</w:t>
      </w:r>
      <w:r w:rsidRPr="004800B6">
        <w:rPr>
          <w:b/>
        </w:rPr>
        <w:t xml:space="preserve"> </w:t>
      </w:r>
      <w:r w:rsidRPr="004F7425">
        <w:t>Numbers of enslaved individuals entering the upper Potomac Region by decade.</w:t>
      </w:r>
    </w:p>
    <w:p w:rsidR="008203A5" w:rsidRPr="004F7425" w:rsidRDefault="008203A5" w:rsidP="008203A5"/>
    <w:p w:rsidR="008203A5" w:rsidRDefault="008203A5" w:rsidP="008203A5"/>
    <w:p w:rsidR="008203A5" w:rsidRDefault="008203A5" w:rsidP="008203A5"/>
    <w:p w:rsidR="008203A5" w:rsidRDefault="008203A5" w:rsidP="008203A5">
      <w:pPr>
        <w:spacing w:line="480" w:lineRule="auto"/>
        <w:ind w:firstLine="720"/>
      </w:pPr>
      <w:r>
        <w:t>Taking a step back from a region-specific focus, we can see where Fairfax County fits within the larger transformations of slavery over the sevente</w:t>
      </w:r>
      <w:r w:rsidR="005C5DC5">
        <w:t xml:space="preserve">enth and eighteenth centuries. </w:t>
      </w:r>
      <w:r>
        <w:t xml:space="preserve">Ira Berlin (1998) encompasses the development African American culture within a larger narrative of </w:t>
      </w:r>
      <w:r w:rsidR="00A84D45">
        <w:t xml:space="preserve">the transition of </w:t>
      </w:r>
      <w:r>
        <w:t>“societies with</w:t>
      </w:r>
      <w:r w:rsidR="005C5DC5">
        <w:t xml:space="preserve"> slaves” to “slave societies.” </w:t>
      </w:r>
      <w:r>
        <w:t>Berlin characterizes the former as societies wherein slaves were not the dominant means of pro</w:t>
      </w:r>
      <w:r w:rsidR="005C5DC5">
        <w:t xml:space="preserve">duction or economic viability. </w:t>
      </w:r>
      <w:r>
        <w:t xml:space="preserve">Slave societies, on the other hand, were organized entirely under the master-slave model, which applied to all social relations including husband </w:t>
      </w:r>
      <w:r w:rsidR="005C5DC5">
        <w:t xml:space="preserve">and wife, or parent and child. </w:t>
      </w:r>
      <w:r>
        <w:t>The catalyst for this transformation usually came in the form of the discovery of some commodity; in t</w:t>
      </w:r>
      <w:r w:rsidR="005C5DC5">
        <w:t xml:space="preserve">he Chesapeake, it was tobacco. </w:t>
      </w:r>
      <w:r>
        <w:t>Once discovered, the quest for riches impelled planters to abandon most other forms of labor and exclusively rely on slaves, bolstered by the codification of power relat</w:t>
      </w:r>
      <w:r w:rsidR="005C5DC5">
        <w:t xml:space="preserve">ions in the legislative realm. </w:t>
      </w:r>
      <w:r>
        <w:t>Skyrocketing rates of direct importation of African slaves also defined a slave soci</w:t>
      </w:r>
      <w:r w:rsidR="005C5DC5">
        <w:t xml:space="preserve">ety. </w:t>
      </w:r>
      <w:r>
        <w:t xml:space="preserve">Additionally, in the Chesapeake region, the commitment to a tobacco </w:t>
      </w:r>
      <w:r>
        <w:lastRenderedPageBreak/>
        <w:t xml:space="preserve">economy was concurrent with the increasingly rigid social hierarchy where the planter class seized power and “was able to command the region’s resources, mobilize the power of the state, and vanquish competitors” (Berlin 1998:10).  </w:t>
      </w:r>
    </w:p>
    <w:p w:rsidR="008203A5" w:rsidRDefault="008203A5" w:rsidP="008203A5">
      <w:pPr>
        <w:spacing w:line="480" w:lineRule="auto"/>
        <w:ind w:firstLine="720"/>
      </w:pPr>
      <w:r>
        <w:t xml:space="preserve">Berlin’s (1998) comparative regional framework presents the experience of the charter generations of slaves, whom he calls Atlantic creoles, </w:t>
      </w:r>
      <w:r w:rsidR="005C5DC5">
        <w:t xml:space="preserve">recently imported to colonies. </w:t>
      </w:r>
      <w:r>
        <w:t xml:space="preserve">Racial boundaries were more fluid, social independence attainable in the form of a burgeoning slave economy, and a degree of interracial mixing occurred </w:t>
      </w:r>
      <w:r w:rsidR="00A84D45">
        <w:t xml:space="preserve">that was </w:t>
      </w:r>
      <w:r w:rsidR="005C5DC5">
        <w:t xml:space="preserve">not seen in later decades. </w:t>
      </w:r>
      <w:r>
        <w:t xml:space="preserve">This period in the Chesapeake, however, was fleeting and by the 1680s the charter generation had given way to the plantation generation and a slave-based </w:t>
      </w:r>
      <w:r w:rsidR="005C5DC5">
        <w:t xml:space="preserve">economic and social structure. </w:t>
      </w:r>
      <w:r>
        <w:t>Labor regimes associated with tobacco cultivation intensified, the slave economy was curtailed, and generally life was harsher as evidenced by higher slave mortality rates and uneven sex ratios</w:t>
      </w:r>
      <w:r w:rsidR="005C5DC5">
        <w:t xml:space="preserve">. </w:t>
      </w:r>
      <w:r w:rsidR="00A84D45">
        <w:t>These factors precluded</w:t>
      </w:r>
      <w:r>
        <w:t xml:space="preserve"> family formation as imports dominated by men increased dramatically in the late seventeenth and early eighteenth century.  </w:t>
      </w:r>
    </w:p>
    <w:p w:rsidR="008203A5" w:rsidRDefault="008203A5" w:rsidP="008203A5">
      <w:pPr>
        <w:spacing w:line="480" w:lineRule="auto"/>
        <w:ind w:firstLine="720"/>
      </w:pPr>
      <w:r>
        <w:t>The characteristics of the early plantation generation, however, transformed by the 1740s in the Chesapeake and Berlin’s (1998:126-141) explanation again hinges on the development of a native-born</w:t>
      </w:r>
      <w:r w:rsidR="005C5DC5">
        <w:t xml:space="preserve">, African American generation. </w:t>
      </w:r>
      <w:r>
        <w:t>The divisions between slaves living on plantations from different African nations diminished as the commonalities of self-made culture beg</w:t>
      </w:r>
      <w:r w:rsidR="005C5DC5">
        <w:t xml:space="preserve">an to overshadow distinctions. </w:t>
      </w:r>
      <w:r>
        <w:t>Berlin cites family formation, domestic stability and a measure of privacy, embracing Christianity, and a more stabilized workday as part of the recovery of slave culture in the second half of t</w:t>
      </w:r>
      <w:r w:rsidR="005C5DC5">
        <w:t xml:space="preserve">he plantation generation. </w:t>
      </w:r>
      <w:r>
        <w:t>In addition to the growth of an indigenous slave population, the shift from a universal staple crop to mixed grain cultivation ush</w:t>
      </w:r>
      <w:r w:rsidR="005C5DC5">
        <w:t xml:space="preserve">ered in some of these changes. </w:t>
      </w:r>
      <w:r>
        <w:t xml:space="preserve">Specifically, the growth of </w:t>
      </w:r>
      <w:r w:rsidR="00A84D45">
        <w:t xml:space="preserve">a class of </w:t>
      </w:r>
      <w:r>
        <w:t xml:space="preserve">slave artisans and skilled slaves </w:t>
      </w:r>
      <w:r>
        <w:lastRenderedPageBreak/>
        <w:t>which once again rejuvenated the slave economy</w:t>
      </w:r>
      <w:r w:rsidR="00A84D45">
        <w:t>,</w:t>
      </w:r>
      <w:r>
        <w:t xml:space="preserve"> and an enhanced social fluidity not seen since before the 1680s</w:t>
      </w:r>
      <w:r w:rsidR="00A84D45">
        <w:t>,</w:t>
      </w:r>
      <w:r>
        <w:t xml:space="preserve"> were outgrowths of agricultural transformations.</w:t>
      </w:r>
    </w:p>
    <w:p w:rsidR="008203A5" w:rsidRPr="00D87500" w:rsidRDefault="008203A5" w:rsidP="008203A5">
      <w:pPr>
        <w:spacing w:line="480" w:lineRule="auto"/>
        <w:ind w:firstLine="720"/>
      </w:pPr>
      <w:r>
        <w:t>By the mid-eighteenth century, the young Fairfax County could be characterized as a colo</w:t>
      </w:r>
      <w:r w:rsidR="005C5DC5">
        <w:t xml:space="preserve">nial region in transition. </w:t>
      </w:r>
      <w:r>
        <w:t xml:space="preserve">The county was on the cusp of major agricultural and economic change, with towns beginning to make their marks on an increasingly </w:t>
      </w:r>
      <w:r w:rsidR="005C5DC5">
        <w:t xml:space="preserve">networked, growing population. </w:t>
      </w:r>
      <w:r>
        <w:t>The enslaved community experienced shifts towards a more cohesive black culture, underpinned by a predominantly Virgin</w:t>
      </w:r>
      <w:r w:rsidR="005C5DC5">
        <w:t xml:space="preserve">ia-born demographic component. </w:t>
      </w:r>
      <w:r>
        <w:t>With this backdrop, we turn to one of the region’s founding families, the Washingtons.</w:t>
      </w:r>
    </w:p>
    <w:p w:rsidR="008203A5" w:rsidRPr="000B6566" w:rsidRDefault="008203A5" w:rsidP="008203A5">
      <w:pPr>
        <w:spacing w:line="480" w:lineRule="auto"/>
        <w:rPr>
          <w:b/>
        </w:rPr>
      </w:pPr>
      <w:r>
        <w:rPr>
          <w:b/>
        </w:rPr>
        <w:t>Washington Families</w:t>
      </w:r>
    </w:p>
    <w:p w:rsidR="008203A5" w:rsidRDefault="008203A5" w:rsidP="008203A5">
      <w:pPr>
        <w:spacing w:line="480" w:lineRule="auto"/>
        <w:ind w:firstLine="720"/>
      </w:pPr>
      <w:r>
        <w:rPr>
          <w:i/>
        </w:rPr>
        <w:t>The First Washingtons in Virginia</w:t>
      </w:r>
      <w:r w:rsidR="005C5DC5">
        <w:rPr>
          <w:i/>
        </w:rPr>
        <w:t>.</w:t>
      </w:r>
      <w:r>
        <w:rPr>
          <w:i/>
        </w:rPr>
        <w:t xml:space="preserve"> </w:t>
      </w:r>
      <w:r>
        <w:t xml:space="preserve">Before George Washington took over the operation of Mount Vernon plantation at age 22, the land had already passed through four generations of Washingtons, beginning with John </w:t>
      </w:r>
      <w:r w:rsidR="005C5DC5">
        <w:t xml:space="preserve">(Dalzell and Dalzell 1998:19). </w:t>
      </w:r>
      <w:r>
        <w:t>T</w:t>
      </w:r>
      <w:r w:rsidRPr="00CE6350">
        <w:t>able 4-</w:t>
      </w:r>
      <w:r>
        <w:t>3 presents genealogical details and chain of ownership title for Mount</w:t>
      </w:r>
      <w:r w:rsidR="005C5DC5">
        <w:t xml:space="preserve"> Vernon plantation. </w:t>
      </w:r>
      <w:r>
        <w:t>The early history of ownership on the Mount Vernon neck of land is one of tenants, absentee landlords, and occas</w:t>
      </w:r>
      <w:r w:rsidR="005C5DC5">
        <w:t>ional landlords-in-residence.</w:t>
      </w:r>
      <w:r w:rsidR="00A84D45">
        <w:t xml:space="preserve"> </w:t>
      </w:r>
      <w:r>
        <w:t>“To the first [three] generations it was a wilderness tract of limited importance, a place that could be willed to younger children, but in time, as its value increased with the development of the area, the family’s focus shifted there, at first tentatively, then decisively”</w:t>
      </w:r>
      <w:r w:rsidRPr="00934A66">
        <w:t xml:space="preserve"> </w:t>
      </w:r>
      <w:r w:rsidR="005C5DC5">
        <w:t xml:space="preserve">(Dalzell and Dalzell 1998:19). </w:t>
      </w:r>
      <w:r>
        <w:t xml:space="preserve">Col. John Washington (b. ca. 1632) and Col. Nicholas Spencer applied for a patent for the Mount Vernon neck land in 1669, but the title was not secured until 1677 (Freeman 1948:15; Moxham 1976:14-15). </w:t>
      </w:r>
    </w:p>
    <w:p w:rsidR="008203A5" w:rsidRDefault="008203A5" w:rsidP="008203A5">
      <w:pPr>
        <w:spacing w:line="480" w:lineRule="auto"/>
      </w:pPr>
      <w:r>
        <w:t xml:space="preserve"> </w:t>
      </w:r>
    </w:p>
    <w:p w:rsidR="008203A5" w:rsidRDefault="008203A5" w:rsidP="008203A5">
      <w:pPr>
        <w:spacing w:after="200" w:line="276" w:lineRule="auto"/>
        <w:rPr>
          <w:b/>
        </w:rPr>
      </w:pPr>
      <w:r>
        <w:rPr>
          <w:b/>
        </w:rPr>
        <w:br w:type="page"/>
      </w:r>
    </w:p>
    <w:p w:rsidR="008203A5" w:rsidRPr="004F7425" w:rsidRDefault="008203A5" w:rsidP="008203A5">
      <w:pPr>
        <w:spacing w:line="480" w:lineRule="auto"/>
      </w:pPr>
      <w:r>
        <w:rPr>
          <w:b/>
        </w:rPr>
        <w:lastRenderedPageBreak/>
        <w:t>Table 4-3</w:t>
      </w:r>
      <w:r w:rsidRPr="00997AE8">
        <w:rPr>
          <w:b/>
        </w:rPr>
        <w:t xml:space="preserve">. </w:t>
      </w:r>
      <w:r w:rsidRPr="004F7425">
        <w:t>Washington family genealogy and own</w:t>
      </w:r>
      <w:r w:rsidR="00F61DA8">
        <w:t>ership history on Mount Vernon N</w:t>
      </w:r>
      <w:r w:rsidRPr="004F7425">
        <w:t xml:space="preserve">eck. </w:t>
      </w:r>
    </w:p>
    <w:tbl>
      <w:tblPr>
        <w:tblW w:w="8839" w:type="dxa"/>
        <w:tblInd w:w="89" w:type="dxa"/>
        <w:tblLook w:val="04A0"/>
      </w:tblPr>
      <w:tblGrid>
        <w:gridCol w:w="2539"/>
        <w:gridCol w:w="1260"/>
        <w:gridCol w:w="2070"/>
        <w:gridCol w:w="2970"/>
      </w:tblGrid>
      <w:tr w:rsidR="008203A5" w:rsidRPr="00632AF5" w:rsidTr="00E91746">
        <w:trPr>
          <w:trHeight w:val="494"/>
        </w:trPr>
        <w:tc>
          <w:tcPr>
            <w:tcW w:w="2539"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8203A5" w:rsidRPr="00632AF5" w:rsidRDefault="008203A5" w:rsidP="00E91746">
            <w:pPr>
              <w:jc w:val="center"/>
              <w:rPr>
                <w:rFonts w:eastAsia="Times New Roman"/>
                <w:b/>
                <w:bCs/>
                <w:color w:val="000000"/>
                <w:sz w:val="20"/>
              </w:rPr>
            </w:pPr>
            <w:r w:rsidRPr="00632AF5">
              <w:rPr>
                <w:rFonts w:eastAsia="Times New Roman"/>
                <w:b/>
                <w:bCs/>
                <w:color w:val="000000"/>
                <w:sz w:val="20"/>
              </w:rPr>
              <w:t>Owner</w:t>
            </w:r>
          </w:p>
        </w:tc>
        <w:tc>
          <w:tcPr>
            <w:tcW w:w="126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32AF5" w:rsidRDefault="008203A5" w:rsidP="00E91746">
            <w:pPr>
              <w:jc w:val="center"/>
              <w:rPr>
                <w:rFonts w:eastAsia="Times New Roman"/>
                <w:b/>
                <w:bCs/>
                <w:color w:val="000000"/>
                <w:sz w:val="20"/>
              </w:rPr>
            </w:pPr>
            <w:r w:rsidRPr="00632AF5">
              <w:rPr>
                <w:rFonts w:eastAsia="Times New Roman"/>
                <w:b/>
                <w:bCs/>
                <w:color w:val="000000"/>
                <w:sz w:val="20"/>
              </w:rPr>
              <w:t>Status</w:t>
            </w:r>
          </w:p>
        </w:tc>
        <w:tc>
          <w:tcPr>
            <w:tcW w:w="207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32AF5" w:rsidRDefault="008203A5" w:rsidP="00E91746">
            <w:pPr>
              <w:jc w:val="center"/>
              <w:rPr>
                <w:rFonts w:eastAsia="Times New Roman"/>
                <w:b/>
                <w:bCs/>
                <w:color w:val="000000"/>
                <w:sz w:val="20"/>
              </w:rPr>
            </w:pPr>
            <w:r w:rsidRPr="00632AF5">
              <w:rPr>
                <w:rFonts w:eastAsia="Times New Roman"/>
                <w:b/>
                <w:bCs/>
                <w:color w:val="000000"/>
                <w:sz w:val="20"/>
              </w:rPr>
              <w:t>Initial Date of Ownership/Lease</w:t>
            </w:r>
          </w:p>
        </w:tc>
        <w:tc>
          <w:tcPr>
            <w:tcW w:w="2970" w:type="dxa"/>
            <w:tcBorders>
              <w:top w:val="single" w:sz="4" w:space="0" w:color="auto"/>
              <w:left w:val="nil"/>
              <w:bottom w:val="single" w:sz="4" w:space="0" w:color="auto"/>
              <w:right w:val="single" w:sz="4" w:space="0" w:color="auto"/>
            </w:tcBorders>
            <w:shd w:val="clear" w:color="000000" w:fill="D8D8D8"/>
            <w:vAlign w:val="bottom"/>
            <w:hideMark/>
          </w:tcPr>
          <w:p w:rsidR="008203A5" w:rsidRPr="00632AF5" w:rsidRDefault="008203A5" w:rsidP="00E91746">
            <w:pPr>
              <w:jc w:val="center"/>
              <w:rPr>
                <w:rFonts w:eastAsia="Times New Roman"/>
                <w:b/>
                <w:bCs/>
                <w:color w:val="000000"/>
                <w:sz w:val="20"/>
              </w:rPr>
            </w:pPr>
            <w:r w:rsidRPr="00632AF5">
              <w:rPr>
                <w:rFonts w:eastAsia="Times New Roman"/>
                <w:b/>
                <w:bCs/>
                <w:color w:val="000000"/>
                <w:sz w:val="20"/>
              </w:rPr>
              <w:t>Relationship to GW</w:t>
            </w:r>
          </w:p>
        </w:tc>
      </w:tr>
      <w:tr w:rsidR="008203A5" w:rsidRPr="00632AF5" w:rsidTr="00E91746">
        <w:trPr>
          <w:trHeight w:val="255"/>
        </w:trPr>
        <w:tc>
          <w:tcPr>
            <w:tcW w:w="2539"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John Washington</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Absentee</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right"/>
              <w:rPr>
                <w:rFonts w:eastAsia="Times New Roman"/>
                <w:color w:val="000000"/>
                <w:sz w:val="20"/>
              </w:rPr>
            </w:pPr>
            <w:r w:rsidRPr="00632AF5">
              <w:rPr>
                <w:rFonts w:eastAsia="Times New Roman"/>
                <w:color w:val="000000"/>
                <w:sz w:val="20"/>
              </w:rPr>
              <w:t>1677</w:t>
            </w:r>
          </w:p>
        </w:tc>
        <w:tc>
          <w:tcPr>
            <w:tcW w:w="2970" w:type="dxa"/>
            <w:tcBorders>
              <w:top w:val="nil"/>
              <w:left w:val="nil"/>
              <w:bottom w:val="single" w:sz="4" w:space="0" w:color="auto"/>
              <w:right w:val="single" w:sz="4" w:space="0" w:color="auto"/>
            </w:tcBorders>
            <w:shd w:val="clear" w:color="auto" w:fill="auto"/>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GW's great-grandfather</w:t>
            </w:r>
          </w:p>
        </w:tc>
      </w:tr>
      <w:tr w:rsidR="008203A5" w:rsidRPr="00632AF5" w:rsidTr="00E91746">
        <w:trPr>
          <w:trHeight w:val="255"/>
        </w:trPr>
        <w:tc>
          <w:tcPr>
            <w:tcW w:w="2539"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Lawrence Washington, II</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Absentee</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right"/>
              <w:rPr>
                <w:rFonts w:eastAsia="Times New Roman"/>
                <w:color w:val="000000"/>
                <w:sz w:val="20"/>
              </w:rPr>
            </w:pPr>
            <w:r w:rsidRPr="00632AF5">
              <w:rPr>
                <w:rFonts w:eastAsia="Times New Roman"/>
                <w:color w:val="000000"/>
                <w:sz w:val="20"/>
              </w:rPr>
              <w:t>1677</w:t>
            </w:r>
          </w:p>
        </w:tc>
        <w:tc>
          <w:tcPr>
            <w:tcW w:w="2970" w:type="dxa"/>
            <w:tcBorders>
              <w:top w:val="nil"/>
              <w:left w:val="nil"/>
              <w:bottom w:val="single" w:sz="4" w:space="0" w:color="auto"/>
              <w:right w:val="single" w:sz="4" w:space="0" w:color="auto"/>
            </w:tcBorders>
            <w:shd w:val="clear" w:color="auto" w:fill="auto"/>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GW's grandfather; JW's son</w:t>
            </w:r>
          </w:p>
        </w:tc>
      </w:tr>
      <w:tr w:rsidR="008203A5" w:rsidRPr="00632AF5" w:rsidTr="00E91746">
        <w:trPr>
          <w:trHeight w:val="255"/>
        </w:trPr>
        <w:tc>
          <w:tcPr>
            <w:tcW w:w="2539"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Mildred Washington</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Absentee</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right"/>
              <w:rPr>
                <w:rFonts w:eastAsia="Times New Roman"/>
                <w:color w:val="000000"/>
                <w:sz w:val="20"/>
              </w:rPr>
            </w:pPr>
            <w:r w:rsidRPr="00632AF5">
              <w:rPr>
                <w:rFonts w:eastAsia="Times New Roman"/>
                <w:color w:val="000000"/>
                <w:sz w:val="20"/>
              </w:rPr>
              <w:t>1698</w:t>
            </w:r>
          </w:p>
        </w:tc>
        <w:tc>
          <w:tcPr>
            <w:tcW w:w="2970" w:type="dxa"/>
            <w:tcBorders>
              <w:top w:val="nil"/>
              <w:left w:val="nil"/>
              <w:bottom w:val="single" w:sz="4" w:space="0" w:color="auto"/>
              <w:right w:val="single" w:sz="4" w:space="0" w:color="auto"/>
            </w:tcBorders>
            <w:shd w:val="clear" w:color="auto" w:fill="auto"/>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GW's aunt; AW's sister</w:t>
            </w:r>
          </w:p>
        </w:tc>
      </w:tr>
      <w:tr w:rsidR="008203A5" w:rsidRPr="00632AF5" w:rsidTr="00E91746">
        <w:trPr>
          <w:trHeight w:val="255"/>
        </w:trPr>
        <w:tc>
          <w:tcPr>
            <w:tcW w:w="2539"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Augustine Washington</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Absentee</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right"/>
              <w:rPr>
                <w:rFonts w:eastAsia="Times New Roman"/>
                <w:color w:val="000000"/>
                <w:sz w:val="20"/>
              </w:rPr>
            </w:pPr>
            <w:r w:rsidRPr="00632AF5">
              <w:rPr>
                <w:rFonts w:eastAsia="Times New Roman"/>
                <w:color w:val="000000"/>
                <w:sz w:val="20"/>
              </w:rPr>
              <w:t>1726</w:t>
            </w:r>
          </w:p>
        </w:tc>
        <w:tc>
          <w:tcPr>
            <w:tcW w:w="2970" w:type="dxa"/>
            <w:tcBorders>
              <w:top w:val="nil"/>
              <w:left w:val="nil"/>
              <w:bottom w:val="single" w:sz="4" w:space="0" w:color="auto"/>
              <w:right w:val="single" w:sz="4" w:space="0" w:color="auto"/>
            </w:tcBorders>
            <w:shd w:val="clear" w:color="auto" w:fill="auto"/>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GW and LW's father</w:t>
            </w:r>
          </w:p>
        </w:tc>
      </w:tr>
      <w:tr w:rsidR="008203A5" w:rsidRPr="00632AF5" w:rsidTr="00E91746">
        <w:trPr>
          <w:trHeight w:val="255"/>
        </w:trPr>
        <w:tc>
          <w:tcPr>
            <w:tcW w:w="2539"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Resident</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right"/>
              <w:rPr>
                <w:rFonts w:eastAsia="Times New Roman"/>
                <w:color w:val="000000"/>
                <w:sz w:val="20"/>
              </w:rPr>
            </w:pPr>
            <w:r w:rsidRPr="00632AF5">
              <w:rPr>
                <w:rFonts w:eastAsia="Times New Roman"/>
                <w:color w:val="000000"/>
                <w:sz w:val="20"/>
              </w:rPr>
              <w:t>1735</w:t>
            </w:r>
          </w:p>
        </w:tc>
        <w:tc>
          <w:tcPr>
            <w:tcW w:w="2970" w:type="dxa"/>
            <w:tcBorders>
              <w:top w:val="nil"/>
              <w:left w:val="nil"/>
              <w:bottom w:val="single" w:sz="4" w:space="0" w:color="auto"/>
              <w:right w:val="single" w:sz="4" w:space="0" w:color="auto"/>
            </w:tcBorders>
            <w:shd w:val="clear" w:color="auto" w:fill="auto"/>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 </w:t>
            </w:r>
          </w:p>
        </w:tc>
      </w:tr>
      <w:tr w:rsidR="008203A5" w:rsidRPr="00632AF5" w:rsidTr="00E91746">
        <w:trPr>
          <w:trHeight w:val="255"/>
        </w:trPr>
        <w:tc>
          <w:tcPr>
            <w:tcW w:w="2539"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 </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Absentee</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right"/>
              <w:rPr>
                <w:rFonts w:eastAsia="Times New Roman"/>
                <w:color w:val="000000"/>
                <w:sz w:val="20"/>
              </w:rPr>
            </w:pPr>
            <w:r w:rsidRPr="00632AF5">
              <w:rPr>
                <w:rFonts w:eastAsia="Times New Roman"/>
                <w:color w:val="000000"/>
                <w:sz w:val="20"/>
              </w:rPr>
              <w:t>1738</w:t>
            </w:r>
          </w:p>
        </w:tc>
        <w:tc>
          <w:tcPr>
            <w:tcW w:w="2970" w:type="dxa"/>
            <w:tcBorders>
              <w:top w:val="nil"/>
              <w:left w:val="nil"/>
              <w:bottom w:val="single" w:sz="4" w:space="0" w:color="auto"/>
              <w:right w:val="single" w:sz="4" w:space="0" w:color="auto"/>
            </w:tcBorders>
            <w:shd w:val="clear" w:color="auto" w:fill="auto"/>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 </w:t>
            </w:r>
          </w:p>
        </w:tc>
      </w:tr>
      <w:tr w:rsidR="008203A5" w:rsidRPr="00632AF5" w:rsidTr="00E91746">
        <w:trPr>
          <w:trHeight w:val="510"/>
        </w:trPr>
        <w:tc>
          <w:tcPr>
            <w:tcW w:w="2539"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Lawrence Washington</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Resident</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right"/>
              <w:rPr>
                <w:rFonts w:eastAsia="Times New Roman"/>
                <w:color w:val="000000"/>
                <w:sz w:val="20"/>
              </w:rPr>
            </w:pPr>
            <w:r w:rsidRPr="00632AF5">
              <w:rPr>
                <w:rFonts w:eastAsia="Times New Roman"/>
                <w:color w:val="000000"/>
                <w:sz w:val="20"/>
              </w:rPr>
              <w:t>1743-1753</w:t>
            </w:r>
          </w:p>
        </w:tc>
        <w:tc>
          <w:tcPr>
            <w:tcW w:w="2970" w:type="dxa"/>
            <w:tcBorders>
              <w:top w:val="nil"/>
              <w:left w:val="nil"/>
              <w:bottom w:val="single" w:sz="4" w:space="0" w:color="auto"/>
              <w:right w:val="single" w:sz="4" w:space="0" w:color="auto"/>
            </w:tcBorders>
            <w:shd w:val="clear" w:color="auto" w:fill="auto"/>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GW's elder half brother; AW's first born son</w:t>
            </w:r>
          </w:p>
        </w:tc>
      </w:tr>
      <w:tr w:rsidR="008203A5" w:rsidRPr="00632AF5" w:rsidTr="00E91746">
        <w:trPr>
          <w:trHeight w:val="255"/>
        </w:trPr>
        <w:tc>
          <w:tcPr>
            <w:tcW w:w="2539"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George Washington</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Lessee</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right"/>
              <w:rPr>
                <w:rFonts w:eastAsia="Times New Roman"/>
                <w:color w:val="000000"/>
                <w:sz w:val="20"/>
              </w:rPr>
            </w:pPr>
            <w:r w:rsidRPr="00632AF5">
              <w:rPr>
                <w:rFonts w:eastAsia="Times New Roman"/>
                <w:color w:val="000000"/>
                <w:sz w:val="20"/>
              </w:rPr>
              <w:t>1754-1761</w:t>
            </w:r>
          </w:p>
        </w:tc>
        <w:tc>
          <w:tcPr>
            <w:tcW w:w="2970" w:type="dxa"/>
            <w:tcBorders>
              <w:top w:val="nil"/>
              <w:left w:val="nil"/>
              <w:bottom w:val="single" w:sz="4" w:space="0" w:color="auto"/>
              <w:right w:val="single" w:sz="4" w:space="0" w:color="auto"/>
            </w:tcBorders>
            <w:shd w:val="clear" w:color="auto" w:fill="auto"/>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 </w:t>
            </w:r>
          </w:p>
        </w:tc>
      </w:tr>
      <w:tr w:rsidR="008203A5" w:rsidRPr="00632AF5" w:rsidTr="00E91746">
        <w:trPr>
          <w:trHeight w:val="255"/>
        </w:trPr>
        <w:tc>
          <w:tcPr>
            <w:tcW w:w="2539"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 xml:space="preserve">George and Martha Washington </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Resident</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right"/>
              <w:rPr>
                <w:rFonts w:eastAsia="Times New Roman"/>
                <w:color w:val="000000"/>
                <w:sz w:val="20"/>
              </w:rPr>
            </w:pPr>
            <w:r w:rsidRPr="00632AF5">
              <w:rPr>
                <w:rFonts w:eastAsia="Times New Roman"/>
                <w:color w:val="000000"/>
                <w:sz w:val="20"/>
              </w:rPr>
              <w:t>1761-1802</w:t>
            </w:r>
          </w:p>
        </w:tc>
        <w:tc>
          <w:tcPr>
            <w:tcW w:w="2970" w:type="dxa"/>
            <w:tcBorders>
              <w:top w:val="nil"/>
              <w:left w:val="nil"/>
              <w:bottom w:val="single" w:sz="4" w:space="0" w:color="auto"/>
              <w:right w:val="single" w:sz="4" w:space="0" w:color="auto"/>
            </w:tcBorders>
            <w:shd w:val="clear" w:color="auto" w:fill="auto"/>
            <w:vAlign w:val="bottom"/>
            <w:hideMark/>
          </w:tcPr>
          <w:p w:rsidR="008203A5" w:rsidRPr="00632AF5" w:rsidRDefault="008203A5" w:rsidP="00E91746">
            <w:pPr>
              <w:rPr>
                <w:rFonts w:eastAsia="Times New Roman"/>
                <w:color w:val="000000"/>
                <w:sz w:val="20"/>
              </w:rPr>
            </w:pPr>
            <w:r w:rsidRPr="00632AF5">
              <w:rPr>
                <w:rFonts w:eastAsia="Times New Roman"/>
                <w:color w:val="000000"/>
                <w:sz w:val="20"/>
              </w:rPr>
              <w:t> </w:t>
            </w:r>
          </w:p>
        </w:tc>
      </w:tr>
    </w:tbl>
    <w:p w:rsidR="008203A5" w:rsidRDefault="008203A5" w:rsidP="008203A5">
      <w:pPr>
        <w:ind w:firstLine="720"/>
        <w:rPr>
          <w:b/>
        </w:rPr>
      </w:pPr>
    </w:p>
    <w:p w:rsidR="008203A5" w:rsidRDefault="008203A5" w:rsidP="008203A5">
      <w:pPr>
        <w:ind w:firstLine="720"/>
        <w:rPr>
          <w:b/>
        </w:rPr>
      </w:pPr>
    </w:p>
    <w:p w:rsidR="008203A5" w:rsidRDefault="008203A5" w:rsidP="008203A5">
      <w:pPr>
        <w:ind w:firstLine="720"/>
        <w:rPr>
          <w:b/>
        </w:rPr>
      </w:pPr>
    </w:p>
    <w:p w:rsidR="008203A5" w:rsidRDefault="008203A5" w:rsidP="008203A5">
      <w:pPr>
        <w:spacing w:line="480" w:lineRule="auto"/>
        <w:ind w:firstLine="720"/>
      </w:pPr>
      <w:r>
        <w:t>Whether either John Washington or Nicholas Spencer resided on the property,</w:t>
      </w:r>
      <w:r w:rsidRPr="00D440EE">
        <w:t xml:space="preserve"> </w:t>
      </w:r>
      <w:r>
        <w:t>which was officially partitioned between the two parties in 1690 (</w:t>
      </w:r>
      <w:r w:rsidRPr="00C00A21">
        <w:t xml:space="preserve">Figure </w:t>
      </w:r>
      <w:r>
        <w:t xml:space="preserve">4-3), was </w:t>
      </w:r>
      <w:r w:rsidR="005C5DC5">
        <w:t xml:space="preserve">not recorded (Moxham 1976:16). </w:t>
      </w:r>
      <w:r>
        <w:t>Following John’s immigration to Virginia in 1659, his prestige within colonial society grew through the accumulation lands, partially through marriage to two widows, and service to the colony as a coroner, tax collector, member of the parish vestry and House of Burgesses, justice of the county court, and a colonel of the militia</w:t>
      </w:r>
      <w:r w:rsidR="005C5DC5">
        <w:t xml:space="preserve"> (Dalzell and Dalzell 1998:20).</w:t>
      </w:r>
      <w:r>
        <w:t xml:space="preserve"> Following John Washington’s death in 1677, Lawrence Washington II (b.1659) inherited the recently patented lands on Mount Vernon Neck, but never resided there, instead leasing the property to two tenants mentioned in his 1698 will (D</w:t>
      </w:r>
      <w:r w:rsidR="005C5DC5">
        <w:t>alzell and Dalzell 1998:22-23).</w:t>
      </w:r>
      <w:r>
        <w:t xml:space="preserve"> Lawrence was schooled in England and brought that education to the Virginia colony where he served as justice of the county court and a member of the House of Burgesses </w:t>
      </w:r>
      <w:r w:rsidR="005C5DC5">
        <w:t xml:space="preserve">(Dalzell and Dalzell 1998:22). </w:t>
      </w:r>
      <w:r>
        <w:t>Mildred (b. 1698), Lawrence Washington II’s infant daughter, inherited the lands of Hunting Creek, or 2</w:t>
      </w:r>
      <w:r w:rsidR="00A84D45">
        <w:t>,</w:t>
      </w:r>
      <w:r>
        <w:t xml:space="preserve">500 acres of the Mount Vernon tract (Toner 1891:17; Freeman 1948:31).       </w:t>
      </w:r>
    </w:p>
    <w:p w:rsidR="008203A5" w:rsidRDefault="008203A5" w:rsidP="008203A5">
      <w:r>
        <w:rPr>
          <w:noProof/>
        </w:rPr>
        <w:lastRenderedPageBreak/>
        <w:drawing>
          <wp:inline distT="0" distB="0" distL="0" distR="0">
            <wp:extent cx="5943600" cy="7412355"/>
            <wp:effectExtent l="19050" t="0" r="0" b="0"/>
            <wp:docPr id="11" name="Picture 0" descr="MV Neck_1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V Neck_1735.jpg"/>
                    <pic:cNvPicPr/>
                  </pic:nvPicPr>
                  <pic:blipFill>
                    <a:blip r:embed="rId16" cstate="print"/>
                    <a:stretch>
                      <a:fillRect/>
                    </a:stretch>
                  </pic:blipFill>
                  <pic:spPr>
                    <a:xfrm>
                      <a:off x="0" y="0"/>
                      <a:ext cx="5943600" cy="7412355"/>
                    </a:xfrm>
                    <a:prstGeom prst="rect">
                      <a:avLst/>
                    </a:prstGeom>
                  </pic:spPr>
                </pic:pic>
              </a:graphicData>
            </a:graphic>
          </wp:inline>
        </w:drawing>
      </w:r>
    </w:p>
    <w:p w:rsidR="008203A5" w:rsidRPr="004F7425" w:rsidRDefault="008203A5" w:rsidP="008203A5">
      <w:r>
        <w:rPr>
          <w:b/>
        </w:rPr>
        <w:t>Figure 4-3</w:t>
      </w:r>
      <w:r w:rsidRPr="00493E88">
        <w:rPr>
          <w:b/>
        </w:rPr>
        <w:t xml:space="preserve">. </w:t>
      </w:r>
      <w:r w:rsidRPr="004F7425">
        <w:t>Mount Vernon Neck with the approximate location of Spencer/Washington dividing line, ca. 1690</w:t>
      </w:r>
      <w:r w:rsidR="005C5DC5">
        <w:t>.</w:t>
      </w:r>
      <w:r w:rsidRPr="004F7425">
        <w:t xml:space="preserve"> (Map by Luke Pecoraro, 2012).</w:t>
      </w:r>
    </w:p>
    <w:p w:rsidR="008203A5" w:rsidRDefault="008203A5" w:rsidP="008203A5">
      <w:pPr>
        <w:spacing w:line="480" w:lineRule="auto"/>
      </w:pPr>
    </w:p>
    <w:p w:rsidR="008203A5" w:rsidRPr="006B7371" w:rsidRDefault="008203A5" w:rsidP="008203A5">
      <w:pPr>
        <w:spacing w:line="480" w:lineRule="auto"/>
        <w:ind w:firstLine="720"/>
      </w:pPr>
      <w:r w:rsidRPr="000B6566">
        <w:rPr>
          <w:i/>
        </w:rPr>
        <w:lastRenderedPageBreak/>
        <w:t>Augustine Washington</w:t>
      </w:r>
      <w:r>
        <w:rPr>
          <w:i/>
        </w:rPr>
        <w:t>’s</w:t>
      </w:r>
      <w:r w:rsidRPr="000B6566">
        <w:rPr>
          <w:i/>
        </w:rPr>
        <w:t xml:space="preserve"> Household.</w:t>
      </w:r>
      <w:r w:rsidR="005C5DC5">
        <w:t xml:space="preserve"> </w:t>
      </w:r>
      <w:r>
        <w:t xml:space="preserve">Augustine Washington </w:t>
      </w:r>
      <w:r>
        <w:rPr>
          <w:rFonts w:eastAsia="Calibri"/>
        </w:rPr>
        <w:t xml:space="preserve">(b. 1694) purchased the lands of Little Hunting Creek from </w:t>
      </w:r>
      <w:r>
        <w:t>his sister Mildred in 1726, most likely as an investment in tobacco production (Dalze</w:t>
      </w:r>
      <w:r w:rsidR="005C5DC5">
        <w:t xml:space="preserve">ll and Dalzell 1998:25). </w:t>
      </w:r>
      <w:r>
        <w:t>This was not the first of Augustine’s land acquisitions; by 1722 he had purchased a plantation on Pope’s Creek (George Washington’s birthplace) and built a house for his family, inc</w:t>
      </w:r>
      <w:r w:rsidR="005C5DC5">
        <w:t xml:space="preserve">luding first wife Jane Butler. </w:t>
      </w:r>
      <w:r>
        <w:t>Additionally, Augustine acquired lands as part of speculations associated with iron</w:t>
      </w:r>
      <w:r w:rsidR="005C5DC5">
        <w:t xml:space="preserve"> production from ore deposits. </w:t>
      </w:r>
      <w:r>
        <w:t xml:space="preserve">During this time, the Mount Vernon property was also referred to as Epsewasson, named after a small creek </w:t>
      </w:r>
      <w:r w:rsidR="005C5DC5">
        <w:t xml:space="preserve">(Dalzell and Dalzell 1998:25). </w:t>
      </w:r>
      <w:r>
        <w:t>Lawrence Washington (b. 1718), next in line to inherit this tract, was the first b</w:t>
      </w:r>
      <w:r w:rsidR="005C5DC5">
        <w:t xml:space="preserve">orn son of Augustine and Jane. </w:t>
      </w:r>
      <w:r>
        <w:t>A second son</w:t>
      </w:r>
      <w:r w:rsidR="005C5DC5">
        <w:t xml:space="preserve">, Augustine, was born in 1720. </w:t>
      </w:r>
      <w:r>
        <w:t>Following Jane’s death, her husband Augustine married again, this time to a woman named Mary Ball; George Washington (b. 1732) was the</w:t>
      </w:r>
      <w:r w:rsidR="005C5DC5">
        <w:t xml:space="preserve"> first born son of this union. </w:t>
      </w:r>
      <w:r>
        <w:t xml:space="preserve">In 1735, Augustine moved his family from Pope’s Creek to Epsewasson in order to profit by way of tobacco production from his initial investment </w:t>
      </w:r>
      <w:r w:rsidR="005C5DC5">
        <w:t xml:space="preserve">(Dalzell and Dalzell 1998:25). </w:t>
      </w:r>
      <w:r>
        <w:t>The evidence for this relocation appears in the form of documentation of Augustine’s election to the Truro Parish vestry in November of 1735 (Fre</w:t>
      </w:r>
      <w:r w:rsidR="005C5DC5">
        <w:t xml:space="preserve">eman 1948:53; Moxham 1976:33). </w:t>
      </w:r>
      <w:r>
        <w:t>As quickly as the family arrived, they moved again</w:t>
      </w:r>
      <w:r w:rsidR="00530CE5">
        <w:t xml:space="preserve"> in 1738</w:t>
      </w:r>
      <w:r>
        <w:t>, this time to Ferry Farm plantation, near Fredericksburg, Virginia and closer to Augustine’s iron prospects (Freeman 1948:58; Dalzell and Dalzell 1998</w:t>
      </w:r>
      <w:r w:rsidR="00530CE5">
        <w:t>:25</w:t>
      </w:r>
      <w:r>
        <w:t xml:space="preserve">).     </w:t>
      </w:r>
    </w:p>
    <w:p w:rsidR="008203A5" w:rsidRDefault="008203A5" w:rsidP="008203A5">
      <w:pPr>
        <w:spacing w:line="480" w:lineRule="auto"/>
        <w:ind w:firstLine="720"/>
        <w:rPr>
          <w:rFonts w:eastAsia="Calibri"/>
        </w:rPr>
      </w:pPr>
      <w:r w:rsidRPr="00B95C54">
        <w:t xml:space="preserve"> </w:t>
      </w:r>
      <w:r w:rsidRPr="00B95C54">
        <w:rPr>
          <w:rFonts w:eastAsia="Calibri"/>
        </w:rPr>
        <w:t xml:space="preserve">In addition to the seven nuclear family members who lived on the Mount Vernon tract </w:t>
      </w:r>
      <w:r>
        <w:rPr>
          <w:rFonts w:eastAsia="Calibri"/>
        </w:rPr>
        <w:t>by the</w:t>
      </w:r>
      <w:r w:rsidRPr="00B95C54">
        <w:rPr>
          <w:rFonts w:eastAsia="Calibri"/>
        </w:rPr>
        <w:t xml:space="preserve"> end 1738 (parents Augustine and Mary and children George, Betty, Samuel, John, and Charles), doubtlessly some slaves belonged to this extended household, but th</w:t>
      </w:r>
      <w:r w:rsidR="005C5DC5">
        <w:rPr>
          <w:rFonts w:eastAsia="Calibri"/>
        </w:rPr>
        <w:t xml:space="preserve">eir total number is not known. </w:t>
      </w:r>
      <w:r w:rsidRPr="00B95C54">
        <w:rPr>
          <w:rFonts w:eastAsia="Calibri"/>
        </w:rPr>
        <w:t>Lawrence and Augustine, the two oldest sons, were away at school</w:t>
      </w:r>
      <w:r w:rsidR="00AB778E">
        <w:rPr>
          <w:rFonts w:eastAsia="Calibri"/>
        </w:rPr>
        <w:t xml:space="preserve"> in England (Freeman 1948:53). </w:t>
      </w:r>
      <w:r w:rsidRPr="00B95C54">
        <w:rPr>
          <w:rFonts w:eastAsia="Calibri"/>
        </w:rPr>
        <w:t xml:space="preserve">Slave presence can be inferred from Augustine’s motivations for settling – </w:t>
      </w:r>
      <w:r w:rsidRPr="00B95C54">
        <w:rPr>
          <w:rFonts w:eastAsia="Calibri"/>
        </w:rPr>
        <w:lastRenderedPageBreak/>
        <w:t xml:space="preserve">tobacco cultivation – and the presence of outbuildings tentatively attributed to his occupation, particularly a dairy, suggesting </w:t>
      </w:r>
      <w:r w:rsidR="00AB778E">
        <w:rPr>
          <w:rFonts w:eastAsia="Calibri"/>
        </w:rPr>
        <w:t xml:space="preserve">the labor of household slaves. </w:t>
      </w:r>
      <w:r>
        <w:rPr>
          <w:rFonts w:eastAsia="Calibri"/>
        </w:rPr>
        <w:t xml:space="preserve">In ca. 1736 or 1737, Augustine left Virginia on a brief trip to England to meet with his partners in the ironworks, keeping his family at Little Hunting Creek, and returned the following year, 1737 (Freeman 1948:56).  </w:t>
      </w:r>
    </w:p>
    <w:p w:rsidR="008203A5" w:rsidRDefault="008203A5" w:rsidP="008203A5">
      <w:pPr>
        <w:spacing w:line="480" w:lineRule="auto"/>
        <w:ind w:firstLine="720"/>
        <w:rPr>
          <w:rFonts w:eastAsia="Calibri"/>
        </w:rPr>
      </w:pPr>
      <w:r>
        <w:rPr>
          <w:rFonts w:eastAsia="Calibri"/>
        </w:rPr>
        <w:t>Secondary evidence suggests that the house was not empty from late 1738 to 1743</w:t>
      </w:r>
      <w:r w:rsidR="00530CE5">
        <w:rPr>
          <w:rFonts w:eastAsia="Calibri"/>
        </w:rPr>
        <w:t xml:space="preserve"> during which time</w:t>
      </w:r>
      <w:r>
        <w:rPr>
          <w:rFonts w:eastAsia="Calibri"/>
        </w:rPr>
        <w:t xml:space="preserve"> Augustine Washington </w:t>
      </w:r>
      <w:r w:rsidR="00530CE5">
        <w:rPr>
          <w:rFonts w:eastAsia="Calibri"/>
        </w:rPr>
        <w:t>and his f</w:t>
      </w:r>
      <w:r w:rsidR="00AB778E">
        <w:rPr>
          <w:rFonts w:eastAsia="Calibri"/>
        </w:rPr>
        <w:t xml:space="preserve">amily lived in Fredericksburg. </w:t>
      </w:r>
      <w:r w:rsidR="00530CE5">
        <w:rPr>
          <w:rFonts w:eastAsia="Calibri"/>
        </w:rPr>
        <w:t>H</w:t>
      </w:r>
      <w:r>
        <w:rPr>
          <w:rFonts w:eastAsia="Calibri"/>
        </w:rPr>
        <w:t>istorians presume that Lawrence probably spent some time at the Little Hunting Creek home while he purchased land in the</w:t>
      </w:r>
      <w:r w:rsidR="00AB778E">
        <w:rPr>
          <w:rFonts w:eastAsia="Calibri"/>
        </w:rPr>
        <w:t xml:space="preserve"> area on behalf of his father. </w:t>
      </w:r>
      <w:r>
        <w:rPr>
          <w:rFonts w:eastAsia="Calibri"/>
        </w:rPr>
        <w:t>For instance, in March of 1738, Lawrence Washington bought a 56-acre tract from William Spencer (Ja</w:t>
      </w:r>
      <w:r w:rsidR="00AB778E">
        <w:rPr>
          <w:rFonts w:eastAsia="Calibri"/>
        </w:rPr>
        <w:t xml:space="preserve">ckson and Twohig 1976[1]:227). </w:t>
      </w:r>
      <w:r>
        <w:rPr>
          <w:rFonts w:eastAsia="Calibri"/>
        </w:rPr>
        <w:t>In 1739, he bought another 200 acres from Spencer, this time at the mouth of a nearby creek, and a tract from Geo</w:t>
      </w:r>
      <w:r w:rsidR="00AB778E">
        <w:rPr>
          <w:rFonts w:eastAsia="Calibri"/>
        </w:rPr>
        <w:t xml:space="preserve">rge Harrison (Moxham 1976:34). </w:t>
      </w:r>
      <w:r>
        <w:rPr>
          <w:rFonts w:eastAsia="Calibri"/>
        </w:rPr>
        <w:t xml:space="preserve">Prince William County records indicate that Augustine and possibly the family re-entered the county and perhaps again took up residence at the Little Hunting Creek dwelling when he voted in the county’s poll for the election of the burgesses (Moxham 1976:34; Warren 1999:5791).  </w:t>
      </w:r>
    </w:p>
    <w:p w:rsidR="008203A5" w:rsidRPr="00425065" w:rsidRDefault="008203A5" w:rsidP="008203A5">
      <w:pPr>
        <w:pStyle w:val="Heading1"/>
        <w:ind w:firstLine="720"/>
        <w:jc w:val="left"/>
        <w:rPr>
          <w:rFonts w:eastAsia="Calibri"/>
          <w:i w:val="0"/>
        </w:rPr>
      </w:pPr>
      <w:r w:rsidRPr="00FD7853">
        <w:rPr>
          <w:rFonts w:eastAsia="Calibri"/>
          <w:i w:val="0"/>
        </w:rPr>
        <w:t xml:space="preserve">Figure </w:t>
      </w:r>
      <w:r>
        <w:rPr>
          <w:rFonts w:eastAsia="Calibri"/>
          <w:i w:val="0"/>
        </w:rPr>
        <w:t>4-4</w:t>
      </w:r>
      <w:r w:rsidRPr="00BC3777">
        <w:rPr>
          <w:rFonts w:eastAsia="Calibri"/>
          <w:i w:val="0"/>
        </w:rPr>
        <w:t xml:space="preserve"> </w:t>
      </w:r>
      <w:r>
        <w:rPr>
          <w:rFonts w:eastAsia="Calibri"/>
          <w:i w:val="0"/>
        </w:rPr>
        <w:t>presents</w:t>
      </w:r>
      <w:r w:rsidRPr="00BC3777">
        <w:rPr>
          <w:rFonts w:eastAsia="Calibri"/>
          <w:i w:val="0"/>
        </w:rPr>
        <w:t xml:space="preserve"> a conjectural graph </w:t>
      </w:r>
      <w:r>
        <w:rPr>
          <w:rFonts w:eastAsia="Calibri"/>
          <w:i w:val="0"/>
        </w:rPr>
        <w:t>of</w:t>
      </w:r>
      <w:r w:rsidRPr="00BC3777">
        <w:rPr>
          <w:rFonts w:eastAsia="Calibri"/>
          <w:i w:val="0"/>
        </w:rPr>
        <w:t xml:space="preserve"> the </w:t>
      </w:r>
      <w:r>
        <w:rPr>
          <w:rFonts w:eastAsia="Calibri"/>
          <w:i w:val="0"/>
        </w:rPr>
        <w:t xml:space="preserve">extended </w:t>
      </w:r>
      <w:r w:rsidRPr="00BC3777">
        <w:rPr>
          <w:rFonts w:eastAsia="Calibri"/>
          <w:i w:val="0"/>
        </w:rPr>
        <w:t>Washington households in terms of number of people by year beginning in 1735 with the Augustine Washington household.</w:t>
      </w:r>
      <w:r w:rsidR="00AB778E">
        <w:rPr>
          <w:rFonts w:eastAsia="Calibri"/>
          <w:i w:val="0"/>
        </w:rPr>
        <w:t xml:space="preserve"> </w:t>
      </w:r>
      <w:r>
        <w:rPr>
          <w:rFonts w:eastAsia="Calibri"/>
          <w:i w:val="0"/>
        </w:rPr>
        <w:t>The household, as defined here, included all individuals (free and enslaved) who incurred tithes at Mount Vernon, as well as Washington family women and children, and any enslaved childre</w:t>
      </w:r>
      <w:r w:rsidR="00AB778E">
        <w:rPr>
          <w:rFonts w:eastAsia="Calibri"/>
          <w:i w:val="0"/>
        </w:rPr>
        <w:t xml:space="preserve">n recorded in other documents. </w:t>
      </w:r>
      <w:r>
        <w:rPr>
          <w:rFonts w:eastAsia="Calibri"/>
          <w:i w:val="0"/>
        </w:rPr>
        <w:t>It does not include temporary hired white laborers or slaves who were rented for short periods. The demographic evidence was drawn from multiple sources that contain evidence of Washington family life events, including births, deaths, and relocations (Freeman 1948; Moxham 1976; Dalzell and Dalzell 1998), and the growing slave population (Washington 1753</w:t>
      </w:r>
      <w:r w:rsidRPr="00425065">
        <w:rPr>
          <w:rFonts w:eastAsia="Calibri"/>
          <w:i w:val="0"/>
        </w:rPr>
        <w:t xml:space="preserve">; </w:t>
      </w:r>
      <w:r>
        <w:rPr>
          <w:rFonts w:eastAsia="Calibri"/>
          <w:i w:val="0"/>
        </w:rPr>
        <w:t xml:space="preserve">Washington 1754-1775; </w:t>
      </w:r>
      <w:r w:rsidRPr="00425065">
        <w:rPr>
          <w:i w:val="0"/>
        </w:rPr>
        <w:t>Steadman 1964:537</w:t>
      </w:r>
      <w:r>
        <w:rPr>
          <w:i w:val="0"/>
        </w:rPr>
        <w:t xml:space="preserve">; Abbot 1983[1]:229, 231, </w:t>
      </w:r>
      <w:r>
        <w:rPr>
          <w:i w:val="0"/>
        </w:rPr>
        <w:lastRenderedPageBreak/>
        <w:t>1988[6]:428; Abbot and Twohig 1990[7]:45, 139, 227-228, 313, 376-377, 442-443, 515-516, 1993[8]:104, 220-221, 356-357, 479-480, 1994[9]:54-55, 238-239, 1995[10]:137-138)</w:t>
      </w:r>
      <w:r w:rsidRPr="00425065">
        <w:rPr>
          <w:rFonts w:eastAsia="Calibri"/>
          <w:i w:val="0"/>
        </w:rPr>
        <w:t xml:space="preserve">.  </w:t>
      </w:r>
    </w:p>
    <w:p w:rsidR="008203A5" w:rsidRPr="00577666" w:rsidRDefault="008203A5" w:rsidP="008203A5">
      <w:pPr>
        <w:spacing w:line="480" w:lineRule="auto"/>
        <w:ind w:firstLine="720"/>
      </w:pPr>
      <w:r w:rsidRPr="000B6566">
        <w:rPr>
          <w:rFonts w:eastAsia="Calibri"/>
          <w:i/>
        </w:rPr>
        <w:t>Lawrence Washington’s Household.</w:t>
      </w:r>
      <w:r w:rsidR="00AB778E">
        <w:rPr>
          <w:rFonts w:eastAsia="Calibri"/>
        </w:rPr>
        <w:t xml:space="preserve"> </w:t>
      </w:r>
      <w:r w:rsidRPr="00577666">
        <w:rPr>
          <w:rFonts w:eastAsia="Calibri"/>
        </w:rPr>
        <w:t>Lawrence</w:t>
      </w:r>
      <w:r>
        <w:rPr>
          <w:rFonts w:eastAsia="Calibri"/>
        </w:rPr>
        <w:t>,</w:t>
      </w:r>
      <w:r w:rsidRPr="00577666">
        <w:rPr>
          <w:rFonts w:eastAsia="Calibri"/>
        </w:rPr>
        <w:t xml:space="preserve"> George Washington’s elder half brother, was a planter with a distinguished military career who served as the justice of the peace, adjutant general, and a local elected politician.</w:t>
      </w:r>
      <w:r w:rsidRPr="00577666">
        <w:rPr>
          <w:rStyle w:val="FootnoteReference"/>
          <w:rFonts w:eastAsia="Calibri"/>
        </w:rPr>
        <w:footnoteReference w:id="1"/>
      </w:r>
      <w:r w:rsidR="00AB778E">
        <w:rPr>
          <w:rFonts w:eastAsia="Calibri"/>
        </w:rPr>
        <w:t xml:space="preserve"> </w:t>
      </w:r>
      <w:r>
        <w:rPr>
          <w:rFonts w:eastAsia="Calibri"/>
        </w:rPr>
        <w:t>Part of his success in c</w:t>
      </w:r>
      <w:r w:rsidRPr="00577666">
        <w:rPr>
          <w:rFonts w:eastAsia="Calibri"/>
        </w:rPr>
        <w:t xml:space="preserve">olonial Virginia society might </w:t>
      </w:r>
      <w:r>
        <w:rPr>
          <w:rFonts w:eastAsia="Calibri"/>
        </w:rPr>
        <w:t xml:space="preserve">be attributed to the fact that </w:t>
      </w:r>
      <w:r w:rsidRPr="00577666">
        <w:rPr>
          <w:rFonts w:eastAsia="Calibri"/>
        </w:rPr>
        <w:t xml:space="preserve">Lawrence </w:t>
      </w:r>
      <w:r>
        <w:rPr>
          <w:rFonts w:eastAsia="Calibri"/>
        </w:rPr>
        <w:t>received</w:t>
      </w:r>
      <w:r w:rsidRPr="00577666">
        <w:rPr>
          <w:rFonts w:eastAsia="Calibri"/>
        </w:rPr>
        <w:t xml:space="preserve"> an excellent education </w:t>
      </w:r>
      <w:r>
        <w:rPr>
          <w:rFonts w:eastAsia="Calibri"/>
        </w:rPr>
        <w:t xml:space="preserve">at the </w:t>
      </w:r>
      <w:r w:rsidRPr="00577666">
        <w:rPr>
          <w:rFonts w:eastAsia="Calibri"/>
        </w:rPr>
        <w:t>Appleby School near</w:t>
      </w:r>
      <w:r>
        <w:rPr>
          <w:rFonts w:eastAsia="Calibri"/>
        </w:rPr>
        <w:t xml:space="preserve"> Whitehaven in northern England</w:t>
      </w:r>
      <w:r w:rsidRPr="00577666">
        <w:rPr>
          <w:rFonts w:eastAsia="Calibri"/>
        </w:rPr>
        <w:t xml:space="preserve"> from 17</w:t>
      </w:r>
      <w:r>
        <w:rPr>
          <w:rFonts w:eastAsia="Calibri"/>
        </w:rPr>
        <w:t>29 to ca. 1738 (Henriques 1992</w:t>
      </w:r>
      <w:r w:rsidR="00AB778E">
        <w:rPr>
          <w:rFonts w:eastAsia="Calibri"/>
        </w:rPr>
        <w:t xml:space="preserve">:241). </w:t>
      </w:r>
      <w:r>
        <w:rPr>
          <w:rFonts w:eastAsia="Calibri"/>
        </w:rPr>
        <w:t xml:space="preserve">After returning from England and purchasing lands on Mount Vernon neck on behalf of his father, Lawrence began his military career as one of four captains chosen by Governor Gooch to lead the Virginia companies assigned to </w:t>
      </w:r>
      <w:r w:rsidRPr="00577666">
        <w:rPr>
          <w:rFonts w:eastAsia="Calibri"/>
        </w:rPr>
        <w:t>fight in the War</w:t>
      </w:r>
      <w:r>
        <w:rPr>
          <w:rFonts w:eastAsia="Calibri"/>
        </w:rPr>
        <w:t xml:space="preserve"> of Jenkins’ Ear, Britain’s retaliation against Spain’s trade violations (Abbot </w:t>
      </w:r>
      <w:r w:rsidRPr="00577666">
        <w:rPr>
          <w:rFonts w:eastAsia="Calibri"/>
        </w:rPr>
        <w:t>1983[1]:7</w:t>
      </w:r>
      <w:r>
        <w:rPr>
          <w:rFonts w:eastAsia="Calibri"/>
        </w:rPr>
        <w:t>; Henriques 1992:242-243</w:t>
      </w:r>
      <w:r w:rsidR="00AB778E">
        <w:rPr>
          <w:rFonts w:eastAsia="Calibri"/>
        </w:rPr>
        <w:t xml:space="preserve">). </w:t>
      </w:r>
      <w:r>
        <w:rPr>
          <w:rFonts w:eastAsia="Calibri"/>
        </w:rPr>
        <w:t>The Virginia troops fought alongside the British navy under the leadership of Admiral Vernon t</w:t>
      </w:r>
      <w:r w:rsidR="00AB778E">
        <w:rPr>
          <w:rFonts w:eastAsia="Calibri"/>
        </w:rPr>
        <w:t xml:space="preserve">o capture Cartagena, Columbia. </w:t>
      </w:r>
      <w:r w:rsidRPr="00577666">
        <w:rPr>
          <w:rFonts w:eastAsia="Calibri"/>
        </w:rPr>
        <w:t>Lawrence f</w:t>
      </w:r>
      <w:r>
        <w:rPr>
          <w:rFonts w:eastAsia="Calibri"/>
        </w:rPr>
        <w:t xml:space="preserve">ought overseas from 1741 until </w:t>
      </w:r>
      <w:r w:rsidRPr="00577666">
        <w:rPr>
          <w:rFonts w:eastAsia="Calibri"/>
        </w:rPr>
        <w:t>late 174</w:t>
      </w:r>
      <w:r>
        <w:rPr>
          <w:rFonts w:eastAsia="Calibri"/>
        </w:rPr>
        <w:t>2 or early 1743 (Henriques 1992</w:t>
      </w:r>
      <w:r w:rsidRPr="00577666">
        <w:rPr>
          <w:rFonts w:eastAsia="Calibri"/>
        </w:rPr>
        <w:t>:242-</w:t>
      </w:r>
      <w:r>
        <w:rPr>
          <w:rFonts w:eastAsia="Calibri"/>
        </w:rPr>
        <w:t>24</w:t>
      </w:r>
      <w:r w:rsidRPr="00577666">
        <w:rPr>
          <w:rFonts w:eastAsia="Calibri"/>
        </w:rPr>
        <w:t>3).</w:t>
      </w:r>
      <w:r w:rsidRPr="00577666">
        <w:rPr>
          <w:rStyle w:val="FootnoteReference"/>
          <w:rFonts w:eastAsia="Calibri"/>
        </w:rPr>
        <w:footnoteReference w:id="2"/>
      </w:r>
      <w:r w:rsidR="00AB778E">
        <w:rPr>
          <w:rFonts w:eastAsia="Calibri"/>
        </w:rPr>
        <w:t xml:space="preserve"> </w:t>
      </w:r>
      <w:r>
        <w:rPr>
          <w:rFonts w:eastAsia="Calibri"/>
        </w:rPr>
        <w:t>Though the American-backed British navy lost this battle, Lawrence received praise from Admiral Vernon and returned to Virginia a military hero (Henriques 1992:242-243</w:t>
      </w:r>
      <w:r w:rsidRPr="00577666">
        <w:rPr>
          <w:rFonts w:eastAsia="Calibri"/>
        </w:rPr>
        <w:t>)</w:t>
      </w:r>
      <w:r w:rsidR="00AB778E">
        <w:rPr>
          <w:rFonts w:eastAsia="Calibri"/>
        </w:rPr>
        <w:t>.</w:t>
      </w:r>
      <w:r>
        <w:rPr>
          <w:rFonts w:eastAsia="Calibri"/>
        </w:rPr>
        <w:t xml:space="preserve"> Lawrence drew on this experience when he renamed Little Hunting Creek plantation Mount Vernon.</w:t>
      </w:r>
    </w:p>
    <w:p w:rsidR="008203A5" w:rsidRDefault="008203A5" w:rsidP="008203A5">
      <w:pPr>
        <w:spacing w:after="200" w:line="276" w:lineRule="auto"/>
        <w:rPr>
          <w:noProof/>
        </w:rPr>
        <w:sectPr w:rsidR="008203A5" w:rsidSect="006524E9">
          <w:type w:val="continuous"/>
          <w:pgSz w:w="12240" w:h="15840"/>
          <w:pgMar w:top="1440" w:right="1440" w:bottom="1440" w:left="1440" w:header="720" w:footer="720" w:gutter="0"/>
          <w:pgNumType w:start="1"/>
          <w:cols w:space="720"/>
          <w:docGrid w:linePitch="360"/>
        </w:sectPr>
      </w:pPr>
      <w:r>
        <w:rPr>
          <w:noProof/>
        </w:rPr>
        <w:br w:type="page"/>
      </w:r>
    </w:p>
    <w:p w:rsidR="008203A5" w:rsidRDefault="008203A5" w:rsidP="008203A5">
      <w:pPr>
        <w:spacing w:after="200" w:line="276" w:lineRule="auto"/>
        <w:rPr>
          <w:noProof/>
        </w:rPr>
      </w:pPr>
    </w:p>
    <w:p w:rsidR="008203A5" w:rsidRDefault="008203A5" w:rsidP="008203A5">
      <w:r>
        <w:rPr>
          <w:noProof/>
        </w:rPr>
        <w:drawing>
          <wp:inline distT="0" distB="0" distL="0" distR="0">
            <wp:extent cx="8073417" cy="4937760"/>
            <wp:effectExtent l="19050" t="0" r="3783" b="0"/>
            <wp:docPr id="2" name="Picture 8" descr="Washington household change by y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shington household change by year.jpg"/>
                    <pic:cNvPicPr/>
                  </pic:nvPicPr>
                  <pic:blipFill>
                    <a:blip r:embed="rId17" cstate="print"/>
                    <a:stretch>
                      <a:fillRect/>
                    </a:stretch>
                  </pic:blipFill>
                  <pic:spPr>
                    <a:xfrm>
                      <a:off x="0" y="0"/>
                      <a:ext cx="8073417" cy="4937760"/>
                    </a:xfrm>
                    <a:prstGeom prst="rect">
                      <a:avLst/>
                    </a:prstGeom>
                  </pic:spPr>
                </pic:pic>
              </a:graphicData>
            </a:graphic>
          </wp:inline>
        </w:drawing>
      </w:r>
    </w:p>
    <w:p w:rsidR="008203A5" w:rsidRPr="00493E88" w:rsidRDefault="008203A5" w:rsidP="008203A5">
      <w:pPr>
        <w:rPr>
          <w:b/>
        </w:rPr>
      </w:pPr>
      <w:r>
        <w:rPr>
          <w:b/>
        </w:rPr>
        <w:t>Figure 4-4</w:t>
      </w:r>
      <w:r w:rsidRPr="00493E88">
        <w:rPr>
          <w:b/>
        </w:rPr>
        <w:t xml:space="preserve">. </w:t>
      </w:r>
      <w:r w:rsidRPr="004F7425">
        <w:t>Household change by year, 1735-1775.</w:t>
      </w:r>
      <w:r w:rsidRPr="00493E88">
        <w:rPr>
          <w:b/>
        </w:rPr>
        <w:t xml:space="preserve">  </w:t>
      </w:r>
    </w:p>
    <w:p w:rsidR="008203A5" w:rsidRDefault="008203A5" w:rsidP="008203A5">
      <w:pPr>
        <w:sectPr w:rsidR="008203A5" w:rsidSect="00E91746">
          <w:pgSz w:w="15840" w:h="12240" w:orient="landscape"/>
          <w:pgMar w:top="1440" w:right="1440" w:bottom="1440" w:left="1440" w:header="720" w:footer="720" w:gutter="0"/>
          <w:cols w:space="720"/>
          <w:docGrid w:linePitch="360"/>
        </w:sectPr>
      </w:pPr>
    </w:p>
    <w:p w:rsidR="008203A5" w:rsidRDefault="008203A5" w:rsidP="008203A5">
      <w:pPr>
        <w:spacing w:line="480" w:lineRule="auto"/>
        <w:ind w:firstLine="720"/>
      </w:pPr>
      <w:r>
        <w:rPr>
          <w:rFonts w:eastAsia="Calibri"/>
        </w:rPr>
        <w:lastRenderedPageBreak/>
        <w:t>Upon his departure from military service and his arrival back in Virginia, Lawrence Washington turned his attentions away from one career towards anothe</w:t>
      </w:r>
      <w:r w:rsidR="00AB778E">
        <w:rPr>
          <w:rFonts w:eastAsia="Calibri"/>
        </w:rPr>
        <w:t xml:space="preserve">r, that of a plantation owner. </w:t>
      </w:r>
      <w:r>
        <w:rPr>
          <w:rFonts w:eastAsia="Calibri"/>
        </w:rPr>
        <w:t>He married Ann Fairfax (ca. 1728 to 1761), daughter of William Fairfax of Belvoir, in July of 1743, just a short time after his father</w:t>
      </w:r>
      <w:r w:rsidR="00AB778E">
        <w:rPr>
          <w:rFonts w:eastAsia="Calibri"/>
        </w:rPr>
        <w:t xml:space="preserve">’s death (Henriques 1992:243). </w:t>
      </w:r>
      <w:r>
        <w:rPr>
          <w:rFonts w:eastAsia="Calibri"/>
        </w:rPr>
        <w:t>This match would have no doubt pleased Augustine Washington because of Ann’s prestigious lineage an</w:t>
      </w:r>
      <w:r w:rsidR="00AB778E">
        <w:rPr>
          <w:rFonts w:eastAsia="Calibri"/>
        </w:rPr>
        <w:t>d place in Virginia society.</w:t>
      </w:r>
      <w:r>
        <w:rPr>
          <w:rFonts w:eastAsia="Calibri"/>
        </w:rPr>
        <w:t xml:space="preserve"> She was “perhaps the most eligible young woman in northern Virginia, already possessing an estate of 4,000</w:t>
      </w:r>
      <w:r w:rsidR="00AB778E">
        <w:rPr>
          <w:rFonts w:eastAsia="Calibri"/>
        </w:rPr>
        <w:t xml:space="preserve"> acres” (Henriques 1992:243).  </w:t>
      </w:r>
      <w:r>
        <w:rPr>
          <w:rFonts w:eastAsia="Calibri"/>
        </w:rPr>
        <w:t xml:space="preserve">In the same year, </w:t>
      </w:r>
      <w:r>
        <w:t xml:space="preserve">Lawrence was appointed to the position of adjutant general for Virginia, an office which carried a large annual income (second only to the governor in salary) and the rank </w:t>
      </w:r>
      <w:r w:rsidR="00AB778E">
        <w:t xml:space="preserve">of major (Henriques 1992:243). </w:t>
      </w:r>
      <w:r>
        <w:t>“His alliance to the Fairfax family by marriage, his own inheritance, his appointment as adjutant general, and his election to the House of Burgesses all testified to his success and prominence by 1744, when he took his seat in the General A</w:t>
      </w:r>
      <w:r w:rsidR="00AB778E">
        <w:t xml:space="preserve">ssembly” (Henriques 1992:244). </w:t>
      </w:r>
      <w:r>
        <w:t>By this time, Lawrence seems to have already surpassed his father’s status as mid-level gentry and become “a person of consequence” (Dalzell and Dalzell 1998:30).</w:t>
      </w:r>
    </w:p>
    <w:p w:rsidR="008203A5" w:rsidRDefault="008203A5" w:rsidP="008203A5">
      <w:pPr>
        <w:spacing w:line="480" w:lineRule="auto"/>
        <w:ind w:firstLine="720"/>
        <w:rPr>
          <w:rFonts w:eastAsia="Calibri"/>
        </w:rPr>
      </w:pPr>
      <w:r>
        <w:rPr>
          <w:rFonts w:eastAsia="Calibri"/>
        </w:rPr>
        <w:t>The current hypothesis on the date of the construction of the first Mount Vernon home is that Augustine Washington built a small house, either for his family or with the intention of establishing his first-born son, which he later willed to Lawr</w:t>
      </w:r>
      <w:r w:rsidR="00AB778E">
        <w:rPr>
          <w:rFonts w:eastAsia="Calibri"/>
        </w:rPr>
        <w:t xml:space="preserve">ence at the time of his death. </w:t>
      </w:r>
      <w:r>
        <w:rPr>
          <w:rFonts w:eastAsia="Calibri"/>
        </w:rPr>
        <w:t>In addition to himself, Lawrence’s household in 1743 consisted of his wife, the slaves whom he inherited from Augustine, any people whom he subsequently purchased, and any personal slaves Ann b</w:t>
      </w:r>
      <w:r w:rsidR="00AB778E">
        <w:rPr>
          <w:rFonts w:eastAsia="Calibri"/>
        </w:rPr>
        <w:t xml:space="preserve">rought with her upon marriage. </w:t>
      </w:r>
      <w:r>
        <w:rPr>
          <w:rFonts w:eastAsia="Calibri"/>
        </w:rPr>
        <w:t xml:space="preserve">According to an enumerated tithables list taken by Reverend Charles Green in 1748/9 (transcribed and published in Steadman 1964:526-537), Lawrence Washington paid taxes on two white individuals (presumably himself and an overseer) </w:t>
      </w:r>
      <w:r>
        <w:rPr>
          <w:rFonts w:eastAsia="Calibri"/>
        </w:rPr>
        <w:lastRenderedPageBreak/>
        <w:t>and on 27 enslaved i</w:t>
      </w:r>
      <w:r w:rsidR="00AB778E">
        <w:rPr>
          <w:rFonts w:eastAsia="Calibri"/>
        </w:rPr>
        <w:t xml:space="preserve">ndividuals over the age of 16. </w:t>
      </w:r>
      <w:r>
        <w:rPr>
          <w:rFonts w:eastAsia="Calibri"/>
        </w:rPr>
        <w:t>Therefore, by 1749, the total number of individuals living on Washington’s Fairfax County lands was no fewer than 31 (Figure 4-4</w:t>
      </w:r>
      <w:r w:rsidRPr="00FD7853">
        <w:rPr>
          <w:rFonts w:eastAsia="Calibri"/>
        </w:rPr>
        <w:t>).</w:t>
      </w:r>
      <w:r>
        <w:rPr>
          <w:rFonts w:eastAsia="Calibri"/>
        </w:rPr>
        <w:t xml:space="preserve">  </w:t>
      </w:r>
    </w:p>
    <w:p w:rsidR="008203A5" w:rsidRDefault="008203A5" w:rsidP="008203A5">
      <w:pPr>
        <w:spacing w:line="480" w:lineRule="auto"/>
        <w:ind w:firstLine="720"/>
        <w:rPr>
          <w:rFonts w:eastAsia="Calibri"/>
        </w:rPr>
      </w:pPr>
      <w:r>
        <w:rPr>
          <w:rFonts w:eastAsia="Calibri"/>
        </w:rPr>
        <w:t>Few of Lawrence Washington’s documents exist, but his will and estate inventory offer historians a view of the man in his final years and of his household in the years after his death, in 1752</w:t>
      </w:r>
      <w:r w:rsidR="00C322A5">
        <w:rPr>
          <w:rFonts w:eastAsia="Calibri"/>
        </w:rPr>
        <w:t xml:space="preserve"> (Table A-1)</w:t>
      </w:r>
      <w:r w:rsidR="00AB778E">
        <w:rPr>
          <w:rFonts w:eastAsia="Calibri"/>
        </w:rPr>
        <w:t xml:space="preserve">. </w:t>
      </w:r>
      <w:r>
        <w:rPr>
          <w:rFonts w:eastAsia="Calibri"/>
        </w:rPr>
        <w:t>Lawrence was survived by his wife and their only c</w:t>
      </w:r>
      <w:r w:rsidR="00AB778E">
        <w:rPr>
          <w:rFonts w:eastAsia="Calibri"/>
        </w:rPr>
        <w:t xml:space="preserve">hild, Sarah (d. 1750-d. 1754). </w:t>
      </w:r>
      <w:r>
        <w:rPr>
          <w:rFonts w:eastAsia="Calibri"/>
        </w:rPr>
        <w:t>Ann and Sarah Washington resided at Mount Vernon for five months until Ann remarried Colonel George Lee (Abbot 1983[1]:227) and moved to Lee’s home in Mount Pleasant at the end</w:t>
      </w:r>
      <w:r w:rsidR="00AB778E">
        <w:rPr>
          <w:rFonts w:eastAsia="Calibri"/>
        </w:rPr>
        <w:t xml:space="preserve"> of 1752 (Henriques 1995:263). </w:t>
      </w:r>
      <w:r>
        <w:rPr>
          <w:rFonts w:eastAsia="Calibri"/>
        </w:rPr>
        <w:t>Lawrence’s inventory lists 37 slaves; therefore at the time of his death, approximately 40 people lived at the</w:t>
      </w:r>
      <w:r w:rsidR="00AB778E">
        <w:rPr>
          <w:rFonts w:eastAsia="Calibri"/>
        </w:rPr>
        <w:t xml:space="preserve"> plantation (Washington 1753). </w:t>
      </w:r>
      <w:r>
        <w:rPr>
          <w:rFonts w:eastAsia="Calibri"/>
        </w:rPr>
        <w:t>The 1754 “</w:t>
      </w:r>
      <w:r w:rsidRPr="00791231">
        <w:rPr>
          <w:rFonts w:eastAsia="Calibri"/>
        </w:rPr>
        <w:t>Division of the Negros</w:t>
      </w:r>
      <w:r>
        <w:rPr>
          <w:rFonts w:eastAsia="Calibri"/>
        </w:rPr>
        <w:t>” indicates that he owned a total of 62 slaves (</w:t>
      </w:r>
      <w:r w:rsidRPr="00720AE4">
        <w:rPr>
          <w:rFonts w:eastAsia="Calibri"/>
        </w:rPr>
        <w:t>Abbot 1983[1]:231</w:t>
      </w:r>
      <w:r w:rsidR="00AB778E">
        <w:rPr>
          <w:rFonts w:eastAsia="Calibri"/>
        </w:rPr>
        <w:t xml:space="preserve">). </w:t>
      </w:r>
      <w:r>
        <w:rPr>
          <w:rFonts w:eastAsia="Calibri"/>
        </w:rPr>
        <w:t xml:space="preserve">With details like the ages and heights of the children, the document makes clear that this was a growing enslaved community soon to be divided among the </w:t>
      </w:r>
      <w:r w:rsidR="00AB778E">
        <w:rPr>
          <w:rFonts w:eastAsia="Calibri"/>
        </w:rPr>
        <w:t xml:space="preserve">surviving Washington brothers. </w:t>
      </w:r>
      <w:r>
        <w:rPr>
          <w:rFonts w:eastAsia="Calibri"/>
        </w:rPr>
        <w:t xml:space="preserve">Additionally, “it is interesting to note that several of the people had African names, such as Sando, </w:t>
      </w:r>
      <w:r w:rsidR="00AB778E">
        <w:rPr>
          <w:rFonts w:eastAsia="Calibri"/>
        </w:rPr>
        <w:t xml:space="preserve">Sambo, Acco, Cunta, and Dula. </w:t>
      </w:r>
      <w:r>
        <w:rPr>
          <w:rFonts w:eastAsia="Calibri"/>
        </w:rPr>
        <w:t>There are also names of Biblical or classical origin, such as Pharrow, Caesar, Judah and Abram, as well as a Glasg</w:t>
      </w:r>
      <w:r w:rsidR="00AB778E">
        <w:rPr>
          <w:rFonts w:eastAsia="Calibri"/>
        </w:rPr>
        <w:t xml:space="preserve">ow and Dublin” (Clark 1988:4). </w:t>
      </w:r>
      <w:r>
        <w:rPr>
          <w:rFonts w:eastAsia="Calibri"/>
        </w:rPr>
        <w:t xml:space="preserve">The additional 25 slaves not listed in Lawrence’s probate inventory of Mount Vernon (Washington 1753) but present on the “Division” document must have resided on his other properties including his estate in Frederick County </w:t>
      </w:r>
      <w:r w:rsidRPr="00EB7770">
        <w:rPr>
          <w:rFonts w:eastAsia="Calibri"/>
        </w:rPr>
        <w:t>(</w:t>
      </w:r>
      <w:r>
        <w:rPr>
          <w:rFonts w:eastAsia="Calibri"/>
        </w:rPr>
        <w:t>Hardin and Keyes 1752</w:t>
      </w:r>
      <w:r w:rsidRPr="00EB7770">
        <w:rPr>
          <w:rFonts w:eastAsia="Calibri"/>
        </w:rPr>
        <w:t>).</w:t>
      </w:r>
      <w:r w:rsidR="00AB778E">
        <w:rPr>
          <w:rFonts w:eastAsia="Calibri"/>
        </w:rPr>
        <w:t xml:space="preserve"> </w:t>
      </w:r>
      <w:r>
        <w:rPr>
          <w:rFonts w:eastAsia="Calibri"/>
        </w:rPr>
        <w:t xml:space="preserve">The increase of the slave population from 31 in 1748/9 to 37 in 1752 reflects the fact that the inventory includes slaves of all ages, not just those over 16 </w:t>
      </w:r>
      <w:r w:rsidRPr="00FD7853">
        <w:rPr>
          <w:rFonts w:eastAsia="Calibri"/>
        </w:rPr>
        <w:t>(Figure 4-2).</w:t>
      </w:r>
      <w:r>
        <w:rPr>
          <w:rFonts w:eastAsia="Calibri"/>
        </w:rPr>
        <w:t xml:space="preserve">   </w:t>
      </w:r>
    </w:p>
    <w:p w:rsidR="008203A5" w:rsidRPr="007A5545" w:rsidRDefault="008203A5" w:rsidP="008203A5">
      <w:pPr>
        <w:spacing w:line="480" w:lineRule="auto"/>
        <w:ind w:firstLine="720"/>
        <w:rPr>
          <w:rFonts w:eastAsia="Calibri"/>
          <w:i/>
          <w:iCs/>
        </w:rPr>
      </w:pPr>
      <w:r w:rsidRPr="000B6566">
        <w:rPr>
          <w:rFonts w:eastAsia="Calibri"/>
          <w:i/>
        </w:rPr>
        <w:t>George Washington’s Household.</w:t>
      </w:r>
      <w:r w:rsidR="00AB778E">
        <w:rPr>
          <w:rFonts w:eastAsia="Calibri"/>
        </w:rPr>
        <w:t xml:space="preserve"> </w:t>
      </w:r>
      <w:r>
        <w:rPr>
          <w:rFonts w:eastAsia="Calibri"/>
        </w:rPr>
        <w:t>George Washington’s tenancy of Mount Vernon officially began in 1754 when he signed a lease with Ann Washington Lee and her new husband, Georg</w:t>
      </w:r>
      <w:r w:rsidR="00AB778E">
        <w:rPr>
          <w:rFonts w:eastAsia="Calibri"/>
        </w:rPr>
        <w:t xml:space="preserve">e Lee (Abbot 1983[1]:232-235). </w:t>
      </w:r>
      <w:r>
        <w:rPr>
          <w:rFonts w:eastAsia="Calibri"/>
        </w:rPr>
        <w:t xml:space="preserve">Ann Washington and her daughter Sarah remained at </w:t>
      </w:r>
      <w:r>
        <w:rPr>
          <w:rFonts w:eastAsia="Calibri"/>
        </w:rPr>
        <w:lastRenderedPageBreak/>
        <w:t xml:space="preserve">Mount Vernon only until the end of 1752; it is unclear who lived on the property in the </w:t>
      </w:r>
      <w:r w:rsidR="00530CE5">
        <w:rPr>
          <w:rFonts w:eastAsia="Calibri"/>
        </w:rPr>
        <w:t xml:space="preserve">following </w:t>
      </w:r>
      <w:r w:rsidR="00AB778E">
        <w:rPr>
          <w:rFonts w:eastAsia="Calibri"/>
        </w:rPr>
        <w:t xml:space="preserve">year. </w:t>
      </w:r>
      <w:r>
        <w:rPr>
          <w:rFonts w:eastAsia="Calibri"/>
        </w:rPr>
        <w:t>Dalzell and Dalzell (1998:33) note: “[Ann’s] daughter Sarah died two years later, in 1754, and before the year was out, George had arranged to lease Mount Vernon for the full term of his s</w:t>
      </w:r>
      <w:r w:rsidR="00AB778E">
        <w:rPr>
          <w:rFonts w:eastAsia="Calibri"/>
        </w:rPr>
        <w:t xml:space="preserve">ister-in-law’s life interest.” </w:t>
      </w:r>
      <w:r>
        <w:rPr>
          <w:rFonts w:eastAsia="Calibri"/>
        </w:rPr>
        <w:t>Washington served as Adjutant General of the Southern District of Virginia, which held the rank of major, in December 1752 and the duties associated with this appointment kept him busy through 1753</w:t>
      </w:r>
      <w:r w:rsidR="00AB778E">
        <w:rPr>
          <w:rFonts w:eastAsia="Calibri"/>
        </w:rPr>
        <w:t xml:space="preserve"> (Knollenberg1964:12-13, 233). </w:t>
      </w:r>
      <w:r>
        <w:rPr>
          <w:rFonts w:eastAsia="Calibri"/>
        </w:rPr>
        <w:t>When faced with a possible demotion in his military career, Washington decided to resign his position, sometime before Novemb</w:t>
      </w:r>
      <w:r w:rsidR="00AB778E">
        <w:rPr>
          <w:rFonts w:eastAsia="Calibri"/>
        </w:rPr>
        <w:t xml:space="preserve">er 1754 (Knollenberg 1964:25). </w:t>
      </w:r>
      <w:r>
        <w:rPr>
          <w:rFonts w:eastAsia="Calibri"/>
        </w:rPr>
        <w:t>The timing of Washington’s departure from the military coincided with Sarah’s death and his lease of Mount Vernon.</w:t>
      </w:r>
      <w:r>
        <w:rPr>
          <w:rFonts w:eastAsia="Calibri"/>
        </w:rPr>
        <w:tab/>
      </w:r>
    </w:p>
    <w:p w:rsidR="008203A5" w:rsidRDefault="008203A5" w:rsidP="008203A5">
      <w:pPr>
        <w:spacing w:line="480" w:lineRule="auto"/>
        <w:ind w:firstLine="720"/>
        <w:rPr>
          <w:rFonts w:eastAsia="Calibri"/>
        </w:rPr>
      </w:pPr>
      <w:r>
        <w:rPr>
          <w:rFonts w:eastAsia="Calibri"/>
        </w:rPr>
        <w:t xml:space="preserve">When George Washington again joined the military in 1755, this time to serve under General Braddock, he left the management of Mount Vernon plantation and his two others,  Ferry Farm and Bullskin, to his brother John Augustine </w:t>
      </w:r>
      <w:r w:rsidR="00AB778E">
        <w:rPr>
          <w:rFonts w:eastAsia="Calibri"/>
        </w:rPr>
        <w:t>Washington (Abbot 1983[2]:352).</w:t>
      </w:r>
      <w:r>
        <w:rPr>
          <w:rFonts w:eastAsia="Calibri"/>
        </w:rPr>
        <w:t xml:space="preserve"> Jack, as he was known, not only had the duty to manage the farms, but also th</w:t>
      </w:r>
      <w:r w:rsidR="00AB778E">
        <w:rPr>
          <w:rFonts w:eastAsia="Calibri"/>
        </w:rPr>
        <w:t xml:space="preserve">e slaves who worked upon them. </w:t>
      </w:r>
      <w:r>
        <w:rPr>
          <w:rFonts w:eastAsia="Calibri"/>
        </w:rPr>
        <w:t>From the lease agreement between George Washington and Ann and George Lee, it is</w:t>
      </w:r>
      <w:r w:rsidR="00530CE5">
        <w:rPr>
          <w:rFonts w:eastAsia="Calibri"/>
        </w:rPr>
        <w:t xml:space="preserve"> known that he rented 18 slaves: 10 adults; 7 children;</w:t>
      </w:r>
      <w:r>
        <w:rPr>
          <w:rFonts w:eastAsia="Calibri"/>
        </w:rPr>
        <w:t xml:space="preserve"> and an individual of unknown age (Abbot 1983[1]:232-235</w:t>
      </w:r>
      <w:r w:rsidRPr="00EB7770">
        <w:rPr>
          <w:rFonts w:eastAsia="Calibri"/>
        </w:rPr>
        <w:t>;</w:t>
      </w:r>
      <w:r>
        <w:rPr>
          <w:rFonts w:eastAsia="Calibri"/>
        </w:rPr>
        <w:t xml:space="preserve"> Abbot 1983[1]:229</w:t>
      </w:r>
      <w:r w:rsidRPr="00EB7770">
        <w:rPr>
          <w:rFonts w:eastAsia="Calibri"/>
        </w:rPr>
        <w:t>).</w:t>
      </w:r>
      <w:r w:rsidR="00AB778E">
        <w:rPr>
          <w:rFonts w:eastAsia="Calibri"/>
        </w:rPr>
        <w:t xml:space="preserve"> </w:t>
      </w:r>
      <w:r>
        <w:rPr>
          <w:rFonts w:eastAsia="Calibri"/>
        </w:rPr>
        <w:t>The ten slaves that Washington inherited from his father most likely lived on Bullskin plantation in Frederi</w:t>
      </w:r>
      <w:r w:rsidR="00AB778E">
        <w:rPr>
          <w:rFonts w:eastAsia="Calibri"/>
        </w:rPr>
        <w:t xml:space="preserve">ck County (Abbot 1983[1]:174). </w:t>
      </w:r>
      <w:r>
        <w:rPr>
          <w:rFonts w:eastAsia="Calibri"/>
        </w:rPr>
        <w:t>In 1754, Washington inherited eight slaves from his deceased brother’s estate (Abbot 1983[1]:231) and purchased at least one tha</w:t>
      </w:r>
      <w:r w:rsidR="00AB778E">
        <w:rPr>
          <w:rFonts w:eastAsia="Calibri"/>
        </w:rPr>
        <w:t xml:space="preserve">t year (Washington 1750-1774). </w:t>
      </w:r>
      <w:r>
        <w:rPr>
          <w:rFonts w:eastAsia="Calibri"/>
        </w:rPr>
        <w:t xml:space="preserve">Therefore, in 1754, the first year of Washington’s lease of Mount Vernon, 31 people lived and worked on the Mount Vernon plantation </w:t>
      </w:r>
      <w:r w:rsidRPr="00FD7853">
        <w:rPr>
          <w:rFonts w:eastAsia="Calibri"/>
        </w:rPr>
        <w:t xml:space="preserve">(Figure </w:t>
      </w:r>
      <w:r>
        <w:rPr>
          <w:rFonts w:eastAsia="Calibri"/>
        </w:rPr>
        <w:t>4-</w:t>
      </w:r>
      <w:r w:rsidRPr="00FD7853">
        <w:rPr>
          <w:rFonts w:eastAsia="Calibri"/>
        </w:rPr>
        <w:t>2)</w:t>
      </w:r>
      <w:r w:rsidR="00AB778E">
        <w:rPr>
          <w:rFonts w:eastAsia="Calibri"/>
        </w:rPr>
        <w:t xml:space="preserve">. </w:t>
      </w:r>
      <w:r>
        <w:rPr>
          <w:rFonts w:eastAsia="Calibri"/>
        </w:rPr>
        <w:t xml:space="preserve">By 1758, with the additional purchase of at least 7 slaves, the population rose to approximately 36 </w:t>
      </w:r>
      <w:r w:rsidR="00530CE5">
        <w:rPr>
          <w:rFonts w:eastAsia="Calibri"/>
        </w:rPr>
        <w:t xml:space="preserve">individuals </w:t>
      </w:r>
      <w:r>
        <w:rPr>
          <w:rFonts w:eastAsia="Calibri"/>
        </w:rPr>
        <w:t>(Washington 1750-1774).</w:t>
      </w:r>
    </w:p>
    <w:p w:rsidR="008203A5" w:rsidRDefault="008203A5" w:rsidP="008203A5">
      <w:pPr>
        <w:spacing w:line="480" w:lineRule="auto"/>
        <w:ind w:firstLine="720"/>
        <w:rPr>
          <w:rFonts w:eastAsia="Calibri"/>
        </w:rPr>
      </w:pPr>
      <w:r w:rsidRPr="000B6566">
        <w:rPr>
          <w:rFonts w:eastAsia="Calibri"/>
          <w:i/>
        </w:rPr>
        <w:lastRenderedPageBreak/>
        <w:t>George and Martha Washington’s Household.</w:t>
      </w:r>
      <w:r w:rsidR="00AB778E">
        <w:rPr>
          <w:rFonts w:eastAsia="Calibri"/>
        </w:rPr>
        <w:t xml:space="preserve"> </w:t>
      </w:r>
      <w:r>
        <w:rPr>
          <w:rFonts w:eastAsia="Calibri"/>
        </w:rPr>
        <w:t xml:space="preserve">At the end of 1758, George Washington resigned from the Virginia Regiment and shortly thereafter was married, in January 1759, at White House Plantation in New Kent County, Virginia </w:t>
      </w:r>
      <w:r w:rsidR="00AB778E">
        <w:rPr>
          <w:rFonts w:eastAsia="Calibri"/>
        </w:rPr>
        <w:t xml:space="preserve">(Dalzell and Dalzell 1998:52). </w:t>
      </w:r>
      <w:r>
        <w:rPr>
          <w:rFonts w:eastAsia="Calibri"/>
        </w:rPr>
        <w:t>Pogue (1994:103) writes: “After his return from the French and Indian War in 1758, George Washington sought to earn a place among Virginia’s planter elite via the time-honored method of expanding his inherited holdings in slaves and in land and by devoting those resources to the cultivati</w:t>
      </w:r>
      <w:r w:rsidR="00AB778E">
        <w:rPr>
          <w:rFonts w:eastAsia="Calibri"/>
        </w:rPr>
        <w:t xml:space="preserve">on of tobacco as a cash crop.” </w:t>
      </w:r>
      <w:r>
        <w:rPr>
          <w:rFonts w:eastAsia="Calibri"/>
        </w:rPr>
        <w:t xml:space="preserve">His ability to do so was afforded by his opportune marriage. </w:t>
      </w:r>
    </w:p>
    <w:p w:rsidR="008203A5" w:rsidRDefault="008203A5" w:rsidP="008203A5">
      <w:pPr>
        <w:spacing w:line="480" w:lineRule="auto"/>
        <w:ind w:firstLine="720"/>
      </w:pPr>
      <w:r>
        <w:t>In the ensuing years before the Revolution, “Washington established the foundation of the fortune that supported him through the long years when he was unable to supervise the operation of his estates” by marrying well, entering into the upper echelons of the consignment trade, and expanding his land and slave</w:t>
      </w:r>
      <w:r w:rsidR="00AB778E">
        <w:t xml:space="preserve"> holdings (Ragsdale 1989:145). </w:t>
      </w:r>
      <w:r>
        <w:rPr>
          <w:rFonts w:eastAsia="Calibri"/>
        </w:rPr>
        <w:t>George Washington’s marriage to Martha Dandridge Custis was socially and financially beneficial because her first husband died intestate</w:t>
      </w:r>
      <w:r w:rsidR="00530CE5">
        <w:rPr>
          <w:rFonts w:eastAsia="Calibri"/>
        </w:rPr>
        <w:t>,</w:t>
      </w:r>
      <w:r>
        <w:rPr>
          <w:rFonts w:eastAsia="Calibri"/>
        </w:rPr>
        <w:t xml:space="preserve"> allowing her ownership of one third of his personal property, land, a</w:t>
      </w:r>
      <w:r w:rsidR="00AB778E">
        <w:rPr>
          <w:rFonts w:eastAsia="Calibri"/>
        </w:rPr>
        <w:t xml:space="preserve">nd slaves (Abbot 1988[6]:202). </w:t>
      </w:r>
      <w:r>
        <w:rPr>
          <w:rFonts w:eastAsia="Calibri"/>
        </w:rPr>
        <w:t>Both Martha’s maiden family and her husband were wealthy, making this one-third extremely substa</w:t>
      </w:r>
      <w:r w:rsidR="00AB778E">
        <w:rPr>
          <w:rFonts w:eastAsia="Calibri"/>
        </w:rPr>
        <w:t xml:space="preserve">ntial (Abbot 1988[6]:201-311). </w:t>
      </w:r>
      <w:r>
        <w:t>In 1759, with his marriage to Martha Custis, a world of goods opened for Washington with the newly-gained access to “several of the leading merchant houses o</w:t>
      </w:r>
      <w:r w:rsidR="00AB778E">
        <w:t xml:space="preserve">f London” (Ragsdale 1989:138). </w:t>
      </w:r>
      <w:r>
        <w:t>Previously, Washington’s purchasing power suffered from location; unless Richard Washington (George Washington’s British factor, no relation) sent a ship up the Potomac, his tobacco was difficult to transpo</w:t>
      </w:r>
      <w:r w:rsidR="00AB778E">
        <w:t xml:space="preserve">rt out of Virginia to England. </w:t>
      </w:r>
      <w:r>
        <w:t>After his marriage, Washington’s principal agent became the one used by Daniel Parke Custis and the one Martha Washington promised to continue to do business with – the pres</w:t>
      </w:r>
      <w:r w:rsidR="00AB778E">
        <w:t xml:space="preserve">tigious Robert Cary &amp; Company. </w:t>
      </w:r>
      <w:r>
        <w:t xml:space="preserve">This newly forged alliance raised </w:t>
      </w:r>
      <w:r>
        <w:lastRenderedPageBreak/>
        <w:t>Washington’s expectations for better prices on his tobacco, which would meet his growing demands for imported goods (Ragsdale 1989:139).</w:t>
      </w:r>
    </w:p>
    <w:p w:rsidR="008203A5" w:rsidRDefault="008203A5" w:rsidP="008203A5">
      <w:pPr>
        <w:spacing w:line="480" w:lineRule="auto"/>
      </w:pPr>
      <w:r>
        <w:rPr>
          <w:rFonts w:eastAsia="Calibri"/>
        </w:rPr>
        <w:tab/>
        <w:t xml:space="preserve">George Washington’s rise in the ranks of colonial society during the decade and a half before the American Revolution, bolstered by his opportune marriage, is reflected in a seating chart </w:t>
      </w:r>
      <w:r w:rsidRPr="00FD7853">
        <w:rPr>
          <w:rFonts w:eastAsia="Calibri"/>
        </w:rPr>
        <w:t>(</w:t>
      </w:r>
      <w:r w:rsidR="00AB778E">
        <w:rPr>
          <w:rFonts w:eastAsia="Calibri"/>
        </w:rPr>
        <w:t xml:space="preserve">Figure 4-5). </w:t>
      </w:r>
      <w:r>
        <w:rPr>
          <w:rFonts w:eastAsia="Calibri"/>
        </w:rPr>
        <w:t>It maps the pew locations in the newly constructed Pohick Church</w:t>
      </w:r>
      <w:r>
        <w:t xml:space="preserve"> (1767), situated close to Mount Vernon,</w:t>
      </w:r>
      <w:r w:rsidR="00AB778E">
        <w:t xml:space="preserve"> Gunston Hall, and Colchester. </w:t>
      </w:r>
      <w:r>
        <w:t>Pohick Church was “by far the most important church in the parish and was attended by the most affluent, influent</w:t>
      </w:r>
      <w:r w:rsidR="00AB778E">
        <w:t xml:space="preserve">ial citizens” (Sweig 1978:69). </w:t>
      </w:r>
      <w:r>
        <w:t>The chart depicts the social hierarchy of the Fairfax County gentry with George Washington and George Fairfax at center stage, behind whom sat Lund Washington, George Washington’s distant cousin and plantation manager, and Alexander Henderson (who owned two pews), “the prominent and wealthy Colchester</w:t>
      </w:r>
      <w:r w:rsidR="00AB778E">
        <w:t xml:space="preserve"> merchant” (Sweig 1978:74-76). </w:t>
      </w:r>
      <w:r>
        <w:t>These seats are flanked on either side with other large planters in the area including George Mason</w:t>
      </w:r>
      <w:r w:rsidR="00530CE5">
        <w:t xml:space="preserve"> of Gunston Hall</w:t>
      </w:r>
      <w:r>
        <w:t>, Martin</w:t>
      </w:r>
      <w:r w:rsidR="00AB778E">
        <w:t xml:space="preserve"> Cockburn, and Daniel McCarty. </w:t>
      </w:r>
      <w:r>
        <w:t>This hierarchical seating chart was in place as soon as the church opened (Kulikoff 1986:239).</w:t>
      </w:r>
    </w:p>
    <w:p w:rsidR="008203A5" w:rsidRDefault="008203A5" w:rsidP="008203A5">
      <w:pPr>
        <w:spacing w:after="200" w:line="276" w:lineRule="auto"/>
      </w:pPr>
      <w:r>
        <w:br w:type="page"/>
      </w:r>
    </w:p>
    <w:p w:rsidR="008203A5" w:rsidRDefault="008203A5" w:rsidP="008203A5">
      <w:pPr>
        <w:spacing w:line="480" w:lineRule="auto"/>
        <w:jc w:val="center"/>
      </w:pPr>
      <w:r>
        <w:rPr>
          <w:noProof/>
        </w:rPr>
        <w:lastRenderedPageBreak/>
        <w:drawing>
          <wp:inline distT="0" distB="0" distL="0" distR="0">
            <wp:extent cx="5535089" cy="7863840"/>
            <wp:effectExtent l="19050" t="0" r="8461" b="0"/>
            <wp:docPr id="6" name="Picture 0" descr="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jpg"/>
                    <pic:cNvPicPr/>
                  </pic:nvPicPr>
                  <pic:blipFill>
                    <a:blip r:embed="rId18" cstate="print"/>
                    <a:stretch>
                      <a:fillRect/>
                    </a:stretch>
                  </pic:blipFill>
                  <pic:spPr>
                    <a:xfrm>
                      <a:off x="0" y="0"/>
                      <a:ext cx="5535089" cy="7863840"/>
                    </a:xfrm>
                    <a:prstGeom prst="rect">
                      <a:avLst/>
                    </a:prstGeom>
                  </pic:spPr>
                </pic:pic>
              </a:graphicData>
            </a:graphic>
          </wp:inline>
        </w:drawing>
      </w:r>
    </w:p>
    <w:p w:rsidR="008203A5" w:rsidRPr="00493E88" w:rsidRDefault="008203A5" w:rsidP="008203A5">
      <w:pPr>
        <w:spacing w:line="480" w:lineRule="auto"/>
        <w:rPr>
          <w:b/>
        </w:rPr>
      </w:pPr>
      <w:r w:rsidRPr="00493E88">
        <w:rPr>
          <w:b/>
        </w:rPr>
        <w:t xml:space="preserve">Figure 4-5. </w:t>
      </w:r>
      <w:r w:rsidRPr="004F7425">
        <w:t>Seating chart, Pohick Church, ca. 1770 (Sweig 1978:75).</w:t>
      </w:r>
    </w:p>
    <w:p w:rsidR="008203A5" w:rsidRDefault="008203A5" w:rsidP="008203A5">
      <w:pPr>
        <w:spacing w:line="480" w:lineRule="auto"/>
        <w:ind w:firstLine="720"/>
        <w:rPr>
          <w:rFonts w:eastAsia="Calibri"/>
        </w:rPr>
      </w:pPr>
      <w:r>
        <w:rPr>
          <w:rFonts w:eastAsia="Calibri"/>
        </w:rPr>
        <w:lastRenderedPageBreak/>
        <w:t>In addition to Martha Washington, her two children moved into the mansion, as did 22 of her dower slaves (Knolle</w:t>
      </w:r>
      <w:r w:rsidR="00AB778E">
        <w:rPr>
          <w:rFonts w:eastAsia="Calibri"/>
        </w:rPr>
        <w:t xml:space="preserve">nberg 1964:82; Thompson 2011). </w:t>
      </w:r>
      <w:r>
        <w:rPr>
          <w:rFonts w:eastAsia="Calibri"/>
        </w:rPr>
        <w:t>Over time, additional dower slaves were transferred to Fairfax County from Custis properties in Virgin</w:t>
      </w:r>
      <w:r w:rsidR="00AB778E">
        <w:rPr>
          <w:rFonts w:eastAsia="Calibri"/>
        </w:rPr>
        <w:t xml:space="preserve">ia’s tidewater (Clark 1988:5). </w:t>
      </w:r>
      <w:r>
        <w:rPr>
          <w:rFonts w:eastAsia="Calibri"/>
        </w:rPr>
        <w:t xml:space="preserve">A suggestive document compiled by George Washington relating to the slaves in the Custis estate, dated ca. 1759, lists the “tradesmen belonging to the Estate” and “Servants in and abt the House” </w:t>
      </w:r>
      <w:r w:rsidRPr="00EB7770">
        <w:rPr>
          <w:rFonts w:eastAsia="Calibri"/>
        </w:rPr>
        <w:t>(</w:t>
      </w:r>
      <w:r>
        <w:rPr>
          <w:rFonts w:eastAsia="Calibri"/>
        </w:rPr>
        <w:t>Abbot 1988[6]:282</w:t>
      </w:r>
      <w:r w:rsidRPr="00EB7770">
        <w:rPr>
          <w:rFonts w:eastAsia="Calibri"/>
        </w:rPr>
        <w:t>)</w:t>
      </w:r>
      <w:r w:rsidR="00AB778E">
        <w:rPr>
          <w:rFonts w:eastAsia="Calibri"/>
        </w:rPr>
        <w:t xml:space="preserve">. </w:t>
      </w:r>
      <w:r>
        <w:rPr>
          <w:rFonts w:eastAsia="Calibri"/>
        </w:rPr>
        <w:t>This document represents the first glimpse we have of the specific tasks to which h</w:t>
      </w:r>
      <w:r w:rsidR="00AB778E">
        <w:rPr>
          <w:rFonts w:eastAsia="Calibri"/>
        </w:rPr>
        <w:t xml:space="preserve">ousehold slaves were assigned. </w:t>
      </w:r>
      <w:r>
        <w:t>A</w:t>
      </w:r>
      <w:r>
        <w:rPr>
          <w:rFonts w:eastAsia="Calibri"/>
        </w:rPr>
        <w:t xml:space="preserve"> woman named Doll, age 38, was noted as the cook, assisted by </w:t>
      </w:r>
      <w:r w:rsidR="00AB778E">
        <w:rPr>
          <w:rFonts w:eastAsia="Calibri"/>
        </w:rPr>
        <w:t xml:space="preserve">a scullion named Beck, age 23. </w:t>
      </w:r>
      <w:r>
        <w:rPr>
          <w:rFonts w:eastAsia="Calibri"/>
        </w:rPr>
        <w:t>Doll served Washington and his wife for the early years of their marriage, as she appeared under the house servants</w:t>
      </w:r>
      <w:r w:rsidR="00530CE5">
        <w:rPr>
          <w:rFonts w:eastAsia="Calibri"/>
        </w:rPr>
        <w:t>’</w:t>
      </w:r>
      <w:r>
        <w:rPr>
          <w:rFonts w:eastAsia="Calibri"/>
        </w:rPr>
        <w:t xml:space="preserve"> section of the tithable lists through 1774 (</w:t>
      </w:r>
      <w:r>
        <w:t xml:space="preserve">Abbot </w:t>
      </w:r>
      <w:r>
        <w:rPr>
          <w:rFonts w:eastAsia="Calibri"/>
        </w:rPr>
        <w:t>1988[6]:282; Thompson 2002:19). The fate of Beck, on the other hand, is unknown – there is no me</w:t>
      </w:r>
      <w:r w:rsidR="00AB778E">
        <w:rPr>
          <w:rFonts w:eastAsia="Calibri"/>
        </w:rPr>
        <w:t xml:space="preserve">ntion of her in the tithables. </w:t>
      </w:r>
      <w:r>
        <w:rPr>
          <w:rFonts w:eastAsia="Calibri"/>
        </w:rPr>
        <w:t>Drawing from this document and the tithable lists, Shammas (1985:18, table 4) presents a breakdown of the slave labor force engaged in fi</w:t>
      </w:r>
      <w:r w:rsidR="00AB778E">
        <w:rPr>
          <w:rFonts w:eastAsia="Calibri"/>
        </w:rPr>
        <w:t xml:space="preserve">eld and non-field occupations. </w:t>
      </w:r>
      <w:r>
        <w:rPr>
          <w:rFonts w:eastAsia="Calibri"/>
        </w:rPr>
        <w:t xml:space="preserve">Of the approximately 90 individuals, 55 (61 percent) were assigned to domestic (men: 12.1 percent; women: 18.2 percent), housewifery (men: none; women 9.1 percent), and craft-related (men: 27.2 percent; women: none) tasks.    </w:t>
      </w:r>
    </w:p>
    <w:p w:rsidR="008203A5" w:rsidRDefault="008203A5" w:rsidP="008203A5">
      <w:pPr>
        <w:spacing w:line="480" w:lineRule="auto"/>
        <w:ind w:firstLine="720"/>
      </w:pPr>
      <w:r>
        <w:rPr>
          <w:rFonts w:eastAsia="Calibri"/>
        </w:rPr>
        <w:t>Additional documents relate to George Washington’s slave purchases and the growing community of enslaved a</w:t>
      </w:r>
      <w:r w:rsidR="00AB778E">
        <w:rPr>
          <w:rFonts w:eastAsia="Calibri"/>
        </w:rPr>
        <w:t xml:space="preserve">nd free labor at Mount Vernon. </w:t>
      </w:r>
      <w:r>
        <w:rPr>
          <w:rFonts w:eastAsia="Calibri"/>
        </w:rPr>
        <w:t>Ledger A and one associated deed book entry (Posey 1765) document at least 71 purchases of slaves betw</w:t>
      </w:r>
      <w:r w:rsidR="00AB778E">
        <w:rPr>
          <w:rFonts w:eastAsia="Calibri"/>
        </w:rPr>
        <w:t xml:space="preserve">een 1759 and 1774 (Table 4-4). </w:t>
      </w:r>
      <w:r>
        <w:rPr>
          <w:rFonts w:eastAsia="Calibri"/>
        </w:rPr>
        <w:t>(The first in a series of three, Washington’s Plantation Ledger A encompasses his personal accounts with individuals and com</w:t>
      </w:r>
      <w:r w:rsidR="00AB778E">
        <w:rPr>
          <w:rFonts w:eastAsia="Calibri"/>
        </w:rPr>
        <w:t xml:space="preserve">panies and cash transactions.) </w:t>
      </w:r>
      <w:r>
        <w:rPr>
          <w:rFonts w:eastAsia="Calibri"/>
        </w:rPr>
        <w:t>However, this is an underestimate for the number of enslaved individuals purchased during this per</w:t>
      </w:r>
      <w:r w:rsidR="00AB778E">
        <w:rPr>
          <w:rFonts w:eastAsia="Calibri"/>
        </w:rPr>
        <w:t xml:space="preserve">iod for the following reasons. </w:t>
      </w:r>
      <w:r>
        <w:rPr>
          <w:rFonts w:eastAsia="Calibri"/>
        </w:rPr>
        <w:t>The exact number of individuals purchased in any given transaction was no</w:t>
      </w:r>
      <w:r w:rsidR="00AB778E">
        <w:rPr>
          <w:rFonts w:eastAsia="Calibri"/>
        </w:rPr>
        <w:t xml:space="preserve">t always recorded (Table 4-4). </w:t>
      </w:r>
      <w:r>
        <w:rPr>
          <w:rFonts w:eastAsia="Calibri"/>
        </w:rPr>
        <w:t xml:space="preserve">Due to the vagaries of bookkeeping, some individuals purchased </w:t>
      </w:r>
      <w:r>
        <w:rPr>
          <w:rFonts w:eastAsia="Calibri"/>
        </w:rPr>
        <w:lastRenderedPageBreak/>
        <w:t xml:space="preserve">before 1775 appear in the subsequent Ledger B </w:t>
      </w:r>
      <w:r w:rsidRPr="0073384A">
        <w:rPr>
          <w:rFonts w:eastAsia="Calibri"/>
        </w:rPr>
        <w:t>(</w:t>
      </w:r>
      <w:r>
        <w:rPr>
          <w:rFonts w:eastAsia="Calibri"/>
        </w:rPr>
        <w:t xml:space="preserve">Washington </w:t>
      </w:r>
      <w:r>
        <w:t xml:space="preserve">1770-1794; </w:t>
      </w:r>
      <w:r w:rsidRPr="0073384A">
        <w:rPr>
          <w:rFonts w:eastAsia="Calibri"/>
        </w:rPr>
        <w:t>Thompson 2011).</w:t>
      </w:r>
      <w:r w:rsidR="00AB778E">
        <w:rPr>
          <w:rFonts w:eastAsia="Calibri"/>
        </w:rPr>
        <w:t xml:space="preserve"> </w:t>
      </w:r>
      <w:r>
        <w:rPr>
          <w:rFonts w:eastAsia="Calibri"/>
        </w:rPr>
        <w:t>We have a much clearer picture of the enslaved community and their assignments to various parts of the plantation beginning in 1760 with the fir</w:t>
      </w:r>
      <w:r w:rsidR="00AB778E">
        <w:rPr>
          <w:rFonts w:eastAsia="Calibri"/>
        </w:rPr>
        <w:t xml:space="preserve">st tithable list through 1774. </w:t>
      </w:r>
      <w:r>
        <w:rPr>
          <w:rFonts w:eastAsia="Calibri"/>
        </w:rPr>
        <w:t>Despite some initial disruption, it appears that Virginia intended to continue counting and levying taxes on tithables during the Revo</w:t>
      </w:r>
      <w:r w:rsidR="00AB778E">
        <w:rPr>
          <w:rFonts w:eastAsia="Calibri"/>
        </w:rPr>
        <w:t xml:space="preserve">lutionary War (Thompson 2012). </w:t>
      </w:r>
      <w:r>
        <w:rPr>
          <w:rFonts w:eastAsia="Calibri"/>
        </w:rPr>
        <w:t xml:space="preserve">However, no tithable lists post-dating 1774 have been </w:t>
      </w:r>
      <w:r w:rsidR="00AB778E">
        <w:rPr>
          <w:rFonts w:eastAsia="Calibri"/>
        </w:rPr>
        <w:t xml:space="preserve">found for Washington. </w:t>
      </w:r>
      <w:r>
        <w:rPr>
          <w:rFonts w:eastAsia="Calibri"/>
        </w:rPr>
        <w:t xml:space="preserve">In 1760, Washington paid taxes on 49 white overseers, white servants, and black slaves (Abbot 1988[6]:428), and by 1770 he paid </w:t>
      </w:r>
      <w:r w:rsidR="00AB778E">
        <w:rPr>
          <w:rFonts w:eastAsia="Calibri"/>
        </w:rPr>
        <w:t xml:space="preserve">taxes on 89 (1993[8]:356-357). </w:t>
      </w:r>
      <w:r>
        <w:rPr>
          <w:rFonts w:eastAsia="Calibri"/>
        </w:rPr>
        <w:t xml:space="preserve">See </w:t>
      </w:r>
      <w:r w:rsidRPr="00FD7853">
        <w:rPr>
          <w:rFonts w:eastAsia="Calibri"/>
        </w:rPr>
        <w:t xml:space="preserve">Figure </w:t>
      </w:r>
      <w:r w:rsidR="00AB778E">
        <w:rPr>
          <w:rFonts w:eastAsia="Calibri"/>
        </w:rPr>
        <w:t xml:space="preserve">4-4 for details. </w:t>
      </w:r>
      <w:r>
        <w:t>These household cycles and their increased numbers of members are reflected in the architecture of the homelot and the evolution of the plantation landscape.</w:t>
      </w:r>
    </w:p>
    <w:p w:rsidR="008203A5" w:rsidRDefault="008203A5" w:rsidP="008203A5">
      <w:pPr>
        <w:spacing w:after="200" w:line="276" w:lineRule="auto"/>
        <w:rPr>
          <w:b/>
        </w:rPr>
      </w:pPr>
    </w:p>
    <w:p w:rsidR="008203A5" w:rsidRPr="004F7425" w:rsidRDefault="008203A5" w:rsidP="008203A5">
      <w:pPr>
        <w:spacing w:after="200" w:line="276" w:lineRule="auto"/>
        <w:rPr>
          <w:b/>
        </w:rPr>
      </w:pPr>
      <w:r>
        <w:rPr>
          <w:b/>
        </w:rPr>
        <w:t>Table 4-4</w:t>
      </w:r>
      <w:r w:rsidRPr="00493E88">
        <w:rPr>
          <w:b/>
        </w:rPr>
        <w:t xml:space="preserve">. </w:t>
      </w:r>
      <w:r w:rsidRPr="004F7425">
        <w:t>Slave purchases recorded in George Washington’s Ledger A.</w:t>
      </w:r>
      <w:r w:rsidRPr="00493E88">
        <w:rPr>
          <w:b/>
        </w:rPr>
        <w:t xml:space="preserve">         </w:t>
      </w:r>
      <w:r w:rsidRPr="00493E88">
        <w:rPr>
          <w:rFonts w:eastAsia="Calibri"/>
          <w:b/>
        </w:rPr>
        <w:t xml:space="preserve"> </w:t>
      </w:r>
    </w:p>
    <w:tbl>
      <w:tblPr>
        <w:tblW w:w="9040" w:type="dxa"/>
        <w:tblInd w:w="91" w:type="dxa"/>
        <w:tblLook w:val="04A0"/>
      </w:tblPr>
      <w:tblGrid>
        <w:gridCol w:w="1114"/>
        <w:gridCol w:w="859"/>
        <w:gridCol w:w="794"/>
        <w:gridCol w:w="561"/>
        <w:gridCol w:w="4075"/>
        <w:gridCol w:w="850"/>
        <w:gridCol w:w="416"/>
        <w:gridCol w:w="371"/>
      </w:tblGrid>
      <w:tr w:rsidR="00370286" w:rsidRPr="00370286" w:rsidTr="00370286">
        <w:trPr>
          <w:trHeight w:val="255"/>
        </w:trPr>
        <w:tc>
          <w:tcPr>
            <w:tcW w:w="1114"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Ledger Pg</w:t>
            </w:r>
          </w:p>
        </w:tc>
        <w:tc>
          <w:tcPr>
            <w:tcW w:w="859"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Year</w:t>
            </w:r>
          </w:p>
        </w:tc>
        <w:tc>
          <w:tcPr>
            <w:tcW w:w="794"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Month</w:t>
            </w:r>
          </w:p>
        </w:tc>
        <w:tc>
          <w:tcPr>
            <w:tcW w:w="561"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Day</w:t>
            </w:r>
          </w:p>
        </w:tc>
        <w:tc>
          <w:tcPr>
            <w:tcW w:w="4075"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Entry</w:t>
            </w:r>
          </w:p>
        </w:tc>
        <w:tc>
          <w:tcPr>
            <w:tcW w:w="850"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Pounds</w:t>
            </w:r>
          </w:p>
        </w:tc>
        <w:tc>
          <w:tcPr>
            <w:tcW w:w="416"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s</w:t>
            </w:r>
          </w:p>
        </w:tc>
        <w:tc>
          <w:tcPr>
            <w:tcW w:w="371"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p</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8R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1752</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Augt</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7</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Colo Champe for Negro's</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75</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51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10R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1754</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Octr</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31</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a Negro Fellow bought at Publick Sale of John Wake as pr Rect</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40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5</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18R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1755</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Jany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9</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a Negro fellow named Jack bot at Buckners Sale</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52</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5</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18R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1755</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Jany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9</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a Negro woman calld Clio - bot at Ditto</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50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19R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1755</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Feby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14</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a Carpenter named Kitt bot at Buckner's Sale</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39</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5</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21R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1755</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May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25</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Mr Bowee for a Negro boy named Harry</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45</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11R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1756</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May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15</w:t>
            </w:r>
          </w:p>
        </w:tc>
        <w:tc>
          <w:tcPr>
            <w:tcW w:w="4075" w:type="dxa"/>
            <w:tcBorders>
              <w:top w:val="nil"/>
              <w:left w:val="nil"/>
              <w:bottom w:val="nil"/>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your Bond to Mary Brookes for £86.0.0 Sterg</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86</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51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31R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1756</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Novr</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27</w:t>
            </w:r>
          </w:p>
        </w:tc>
        <w:tc>
          <w:tcPr>
            <w:tcW w:w="4075" w:type="dxa"/>
            <w:tcBorders>
              <w:top w:val="single" w:sz="4" w:space="0" w:color="auto"/>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Ditto paid Colo Carlyle for a Negro Woman and Child bought of the Governor*</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60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51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37R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1757</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Jany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6</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Colo Catesby Cocke for a Negro fellow namd Gregory</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60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9</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33R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1757</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Feby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13</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Cash lodgd with Colo Carlyle to pay for Negros</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150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51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34R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1757</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Apl</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30</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Cash lodgd with Colo Carlyle in gold to pay for some Negros which he bot for me in Maryld</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79</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10</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51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35R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1757</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May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25</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Cash lodgd with Mr Lewis to purchase a Carpenter for neglected to be chargd before</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107</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10</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56R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1759</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June</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16</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Do pd Wm Cloptan for Negro Hannah &amp; Child</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80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55R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1760</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April</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24</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Jas Oglesby for a Negro Will</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50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55R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1760</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May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4</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my Wife 3£. A Negro of Docr Symmes £60</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63</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55R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1760</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May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4</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9 Negro’s bot of Colo. Churchill</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406</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315"/>
        </w:trPr>
        <w:tc>
          <w:tcPr>
            <w:tcW w:w="2767" w:type="dxa"/>
            <w:gridSpan w:val="3"/>
            <w:tcBorders>
              <w:top w:val="nil"/>
              <w:left w:val="nil"/>
              <w:bottom w:val="nil"/>
              <w:right w:val="nil"/>
            </w:tcBorders>
            <w:shd w:val="clear" w:color="auto" w:fill="auto"/>
            <w:noWrap/>
            <w:vAlign w:val="bottom"/>
            <w:hideMark/>
          </w:tcPr>
          <w:p w:rsidR="00370286" w:rsidRPr="00370286" w:rsidRDefault="00370286" w:rsidP="00370286">
            <w:pPr>
              <w:rPr>
                <w:rFonts w:eastAsia="Times New Roman"/>
                <w:b/>
                <w:bCs/>
              </w:rPr>
            </w:pPr>
            <w:r w:rsidRPr="00370286">
              <w:rPr>
                <w:rFonts w:eastAsia="Times New Roman"/>
                <w:b/>
                <w:bCs/>
              </w:rPr>
              <w:lastRenderedPageBreak/>
              <w:t xml:space="preserve">Table 4-4 (continued). </w:t>
            </w:r>
          </w:p>
        </w:tc>
        <w:tc>
          <w:tcPr>
            <w:tcW w:w="561"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c>
          <w:tcPr>
            <w:tcW w:w="4075"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c>
          <w:tcPr>
            <w:tcW w:w="850"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c>
          <w:tcPr>
            <w:tcW w:w="416"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c>
          <w:tcPr>
            <w:tcW w:w="371"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r>
      <w:tr w:rsidR="00370286" w:rsidRPr="00370286" w:rsidTr="00370286">
        <w:trPr>
          <w:trHeight w:val="255"/>
        </w:trPr>
        <w:tc>
          <w:tcPr>
            <w:tcW w:w="1114"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c>
          <w:tcPr>
            <w:tcW w:w="859" w:type="dxa"/>
            <w:tcBorders>
              <w:top w:val="nil"/>
              <w:left w:val="nil"/>
              <w:bottom w:val="nil"/>
              <w:right w:val="nil"/>
            </w:tcBorders>
            <w:shd w:val="clear" w:color="auto" w:fill="auto"/>
            <w:vAlign w:val="bottom"/>
            <w:hideMark/>
          </w:tcPr>
          <w:p w:rsidR="00370286" w:rsidRPr="00370286" w:rsidRDefault="00370286" w:rsidP="00370286">
            <w:pPr>
              <w:jc w:val="right"/>
              <w:rPr>
                <w:rFonts w:eastAsia="Times New Roman"/>
                <w:sz w:val="20"/>
                <w:szCs w:val="20"/>
              </w:rPr>
            </w:pPr>
          </w:p>
        </w:tc>
        <w:tc>
          <w:tcPr>
            <w:tcW w:w="794"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c>
          <w:tcPr>
            <w:tcW w:w="561"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c>
          <w:tcPr>
            <w:tcW w:w="4075"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c>
          <w:tcPr>
            <w:tcW w:w="850"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c>
          <w:tcPr>
            <w:tcW w:w="416"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c>
          <w:tcPr>
            <w:tcW w:w="371" w:type="dxa"/>
            <w:tcBorders>
              <w:top w:val="nil"/>
              <w:left w:val="nil"/>
              <w:bottom w:val="nil"/>
              <w:right w:val="nil"/>
            </w:tcBorders>
            <w:shd w:val="clear" w:color="auto" w:fill="auto"/>
            <w:vAlign w:val="bottom"/>
            <w:hideMark/>
          </w:tcPr>
          <w:p w:rsidR="00370286" w:rsidRPr="00370286" w:rsidRDefault="00370286" w:rsidP="00370286">
            <w:pPr>
              <w:rPr>
                <w:rFonts w:eastAsia="Times New Roman"/>
                <w:sz w:val="20"/>
                <w:szCs w:val="20"/>
              </w:rPr>
            </w:pPr>
          </w:p>
        </w:tc>
      </w:tr>
      <w:tr w:rsidR="00370286" w:rsidRPr="00370286" w:rsidTr="00370286">
        <w:trPr>
          <w:trHeight w:val="255"/>
        </w:trPr>
        <w:tc>
          <w:tcPr>
            <w:tcW w:w="1114"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Ledger Pg</w:t>
            </w:r>
          </w:p>
        </w:tc>
        <w:tc>
          <w:tcPr>
            <w:tcW w:w="859"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Year</w:t>
            </w:r>
          </w:p>
        </w:tc>
        <w:tc>
          <w:tcPr>
            <w:tcW w:w="794"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Month</w:t>
            </w:r>
          </w:p>
        </w:tc>
        <w:tc>
          <w:tcPr>
            <w:tcW w:w="561"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Day</w:t>
            </w:r>
          </w:p>
        </w:tc>
        <w:tc>
          <w:tcPr>
            <w:tcW w:w="4075"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Entry</w:t>
            </w:r>
          </w:p>
        </w:tc>
        <w:tc>
          <w:tcPr>
            <w:tcW w:w="850"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Pounds</w:t>
            </w:r>
          </w:p>
        </w:tc>
        <w:tc>
          <w:tcPr>
            <w:tcW w:w="416"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s</w:t>
            </w:r>
          </w:p>
        </w:tc>
        <w:tc>
          <w:tcPr>
            <w:tcW w:w="371"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sz w:val="20"/>
                <w:szCs w:val="20"/>
              </w:rPr>
            </w:pPr>
            <w:r w:rsidRPr="00370286">
              <w:rPr>
                <w:rFonts w:eastAsia="Times New Roman"/>
                <w:b/>
                <w:bCs/>
                <w:sz w:val="20"/>
                <w:szCs w:val="20"/>
              </w:rPr>
              <w:t>p</w:t>
            </w:r>
          </w:p>
        </w:tc>
      </w:tr>
      <w:tr w:rsidR="00370286" w:rsidRPr="00370286" w:rsidTr="00370286">
        <w:trPr>
          <w:trHeight w:val="51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67R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1761</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xml:space="preserve">July </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my Draft in favr of Chs Graham Wm Fitzhugh &amp; Benja. Fendall Gentn for £2</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259</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143R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1761</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Decr</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23</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Negroes of Mr Thompson Mason**</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120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19</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146R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1762</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Feby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22</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Negroes. of Mr Lee Massey … 7</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300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7R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1762</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Mar.</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a Negroe fellow - in one hand named Chs</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30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146R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1762</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xml:space="preserve">July </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20</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Collo. Fieldg Lewis 2 [Negroes]***</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115</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76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173R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1763</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my Bond payable last of June 1764, which was given for the followg Negroes ... to wit Harry £45 Topsom 43 Nan 25.5 Toney 17.15</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131</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102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173R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1764</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Jany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23</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the following Negroes bought at Publick Sale, &amp; for wch my Bond was taken payable 12th June next to Jno. &amp; Charles Mynn Thruston Exrs viz Robin £65 Charles 74 Jerry 65</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204</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102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173R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1764</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Jany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23</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xml:space="preserve">By the following Negroes bought at Publick Sale, and my Bond made payable 12th of June next to Thos Whiting &amp; Chs Mynn Thruston Assignees - for Ben £72 Lewis 36.10 Sarah 20 </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128</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10</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51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173R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1764</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Jany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24</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To my Bond given to you, &amp; made payable 12th June next for a Negroe Lewis</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76</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51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188R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1764</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Novr</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Colo. Richd Henry Lee my Bond for Negroe Judy &amp; Child bot of Gawin Corbin Esqr. Estat.</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63</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51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168R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1765</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Octr</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24</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a Bill of Sale for Sundry, for Sundry Lands &amp; Slaves****</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[750]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255R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1767</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Octr</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16</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Henry Self - for Negro Woman Sarah</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40</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102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269R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1768</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Sundry Slaves bot at yr Sale &amp; for wch I passd my Bond payable ye 15th of April 1769 - viz. Mulatto Will £61.15.0 Mulatto Frank £50 Negro boy Adam £19 Jack £19</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149</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15</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 xml:space="preserve">0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310R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1770</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May</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12</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xml:space="preserve">By a Negro Fellow Bath </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66</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10</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510"/>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204R</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1770</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June</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11</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By Sundries bot at [Colo. Thos Moore] Sale viz. Negro Frank £31 [Negro] boy James £55</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86</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r w:rsidR="00370286" w:rsidRPr="00370286" w:rsidTr="00370286">
        <w:trPr>
          <w:trHeight w:val="255"/>
        </w:trPr>
        <w:tc>
          <w:tcPr>
            <w:tcW w:w="1114"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313L</w:t>
            </w:r>
          </w:p>
        </w:tc>
        <w:tc>
          <w:tcPr>
            <w:tcW w:w="859"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1771</w:t>
            </w:r>
          </w:p>
        </w:tc>
        <w:tc>
          <w:tcPr>
            <w:tcW w:w="794"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xml:space="preserve">Nov </w:t>
            </w:r>
          </w:p>
        </w:tc>
        <w:tc>
          <w:tcPr>
            <w:tcW w:w="56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16</w:t>
            </w:r>
          </w:p>
        </w:tc>
        <w:tc>
          <w:tcPr>
            <w:tcW w:w="407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To Cash [to Lund Washington]... for Negro Giles</w:t>
            </w:r>
          </w:p>
        </w:tc>
        <w:tc>
          <w:tcPr>
            <w:tcW w:w="85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76</w:t>
            </w:r>
          </w:p>
        </w:tc>
        <w:tc>
          <w:tcPr>
            <w:tcW w:w="4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sz w:val="20"/>
                <w:szCs w:val="20"/>
              </w:rPr>
            </w:pPr>
            <w:r w:rsidRPr="00370286">
              <w:rPr>
                <w:rFonts w:eastAsia="Times New Roman"/>
                <w:sz w:val="20"/>
                <w:szCs w:val="20"/>
              </w:rPr>
              <w:t>5</w:t>
            </w:r>
          </w:p>
        </w:tc>
        <w:tc>
          <w:tcPr>
            <w:tcW w:w="371"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sz w:val="20"/>
                <w:szCs w:val="20"/>
              </w:rPr>
            </w:pPr>
            <w:r w:rsidRPr="00370286">
              <w:rPr>
                <w:rFonts w:eastAsia="Times New Roman"/>
                <w:sz w:val="20"/>
                <w:szCs w:val="20"/>
              </w:rPr>
              <w:t> </w:t>
            </w:r>
          </w:p>
        </w:tc>
      </w:tr>
    </w:tbl>
    <w:p w:rsidR="00B76B22" w:rsidRDefault="00B76B22" w:rsidP="008203A5">
      <w:pPr>
        <w:rPr>
          <w:sz w:val="20"/>
        </w:rPr>
      </w:pPr>
      <w:r w:rsidRPr="00B76B22">
        <w:rPr>
          <w:sz w:val="20"/>
        </w:rPr>
        <w:t>*Two men and a woman purchased by John Carlyle for Washington (Abbot 1983[2]:276).</w:t>
      </w:r>
    </w:p>
    <w:p w:rsidR="008203A5" w:rsidRPr="00FF5095" w:rsidRDefault="00B76B22" w:rsidP="008203A5">
      <w:pPr>
        <w:rPr>
          <w:sz w:val="20"/>
        </w:rPr>
      </w:pPr>
      <w:r>
        <w:rPr>
          <w:sz w:val="20"/>
        </w:rPr>
        <w:t>*</w:t>
      </w:r>
      <w:r w:rsidR="008203A5" w:rsidRPr="00FF5095">
        <w:rPr>
          <w:sz w:val="20"/>
        </w:rPr>
        <w:t>*Possibly imported on ship Upton (Sweig 1985:521).</w:t>
      </w:r>
    </w:p>
    <w:p w:rsidR="008203A5" w:rsidRPr="00FF5095" w:rsidRDefault="008203A5" w:rsidP="008203A5">
      <w:pPr>
        <w:rPr>
          <w:sz w:val="20"/>
        </w:rPr>
      </w:pPr>
      <w:r w:rsidRPr="00FF5095">
        <w:rPr>
          <w:sz w:val="20"/>
        </w:rPr>
        <w:t>**Named Fredrick and Judy (Jackson and Twohig 1976[1]:302).</w:t>
      </w:r>
    </w:p>
    <w:p w:rsidR="008203A5" w:rsidRPr="00FF5095" w:rsidRDefault="008203A5" w:rsidP="008203A5">
      <w:pPr>
        <w:rPr>
          <w:sz w:val="20"/>
        </w:rPr>
      </w:pPr>
      <w:r w:rsidRPr="00FF5095">
        <w:rPr>
          <w:sz w:val="20"/>
        </w:rPr>
        <w:t>***Transaction included the purchase of 25 slaves for £70 (Posey 1765).</w:t>
      </w:r>
    </w:p>
    <w:p w:rsidR="008203A5" w:rsidRDefault="008203A5" w:rsidP="008203A5">
      <w:pPr>
        <w:spacing w:line="480" w:lineRule="auto"/>
      </w:pPr>
    </w:p>
    <w:p w:rsidR="008203A5" w:rsidRDefault="008203A5" w:rsidP="008203A5">
      <w:pPr>
        <w:spacing w:after="200" w:line="276" w:lineRule="auto"/>
        <w:rPr>
          <w:b/>
        </w:rPr>
      </w:pPr>
      <w:r>
        <w:rPr>
          <w:b/>
        </w:rPr>
        <w:br w:type="page"/>
      </w:r>
    </w:p>
    <w:p w:rsidR="008203A5" w:rsidRPr="00700032" w:rsidRDefault="008203A5" w:rsidP="008203A5">
      <w:pPr>
        <w:spacing w:after="200" w:line="276" w:lineRule="auto"/>
      </w:pPr>
      <w:r w:rsidRPr="00700032">
        <w:rPr>
          <w:b/>
        </w:rPr>
        <w:lastRenderedPageBreak/>
        <w:t xml:space="preserve">Mount Vernon’s Changing Landscape and Architecture  </w:t>
      </w:r>
    </w:p>
    <w:p w:rsidR="008203A5" w:rsidRPr="004E69AA" w:rsidRDefault="008203A5" w:rsidP="008203A5">
      <w:pPr>
        <w:spacing w:line="480" w:lineRule="auto"/>
        <w:ind w:firstLine="720"/>
        <w:rPr>
          <w:rFonts w:eastAsia="Calibri"/>
        </w:rPr>
      </w:pPr>
      <w:r>
        <w:rPr>
          <w:rFonts w:eastAsia="Calibri"/>
        </w:rPr>
        <w:t>The documentary evidence recording early Mount Vernon architecture is so fragmentary that the original construction date of th</w:t>
      </w:r>
      <w:r w:rsidR="00AB778E">
        <w:rPr>
          <w:rFonts w:eastAsia="Calibri"/>
        </w:rPr>
        <w:t xml:space="preserve">e mansion remains conjectural. </w:t>
      </w:r>
      <w:r>
        <w:rPr>
          <w:rFonts w:eastAsia="Calibri"/>
        </w:rPr>
        <w:t>The debate surrounding Augustine Washington’s role in the construction of the original house is lively and ongoing, primarily because of this lack of solid evidence.</w:t>
      </w:r>
      <w:r>
        <w:rPr>
          <w:rStyle w:val="FootnoteReference"/>
          <w:rFonts w:eastAsia="Calibri"/>
        </w:rPr>
        <w:footnoteReference w:id="3"/>
      </w:r>
      <w:r w:rsidR="00AB778E">
        <w:rPr>
          <w:rFonts w:eastAsia="Calibri"/>
        </w:rPr>
        <w:t xml:space="preserve"> </w:t>
      </w:r>
      <w:r>
        <w:rPr>
          <w:rFonts w:eastAsia="Calibri"/>
        </w:rPr>
        <w:t xml:space="preserve">The most current argument supported by Dennis Pogue (1994:103) and Mesick, Cohen, Waite Architects (1993:77-78) and recently corroborated by dendrochronological research (Miles and Worthington 2006) is that Augustine built the house in ca. 1735 perhaps as many others did during the rising tide of settlement during this and the proceeding decade (Freeman 1948:53).  </w:t>
      </w:r>
      <w:r>
        <w:t xml:space="preserve">  </w:t>
      </w:r>
    </w:p>
    <w:p w:rsidR="008203A5" w:rsidRDefault="008203A5" w:rsidP="008203A5">
      <w:pPr>
        <w:spacing w:line="480" w:lineRule="auto"/>
        <w:ind w:firstLine="720"/>
      </w:pPr>
      <w:r w:rsidRPr="00FD7853">
        <w:t>Figure 4</w:t>
      </w:r>
      <w:r>
        <w:t xml:space="preserve">-6 offers the best interpretation to date of the plantation layout as it existed before George Washington’s first round of renovations, including the structures on the landscape presumed to have been </w:t>
      </w:r>
      <w:r w:rsidR="00AB778E">
        <w:t xml:space="preserve">built by Augustine Washington. </w:t>
      </w:r>
      <w:r>
        <w:t xml:space="preserve">These include an early version (c. 1735) of the mansion, </w:t>
      </w:r>
      <w:r w:rsidR="00AB778E">
        <w:t xml:space="preserve">the storehouse, and the dairy. </w:t>
      </w:r>
      <w:r>
        <w:t>Very little is kno</w:t>
      </w:r>
      <w:r w:rsidR="00AB778E">
        <w:t xml:space="preserve">wn about the two outbuildings. </w:t>
      </w:r>
      <w:r w:rsidRPr="004C6516">
        <w:t xml:space="preserve">Clues come from digs done in the 1930s by Morley Williams, who exposed portions of the foundations of the pre-1775 outbuildings that stood on Mount Vernon’s west front, and from Lawrence Washington’s 1753 probate inventory, which </w:t>
      </w:r>
      <w:r>
        <w:t>assigns names and therefore functions to the outbuildings</w:t>
      </w:r>
      <w:r w:rsidRPr="004C6516">
        <w:t>.</w:t>
      </w:r>
      <w:r w:rsidR="00AB778E">
        <w:t xml:space="preserve"> </w:t>
      </w:r>
      <w:r w:rsidRPr="004C6516">
        <w:t>Morley Williams’s conjectural map of the early landscape depicts the dairy as a sandstone foundation measuring 16 by 16 feet</w:t>
      </w:r>
      <w:r>
        <w:t xml:space="preserve"> </w:t>
      </w:r>
      <w:r w:rsidRPr="00FD3E45">
        <w:t>(</w:t>
      </w:r>
      <w:r>
        <w:t>Pogue 1988</w:t>
      </w:r>
      <w:r w:rsidRPr="00FD3E45">
        <w:t>)</w:t>
      </w:r>
      <w:r w:rsidR="00AB778E">
        <w:t>. </w:t>
      </w:r>
      <w:r w:rsidRPr="004C6516">
        <w:t xml:space="preserve">The building to the north, the store house, was also the same size with stone foundations, whereas the kitchen and wash house uncovered by Williams </w:t>
      </w:r>
      <w:r>
        <w:t>had larger footprints</w:t>
      </w:r>
      <w:r w:rsidRPr="004C6516">
        <w:t xml:space="preserve"> and brick </w:t>
      </w:r>
      <w:r>
        <w:t>foundations</w:t>
      </w:r>
      <w:r w:rsidRPr="004C6516">
        <w:t xml:space="preserve">.  Pogue </w:t>
      </w:r>
      <w:r>
        <w:t>(1988:2-6)</w:t>
      </w:r>
      <w:r w:rsidRPr="004C6516">
        <w:t xml:space="preserve"> hypothesize</w:t>
      </w:r>
      <w:r>
        <w:t>s</w:t>
      </w:r>
      <w:r w:rsidRPr="004C6516">
        <w:t xml:space="preserve"> that the stone buildings may pre-date the brick ones and, therefore, </w:t>
      </w:r>
      <w:r>
        <w:t xml:space="preserve">have </w:t>
      </w:r>
      <w:r w:rsidRPr="004C6516">
        <w:t>been constructed during Augustine Wa</w:t>
      </w:r>
      <w:r>
        <w:t>shington’s period of occupation</w:t>
      </w:r>
      <w:r w:rsidR="00AB778E">
        <w:t>. </w:t>
      </w:r>
      <w:r>
        <w:t xml:space="preserve">This hypothesis is based on the sandstone foundations in the mansion basement assumed to date to </w:t>
      </w:r>
      <w:r w:rsidRPr="004C6516">
        <w:t>Augustine</w:t>
      </w:r>
      <w:r>
        <w:t xml:space="preserve">’s </w:t>
      </w:r>
      <w:r>
        <w:lastRenderedPageBreak/>
        <w:t>ownership.</w:t>
      </w:r>
      <w:r w:rsidRPr="004C6516">
        <w:t> The brick outbuildings may have been added during Lawrence Washington’s life time.</w:t>
      </w:r>
      <w:r w:rsidR="00AB778E">
        <w:t xml:space="preserve"> </w:t>
      </w:r>
      <w:r>
        <w:t>It does raise the question, however, where was Augustine’s kitchen at Mount Vernon, if it was</w:t>
      </w:r>
      <w:r w:rsidR="00AB778E">
        <w:t xml:space="preserve"> detached from the main house? </w:t>
      </w:r>
      <w:r>
        <w:t>Only an archaeological excavation of these features will be able to provide sufficient evidence to better understand the early develop</w:t>
      </w:r>
      <w:r w:rsidR="00AB778E">
        <w:t xml:space="preserve">ment of the plantation layout. </w:t>
      </w:r>
      <w:r>
        <w:rPr>
          <w:color w:val="231F20"/>
        </w:rPr>
        <w:t>The Mount Vernon Archaeology Department began excavations in May of 2013 to locate and document the foundations of the early kitchen and dairy, the sources of much of the refuse found in the South Grove Midden’s deposits.</w:t>
      </w:r>
      <w:r>
        <w:t xml:space="preserve">  </w:t>
      </w:r>
    </w:p>
    <w:p w:rsidR="008203A5" w:rsidRDefault="008203A5" w:rsidP="008203A5">
      <w:pPr>
        <w:spacing w:after="200" w:line="276" w:lineRule="auto"/>
        <w:rPr>
          <w:rFonts w:eastAsia="Calibri"/>
        </w:rPr>
      </w:pPr>
    </w:p>
    <w:p w:rsidR="00370286" w:rsidRDefault="00370286" w:rsidP="008203A5">
      <w:pPr>
        <w:spacing w:after="200" w:line="276" w:lineRule="auto"/>
        <w:rPr>
          <w:rFonts w:eastAsia="Calibri"/>
        </w:rPr>
        <w:sectPr w:rsidR="00370286" w:rsidSect="00E91746">
          <w:pgSz w:w="12240" w:h="15840"/>
          <w:pgMar w:top="1440" w:right="1440" w:bottom="1440" w:left="1440" w:header="720" w:footer="720" w:gutter="0"/>
          <w:cols w:space="720"/>
          <w:docGrid w:linePitch="360"/>
        </w:sectPr>
      </w:pPr>
    </w:p>
    <w:p w:rsidR="008203A5" w:rsidRDefault="008203A5" w:rsidP="008203A5">
      <w:pPr>
        <w:jc w:val="center"/>
      </w:pPr>
      <w:r>
        <w:rPr>
          <w:noProof/>
        </w:rPr>
        <w:lastRenderedPageBreak/>
        <w:drawing>
          <wp:inline distT="0" distB="0" distL="0" distR="0">
            <wp:extent cx="6952676" cy="5394960"/>
            <wp:effectExtent l="19050" t="0" r="574" b="0"/>
            <wp:docPr id="8" name="Picture 1" descr="South Grove Phase I_1735-1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 Grove Phase I_1735-1758.jpg"/>
                    <pic:cNvPicPr/>
                  </pic:nvPicPr>
                  <pic:blipFill>
                    <a:blip r:embed="rId19" cstate="print"/>
                    <a:stretch>
                      <a:fillRect/>
                    </a:stretch>
                  </pic:blipFill>
                  <pic:spPr>
                    <a:xfrm>
                      <a:off x="0" y="0"/>
                      <a:ext cx="6952676" cy="5394960"/>
                    </a:xfrm>
                    <a:prstGeom prst="rect">
                      <a:avLst/>
                    </a:prstGeom>
                  </pic:spPr>
                </pic:pic>
              </a:graphicData>
            </a:graphic>
          </wp:inline>
        </w:drawing>
      </w:r>
    </w:p>
    <w:p w:rsidR="008203A5" w:rsidRDefault="008203A5" w:rsidP="008203A5">
      <w:pPr>
        <w:ind w:left="720" w:firstLine="720"/>
      </w:pPr>
      <w:r w:rsidRPr="00493E88">
        <w:rPr>
          <w:b/>
        </w:rPr>
        <w:t>Figure 4-</w:t>
      </w:r>
      <w:r>
        <w:rPr>
          <w:b/>
        </w:rPr>
        <w:t>6</w:t>
      </w:r>
      <w:r w:rsidRPr="00493E88">
        <w:rPr>
          <w:b/>
        </w:rPr>
        <w:t xml:space="preserve">. </w:t>
      </w:r>
      <w:r w:rsidRPr="004F7425">
        <w:t>Layout of Mount Vernon homelot ca. 1758</w:t>
      </w:r>
      <w:r w:rsidR="00AB778E">
        <w:t xml:space="preserve">. </w:t>
      </w:r>
      <w:r w:rsidRPr="004F7425">
        <w:t>(Map by Mount Vernon Preservation, 2012).</w:t>
      </w:r>
    </w:p>
    <w:p w:rsidR="008203A5" w:rsidRDefault="008203A5" w:rsidP="008203A5">
      <w:pPr>
        <w:ind w:left="720" w:firstLine="720"/>
        <w:sectPr w:rsidR="008203A5" w:rsidSect="00E91746">
          <w:pgSz w:w="15840" w:h="12240" w:orient="landscape"/>
          <w:pgMar w:top="1440" w:right="1440" w:bottom="1440" w:left="1440" w:header="720" w:footer="720" w:gutter="0"/>
          <w:cols w:space="720"/>
          <w:docGrid w:linePitch="360"/>
        </w:sectPr>
      </w:pPr>
    </w:p>
    <w:p w:rsidR="008203A5" w:rsidRPr="00074B70" w:rsidRDefault="008203A5" w:rsidP="008203A5">
      <w:pPr>
        <w:pStyle w:val="Heading3"/>
        <w:ind w:firstLine="720"/>
        <w:rPr>
          <w:u w:val="none"/>
        </w:rPr>
      </w:pPr>
      <w:r w:rsidRPr="00074B70">
        <w:rPr>
          <w:rFonts w:eastAsia="Calibri"/>
          <w:u w:val="none"/>
        </w:rPr>
        <w:lastRenderedPageBreak/>
        <w:t>Shortly after Lawrence Washington married and moved into Mount Vernon, he expanded and remodeled his father’s version of the home</w:t>
      </w:r>
      <w:r>
        <w:rPr>
          <w:rFonts w:eastAsia="Calibri"/>
          <w:u w:val="none"/>
        </w:rPr>
        <w:t>,</w:t>
      </w:r>
      <w:r w:rsidRPr="00074B70">
        <w:rPr>
          <w:rFonts w:eastAsia="Calibri"/>
          <w:u w:val="none"/>
        </w:rPr>
        <w:t xml:space="preserve"> possibly as a reflection of his increasing </w:t>
      </w:r>
      <w:r>
        <w:rPr>
          <w:rFonts w:eastAsia="Calibri"/>
          <w:u w:val="none"/>
        </w:rPr>
        <w:t>prominence in colonial society</w:t>
      </w:r>
      <w:r w:rsidR="00AB778E">
        <w:rPr>
          <w:rFonts w:eastAsia="Calibri"/>
          <w:u w:val="none"/>
        </w:rPr>
        <w:t xml:space="preserve">. </w:t>
      </w:r>
      <w:r w:rsidR="00530CE5">
        <w:rPr>
          <w:rFonts w:eastAsia="Calibri"/>
          <w:u w:val="none"/>
        </w:rPr>
        <w:t>H</w:t>
      </w:r>
      <w:r w:rsidRPr="00074B70">
        <w:rPr>
          <w:rFonts w:eastAsia="Calibri"/>
          <w:u w:val="none"/>
        </w:rPr>
        <w:t>istorians (Dalzell and Dalzell 1998:31-32) speculate that architectural statements like Belvoir and John Carlyle’s house of dressed stone in Alexandria, not present in this region during Augustine’s occupation, inspired the up-and-coming Lawrence Washington to undertake a major campaign of rebuilding at Mount V</w:t>
      </w:r>
      <w:r w:rsidR="00AB778E">
        <w:rPr>
          <w:rFonts w:eastAsia="Calibri"/>
          <w:u w:val="none"/>
        </w:rPr>
        <w:t xml:space="preserve">ernon shortly after moving in. </w:t>
      </w:r>
      <w:r>
        <w:rPr>
          <w:rFonts w:eastAsia="Calibri"/>
          <w:u w:val="none"/>
        </w:rPr>
        <w:t>Lawrence may have temporarily lived at Belvoir, the home of his future wife, while the work was being undertaken (Henriques 1992</w:t>
      </w:r>
      <w:r w:rsidRPr="00074B70">
        <w:rPr>
          <w:rFonts w:eastAsia="Calibri"/>
          <w:u w:val="none"/>
        </w:rPr>
        <w:t>:243)</w:t>
      </w:r>
      <w:r>
        <w:rPr>
          <w:rFonts w:eastAsia="Calibri"/>
          <w:u w:val="none"/>
        </w:rPr>
        <w:t>.</w:t>
      </w:r>
      <w:r w:rsidR="00AB778E">
        <w:rPr>
          <w:rFonts w:eastAsia="Calibri"/>
          <w:u w:val="none"/>
        </w:rPr>
        <w:t xml:space="preserve"> </w:t>
      </w:r>
      <w:r w:rsidRPr="00074B70">
        <w:rPr>
          <w:rFonts w:eastAsia="Calibri"/>
          <w:u w:val="none"/>
        </w:rPr>
        <w:t>Not much is known about what exactly he did to remodel the house, but Dalzell and Dalzell (1998:31) hypothesize: “the most he may have accomplished, beyond the initial expansion of the house [a major undertaking in itself], was fitting the ground floor room in the south eastern corner with elaborate wood paneling.”</w:t>
      </w:r>
      <w:r w:rsidRPr="00074B70">
        <w:rPr>
          <w:rStyle w:val="FootnoteReference"/>
          <w:rFonts w:eastAsia="Calibri"/>
          <w:u w:val="none"/>
        </w:rPr>
        <w:footnoteReference w:id="4"/>
      </w:r>
      <w:r w:rsidR="00AB778E">
        <w:rPr>
          <w:rFonts w:eastAsia="Calibri"/>
          <w:u w:val="none"/>
        </w:rPr>
        <w:t xml:space="preserve"> </w:t>
      </w:r>
      <w:r w:rsidRPr="00074B70">
        <w:rPr>
          <w:rFonts w:eastAsia="Calibri"/>
          <w:u w:val="none"/>
        </w:rPr>
        <w:t xml:space="preserve">A cornerstone laid into the sandstone foundations in the oldest part of the </w:t>
      </w:r>
      <w:r>
        <w:rPr>
          <w:rFonts w:eastAsia="Calibri"/>
          <w:u w:val="none"/>
        </w:rPr>
        <w:t>mansion</w:t>
      </w:r>
      <w:r w:rsidRPr="00074B70">
        <w:rPr>
          <w:rFonts w:eastAsia="Calibri"/>
          <w:u w:val="none"/>
        </w:rPr>
        <w:t xml:space="preserve"> cellar bears the initials “LW” with a heart set between two halberds, a military weapon combining both spear and battle-axe, from which we can infer that Lawrence made his mark on the </w:t>
      </w:r>
      <w:r>
        <w:rPr>
          <w:rFonts w:eastAsia="Calibri"/>
          <w:u w:val="none"/>
        </w:rPr>
        <w:t>mansion</w:t>
      </w:r>
      <w:r w:rsidR="00AB778E">
        <w:rPr>
          <w:rFonts w:eastAsia="Calibri"/>
          <w:u w:val="none"/>
        </w:rPr>
        <w:t xml:space="preserve">.  </w:t>
      </w:r>
      <w:r w:rsidRPr="00074B70">
        <w:rPr>
          <w:rFonts w:eastAsia="Calibri"/>
          <w:u w:val="none"/>
        </w:rPr>
        <w:t>The details of Lawrence Washington’s architect</w:t>
      </w:r>
      <w:r w:rsidR="00530CE5">
        <w:rPr>
          <w:rFonts w:eastAsia="Calibri"/>
          <w:u w:val="none"/>
        </w:rPr>
        <w:t>ural changes are not documented;</w:t>
      </w:r>
      <w:r w:rsidRPr="00074B70">
        <w:rPr>
          <w:rFonts w:eastAsia="Calibri"/>
          <w:u w:val="none"/>
        </w:rPr>
        <w:t xml:space="preserve"> therefore, we can only </w:t>
      </w:r>
      <w:r w:rsidR="009B458D">
        <w:rPr>
          <w:rFonts w:eastAsia="Calibri"/>
          <w:u w:val="none"/>
        </w:rPr>
        <w:t>presume</w:t>
      </w:r>
      <w:r w:rsidRPr="00074B70">
        <w:rPr>
          <w:rFonts w:eastAsia="Calibri"/>
          <w:u w:val="none"/>
        </w:rPr>
        <w:t xml:space="preserve"> that he expanded his father’s version of the home.  </w:t>
      </w:r>
    </w:p>
    <w:p w:rsidR="008203A5" w:rsidRDefault="008203A5" w:rsidP="008203A5">
      <w:pPr>
        <w:spacing w:line="480" w:lineRule="auto"/>
        <w:ind w:firstLine="720"/>
        <w:rPr>
          <w:rFonts w:eastAsia="Calibri"/>
        </w:rPr>
      </w:pPr>
      <w:r w:rsidRPr="00074B70">
        <w:rPr>
          <w:rFonts w:eastAsia="Calibri"/>
        </w:rPr>
        <w:t>Referring again to Figure 4-</w:t>
      </w:r>
      <w:r>
        <w:rPr>
          <w:rFonts w:eastAsia="Calibri"/>
        </w:rPr>
        <w:t>6</w:t>
      </w:r>
      <w:r w:rsidRPr="00074B70">
        <w:rPr>
          <w:rFonts w:eastAsia="Calibri"/>
        </w:rPr>
        <w:t>, much of what is known about the plantation layout surroun</w:t>
      </w:r>
      <w:r>
        <w:rPr>
          <w:rFonts w:eastAsia="Calibri"/>
        </w:rPr>
        <w:t>ding the mansion derives from Lawrence’</w:t>
      </w:r>
      <w:r w:rsidR="00AB778E">
        <w:rPr>
          <w:rFonts w:eastAsia="Calibri"/>
        </w:rPr>
        <w:t xml:space="preserve">s inventory (Washington 1753). </w:t>
      </w:r>
      <w:r>
        <w:rPr>
          <w:rFonts w:eastAsia="Calibri"/>
        </w:rPr>
        <w:t>In this document, the following outbuildings were listed: the storehouse; d</w:t>
      </w:r>
      <w:r w:rsidR="00FB5F35">
        <w:rPr>
          <w:rFonts w:eastAsia="Calibri"/>
        </w:rPr>
        <w:t xml:space="preserve">airy; kitchen; and wash house. </w:t>
      </w:r>
      <w:r>
        <w:rPr>
          <w:rFonts w:eastAsia="Calibri"/>
        </w:rPr>
        <w:t>Of particular interest to this study are the dairy and kitchen (on the midden side of the mansion), both of which were razed and only the latter replaced in a major renovation campaign initiated</w:t>
      </w:r>
      <w:r w:rsidR="00FB5F35">
        <w:rPr>
          <w:rFonts w:eastAsia="Calibri"/>
        </w:rPr>
        <w:t xml:space="preserve"> by George Washington in 1775. </w:t>
      </w:r>
      <w:r>
        <w:rPr>
          <w:rFonts w:eastAsia="Calibri"/>
        </w:rPr>
        <w:t xml:space="preserve">As previously mentioned, the storehouse and dairy </w:t>
      </w:r>
      <w:r>
        <w:rPr>
          <w:rFonts w:eastAsia="Calibri"/>
        </w:rPr>
        <w:lastRenderedPageBreak/>
        <w:t>possibly dated to August</w:t>
      </w:r>
      <w:r w:rsidR="00FB5F35">
        <w:rPr>
          <w:rFonts w:eastAsia="Calibri"/>
        </w:rPr>
        <w:t xml:space="preserve">ine Washington’s period. </w:t>
      </w:r>
      <w:r>
        <w:rPr>
          <w:rFonts w:eastAsia="Calibri"/>
        </w:rPr>
        <w:t>Pogue (1988) speculates that because they were made of brick and not stone, and measured slightly larger than the dairy and storehouse, the kitchen and wash house could reflect Lawrence Washington’s imprint on the landscape.</w:t>
      </w:r>
    </w:p>
    <w:p w:rsidR="008203A5" w:rsidRDefault="008203A5" w:rsidP="008203A5">
      <w:pPr>
        <w:spacing w:line="480" w:lineRule="auto"/>
        <w:ind w:firstLine="720"/>
        <w:rPr>
          <w:rFonts w:eastAsia="Calibri"/>
        </w:rPr>
      </w:pPr>
      <w:r w:rsidRPr="00FD7853">
        <w:rPr>
          <w:rFonts w:eastAsia="Calibri"/>
        </w:rPr>
        <w:t xml:space="preserve">Figure </w:t>
      </w:r>
      <w:r>
        <w:rPr>
          <w:rFonts w:eastAsia="Calibri"/>
        </w:rPr>
        <w:t>4-6 shows a slave quarter, later called the House for Families, situated directly across the north la</w:t>
      </w:r>
      <w:r w:rsidR="00FB5F35">
        <w:rPr>
          <w:rFonts w:eastAsia="Calibri"/>
        </w:rPr>
        <w:t xml:space="preserve">ne from the blacksmith’s shop. </w:t>
      </w:r>
      <w:r>
        <w:rPr>
          <w:rFonts w:eastAsia="Calibri"/>
        </w:rPr>
        <w:t xml:space="preserve">Pogue (2002:5) writes that although four outbuildings are listed, situated tightly around the house, the inventory gives no indication as to how many slave quarters existed on the 2,000 acres or if the House for Families was </w:t>
      </w:r>
      <w:r w:rsidR="00FB5F35">
        <w:rPr>
          <w:rFonts w:eastAsia="Calibri"/>
        </w:rPr>
        <w:t>built during Lawrence’s tenure.</w:t>
      </w:r>
      <w:r>
        <w:rPr>
          <w:rFonts w:eastAsia="Calibri"/>
        </w:rPr>
        <w:t xml:space="preserve"> However, Pogue (2002:7) speculates that because there exists no record of its construction during George Washington’s lifetime, the quarter serving as the primary dwelling for mansion house slaves may have been another of Lawrence’s additions to the homelot (as was the blacksmith’s shop, a barn, and La</w:t>
      </w:r>
      <w:r w:rsidR="00FB5F35">
        <w:rPr>
          <w:rFonts w:eastAsia="Calibri"/>
        </w:rPr>
        <w:t xml:space="preserve">wrence’s final resting place). </w:t>
      </w:r>
      <w:r>
        <w:rPr>
          <w:rFonts w:eastAsia="Calibri"/>
        </w:rPr>
        <w:t>The archaeological record indicates that the House for Families was in use at least b</w:t>
      </w:r>
      <w:r w:rsidR="00FB5F35">
        <w:rPr>
          <w:rFonts w:eastAsia="Calibri"/>
        </w:rPr>
        <w:t xml:space="preserve">y 1759 (Pogue and White 1991). </w:t>
      </w:r>
      <w:r>
        <w:t>The archaeological site takes its name from the map of the estate drawn by Samuel Vaughan in 1787 where the building is called the “Quarte</w:t>
      </w:r>
      <w:r w:rsidR="00FB5F35">
        <w:t xml:space="preserve">rs for Families” (Pogue 2002). </w:t>
      </w:r>
      <w:r>
        <w:t>The sketch that Vaughan drew in his journal while at Mount Vernon (later formalized into the plan of 1787) identified the building as the “House</w:t>
      </w:r>
      <w:r w:rsidR="00FB5F35">
        <w:t xml:space="preserve"> for Families” (Vaughan 1787). </w:t>
      </w:r>
      <w:r>
        <w:t>The earliest known reference to the structure dates to January 19, 1760 in an account of work completed by the carpenters stating: “Lofted the Quarters at H[ome] House put a partition and ma</w:t>
      </w:r>
      <w:r w:rsidR="00FB5F35">
        <w:t xml:space="preserve">de a Door etc” (Toner [1890]). </w:t>
      </w:r>
      <w:r>
        <w:t>Only a few months later, another reference to the quarter appears in relation to a weather event with “Lightning wch. had attended a good deal of Rain had struck my Quarter &amp; near 10 Negroes in it some very bad but with letting Blood they recovered” (Ja</w:t>
      </w:r>
      <w:r w:rsidR="00FB5F35">
        <w:t xml:space="preserve">ckson and Twohig 1976[1]:280). </w:t>
      </w:r>
      <w:r>
        <w:t xml:space="preserve">The building, estimated at 35 by 55 feet long with two stories and a loft and chimneys at the gable ends (as depicted in a painting by Edward Savage in 1792), had become the “Old Quarter” by the </w:t>
      </w:r>
      <w:r>
        <w:lastRenderedPageBreak/>
        <w:t>early 1790s when it was torn down and replaced by the new greenhouse slave quarter complex in 1793 (Pogue 2002).</w:t>
      </w:r>
      <w:r>
        <w:rPr>
          <w:rFonts w:eastAsia="Calibri"/>
        </w:rPr>
        <w:t xml:space="preserve">        </w:t>
      </w:r>
    </w:p>
    <w:p w:rsidR="008203A5" w:rsidRDefault="008203A5" w:rsidP="008203A5">
      <w:pPr>
        <w:spacing w:line="480" w:lineRule="auto"/>
        <w:ind w:firstLine="720"/>
        <w:rPr>
          <w:rFonts w:eastAsia="Calibri"/>
        </w:rPr>
      </w:pPr>
      <w:r>
        <w:rPr>
          <w:rFonts w:eastAsia="Calibri"/>
        </w:rPr>
        <w:t>Fragmentary details in Lawrence Washington’s probate inventory speak to the sometimes informal nature of household slave sleeping and living arrangeme</w:t>
      </w:r>
      <w:r w:rsidR="00FB5F35">
        <w:rPr>
          <w:rFonts w:eastAsia="Calibri"/>
        </w:rPr>
        <w:t xml:space="preserve">nts in the eighteenth century. </w:t>
      </w:r>
      <w:r>
        <w:rPr>
          <w:rFonts w:eastAsia="Calibri"/>
        </w:rPr>
        <w:t>Not only did the kitchen contain work activities, but also housed slaves, most likely those who served as Mo</w:t>
      </w:r>
      <w:r w:rsidR="00FB5F35">
        <w:rPr>
          <w:rFonts w:eastAsia="Calibri"/>
        </w:rPr>
        <w:t xml:space="preserve">unt Vernon’s cooks. </w:t>
      </w:r>
      <w:r>
        <w:rPr>
          <w:rFonts w:eastAsia="Calibri"/>
        </w:rPr>
        <w:t xml:space="preserve">Among the pots and pans in the kitchen are listed: “1 Rug, 1 [Sea] Bed, one course Quilt” valued at 1 pound, 10 shillings and an iron candlestick valued at </w:t>
      </w:r>
      <w:r w:rsidR="00FB5F35">
        <w:rPr>
          <w:rFonts w:eastAsia="Calibri"/>
        </w:rPr>
        <w:t xml:space="preserve">4 shillings (Washington 1753). </w:t>
      </w:r>
      <w:r>
        <w:rPr>
          <w:rFonts w:eastAsia="Calibri"/>
        </w:rPr>
        <w:t xml:space="preserve">This practice of living where one worked was not uncommon </w:t>
      </w:r>
      <w:r w:rsidR="00FB5F35">
        <w:rPr>
          <w:rFonts w:eastAsia="Calibri"/>
        </w:rPr>
        <w:t xml:space="preserve">in the mid-eighteenth century. </w:t>
      </w:r>
      <w:r>
        <w:rPr>
          <w:rFonts w:eastAsia="Calibri"/>
        </w:rPr>
        <w:t>A survey of Virginia and Maryland probate inventories dating from 1750 to 1759 where kitchens were listed separately (n=25), found that approximately one quarter contained beds and bedding linens (Center for Histo</w:t>
      </w:r>
      <w:r w:rsidR="00FB5F35">
        <w:rPr>
          <w:rFonts w:eastAsia="Calibri"/>
        </w:rPr>
        <w:t xml:space="preserve">ry and New Media 2006). </w:t>
      </w:r>
      <w:r>
        <w:rPr>
          <w:rFonts w:eastAsia="Calibri"/>
        </w:rPr>
        <w:t xml:space="preserve">The wash house contained “1 bed, bowlster, sheets red rug bed sted sacking bottom” and another “bedsted, mattress, 1 old bed, 1 pr of sheets, one rug” and “two tables,” hinting that </w:t>
      </w:r>
      <w:r w:rsidR="00FB5F35">
        <w:rPr>
          <w:rFonts w:eastAsia="Calibri"/>
        </w:rPr>
        <w:t xml:space="preserve">this space also housed slaves. </w:t>
      </w:r>
      <w:r>
        <w:rPr>
          <w:rFonts w:eastAsia="Calibri"/>
        </w:rPr>
        <w:t xml:space="preserve">No such sleeping-related materials appear in association with the dairy or storehouse, though the dairy did have a loft, as the inventory lists wooden planks stored there (Washington 1753).    </w:t>
      </w:r>
    </w:p>
    <w:p w:rsidR="008203A5" w:rsidRDefault="008203A5" w:rsidP="008203A5">
      <w:pPr>
        <w:spacing w:line="480" w:lineRule="auto"/>
        <w:ind w:firstLine="720"/>
        <w:rPr>
          <w:rFonts w:eastAsia="Calibri"/>
        </w:rPr>
      </w:pPr>
      <w:r>
        <w:rPr>
          <w:rFonts w:eastAsia="Calibri"/>
        </w:rPr>
        <w:t xml:space="preserve">George Washington served in the military off and on from 1752 to 1758, requiring his absence from the plantation, and he did not yet officially own Mount Vernon; nevertheless, he </w:t>
      </w:r>
      <w:r w:rsidR="00FB5F35">
        <w:rPr>
          <w:rFonts w:eastAsia="Calibri"/>
        </w:rPr>
        <w:t xml:space="preserve">was establishing a home there. </w:t>
      </w:r>
      <w:r>
        <w:rPr>
          <w:rFonts w:eastAsia="Calibri"/>
        </w:rPr>
        <w:t>In fact, one possible reason for the increase in slave labor was Washington’s expansion and remodeling of his half-brother’s house that took place from 1758 to 1759 (Mesick, Coh</w:t>
      </w:r>
      <w:r w:rsidR="00FB5F35">
        <w:rPr>
          <w:rFonts w:eastAsia="Calibri"/>
        </w:rPr>
        <w:t xml:space="preserve">en, Waite Architects 1993:91). </w:t>
      </w:r>
      <w:r>
        <w:rPr>
          <w:rFonts w:eastAsia="Calibri"/>
        </w:rPr>
        <w:t xml:space="preserve"> Although he was away on military service during the first years of the renovations, he was able to trust his brother Jack and his wife Hannah (who came to live at Mount Vernon in 1756) to oversee the construction activities. Their </w:t>
      </w:r>
      <w:r>
        <w:rPr>
          <w:rFonts w:eastAsia="Calibri"/>
        </w:rPr>
        <w:lastRenderedPageBreak/>
        <w:t>assistance was later replaced by a hired white overseer, Humphery Knight, in 1757</w:t>
      </w:r>
      <w:r w:rsidR="00FB5F35">
        <w:rPr>
          <w:rFonts w:eastAsia="Calibri"/>
        </w:rPr>
        <w:t xml:space="preserve"> and 1758 (Abbot 1988[5]:218). </w:t>
      </w:r>
      <w:r>
        <w:rPr>
          <w:rFonts w:eastAsia="Calibri"/>
        </w:rPr>
        <w:t>Correspondence and diary entries provide a glimpse of the remodeling, which was well u</w:t>
      </w:r>
      <w:r w:rsidR="00FB5F35">
        <w:rPr>
          <w:rFonts w:eastAsia="Calibri"/>
        </w:rPr>
        <w:t xml:space="preserve">nderway by the summer of 1758. </w:t>
      </w:r>
      <w:r>
        <w:rPr>
          <w:rFonts w:eastAsia="Calibri"/>
        </w:rPr>
        <w:t>This phase of renovations was major: the building was raised a full two stories; a new roof was built; stairs to the garret</w:t>
      </w:r>
      <w:r w:rsidR="00530CE5">
        <w:rPr>
          <w:rFonts w:eastAsia="Calibri"/>
        </w:rPr>
        <w:t xml:space="preserve"> were installed</w:t>
      </w:r>
      <w:r>
        <w:rPr>
          <w:rFonts w:eastAsia="Calibri"/>
        </w:rPr>
        <w:t xml:space="preserve">; </w:t>
      </w:r>
      <w:r w:rsidR="00530CE5">
        <w:rPr>
          <w:rFonts w:eastAsia="Calibri"/>
        </w:rPr>
        <w:t xml:space="preserve">the foundations were </w:t>
      </w:r>
      <w:r>
        <w:rPr>
          <w:rFonts w:eastAsia="Calibri"/>
        </w:rPr>
        <w:t>reinforc</w:t>
      </w:r>
      <w:r w:rsidR="00530CE5">
        <w:rPr>
          <w:rFonts w:eastAsia="Calibri"/>
        </w:rPr>
        <w:t>ed</w:t>
      </w:r>
      <w:r>
        <w:rPr>
          <w:rFonts w:eastAsia="Calibri"/>
        </w:rPr>
        <w:t xml:space="preserve">; and plastering </w:t>
      </w:r>
      <w:r w:rsidR="00530CE5">
        <w:rPr>
          <w:rFonts w:eastAsia="Calibri"/>
        </w:rPr>
        <w:t xml:space="preserve">took place </w:t>
      </w:r>
      <w:r>
        <w:rPr>
          <w:rFonts w:eastAsia="Calibri"/>
        </w:rPr>
        <w:t>(Mesick, Cohen, Wait</w:t>
      </w:r>
      <w:r w:rsidR="00FB5F35">
        <w:rPr>
          <w:rFonts w:eastAsia="Calibri"/>
        </w:rPr>
        <w:t xml:space="preserve">e Architects 1993:8). </w:t>
      </w:r>
      <w:r>
        <w:rPr>
          <w:rFonts w:eastAsia="Calibri"/>
        </w:rPr>
        <w:t xml:space="preserve">In the span of a year, from 1758 to 1759, the Mount Vernon mansion essentially doubled in size </w:t>
      </w:r>
      <w:r w:rsidR="00FB5F35">
        <w:rPr>
          <w:rFonts w:eastAsia="Calibri"/>
        </w:rPr>
        <w:t xml:space="preserve">(Dalzell and Dalzell 1998:49). </w:t>
      </w:r>
      <w:r w:rsidRPr="00FD7853">
        <w:rPr>
          <w:rFonts w:eastAsia="Calibri"/>
        </w:rPr>
        <w:t xml:space="preserve">Figure </w:t>
      </w:r>
      <w:r>
        <w:rPr>
          <w:rFonts w:eastAsia="Calibri"/>
        </w:rPr>
        <w:t xml:space="preserve">4-6 shows the mansion post-renovation.    </w:t>
      </w:r>
    </w:p>
    <w:p w:rsidR="008203A5" w:rsidRPr="00AA1348" w:rsidRDefault="008203A5" w:rsidP="008203A5">
      <w:pPr>
        <w:autoSpaceDE w:val="0"/>
        <w:autoSpaceDN w:val="0"/>
        <w:adjustRightInd w:val="0"/>
        <w:spacing w:line="480" w:lineRule="auto"/>
        <w:ind w:firstLine="720"/>
        <w:rPr>
          <w:color w:val="231F20"/>
        </w:rPr>
      </w:pPr>
      <w:r>
        <w:rPr>
          <w:rFonts w:eastAsia="Calibri"/>
        </w:rPr>
        <w:t xml:space="preserve">Of particular relevance to this study was the removal of plaster from the house during this phase of George Washington’s remodeling, because it is an architectural remnant </w:t>
      </w:r>
      <w:r w:rsidR="00FB5F35">
        <w:rPr>
          <w:rFonts w:eastAsia="Calibri"/>
        </w:rPr>
        <w:t>that survives archaeologically.</w:t>
      </w:r>
      <w:r>
        <w:rPr>
          <w:rFonts w:eastAsia="Calibri"/>
        </w:rPr>
        <w:t xml:space="preserve"> The main evidence for removal of plastering comes from </w:t>
      </w:r>
      <w:r>
        <w:rPr>
          <w:color w:val="231F20"/>
        </w:rPr>
        <w:t>a September 1758 letter recording that</w:t>
      </w:r>
      <w:r w:rsidRPr="008F42ED">
        <w:rPr>
          <w:color w:val="231F20"/>
        </w:rPr>
        <w:t xml:space="preserve"> “the great house has took a vast Deal of Sawing work besides a vast Deal of other work which the Carprs Did, puling Down the old works and Raising the new… as to puling Down the old plastering and leaths [sic.] out of the rooms I made the home house people Do and all other work </w:t>
      </w:r>
      <w:r w:rsidR="001B01AD">
        <w:rPr>
          <w:color w:val="231F20"/>
        </w:rPr>
        <w:t>as they could”</w:t>
      </w:r>
      <w:r w:rsidRPr="008F42ED">
        <w:rPr>
          <w:color w:val="231F20"/>
        </w:rPr>
        <w:t xml:space="preserve"> (Abbot et al. 1988[5]:447-448</w:t>
      </w:r>
      <w:r>
        <w:rPr>
          <w:color w:val="231F20"/>
        </w:rPr>
        <w:t>; Breen 2003</w:t>
      </w:r>
      <w:r w:rsidRPr="008F42ED">
        <w:rPr>
          <w:color w:val="231F20"/>
        </w:rPr>
        <w:t>).</w:t>
      </w:r>
      <w:r>
        <w:rPr>
          <w:color w:val="231F20"/>
        </w:rPr>
        <w:t xml:space="preserve"> </w:t>
      </w:r>
      <w:r>
        <w:rPr>
          <w:rFonts w:eastAsia="Calibri"/>
        </w:rPr>
        <w:t>The plaster removal might have been done as early as 1755 as indicated in a report to George Washington from overseer Humphrey Knight who wrote in September of that year that major demolition and removal of partitions had been accomplished (Mesick, Co</w:t>
      </w:r>
      <w:r w:rsidR="00FB5F35">
        <w:rPr>
          <w:rFonts w:eastAsia="Calibri"/>
        </w:rPr>
        <w:t xml:space="preserve">hen, Waite Architects 1993:9). </w:t>
      </w:r>
      <w:r>
        <w:rPr>
          <w:rFonts w:eastAsia="Calibri"/>
        </w:rPr>
        <w:t>Most of the major work on the house was carried out in August and September of 1758 (Mesick, Cohen, Waite Architects 1993:8-12).</w:t>
      </w:r>
      <w:r>
        <w:rPr>
          <w:rStyle w:val="FootnoteReference"/>
          <w:rFonts w:eastAsia="Calibri"/>
        </w:rPr>
        <w:footnoteReference w:id="5"/>
      </w:r>
      <w:r>
        <w:rPr>
          <w:rFonts w:eastAsia="Calibri"/>
        </w:rPr>
        <w:t xml:space="preserve">  </w:t>
      </w:r>
    </w:p>
    <w:p w:rsidR="008203A5" w:rsidRDefault="008203A5" w:rsidP="008203A5">
      <w:pPr>
        <w:spacing w:line="480" w:lineRule="auto"/>
        <w:ind w:firstLine="720"/>
        <w:rPr>
          <w:rFonts w:eastAsia="Times New Roman"/>
        </w:rPr>
      </w:pPr>
      <w:r>
        <w:t>Although the period from 1760 through 1775 represents a lull between major renovation campaigns to the house itself, those projects that did occur changed the homelot considerably (</w:t>
      </w:r>
      <w:r w:rsidRPr="00FD7853">
        <w:t xml:space="preserve">Figure </w:t>
      </w:r>
      <w:r>
        <w:t>4-7</w:t>
      </w:r>
      <w:r w:rsidRPr="00FD7853">
        <w:t>)</w:t>
      </w:r>
      <w:r w:rsidR="00FB5F35">
        <w:t xml:space="preserve">. </w:t>
      </w:r>
      <w:r>
        <w:t xml:space="preserve">During this period, the Upper and Lower Gardens were established and a barn to </w:t>
      </w:r>
      <w:r>
        <w:lastRenderedPageBreak/>
        <w:t>the south mirroring the House for Families to the north was built, in addition to other outbuildings including the spinning house, the s</w:t>
      </w:r>
      <w:r w:rsidR="00FB5F35">
        <w:t xml:space="preserve">pring house, and the icehouse. </w:t>
      </w:r>
      <w:r>
        <w:t>In May of 1762, George Washington hired a slave bricklayer named Guy to begin “</w:t>
      </w:r>
      <w:r w:rsidRPr="00247342">
        <w:rPr>
          <w:rFonts w:eastAsia="Times New Roman"/>
        </w:rPr>
        <w:t>the Garden Wall, after having built an Oven in the Kitchen, laid</w:t>
      </w:r>
      <w:r>
        <w:rPr>
          <w:rFonts w:eastAsia="Times New Roman"/>
        </w:rPr>
        <w:t xml:space="preserve"> the hearth, &amp; repaird the back” </w:t>
      </w:r>
      <w:r w:rsidRPr="00EB7770">
        <w:rPr>
          <w:rFonts w:eastAsia="Times New Roman"/>
        </w:rPr>
        <w:t>(</w:t>
      </w:r>
      <w:r>
        <w:rPr>
          <w:rFonts w:eastAsia="Times New Roman"/>
        </w:rPr>
        <w:t>Jackson and Twohig 1976[1]:</w:t>
      </w:r>
      <w:r w:rsidRPr="00EB7770">
        <w:rPr>
          <w:rFonts w:eastAsia="Times New Roman"/>
        </w:rPr>
        <w:t>298)</w:t>
      </w:r>
      <w:r>
        <w:rPr>
          <w:rFonts w:eastAsia="Times New Roman"/>
        </w:rPr>
        <w:t xml:space="preserve"> suggesting that some maintenance of the outbuildings was necessary.  </w:t>
      </w:r>
    </w:p>
    <w:p w:rsidR="008203A5" w:rsidRDefault="008203A5" w:rsidP="008203A5">
      <w:pPr>
        <w:spacing w:line="480" w:lineRule="auto"/>
        <w:ind w:firstLine="720"/>
        <w:rPr>
          <w:rFonts w:eastAsia="Times New Roman"/>
        </w:rPr>
      </w:pPr>
      <w:r>
        <w:t>Changes occurred to the east</w:t>
      </w:r>
      <w:r w:rsidR="00FB5F35">
        <w:t xml:space="preserve"> front of the mansion as well. </w:t>
      </w:r>
      <w:r>
        <w:t>In March of 1760, George Washington wrote in his diary, “</w:t>
      </w:r>
      <w:r w:rsidRPr="00F247B0">
        <w:rPr>
          <w:rFonts w:eastAsia="Times New Roman"/>
        </w:rPr>
        <w:t>Agreed to give Mr. William Triplet £18 to build the two houses in the Front of my House (plastering them also) and running Walls for Pallisades to them from the Great house &amp; from the Great House to the Wash House and Kitc</w:t>
      </w:r>
      <w:r>
        <w:rPr>
          <w:rFonts w:eastAsia="Times New Roman"/>
        </w:rPr>
        <w:t xml:space="preserve">hen also” </w:t>
      </w:r>
      <w:r w:rsidRPr="00EB7770">
        <w:rPr>
          <w:rFonts w:eastAsia="Times New Roman"/>
        </w:rPr>
        <w:t>(</w:t>
      </w:r>
      <w:r>
        <w:rPr>
          <w:rFonts w:eastAsia="Times New Roman"/>
        </w:rPr>
        <w:t>Jackson and Twohig 1976[1]:</w:t>
      </w:r>
      <w:r w:rsidRPr="00EB7770">
        <w:rPr>
          <w:rFonts w:eastAsia="Times New Roman"/>
        </w:rPr>
        <w:t>258)</w:t>
      </w:r>
      <w:r w:rsidR="00FB5F35">
        <w:rPr>
          <w:rFonts w:eastAsia="Times New Roman"/>
        </w:rPr>
        <w:t xml:space="preserve">. </w:t>
      </w:r>
      <w:r>
        <w:rPr>
          <w:rFonts w:eastAsia="Times New Roman"/>
        </w:rPr>
        <w:t>Not even a month had passed before Washington recorded, “</w:t>
      </w:r>
      <w:r w:rsidRPr="00E34483">
        <w:rPr>
          <w:rFonts w:eastAsia="Times New Roman"/>
        </w:rPr>
        <w:t xml:space="preserve">By 3 Oclock in the afternoon Mr. Triplet finishd the Wall between the Dairy and Kitchen. The Rain from </w:t>
      </w:r>
      <w:r>
        <w:rPr>
          <w:rFonts w:eastAsia="Times New Roman"/>
        </w:rPr>
        <w:t xml:space="preserve">that time prevented his Working” </w:t>
      </w:r>
      <w:r w:rsidRPr="00EB7770">
        <w:rPr>
          <w:rFonts w:eastAsia="Times New Roman"/>
        </w:rPr>
        <w:t>(</w:t>
      </w:r>
      <w:r>
        <w:rPr>
          <w:rFonts w:eastAsia="Times New Roman"/>
        </w:rPr>
        <w:t>Jackson and Twohig 1976[1]:</w:t>
      </w:r>
      <w:r w:rsidRPr="00EB7770">
        <w:rPr>
          <w:rFonts w:eastAsia="Times New Roman"/>
        </w:rPr>
        <w:t>268).</w:t>
      </w:r>
      <w:r w:rsidR="00FB5F35">
        <w:rPr>
          <w:rFonts w:eastAsia="Times New Roman"/>
        </w:rPr>
        <w:t xml:space="preserve"> </w:t>
      </w:r>
      <w:r>
        <w:rPr>
          <w:rFonts w:eastAsia="Times New Roman"/>
        </w:rPr>
        <w:t>Apparently Washington was in a rush to have this work completed as he had devised the original plan in 1758, but William Triplet was occupied with projects on other planta</w:t>
      </w:r>
      <w:r w:rsidR="00FB5F35">
        <w:rPr>
          <w:rFonts w:eastAsia="Times New Roman"/>
        </w:rPr>
        <w:t xml:space="preserve">tions (Abbot 1988[5]:390-391). </w:t>
      </w:r>
      <w:r>
        <w:rPr>
          <w:rFonts w:eastAsia="Times New Roman"/>
        </w:rPr>
        <w:t>Section of these walls where they abutted the mansion were discovered in four test units during excavations in advance of a new drainage system (Mount Vernon</w:t>
      </w:r>
      <w:r w:rsidR="00FB5F35">
        <w:rPr>
          <w:rFonts w:eastAsia="Times New Roman"/>
        </w:rPr>
        <w:t xml:space="preserve"> Archaeology Department 1996). </w:t>
      </w:r>
      <w:r>
        <w:rPr>
          <w:rFonts w:eastAsia="Times New Roman"/>
        </w:rPr>
        <w:t>Excavations in the 1970s at nearby Belvoir plantation uncovered brick screening walls connecting mansion to outbuilding similar to those documented in Wash</w:t>
      </w:r>
      <w:r w:rsidR="00FB5F35">
        <w:rPr>
          <w:rFonts w:eastAsia="Times New Roman"/>
        </w:rPr>
        <w:t xml:space="preserve">ington’s diary (Pogue 1988:7). </w:t>
      </w:r>
      <w:r>
        <w:rPr>
          <w:rFonts w:eastAsia="Times New Roman"/>
        </w:rPr>
        <w:t xml:space="preserve">Brick walls of this nature would have provided a barrier between the labor (and its by-products) that occurred outdoors behind the dairy and the kitchen and the formal, landward entrance to the mansion.     </w:t>
      </w:r>
    </w:p>
    <w:p w:rsidR="008203A5" w:rsidRDefault="008203A5" w:rsidP="008203A5">
      <w:pPr>
        <w:spacing w:line="480" w:lineRule="auto"/>
        <w:ind w:firstLine="720"/>
        <w:rPr>
          <w:rFonts w:eastAsia="Times New Roman"/>
        </w:rPr>
      </w:pPr>
    </w:p>
    <w:p w:rsidR="008203A5" w:rsidRDefault="008203A5" w:rsidP="008203A5">
      <w:pPr>
        <w:spacing w:line="480" w:lineRule="auto"/>
        <w:ind w:firstLine="720"/>
        <w:rPr>
          <w:rFonts w:eastAsia="Times New Roman"/>
        </w:rPr>
        <w:sectPr w:rsidR="008203A5" w:rsidSect="00E91746">
          <w:pgSz w:w="12240" w:h="15840"/>
          <w:pgMar w:top="1440" w:right="1440" w:bottom="1440" w:left="1440" w:header="720" w:footer="720" w:gutter="0"/>
          <w:cols w:space="720"/>
          <w:docGrid w:linePitch="360"/>
        </w:sectPr>
      </w:pPr>
    </w:p>
    <w:p w:rsidR="008203A5" w:rsidRDefault="008203A5" w:rsidP="008203A5">
      <w:pPr>
        <w:jc w:val="center"/>
        <w:rPr>
          <w:rFonts w:eastAsia="Times New Roman"/>
        </w:rPr>
      </w:pPr>
      <w:r>
        <w:rPr>
          <w:rFonts w:eastAsia="Times New Roman"/>
          <w:noProof/>
        </w:rPr>
        <w:lastRenderedPageBreak/>
        <w:drawing>
          <wp:inline distT="0" distB="0" distL="0" distR="0">
            <wp:extent cx="6782954" cy="5394960"/>
            <wp:effectExtent l="19050" t="0" r="0" b="0"/>
            <wp:docPr id="14" name="Picture 4" descr="South Grove Phase II_1759-1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 Grove Phase II_1759-1775.jpg"/>
                    <pic:cNvPicPr/>
                  </pic:nvPicPr>
                  <pic:blipFill>
                    <a:blip r:embed="rId20" cstate="print"/>
                    <a:stretch>
                      <a:fillRect/>
                    </a:stretch>
                  </pic:blipFill>
                  <pic:spPr>
                    <a:xfrm>
                      <a:off x="0" y="0"/>
                      <a:ext cx="6782954" cy="5394960"/>
                    </a:xfrm>
                    <a:prstGeom prst="rect">
                      <a:avLst/>
                    </a:prstGeom>
                  </pic:spPr>
                </pic:pic>
              </a:graphicData>
            </a:graphic>
          </wp:inline>
        </w:drawing>
      </w:r>
    </w:p>
    <w:p w:rsidR="008203A5" w:rsidRPr="004F7425" w:rsidRDefault="008203A5" w:rsidP="008203A5">
      <w:pPr>
        <w:ind w:left="720" w:firstLine="720"/>
        <w:rPr>
          <w:rFonts w:eastAsia="Times New Roman"/>
        </w:rPr>
      </w:pPr>
      <w:r>
        <w:rPr>
          <w:rFonts w:eastAsia="Times New Roman"/>
          <w:b/>
        </w:rPr>
        <w:t>Figure 4-7</w:t>
      </w:r>
      <w:r w:rsidRPr="00493E88">
        <w:rPr>
          <w:rFonts w:eastAsia="Times New Roman"/>
          <w:b/>
        </w:rPr>
        <w:t xml:space="preserve">. </w:t>
      </w:r>
      <w:r w:rsidRPr="004F7425">
        <w:rPr>
          <w:rFonts w:eastAsia="Times New Roman"/>
        </w:rPr>
        <w:t>Layout of Mount Vernon’s homelot, ca. 1775</w:t>
      </w:r>
      <w:r w:rsidR="00FB5F35">
        <w:rPr>
          <w:rFonts w:eastAsia="Times New Roman"/>
        </w:rPr>
        <w:t>.</w:t>
      </w:r>
      <w:r w:rsidRPr="004F7425">
        <w:rPr>
          <w:rFonts w:eastAsia="Times New Roman"/>
        </w:rPr>
        <w:t xml:space="preserve"> </w:t>
      </w:r>
      <w:r w:rsidRPr="004F7425">
        <w:t>(Map by Mount Vernon Preservation, 2012)</w:t>
      </w:r>
      <w:r w:rsidRPr="004F7425">
        <w:rPr>
          <w:rFonts w:eastAsia="Times New Roman"/>
        </w:rPr>
        <w:t>.</w:t>
      </w:r>
    </w:p>
    <w:p w:rsidR="008203A5" w:rsidRDefault="008203A5" w:rsidP="008203A5">
      <w:pPr>
        <w:spacing w:after="200" w:line="276" w:lineRule="auto"/>
      </w:pPr>
      <w:r>
        <w:br w:type="page"/>
      </w:r>
    </w:p>
    <w:p w:rsidR="008203A5" w:rsidRDefault="008203A5" w:rsidP="008203A5">
      <w:pPr>
        <w:spacing w:line="480" w:lineRule="auto"/>
        <w:ind w:firstLine="720"/>
        <w:sectPr w:rsidR="008203A5" w:rsidSect="00E91746">
          <w:pgSz w:w="15840" w:h="12240" w:orient="landscape"/>
          <w:pgMar w:top="1440" w:right="1440" w:bottom="1440" w:left="1440" w:header="720" w:footer="720" w:gutter="0"/>
          <w:cols w:space="720"/>
          <w:docGrid w:linePitch="360"/>
        </w:sectPr>
      </w:pPr>
    </w:p>
    <w:p w:rsidR="008203A5" w:rsidRPr="00F247B0" w:rsidRDefault="008203A5" w:rsidP="008203A5">
      <w:pPr>
        <w:spacing w:line="480" w:lineRule="auto"/>
        <w:ind w:firstLine="720"/>
        <w:rPr>
          <w:rFonts w:eastAsia="Times New Roman"/>
        </w:rPr>
      </w:pPr>
      <w:r>
        <w:rPr>
          <w:rFonts w:eastAsia="Times New Roman"/>
        </w:rPr>
        <w:lastRenderedPageBreak/>
        <w:t>Documentation exists that the “two houses” were completed someti</w:t>
      </w:r>
      <w:r w:rsidR="00FB5F35">
        <w:rPr>
          <w:rFonts w:eastAsia="Times New Roman"/>
        </w:rPr>
        <w:t xml:space="preserve">me before 1763 (Pogue 1988:7). </w:t>
      </w:r>
      <w:r>
        <w:rPr>
          <w:rFonts w:eastAsia="Times New Roman"/>
        </w:rPr>
        <w:t xml:space="preserve">Archaeology corroborated the existence of a 10 by 12 foot structure on the east lawn, depicted on the 1787 Vaughan plan as a </w:t>
      </w:r>
      <w:r w:rsidRPr="00EB7770">
        <w:rPr>
          <w:rFonts w:eastAsia="Times New Roman"/>
        </w:rPr>
        <w:t>privy.</w:t>
      </w:r>
      <w:r w:rsidR="00FB5F35">
        <w:rPr>
          <w:rFonts w:eastAsia="Times New Roman"/>
        </w:rPr>
        <w:t xml:space="preserve"> </w:t>
      </w:r>
      <w:r>
        <w:rPr>
          <w:rFonts w:eastAsia="Times New Roman"/>
        </w:rPr>
        <w:t xml:space="preserve">It is possible that this foundation and the privy plotted on the Vaughan plan represent evidence for the southern of the “two houses” </w:t>
      </w:r>
      <w:r w:rsidR="00FB5F35">
        <w:rPr>
          <w:rFonts w:eastAsia="Times New Roman"/>
        </w:rPr>
        <w:t xml:space="preserve">built in the early 1760s. </w:t>
      </w:r>
      <w:r>
        <w:rPr>
          <w:rFonts w:eastAsia="Times New Roman"/>
        </w:rPr>
        <w:t>They too are conjecturally connected to</w:t>
      </w:r>
      <w:r w:rsidR="00FB5F35">
        <w:rPr>
          <w:rFonts w:eastAsia="Times New Roman"/>
        </w:rPr>
        <w:t xml:space="preserve"> the mansion with brick walls. </w:t>
      </w:r>
      <w:r>
        <w:rPr>
          <w:rFonts w:eastAsia="Times New Roman"/>
        </w:rPr>
        <w:t xml:space="preserve">However, much remains to be discovered and confirmed about the early layout of Mount Vernon through the archaeological record (Pogue 1988).       </w:t>
      </w:r>
    </w:p>
    <w:p w:rsidR="008203A5" w:rsidRDefault="008203A5" w:rsidP="008203A5">
      <w:pPr>
        <w:spacing w:line="480" w:lineRule="auto"/>
        <w:ind w:firstLine="720"/>
        <w:rPr>
          <w:color w:val="231F20"/>
        </w:rPr>
      </w:pPr>
      <w:r>
        <w:rPr>
          <w:rFonts w:eastAsia="Calibri"/>
        </w:rPr>
        <w:t xml:space="preserve">George Washington had doubled the size of the mansion in 1758 and 1759 and embellished the interior; “by 1773, however, Washington was already planning a second major rebuilding of the house, and in the ensuing fifteen years he would radically alter its setting, tearing up and reshaping much of the landscape that had been so painstakingly created up to then” </w:t>
      </w:r>
      <w:r w:rsidR="00FB5F35">
        <w:rPr>
          <w:rFonts w:eastAsia="Calibri"/>
        </w:rPr>
        <w:t xml:space="preserve">(Dalzell and Dalzell 1998:60). </w:t>
      </w:r>
      <w:r>
        <w:rPr>
          <w:rFonts w:eastAsia="Calibri"/>
        </w:rPr>
        <w:t>Dalzell and Dalzell (1998:69) argue that this second rebuilding campaign, considered by Washington to be a matter of “necessity,” reflected the increasing economic diversity of the plantation, embodied in the construction of new and restructuring of old ou</w:t>
      </w:r>
      <w:r w:rsidR="00FB5F35">
        <w:rPr>
          <w:rFonts w:eastAsia="Calibri"/>
        </w:rPr>
        <w:t xml:space="preserve">tbuildings, lanes, and fences. </w:t>
      </w:r>
      <w:r>
        <w:rPr>
          <w:rFonts w:eastAsia="Calibri"/>
        </w:rPr>
        <w:t xml:space="preserve">By 1775, a large addition on the south side of the house was completed except for the study’s chimney, including </w:t>
      </w:r>
      <w:r w:rsidR="00FB5F35">
        <w:rPr>
          <w:rFonts w:eastAsia="Calibri"/>
        </w:rPr>
        <w:t xml:space="preserve">the expansion of the basement. </w:t>
      </w:r>
      <w:r w:rsidRPr="008F42ED">
        <w:rPr>
          <w:color w:val="231F20"/>
        </w:rPr>
        <w:t>Throughout the 1770s and 1780s, George Washington</w:t>
      </w:r>
      <w:r>
        <w:rPr>
          <w:color w:val="231F20"/>
        </w:rPr>
        <w:t>’s labor force</w:t>
      </w:r>
      <w:r w:rsidRPr="008F42ED">
        <w:rPr>
          <w:color w:val="231F20"/>
        </w:rPr>
        <w:t xml:space="preserve"> renovated Mount Vernon (adding</w:t>
      </w:r>
      <w:r>
        <w:rPr>
          <w:color w:val="231F20"/>
        </w:rPr>
        <w:t xml:space="preserve"> the</w:t>
      </w:r>
      <w:r w:rsidRPr="008F42ED">
        <w:rPr>
          <w:color w:val="231F20"/>
        </w:rPr>
        <w:t xml:space="preserve"> wings and the piazza</w:t>
      </w:r>
      <w:r>
        <w:rPr>
          <w:color w:val="231F20"/>
        </w:rPr>
        <w:t xml:space="preserve"> that survive today</w:t>
      </w:r>
      <w:r w:rsidRPr="008F42ED">
        <w:rPr>
          <w:color w:val="231F20"/>
        </w:rPr>
        <w:t>), constructed outbuildings, and formalized the surrounding lands</w:t>
      </w:r>
      <w:r>
        <w:rPr>
          <w:color w:val="231F20"/>
        </w:rPr>
        <w:t xml:space="preserve">cape.  </w:t>
      </w:r>
    </w:p>
    <w:p w:rsidR="008203A5" w:rsidRDefault="008203A5" w:rsidP="008203A5">
      <w:pPr>
        <w:spacing w:line="480" w:lineRule="auto"/>
        <w:ind w:firstLine="720"/>
        <w:rPr>
          <w:rFonts w:eastAsia="Calibri"/>
        </w:rPr>
      </w:pPr>
      <w:r>
        <w:rPr>
          <w:color w:val="231F20"/>
        </w:rPr>
        <w:t>Most significant to the South Grove</w:t>
      </w:r>
      <w:r w:rsidRPr="008F42ED">
        <w:rPr>
          <w:color w:val="231F20"/>
        </w:rPr>
        <w:t xml:space="preserve"> area was the replacement of the old dairy and kitchen with a new kitchen, the installation of a large, vaulted brick drain, and the tran</w:t>
      </w:r>
      <w:r>
        <w:rPr>
          <w:color w:val="231F20"/>
        </w:rPr>
        <w:t>sformation of the South Grove</w:t>
      </w:r>
      <w:r w:rsidRPr="008F42ED">
        <w:rPr>
          <w:color w:val="231F20"/>
        </w:rPr>
        <w:t xml:space="preserve"> from </w:t>
      </w:r>
      <w:r w:rsidR="00FB5F35">
        <w:rPr>
          <w:color w:val="231F20"/>
        </w:rPr>
        <w:t xml:space="preserve">workspace to formal landscape. </w:t>
      </w:r>
      <w:r w:rsidRPr="008F42ED">
        <w:rPr>
          <w:color w:val="231F20"/>
        </w:rPr>
        <w:t>By 1775, Washington</w:t>
      </w:r>
      <w:r>
        <w:rPr>
          <w:color w:val="231F20"/>
        </w:rPr>
        <w:t>’s carpenters</w:t>
      </w:r>
      <w:r w:rsidRPr="008F42ED">
        <w:rPr>
          <w:color w:val="231F20"/>
        </w:rPr>
        <w:t xml:space="preserve"> had torn down Lawrence’s flanking outbuildings and built in their place a servant’s hall to the north and a </w:t>
      </w:r>
      <w:r w:rsidRPr="008F42ED">
        <w:rPr>
          <w:color w:val="231F20"/>
        </w:rPr>
        <w:lastRenderedPageBreak/>
        <w:t xml:space="preserve">new kitchen to the </w:t>
      </w:r>
      <w:r w:rsidRPr="002D7A4C">
        <w:rPr>
          <w:color w:val="231F20"/>
        </w:rPr>
        <w:t>south (John Milner and Associates 2004:20).</w:t>
      </w:r>
      <w:r>
        <w:rPr>
          <w:color w:val="231F20"/>
        </w:rPr>
        <w:t xml:space="preserve"> </w:t>
      </w:r>
      <w:r>
        <w:rPr>
          <w:rFonts w:eastAsia="Calibri"/>
        </w:rPr>
        <w:t>The new kitchen was in place by the summer of 1775 (Dalzell and Da</w:t>
      </w:r>
      <w:r w:rsidR="00FB5F35">
        <w:rPr>
          <w:rFonts w:eastAsia="Calibri"/>
        </w:rPr>
        <w:t xml:space="preserve">lzell 1998:107). </w:t>
      </w:r>
      <w:r>
        <w:rPr>
          <w:color w:val="231F20"/>
        </w:rPr>
        <w:t>The south l</w:t>
      </w:r>
      <w:r w:rsidRPr="008F42ED">
        <w:rPr>
          <w:color w:val="231F20"/>
        </w:rPr>
        <w:t xml:space="preserve">ane was reorganized, new outbuildings populated its western side, and fences </w:t>
      </w:r>
      <w:r>
        <w:rPr>
          <w:color w:val="231F20"/>
        </w:rPr>
        <w:t xml:space="preserve">on its eastern side </w:t>
      </w:r>
      <w:r w:rsidRPr="008F42ED">
        <w:rPr>
          <w:color w:val="231F20"/>
        </w:rPr>
        <w:t>were construct</w:t>
      </w:r>
      <w:r w:rsidR="00FB5F35">
        <w:rPr>
          <w:color w:val="231F20"/>
        </w:rPr>
        <w:t xml:space="preserve">ed to further demarcate space. </w:t>
      </w:r>
      <w:r w:rsidRPr="008F42ED">
        <w:rPr>
          <w:color w:val="231F20"/>
        </w:rPr>
        <w:t>Also in 1775, a series of brick-lined drains were installed to channel the rainwater away from the house and into a large, barrel-vaulted brick drain (uncove</w:t>
      </w:r>
      <w:r w:rsidR="00FB5F35">
        <w:rPr>
          <w:color w:val="231F20"/>
        </w:rPr>
        <w:t xml:space="preserve">red in the 1991 field season). </w:t>
      </w:r>
      <w:r w:rsidRPr="008F42ED">
        <w:rPr>
          <w:color w:val="231F20"/>
        </w:rPr>
        <w:t xml:space="preserve">This tightly dated feature provides a solid </w:t>
      </w:r>
      <w:r>
        <w:rPr>
          <w:color w:val="231F20"/>
        </w:rPr>
        <w:t xml:space="preserve">TAQ </w:t>
      </w:r>
      <w:r w:rsidRPr="008F42ED">
        <w:rPr>
          <w:color w:val="231F20"/>
        </w:rPr>
        <w:t>for the bulk of the midden’s deposits int</w:t>
      </w:r>
      <w:r w:rsidR="00FB5F35">
        <w:rPr>
          <w:color w:val="231F20"/>
        </w:rPr>
        <w:t xml:space="preserve">ruded by its builder’s trench. </w:t>
      </w:r>
      <w:r w:rsidRPr="008F42ED">
        <w:rPr>
          <w:color w:val="231F20"/>
        </w:rPr>
        <w:t xml:space="preserve">The following year, Washington </w:t>
      </w:r>
      <w:r>
        <w:rPr>
          <w:color w:val="231F20"/>
        </w:rPr>
        <w:t xml:space="preserve">communicated his vision for the South Grove </w:t>
      </w:r>
      <w:r w:rsidRPr="008F42ED">
        <w:rPr>
          <w:color w:val="231F20"/>
        </w:rPr>
        <w:t>to his plantat</w:t>
      </w:r>
      <w:r>
        <w:rPr>
          <w:color w:val="231F20"/>
        </w:rPr>
        <w:t>ion manager, including</w:t>
      </w:r>
      <w:r w:rsidRPr="008F42ED">
        <w:rPr>
          <w:color w:val="231F20"/>
        </w:rPr>
        <w:t xml:space="preserve"> planting</w:t>
      </w:r>
      <w:r>
        <w:rPr>
          <w:color w:val="231F20"/>
        </w:rPr>
        <w:t>s of ornamental species (</w:t>
      </w:r>
      <w:r w:rsidRPr="008F42ED">
        <w:rPr>
          <w:color w:val="231F20"/>
        </w:rPr>
        <w:t>Pogue</w:t>
      </w:r>
      <w:r>
        <w:rPr>
          <w:color w:val="231F20"/>
        </w:rPr>
        <w:t xml:space="preserve"> et al.</w:t>
      </w:r>
      <w:r w:rsidR="00FB5F35">
        <w:rPr>
          <w:color w:val="231F20"/>
        </w:rPr>
        <w:t xml:space="preserve"> 2005). </w:t>
      </w:r>
      <w:r w:rsidRPr="008F42ED">
        <w:rPr>
          <w:color w:val="231F20"/>
        </w:rPr>
        <w:t>Washington described “that at the South</w:t>
      </w:r>
      <w:r>
        <w:rPr>
          <w:color w:val="231F20"/>
        </w:rPr>
        <w:t xml:space="preserve">” a variety of trees </w:t>
      </w:r>
      <w:r w:rsidRPr="008F42ED">
        <w:rPr>
          <w:color w:val="231F20"/>
        </w:rPr>
        <w:t>(</w:t>
      </w:r>
      <w:r>
        <w:rPr>
          <w:color w:val="231F20"/>
        </w:rPr>
        <w:t>“</w:t>
      </w:r>
      <w:r w:rsidRPr="008F42ED">
        <w:rPr>
          <w:color w:val="231F20"/>
        </w:rPr>
        <w:t>especially flowering ones</w:t>
      </w:r>
      <w:r>
        <w:rPr>
          <w:color w:val="231F20"/>
        </w:rPr>
        <w:t>”</w:t>
      </w:r>
      <w:r w:rsidRPr="008F42ED">
        <w:rPr>
          <w:color w:val="231F20"/>
        </w:rPr>
        <w:t xml:space="preserve">) </w:t>
      </w:r>
      <w:r>
        <w:rPr>
          <w:color w:val="231F20"/>
        </w:rPr>
        <w:t>“</w:t>
      </w:r>
      <w:r w:rsidRPr="008F42ED">
        <w:rPr>
          <w:color w:val="231F20"/>
        </w:rPr>
        <w:t>such as Crab apple, Poplar, Dogwood, Sasafras, Lawrel, Willow (especially yellow &amp; Weeping W</w:t>
      </w:r>
      <w:r>
        <w:rPr>
          <w:color w:val="231F20"/>
        </w:rPr>
        <w:t>illow, twigs of which may be got</w:t>
      </w:r>
      <w:r w:rsidRPr="008F42ED">
        <w:rPr>
          <w:color w:val="231F20"/>
        </w:rPr>
        <w:t xml:space="preserve"> from Philadelphia)…” </w:t>
      </w:r>
      <w:r w:rsidR="001B01AD">
        <w:rPr>
          <w:color w:val="231F20"/>
        </w:rPr>
        <w:t xml:space="preserve">should be planted </w:t>
      </w:r>
      <w:r w:rsidRPr="008F42ED">
        <w:rPr>
          <w:color w:val="231F20"/>
        </w:rPr>
        <w:t>(Abbot et al. 1988[6]:84).</w:t>
      </w:r>
      <w:r>
        <w:rPr>
          <w:color w:val="231F20"/>
        </w:rPr>
        <w:t xml:space="preserve"> </w:t>
      </w:r>
      <w:r w:rsidRPr="00FD7853">
        <w:rPr>
          <w:rFonts w:eastAsia="Calibri"/>
        </w:rPr>
        <w:t xml:space="preserve">Figure </w:t>
      </w:r>
      <w:r>
        <w:rPr>
          <w:rFonts w:eastAsia="Calibri"/>
        </w:rPr>
        <w:t xml:space="preserve">4-8 shows the culmination of these and other sweeping changes to the homelot that resulted in the version of Mount Vernon presented to visitors today.  </w:t>
      </w:r>
    </w:p>
    <w:p w:rsidR="008203A5" w:rsidRDefault="008203A5" w:rsidP="008203A5">
      <w:pPr>
        <w:spacing w:line="480" w:lineRule="auto"/>
        <w:ind w:firstLine="720"/>
        <w:rPr>
          <w:rFonts w:eastAsia="Calibri"/>
        </w:rPr>
        <w:sectPr w:rsidR="008203A5" w:rsidSect="00E91746">
          <w:pgSz w:w="12240" w:h="15840"/>
          <w:pgMar w:top="1440" w:right="1440" w:bottom="1440" w:left="1440" w:header="720" w:footer="720" w:gutter="0"/>
          <w:cols w:space="720"/>
          <w:docGrid w:linePitch="360"/>
        </w:sectPr>
      </w:pPr>
    </w:p>
    <w:p w:rsidR="008203A5" w:rsidRDefault="008203A5" w:rsidP="008203A5">
      <w:pPr>
        <w:jc w:val="center"/>
        <w:rPr>
          <w:rFonts w:eastAsia="Calibri"/>
          <w:b/>
        </w:rPr>
      </w:pPr>
      <w:r>
        <w:rPr>
          <w:rFonts w:eastAsia="Calibri"/>
          <w:noProof/>
        </w:rPr>
        <w:lastRenderedPageBreak/>
        <w:drawing>
          <wp:inline distT="0" distB="0" distL="0" distR="0">
            <wp:extent cx="6975750" cy="5394960"/>
            <wp:effectExtent l="19050" t="0" r="0" b="0"/>
            <wp:docPr id="19" name="Picture 3" descr="South Grove Phase III_1776-1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 Grove Phase III_1776-1800.jpg"/>
                    <pic:cNvPicPr/>
                  </pic:nvPicPr>
                  <pic:blipFill>
                    <a:blip r:embed="rId21" cstate="print"/>
                    <a:stretch>
                      <a:fillRect/>
                    </a:stretch>
                  </pic:blipFill>
                  <pic:spPr>
                    <a:xfrm>
                      <a:off x="0" y="0"/>
                      <a:ext cx="6975750" cy="5394960"/>
                    </a:xfrm>
                    <a:prstGeom prst="rect">
                      <a:avLst/>
                    </a:prstGeom>
                  </pic:spPr>
                </pic:pic>
              </a:graphicData>
            </a:graphic>
          </wp:inline>
        </w:drawing>
      </w:r>
    </w:p>
    <w:p w:rsidR="008203A5" w:rsidRPr="004F7425" w:rsidRDefault="008203A5" w:rsidP="008203A5">
      <w:pPr>
        <w:ind w:left="720" w:firstLine="720"/>
        <w:rPr>
          <w:rFonts w:eastAsia="Calibri"/>
        </w:rPr>
      </w:pPr>
      <w:r>
        <w:rPr>
          <w:rFonts w:eastAsia="Calibri"/>
          <w:b/>
        </w:rPr>
        <w:t>Figure 4-8</w:t>
      </w:r>
      <w:r w:rsidRPr="00493E88">
        <w:rPr>
          <w:rFonts w:eastAsia="Calibri"/>
          <w:b/>
        </w:rPr>
        <w:t xml:space="preserve">. </w:t>
      </w:r>
      <w:r w:rsidRPr="004F7425">
        <w:rPr>
          <w:rFonts w:eastAsia="Calibri"/>
        </w:rPr>
        <w:t>Layout of Mount Vernon’s homelot, ca. 1793</w:t>
      </w:r>
      <w:r w:rsidR="00FB5F35">
        <w:rPr>
          <w:rFonts w:eastAsia="Calibri"/>
        </w:rPr>
        <w:t>.</w:t>
      </w:r>
      <w:r w:rsidRPr="004F7425">
        <w:rPr>
          <w:rFonts w:eastAsia="Calibri"/>
        </w:rPr>
        <w:t xml:space="preserve"> </w:t>
      </w:r>
      <w:r w:rsidRPr="004F7425">
        <w:t>(Map by Mount Vernon Preservation, 2012)</w:t>
      </w:r>
      <w:r w:rsidRPr="004F7425">
        <w:rPr>
          <w:rFonts w:eastAsia="Calibri"/>
        </w:rPr>
        <w:t>.</w:t>
      </w:r>
    </w:p>
    <w:p w:rsidR="008203A5" w:rsidRDefault="008203A5" w:rsidP="008203A5">
      <w:pPr>
        <w:spacing w:after="200" w:line="276" w:lineRule="auto"/>
        <w:rPr>
          <w:rFonts w:eastAsia="Calibri"/>
        </w:rPr>
      </w:pPr>
      <w:r>
        <w:rPr>
          <w:rFonts w:eastAsia="Calibri"/>
        </w:rPr>
        <w:br w:type="page"/>
      </w:r>
    </w:p>
    <w:p w:rsidR="008203A5" w:rsidRDefault="008203A5" w:rsidP="008203A5">
      <w:pPr>
        <w:spacing w:line="480" w:lineRule="auto"/>
        <w:ind w:firstLine="720"/>
        <w:rPr>
          <w:rFonts w:eastAsia="Calibri"/>
        </w:rPr>
        <w:sectPr w:rsidR="008203A5" w:rsidSect="00E91746">
          <w:pgSz w:w="15840" w:h="12240" w:orient="landscape"/>
          <w:pgMar w:top="1440" w:right="1440" w:bottom="1440" w:left="1440" w:header="720" w:footer="720" w:gutter="0"/>
          <w:cols w:space="720"/>
          <w:docGrid w:linePitch="360"/>
        </w:sectPr>
      </w:pPr>
    </w:p>
    <w:p w:rsidR="008203A5" w:rsidRPr="00957768" w:rsidRDefault="008203A5" w:rsidP="008203A5">
      <w:pPr>
        <w:spacing w:line="480" w:lineRule="auto"/>
        <w:ind w:firstLine="720"/>
        <w:rPr>
          <w:rFonts w:eastAsia="Calibri"/>
          <w:u w:val="single"/>
        </w:rPr>
      </w:pPr>
      <w:r>
        <w:rPr>
          <w:rFonts w:eastAsia="Calibri"/>
        </w:rPr>
        <w:lastRenderedPageBreak/>
        <w:t xml:space="preserve">This extensive work impacted the South Grove Midden, essentially transforming what had been a work space and refuse yard for dairying, cooking, or other </w:t>
      </w:r>
      <w:r w:rsidR="001B01AD">
        <w:rPr>
          <w:rFonts w:eastAsia="Calibri"/>
        </w:rPr>
        <w:t>domestic</w:t>
      </w:r>
      <w:r>
        <w:rPr>
          <w:rFonts w:eastAsia="Calibri"/>
        </w:rPr>
        <w:t xml:space="preserve"> tasks into a grove of flowering tr</w:t>
      </w:r>
      <w:r w:rsidR="00FB5F35">
        <w:rPr>
          <w:rFonts w:eastAsia="Calibri"/>
        </w:rPr>
        <w:t xml:space="preserve">ees and shrubs and evergreens. </w:t>
      </w:r>
      <w:r>
        <w:rPr>
          <w:rFonts w:eastAsia="Calibri"/>
        </w:rPr>
        <w:t>George Washington’s transition towards a more naturalistic and picturesque homelot was influenced by contemporary trends in</w:t>
      </w:r>
      <w:r w:rsidR="00FB5F35">
        <w:rPr>
          <w:rFonts w:eastAsia="Calibri"/>
        </w:rPr>
        <w:t xml:space="preserve"> English landscape aesthetics. </w:t>
      </w:r>
      <w:r>
        <w:rPr>
          <w:rFonts w:eastAsia="Calibri"/>
        </w:rPr>
        <w:t xml:space="preserve">As early as 1776, he expressed his desire to have groves of trees to the north and south of the </w:t>
      </w:r>
      <w:r w:rsidR="00FB5F35">
        <w:rPr>
          <w:rFonts w:eastAsia="Calibri"/>
        </w:rPr>
        <w:t xml:space="preserve">mansion (Abbot 1988[6]:82-86). </w:t>
      </w:r>
      <w:r>
        <w:rPr>
          <w:rFonts w:eastAsia="Calibri"/>
        </w:rPr>
        <w:t xml:space="preserve">Washington’s desires do not appear to have been actualized until the early spring of 1785 when his diary documents the planting of no less than 75 trees and bushes in the north and south groves in addition to walkways fit for strolling and admiring the new vision for the environs surrounding Mount Vernon (Jackson and Twohig 1978[4]:98-109). Verification that this idea came to fruition was captured in the Vaughan Plan of 1787, which depicts these areas as heavily wooded (Pogue et al. 2005:90).     </w:t>
      </w:r>
    </w:p>
    <w:p w:rsidR="008203A5" w:rsidRPr="00710354" w:rsidRDefault="008203A5" w:rsidP="008203A5">
      <w:pPr>
        <w:spacing w:line="480" w:lineRule="auto"/>
        <w:rPr>
          <w:rFonts w:eastAsia="Calibri"/>
        </w:rPr>
      </w:pPr>
      <w:r>
        <w:rPr>
          <w:b/>
        </w:rPr>
        <w:t>The Enslaved Community’s Mount Vernon</w:t>
      </w:r>
    </w:p>
    <w:p w:rsidR="008203A5" w:rsidRDefault="008203A5" w:rsidP="008203A5">
      <w:pPr>
        <w:spacing w:line="480" w:lineRule="auto"/>
        <w:ind w:firstLine="720"/>
      </w:pPr>
      <w:r>
        <w:t>With the contours of the Washington households outlined and the plantation evolution traced, this section provides a more intensive view of the enslaved community as it developed in the early peri</w:t>
      </w:r>
      <w:r w:rsidR="00FB5F35">
        <w:t xml:space="preserve">od at Mount Vernon (pre-1775). </w:t>
      </w:r>
      <w:r>
        <w:t xml:space="preserve">Drawing from the latest research on African American cultural and community development, the purpose of this intensive focus on early Mount Vernon slaves is to address the question: is it possible, based on available evidence, to develop a picture of the charter generation of slaves at Mount Vernon utilizing broad data on ethnicity and specific sources on slaves </w:t>
      </w:r>
      <w:r w:rsidR="00FB5F35">
        <w:t xml:space="preserve">who labored on the plantation? </w:t>
      </w:r>
      <w:r>
        <w:t xml:space="preserve">This section presents a first step towards an understanding of Mount Vernon’s charter generation of slaves, while acknowledging the potential for more work based on the dataset compiled and presented here.   </w:t>
      </w:r>
    </w:p>
    <w:p w:rsidR="008203A5" w:rsidRDefault="008203A5" w:rsidP="008203A5">
      <w:pPr>
        <w:spacing w:line="480" w:lineRule="auto"/>
        <w:ind w:firstLine="720"/>
      </w:pPr>
      <w:r w:rsidRPr="00BC7A4F">
        <w:rPr>
          <w:i/>
        </w:rPr>
        <w:t>Why study the charter generation?</w:t>
      </w:r>
      <w:r w:rsidR="00FB5F35">
        <w:t xml:space="preserve"> </w:t>
      </w:r>
      <w:r>
        <w:t xml:space="preserve">Historians have begun to conceive of enslaved communities as passing through a series of developmental stages, beginning with the charter </w:t>
      </w:r>
      <w:r>
        <w:lastRenderedPageBreak/>
        <w:t>generation, with much of this work driven by modern theories of cultural development, particularly historical creolization (Walsh 1997 and 2001a; Chambers 200</w:t>
      </w:r>
      <w:r w:rsidR="00FB5F35">
        <w:t xml:space="preserve">5; Ogundiran and Falola 2007). </w:t>
      </w:r>
      <w:r>
        <w:t>The approach taken by practitioners of historical creolization is multi-scalar, meshing local conditions with broader trends in the trans-At</w:t>
      </w:r>
      <w:r w:rsidR="00FB5F35">
        <w:t xml:space="preserve">lantic slave trade. </w:t>
      </w:r>
      <w:r>
        <w:t>A brief review of these models follows and informs this attempt to better illuminate Mount Vernon’s charter generation.</w:t>
      </w:r>
    </w:p>
    <w:p w:rsidR="008203A5" w:rsidRDefault="008203A5" w:rsidP="008203A5">
      <w:pPr>
        <w:widowControl w:val="0"/>
        <w:autoSpaceDE w:val="0"/>
        <w:autoSpaceDN w:val="0"/>
        <w:adjustRightInd w:val="0"/>
        <w:spacing w:line="480" w:lineRule="auto"/>
        <w:ind w:firstLine="720"/>
        <w:rPr>
          <w:rFonts w:cs="ANKKBK+TimesNewRoman"/>
          <w:color w:val="000000"/>
        </w:rPr>
      </w:pPr>
      <w:r>
        <w:t>In 2006, Richard Price summarized ongoing historiographic debates over theorizing African culture change in New Wor</w:t>
      </w:r>
      <w:r w:rsidR="00FB5F35">
        <w:t xml:space="preserve">ld settings (Price 2006). </w:t>
      </w:r>
      <w:r>
        <w:t>He pitted historians such as Ira Berlin (1998) and Philip Morgan (1998), representing the Creole School, against those of the Africanist School, which include Michael Gomez (1</w:t>
      </w:r>
      <w:r w:rsidR="00FB5F35">
        <w:t xml:space="preserve">998) and John Thornton (1998). </w:t>
      </w:r>
      <w:r>
        <w:t>The former, while acknowledging that African ethnicity and identity were important at certain times and in certain places, argue “syncretism [or creolization] is the real story of Virginia sla</w:t>
      </w:r>
      <w:r w:rsidR="00FB5F35">
        <w:t xml:space="preserve">ve culture” (Morgan 1997:139). </w:t>
      </w:r>
      <w:r>
        <w:t>Those from the Africanist School, on the other hand, argue that cultural and historical developments occurring in the Americas cannot be disassociate</w:t>
      </w:r>
      <w:r w:rsidR="00FB5F35">
        <w:t xml:space="preserve">d from pre-diasporic contexts. </w:t>
      </w:r>
      <w:r>
        <w:t>Paul Lovejoy (1997:4) argued that these “</w:t>
      </w:r>
      <w:r w:rsidRPr="00FA0BC2">
        <w:rPr>
          <w:rFonts w:cs="ANKKBK+TimesNewRoman"/>
          <w:color w:val="000000"/>
        </w:rPr>
        <w:t>Revisionists shift the emphasis from the birth of a new culture and society to the maintena</w:t>
      </w:r>
      <w:r w:rsidR="00FB5F35">
        <w:rPr>
          <w:rFonts w:cs="ANKKBK+TimesNewRoman"/>
          <w:color w:val="000000"/>
        </w:rPr>
        <w:t xml:space="preserve">nce of ties with the homeland… </w:t>
      </w:r>
      <w:r w:rsidRPr="00FA0BC2">
        <w:rPr>
          <w:rFonts w:cs="ANKKBK+TimesNewRoman"/>
          <w:color w:val="000000"/>
        </w:rPr>
        <w:t>This emphasis on agency and continuity questions the Eurocentrism and the American-centrism that have dominated much of slave studies.”</w:t>
      </w:r>
      <w:r w:rsidR="00FB5F35">
        <w:rPr>
          <w:rFonts w:cs="ANKKBK+TimesNewRoman"/>
          <w:color w:val="000000"/>
        </w:rPr>
        <w:t xml:space="preserve"> </w:t>
      </w:r>
      <w:r>
        <w:rPr>
          <w:rFonts w:cs="ANKKBK+TimesNewRoman"/>
          <w:color w:val="000000"/>
        </w:rPr>
        <w:t>Price concluded the seemingly irreconcilable nature of these perspectives may be more a result of political and ideological sensibilities, careerism, and inflammatory rhetoric than true incompatibility of perspectives.</w:t>
      </w:r>
    </w:p>
    <w:p w:rsidR="008203A5" w:rsidRDefault="008203A5" w:rsidP="008203A5">
      <w:pPr>
        <w:widowControl w:val="0"/>
        <w:autoSpaceDE w:val="0"/>
        <w:autoSpaceDN w:val="0"/>
        <w:adjustRightInd w:val="0"/>
        <w:spacing w:line="480" w:lineRule="auto"/>
        <w:ind w:firstLine="720"/>
      </w:pPr>
      <w:r>
        <w:t xml:space="preserve">Therefore, instead of viewing the Africanist and Americanist debate as a dichotomy, Akinwumi Ogundiran and Toyin Falola (2007:19) argue that a new model, that of historical creolization, may reconcile the two sides by “bring[ing] Africa-centered history and agency into </w:t>
      </w:r>
      <w:r>
        <w:lastRenderedPageBreak/>
        <w:t>the conceptualization of creoliz</w:t>
      </w:r>
      <w:r w:rsidR="00FB5F35">
        <w:t xml:space="preserve">ation or cultural syncretism.” </w:t>
      </w:r>
      <w:r>
        <w:t>Armed with the new, ground-breaking knowledge of patterns of ethnic clustering in Virginia, we can begin to ask, what was the impact of ethnic demographic concentrations on “cultural transfer, transformation, or annihilation” on Virgini</w:t>
      </w:r>
      <w:r w:rsidR="001B01AD">
        <w:t>a plantations (Walsh 2001a:139)?</w:t>
      </w:r>
      <w:r w:rsidR="00FB5F35">
        <w:t xml:space="preserve"> </w:t>
      </w:r>
      <w:r>
        <w:t xml:space="preserve">For historians working in New World diasporic settings, the publication in 1999 of </w:t>
      </w:r>
      <w:r w:rsidRPr="003F7431">
        <w:rPr>
          <w:i/>
        </w:rPr>
        <w:t>The Trans-Atlantic Slave Trade</w:t>
      </w:r>
      <w:r>
        <w:t xml:space="preserve"> database has allowed for the study of ethnic clustering in plantation contexts previously not t</w:t>
      </w:r>
      <w:r w:rsidR="00FB5F35">
        <w:t xml:space="preserve">hought possible (Morgan 1997). </w:t>
      </w:r>
      <w:r>
        <w:t>By compiling demographic and geographic information on over 27,000 voyages, or more than half of all slave ships that traversed the Atlantic from the late sixteenth through the late nineteenth centuries, the database (Voyages Database 2009a) possesses the potential to understand the coastal origins of enslaved Africans and the</w:t>
      </w:r>
      <w:r w:rsidR="00FB5F35">
        <w:t xml:space="preserve">ir dispersal in the New World. </w:t>
      </w:r>
      <w:r>
        <w:t>Walsh (2001a:140) writes, “Preliminary findings…, demonstrating strongly patterned distributions of Africans in receiving colonies, also argue for the need to revise ‘the picture of a confusing [or ‘conflicting’] mix of African cultures with all the attendant barriers to establishing African</w:t>
      </w:r>
      <w:r w:rsidR="00FB5F35">
        <w:t xml:space="preserve"> influence on the New World.’” </w:t>
      </w:r>
      <w:r>
        <w:t>Walsh and Chambers’ work with the database for colonial Virginia suggests that ethnic clustering can be found geographically and</w:t>
      </w:r>
      <w:r w:rsidR="00FB5F35">
        <w:t xml:space="preserve"> temporally. </w:t>
      </w:r>
      <w:r>
        <w:t>For example, Chambers (1996 and 2005) finds that during the height of the slave trade to Virginia, from 1710 to 1740, nearly 60 percent of enslaved Africans originated from the Calabar Coast on the Bight of Biafra and can, therefore, be character</w:t>
      </w:r>
      <w:r w:rsidR="00FB5F35">
        <w:t xml:space="preserve">ized as Igbo-speaking peoples. </w:t>
      </w:r>
      <w:r>
        <w:t>Walsh and Chambers’ work represents an attempt to re-characterize what was once thought to be a random composition of heterogeneous African populations brought to Virginia, a prerequisite for the subsequent exploration of culture change.</w:t>
      </w:r>
    </w:p>
    <w:p w:rsidR="008203A5" w:rsidRDefault="001B01AD" w:rsidP="008203A5">
      <w:pPr>
        <w:widowControl w:val="0"/>
        <w:autoSpaceDE w:val="0"/>
        <w:autoSpaceDN w:val="0"/>
        <w:adjustRightInd w:val="0"/>
        <w:spacing w:line="480" w:lineRule="auto"/>
        <w:ind w:firstLine="720"/>
      </w:pPr>
      <w:r>
        <w:t xml:space="preserve">In </w:t>
      </w:r>
      <w:r w:rsidRPr="00EC122A">
        <w:rPr>
          <w:i/>
        </w:rPr>
        <w:t>Murder at Montpelier</w:t>
      </w:r>
      <w:r>
        <w:t xml:space="preserve">, </w:t>
      </w:r>
      <w:r w:rsidR="008203A5">
        <w:t>Douglas Cha</w:t>
      </w:r>
      <w:r>
        <w:t>mbers (2005)</w:t>
      </w:r>
      <w:r w:rsidR="008203A5">
        <w:t xml:space="preserve"> applies this historical creolization model to explore and emphasize the specific Igbo contributions within a community of enslaved </w:t>
      </w:r>
      <w:r w:rsidR="008203A5">
        <w:lastRenderedPageBreak/>
        <w:t>Africans living at Mt. Pleasant and Montpelier, plantations owned by Pre</w:t>
      </w:r>
      <w:r w:rsidR="00FB5F35">
        <w:t xml:space="preserve">sident James Madison’s family. </w:t>
      </w:r>
      <w:r w:rsidR="008203A5">
        <w:t xml:space="preserve">His model (Table 4-5 from </w:t>
      </w:r>
      <w:r w:rsidR="008203A5" w:rsidRPr="00CC71BD">
        <w:t>Chambers 2005:98-99</w:t>
      </w:r>
      <w:r w:rsidR="008203A5">
        <w:t xml:space="preserve">) consists of five distinct generations: charter; creolizing; creolized; worriment; and ruination.  </w:t>
      </w:r>
    </w:p>
    <w:p w:rsidR="008203A5" w:rsidRDefault="008203A5" w:rsidP="008203A5">
      <w:pPr>
        <w:widowControl w:val="0"/>
        <w:autoSpaceDE w:val="0"/>
        <w:autoSpaceDN w:val="0"/>
        <w:adjustRightInd w:val="0"/>
        <w:spacing w:line="480" w:lineRule="auto"/>
        <w:ind w:firstLine="720"/>
      </w:pPr>
    </w:p>
    <w:p w:rsidR="008203A5" w:rsidRDefault="008203A5" w:rsidP="008203A5">
      <w:pPr>
        <w:rPr>
          <w:b/>
        </w:rPr>
      </w:pPr>
      <w:r w:rsidRPr="00997AE8">
        <w:rPr>
          <w:b/>
        </w:rPr>
        <w:t xml:space="preserve">Table </w:t>
      </w:r>
      <w:r>
        <w:rPr>
          <w:b/>
        </w:rPr>
        <w:t>4-5</w:t>
      </w:r>
      <w:r w:rsidRPr="00997AE8">
        <w:rPr>
          <w:b/>
        </w:rPr>
        <w:t xml:space="preserve">. </w:t>
      </w:r>
      <w:r>
        <w:t>Historical c</w:t>
      </w:r>
      <w:r w:rsidRPr="004F7425">
        <w:t>reo</w:t>
      </w:r>
      <w:r>
        <w:t>lization model for the Madison slave c</w:t>
      </w:r>
      <w:r w:rsidRPr="004F7425">
        <w:t>ommunity, 1720s-1850s (Chambers 2005:98-99).</w:t>
      </w:r>
    </w:p>
    <w:p w:rsidR="008203A5" w:rsidRPr="004F7425" w:rsidRDefault="008203A5" w:rsidP="008203A5">
      <w:pPr>
        <w:rPr>
          <w:b/>
        </w:rPr>
      </w:pPr>
    </w:p>
    <w:tbl>
      <w:tblPr>
        <w:tblW w:w="7159" w:type="dxa"/>
        <w:jc w:val="center"/>
        <w:tblInd w:w="-128" w:type="dxa"/>
        <w:tblLook w:val="04A0"/>
      </w:tblPr>
      <w:tblGrid>
        <w:gridCol w:w="1510"/>
        <w:gridCol w:w="1966"/>
        <w:gridCol w:w="3683"/>
      </w:tblGrid>
      <w:tr w:rsidR="008203A5" w:rsidRPr="00632AF5" w:rsidTr="00E91746">
        <w:trPr>
          <w:trHeight w:val="300"/>
          <w:jc w:val="center"/>
        </w:trPr>
        <w:tc>
          <w:tcPr>
            <w:tcW w:w="1510"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8203A5" w:rsidRPr="00632AF5" w:rsidRDefault="008203A5" w:rsidP="00E91746">
            <w:pPr>
              <w:jc w:val="center"/>
              <w:rPr>
                <w:rFonts w:eastAsia="Times New Roman"/>
                <w:b/>
                <w:bCs/>
                <w:color w:val="000000"/>
              </w:rPr>
            </w:pPr>
            <w:r w:rsidRPr="00632AF5">
              <w:rPr>
                <w:rFonts w:eastAsia="Times New Roman"/>
                <w:b/>
                <w:bCs/>
                <w:color w:val="000000"/>
              </w:rPr>
              <w:t>Decades</w:t>
            </w:r>
          </w:p>
        </w:tc>
        <w:tc>
          <w:tcPr>
            <w:tcW w:w="1966"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32AF5" w:rsidRDefault="008203A5" w:rsidP="00E91746">
            <w:pPr>
              <w:jc w:val="center"/>
              <w:rPr>
                <w:rFonts w:eastAsia="Times New Roman"/>
                <w:b/>
                <w:bCs/>
                <w:color w:val="000000"/>
              </w:rPr>
            </w:pPr>
            <w:r w:rsidRPr="00632AF5">
              <w:rPr>
                <w:rFonts w:eastAsia="Times New Roman"/>
                <w:b/>
                <w:bCs/>
                <w:color w:val="000000"/>
              </w:rPr>
              <w:t>Generation Type</w:t>
            </w:r>
          </w:p>
        </w:tc>
        <w:tc>
          <w:tcPr>
            <w:tcW w:w="3683"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32AF5" w:rsidRDefault="008203A5" w:rsidP="00E91746">
            <w:pPr>
              <w:jc w:val="center"/>
              <w:rPr>
                <w:rFonts w:eastAsia="Times New Roman"/>
                <w:b/>
                <w:bCs/>
                <w:color w:val="000000"/>
              </w:rPr>
            </w:pPr>
            <w:r w:rsidRPr="00632AF5">
              <w:rPr>
                <w:rFonts w:eastAsia="Times New Roman"/>
                <w:b/>
                <w:bCs/>
                <w:color w:val="000000"/>
              </w:rPr>
              <w:t>Characteristics of</w:t>
            </w:r>
          </w:p>
        </w:tc>
      </w:tr>
      <w:tr w:rsidR="008203A5" w:rsidRPr="00632AF5" w:rsidTr="00E91746">
        <w:trPr>
          <w:trHeight w:val="300"/>
          <w:jc w:val="center"/>
        </w:trPr>
        <w:tc>
          <w:tcPr>
            <w:tcW w:w="151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rPr>
            </w:pPr>
            <w:r w:rsidRPr="00632AF5">
              <w:rPr>
                <w:rFonts w:eastAsia="Times New Roman"/>
                <w:color w:val="000000"/>
              </w:rPr>
              <w:t>1720s-1730s</w:t>
            </w:r>
          </w:p>
        </w:tc>
        <w:tc>
          <w:tcPr>
            <w:tcW w:w="1966"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center"/>
              <w:rPr>
                <w:rFonts w:eastAsia="Times New Roman"/>
                <w:color w:val="000000"/>
              </w:rPr>
            </w:pPr>
            <w:r w:rsidRPr="00632AF5">
              <w:rPr>
                <w:rFonts w:eastAsia="Times New Roman"/>
                <w:color w:val="000000"/>
              </w:rPr>
              <w:t>Charter</w:t>
            </w:r>
          </w:p>
        </w:tc>
        <w:tc>
          <w:tcPr>
            <w:tcW w:w="3683"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rPr>
            </w:pPr>
            <w:r w:rsidRPr="00632AF5">
              <w:rPr>
                <w:rFonts w:eastAsia="Times New Roman"/>
                <w:color w:val="000000"/>
              </w:rPr>
              <w:t>Seasoning and adapting</w:t>
            </w:r>
          </w:p>
        </w:tc>
      </w:tr>
      <w:tr w:rsidR="008203A5" w:rsidRPr="00632AF5" w:rsidTr="00E91746">
        <w:trPr>
          <w:trHeight w:val="300"/>
          <w:jc w:val="center"/>
        </w:trPr>
        <w:tc>
          <w:tcPr>
            <w:tcW w:w="151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rPr>
            </w:pPr>
            <w:r w:rsidRPr="00632AF5">
              <w:rPr>
                <w:rFonts w:eastAsia="Times New Roman"/>
                <w:color w:val="000000"/>
              </w:rPr>
              <w:t>1740s-1760s</w:t>
            </w:r>
          </w:p>
        </w:tc>
        <w:tc>
          <w:tcPr>
            <w:tcW w:w="1966"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center"/>
              <w:rPr>
                <w:rFonts w:eastAsia="Times New Roman"/>
                <w:color w:val="000000"/>
              </w:rPr>
            </w:pPr>
            <w:r w:rsidRPr="00632AF5">
              <w:rPr>
                <w:rFonts w:eastAsia="Times New Roman"/>
                <w:color w:val="000000"/>
              </w:rPr>
              <w:t>Creolizing</w:t>
            </w:r>
          </w:p>
        </w:tc>
        <w:tc>
          <w:tcPr>
            <w:tcW w:w="3683"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rPr>
            </w:pPr>
            <w:r w:rsidRPr="00632AF5">
              <w:rPr>
                <w:rFonts w:eastAsia="Times New Roman"/>
                <w:color w:val="000000"/>
              </w:rPr>
              <w:t>Birth of a locally born population</w:t>
            </w:r>
          </w:p>
        </w:tc>
      </w:tr>
      <w:tr w:rsidR="008203A5" w:rsidRPr="00632AF5" w:rsidTr="00E91746">
        <w:trPr>
          <w:trHeight w:val="300"/>
          <w:jc w:val="center"/>
        </w:trPr>
        <w:tc>
          <w:tcPr>
            <w:tcW w:w="151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rPr>
            </w:pPr>
            <w:r w:rsidRPr="00632AF5">
              <w:rPr>
                <w:rFonts w:eastAsia="Times New Roman"/>
                <w:color w:val="000000"/>
              </w:rPr>
              <w:t>1770s-1790s</w:t>
            </w:r>
          </w:p>
        </w:tc>
        <w:tc>
          <w:tcPr>
            <w:tcW w:w="1966"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center"/>
              <w:rPr>
                <w:rFonts w:eastAsia="Times New Roman"/>
                <w:color w:val="000000"/>
              </w:rPr>
            </w:pPr>
            <w:r w:rsidRPr="00632AF5">
              <w:rPr>
                <w:rFonts w:eastAsia="Times New Roman"/>
                <w:color w:val="000000"/>
              </w:rPr>
              <w:t>Creolized</w:t>
            </w:r>
          </w:p>
        </w:tc>
        <w:tc>
          <w:tcPr>
            <w:tcW w:w="3683"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rPr>
            </w:pPr>
            <w:r w:rsidRPr="00632AF5">
              <w:rPr>
                <w:rFonts w:eastAsia="Times New Roman"/>
                <w:color w:val="000000"/>
              </w:rPr>
              <w:t>Pinnacle of slave community</w:t>
            </w:r>
          </w:p>
        </w:tc>
      </w:tr>
      <w:tr w:rsidR="008203A5" w:rsidRPr="00632AF5" w:rsidTr="00E91746">
        <w:trPr>
          <w:trHeight w:val="300"/>
          <w:jc w:val="center"/>
        </w:trPr>
        <w:tc>
          <w:tcPr>
            <w:tcW w:w="151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rPr>
            </w:pPr>
            <w:r w:rsidRPr="00632AF5">
              <w:rPr>
                <w:rFonts w:eastAsia="Times New Roman"/>
                <w:color w:val="000000"/>
              </w:rPr>
              <w:t>1800s-1820s</w:t>
            </w:r>
          </w:p>
        </w:tc>
        <w:tc>
          <w:tcPr>
            <w:tcW w:w="1966"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center"/>
              <w:rPr>
                <w:rFonts w:eastAsia="Times New Roman"/>
                <w:color w:val="000000"/>
              </w:rPr>
            </w:pPr>
            <w:r w:rsidRPr="00632AF5">
              <w:rPr>
                <w:rFonts w:eastAsia="Times New Roman"/>
                <w:color w:val="000000"/>
              </w:rPr>
              <w:t>Worriment</w:t>
            </w:r>
          </w:p>
        </w:tc>
        <w:tc>
          <w:tcPr>
            <w:tcW w:w="3683"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rPr>
            </w:pPr>
            <w:r w:rsidRPr="00632AF5">
              <w:rPr>
                <w:rFonts w:eastAsia="Times New Roman"/>
                <w:color w:val="000000"/>
              </w:rPr>
              <w:t>Declension</w:t>
            </w:r>
          </w:p>
        </w:tc>
      </w:tr>
      <w:tr w:rsidR="008203A5" w:rsidRPr="00632AF5" w:rsidTr="00E91746">
        <w:trPr>
          <w:trHeight w:val="300"/>
          <w:jc w:val="center"/>
        </w:trPr>
        <w:tc>
          <w:tcPr>
            <w:tcW w:w="151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rPr>
            </w:pPr>
            <w:r w:rsidRPr="00632AF5">
              <w:rPr>
                <w:rFonts w:eastAsia="Times New Roman"/>
                <w:color w:val="000000"/>
              </w:rPr>
              <w:t>1830s-1850s</w:t>
            </w:r>
          </w:p>
        </w:tc>
        <w:tc>
          <w:tcPr>
            <w:tcW w:w="1966"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jc w:val="center"/>
              <w:rPr>
                <w:rFonts w:eastAsia="Times New Roman"/>
                <w:color w:val="000000"/>
              </w:rPr>
            </w:pPr>
            <w:r w:rsidRPr="00632AF5">
              <w:rPr>
                <w:rFonts w:eastAsia="Times New Roman"/>
                <w:color w:val="000000"/>
              </w:rPr>
              <w:t>Ruination</w:t>
            </w:r>
          </w:p>
        </w:tc>
        <w:tc>
          <w:tcPr>
            <w:tcW w:w="3683" w:type="dxa"/>
            <w:tcBorders>
              <w:top w:val="nil"/>
              <w:left w:val="nil"/>
              <w:bottom w:val="single" w:sz="4" w:space="0" w:color="auto"/>
              <w:right w:val="single" w:sz="4" w:space="0" w:color="auto"/>
            </w:tcBorders>
            <w:shd w:val="clear" w:color="auto" w:fill="auto"/>
            <w:noWrap/>
            <w:vAlign w:val="bottom"/>
            <w:hideMark/>
          </w:tcPr>
          <w:p w:rsidR="008203A5" w:rsidRPr="00632AF5" w:rsidRDefault="008203A5" w:rsidP="00E91746">
            <w:pPr>
              <w:rPr>
                <w:rFonts w:eastAsia="Times New Roman"/>
                <w:color w:val="000000"/>
              </w:rPr>
            </w:pPr>
            <w:r w:rsidRPr="00632AF5">
              <w:rPr>
                <w:rFonts w:eastAsia="Times New Roman"/>
                <w:color w:val="000000"/>
              </w:rPr>
              <w:t>Dissolution of slave community</w:t>
            </w:r>
          </w:p>
        </w:tc>
      </w:tr>
    </w:tbl>
    <w:p w:rsidR="008203A5" w:rsidRDefault="008203A5" w:rsidP="008203A5"/>
    <w:p w:rsidR="008203A5" w:rsidRDefault="008203A5" w:rsidP="008203A5">
      <w:pPr>
        <w:widowControl w:val="0"/>
        <w:autoSpaceDE w:val="0"/>
        <w:autoSpaceDN w:val="0"/>
        <w:adjustRightInd w:val="0"/>
        <w:spacing w:line="480" w:lineRule="auto"/>
      </w:pPr>
    </w:p>
    <w:p w:rsidR="008203A5" w:rsidRDefault="008203A5" w:rsidP="008203A5">
      <w:pPr>
        <w:widowControl w:val="0"/>
        <w:autoSpaceDE w:val="0"/>
        <w:autoSpaceDN w:val="0"/>
        <w:adjustRightInd w:val="0"/>
        <w:spacing w:line="480" w:lineRule="auto"/>
      </w:pPr>
      <w:r>
        <w:t>Of the twenty nine enslaved individuals</w:t>
      </w:r>
      <w:r w:rsidR="001B01AD">
        <w:t xml:space="preserve"> at Montpelier</w:t>
      </w:r>
      <w:r>
        <w:t xml:space="preserve"> who constituted the charter generation, the majority were most likely Igbo-speaking people</w:t>
      </w:r>
      <w:r w:rsidR="00FB5F35">
        <w:t>s taken from the Calabar Coast.</w:t>
      </w:r>
      <w:r>
        <w:t xml:space="preserve"> Subsequent generations, then, creoliz</w:t>
      </w:r>
      <w:r w:rsidR="00FB5F35">
        <w:t xml:space="preserve">ed from a diasporic Igbo base. </w:t>
      </w:r>
      <w:r>
        <w:t>Importantly, each generational shift is tied to internal community watershed events that pr</w:t>
      </w:r>
      <w:r w:rsidR="00FB5F35">
        <w:t xml:space="preserve">ovide the catalyst for change. </w:t>
      </w:r>
      <w:r>
        <w:t>For example, the onset of the creolizing generation came about as the ratio of colonial-born to Afric</w:t>
      </w:r>
      <w:r w:rsidR="00FB5F35">
        <w:t xml:space="preserve">an-born individuals increased. </w:t>
      </w:r>
      <w:r>
        <w:t xml:space="preserve">The death of President Madison in 1836 ushered in the ruination generation as a quarter of the enslaved community was sold.  </w:t>
      </w:r>
    </w:p>
    <w:p w:rsidR="008203A5" w:rsidRPr="00EC7B77" w:rsidRDefault="008203A5" w:rsidP="008203A5">
      <w:pPr>
        <w:widowControl w:val="0"/>
        <w:autoSpaceDE w:val="0"/>
        <w:autoSpaceDN w:val="0"/>
        <w:adjustRightInd w:val="0"/>
        <w:spacing w:line="480" w:lineRule="auto"/>
        <w:ind w:firstLine="720"/>
      </w:pPr>
      <w:r>
        <w:t>Chambers presents an emically-derived and contextually sensitive intergenerational historical creolization model for the enslaved Madison community, the ebbs and flows of which certainly h</w:t>
      </w:r>
      <w:r w:rsidR="00FB5F35">
        <w:t xml:space="preserve">ave parallels at Mount Vernon. </w:t>
      </w:r>
      <w:r>
        <w:t>His emphasis on the changing demographic foundations from which cultural narratives are constructed is significant for constructing a contextu</w:t>
      </w:r>
      <w:r w:rsidR="00FB5F35">
        <w:t xml:space="preserve">ally sound creolization model. </w:t>
      </w:r>
      <w:r>
        <w:t xml:space="preserve">Chambers shows how the ancestral origins of enslaved persons living on plantations can be explored, just as one would do with the Euro-American </w:t>
      </w:r>
      <w:r w:rsidR="00FB5F35">
        <w:lastRenderedPageBreak/>
        <w:t xml:space="preserve">occupants. </w:t>
      </w:r>
      <w:r>
        <w:t>In the absence of specific records on enslaved individuals, time-sensitive regional data provide a solid estimation for the port of embarkation and ethnic affiliation – hen</w:t>
      </w:r>
      <w:r w:rsidR="00FB5F35">
        <w:t xml:space="preserve">ce, the multi-scalar approach. </w:t>
      </w:r>
      <w:r>
        <w:t>Walsh (1997:137) agrees that “one of the keys of interpreting cultural development and change in particular places… is a clearer understanding of the backgr</w:t>
      </w:r>
      <w:r w:rsidR="00FB5F35">
        <w:t xml:space="preserve">ounds of the people involved.” </w:t>
      </w:r>
      <w:r>
        <w:t xml:space="preserve">What both Walsh and Chambers show is that slave communities formed and persisted over multiple generations, and along with them came the traditions, memories, familial ties, and group solidarity expected in any type of community.  </w:t>
      </w:r>
    </w:p>
    <w:p w:rsidR="008203A5" w:rsidRPr="00870C49" w:rsidRDefault="008203A5" w:rsidP="008203A5">
      <w:pPr>
        <w:widowControl w:val="0"/>
        <w:autoSpaceDE w:val="0"/>
        <w:autoSpaceDN w:val="0"/>
        <w:adjustRightInd w:val="0"/>
        <w:spacing w:line="480" w:lineRule="auto"/>
        <w:ind w:firstLine="720"/>
      </w:pPr>
      <w:r w:rsidRPr="00B37322">
        <w:rPr>
          <w:i/>
        </w:rPr>
        <w:t>Inferring African Ethnicity at Mount Vernon</w:t>
      </w:r>
      <w:r>
        <w:rPr>
          <w:i/>
        </w:rPr>
        <w:t>.</w:t>
      </w:r>
      <w:r w:rsidR="00FB5F35">
        <w:t xml:space="preserve"> </w:t>
      </w:r>
      <w:r>
        <w:t xml:space="preserve">Beginning at the large scale of the multi-scalar approach, two works have considered the specifics of slave ethnicity in </w:t>
      </w:r>
      <w:r w:rsidR="00FB5F35">
        <w:t xml:space="preserve">the upper Potomac region. </w:t>
      </w:r>
      <w:r>
        <w:t>Sweig’s (1985) article on the importation of slaves to the Potomac River offers two conclusions.  First, more direct importations of Africans occ</w:t>
      </w:r>
      <w:r w:rsidR="00FB5F35">
        <w:t xml:space="preserve">urred than previously thought. </w:t>
      </w:r>
      <w:r>
        <w:t>At the time of his writing, historians assumed that most of the slave population increase in this region could be attributed to out-migration from establis</w:t>
      </w:r>
      <w:r w:rsidR="00FB5F35">
        <w:t xml:space="preserve">hed Northern Neck plantations. </w:t>
      </w:r>
      <w:r>
        <w:t>Second, the lack of slave imports to the region between the years 1754 and 1761, the years of greatest population increase on the Virginia side of the Potomac River, can be explained by an intra-colonial slave trade pattern between Maryland and Virginia not</w:t>
      </w:r>
      <w:r w:rsidR="00FB5F35">
        <w:t xml:space="preserve"> captured in shipping records. </w:t>
      </w:r>
      <w:r>
        <w:t xml:space="preserve">Sweig bases much of his argument on evidence relating to George Washington’s early purchases of enslaved individuals.     </w:t>
      </w:r>
    </w:p>
    <w:p w:rsidR="008203A5" w:rsidRDefault="008203A5" w:rsidP="008203A5">
      <w:pPr>
        <w:spacing w:line="480" w:lineRule="auto"/>
      </w:pPr>
      <w:r>
        <w:tab/>
        <w:t>Slaves transported to the upper Potomac region disembarked at two ports: the North Potomac or Maryland side and the S</w:t>
      </w:r>
      <w:r w:rsidR="00123183">
        <w:t xml:space="preserve">outh Potomac or Virginia side. </w:t>
      </w:r>
      <w:r>
        <w:t xml:space="preserve">For the South Potomac after 1741, the port of entry was Belvoir.  For the North Potomac, it was St. Mary’s </w:t>
      </w:r>
      <w:r w:rsidR="00123183">
        <w:t xml:space="preserve">(Sweig 1985:511, footnote 12). </w:t>
      </w:r>
      <w:r>
        <w:t xml:space="preserve">Sweig tabulates the number of vessels entering the South Potomac River district between 1727 and 1772 by pooling previous research on naval office shipping lists.   </w:t>
      </w:r>
      <w:r>
        <w:lastRenderedPageBreak/>
        <w:t xml:space="preserve">Problematically, attempts by historians to explore slave ethnicity in Maryland have been thwarted by the fact that no naval office records survive for Maryland from 1702 to 1741 and after that, only survive in incomplete </w:t>
      </w:r>
      <w:r w:rsidRPr="00855FAD">
        <w:t>form (Walsh 2001</w:t>
      </w:r>
      <w:r>
        <w:t>b</w:t>
      </w:r>
      <w:r w:rsidRPr="00855FAD">
        <w:t>).</w:t>
      </w:r>
      <w:r>
        <w:t xml:space="preserve"> Sweig (1985:511, footnote 12) could find no extant records for the St. Mary’s entry port.  </w:t>
      </w:r>
    </w:p>
    <w:p w:rsidR="008203A5" w:rsidRDefault="008203A5" w:rsidP="008203A5">
      <w:pPr>
        <w:spacing w:line="480" w:lineRule="auto"/>
      </w:pPr>
      <w:r>
        <w:tab/>
        <w:t>Sweig’s (1985:512-513, table II) results suggest a decrease in slave imports in the eight-year period between 1754 and 1761, with only three ships known to have arrived in the South Potomac River district, as opposed to ten in the eight years before and</w:t>
      </w:r>
      <w:r w:rsidR="00123183">
        <w:t xml:space="preserve"> six in the eight years after. </w:t>
      </w:r>
      <w:r>
        <w:t>However, this period was one of high duties charged on slaves purchased in Virginia and the duty fees w</w:t>
      </w:r>
      <w:r w:rsidR="00123183">
        <w:t xml:space="preserve">ere passed onto the purchaser. </w:t>
      </w:r>
      <w:r>
        <w:t>Maryland duties were significantly cheaper; therefore, Sweig (1985) argues that Virginia planters looking to save money bought their slaves</w:t>
      </w:r>
      <w:r w:rsidR="00123183">
        <w:t xml:space="preserve"> across the river in Maryland. </w:t>
      </w:r>
      <w:r>
        <w:t>Sweig (1985:515) writes, “The disparity between the duties on slaves imported for sale, together with the ease and legality of importing slaves duty free for their own use, provided ample incentive for Virginians to buy in Maryland, and the evidence indicates that Potomac River plan</w:t>
      </w:r>
      <w:r w:rsidR="00123183">
        <w:t xml:space="preserve">ters did so in large numbers.” </w:t>
      </w:r>
      <w:r>
        <w:t>George Washington was indeed one of these Potomac River plante</w:t>
      </w:r>
      <w:r w:rsidR="00123183">
        <w:t xml:space="preserve">rs. </w:t>
      </w:r>
      <w:r>
        <w:t xml:space="preserve">Referring to Table 4-4, a transaction between Washington and Colonel John Carlyle occurred on April 30, 1757 wherein the former paid the latter £79.10.0 in gold </w:t>
      </w:r>
      <w:r w:rsidR="00123183">
        <w:t xml:space="preserve">for slaves bought in Maryland. </w:t>
      </w:r>
      <w:r>
        <w:t>Based on this evidence, Sweig (1985:516-517) further argues that the £150 worth of slaves bought from Carlyle earlier in the year may too have been imported from Maryland, though this detail is not recorded.  One other purchase during this seven year period docume</w:t>
      </w:r>
      <w:r w:rsidR="00123183">
        <w:t xml:space="preserve">nts this intra-colonial trade. </w:t>
      </w:r>
      <w:r>
        <w:t xml:space="preserve">In July of 1761, Washington via his factor Robert Cary </w:t>
      </w:r>
      <w:r w:rsidR="000A2271">
        <w:t>&amp;</w:t>
      </w:r>
      <w:r>
        <w:t xml:space="preserve"> Company paid three men £259 fo</w:t>
      </w:r>
      <w:r w:rsidR="00123183">
        <w:t xml:space="preserve">r an unknown number of slaves. </w:t>
      </w:r>
      <w:r>
        <w:t xml:space="preserve">These men were residents of Calvert and Charles counties in Maryland (Abbot and Twohig 1990[7]:65, footnote 8; Thompson 2011).  </w:t>
      </w:r>
    </w:p>
    <w:p w:rsidR="008203A5" w:rsidRDefault="008203A5" w:rsidP="008203A5">
      <w:pPr>
        <w:spacing w:line="480" w:lineRule="auto"/>
        <w:ind w:firstLine="720"/>
      </w:pPr>
      <w:r>
        <w:lastRenderedPageBreak/>
        <w:t>The data Sweig (1985:512-513, table II) presents offer little concrete evidence a</w:t>
      </w:r>
      <w:r w:rsidR="00123183">
        <w:t xml:space="preserve">bout specific slave ethnicity. </w:t>
      </w:r>
      <w:r>
        <w:t>Slaves brought to Virginia’s South Potomac docks primarily originated in the</w:t>
      </w:r>
      <w:r w:rsidR="00123183">
        <w:t xml:space="preserve"> West Indies (13 of 29 ships). </w:t>
      </w:r>
      <w:r>
        <w:t>These slaves may not have been native West Indians, but instead Africans transported to the West In</w:t>
      </w:r>
      <w:r w:rsidR="00123183">
        <w:t xml:space="preserve">dies and then to the colonies. </w:t>
      </w:r>
      <w:r>
        <w:t xml:space="preserve">For example, one of the ships, the </w:t>
      </w:r>
      <w:r w:rsidRPr="00FF13B6">
        <w:rPr>
          <w:i/>
        </w:rPr>
        <w:t>Royal Charlotte</w:t>
      </w:r>
      <w:r>
        <w:t xml:space="preserve"> originating from Basseterre, the capital of St. Kitts, transported “Gambia slaves” according to an advertisement in Alexandria (Sweig</w:t>
      </w:r>
      <w:r w:rsidR="00123183">
        <w:t xml:space="preserve"> 1985:522).</w:t>
      </w:r>
      <w:r>
        <w:t xml:space="preserve"> For the remainder, ten ships began their journeys in Africa and the Coast of Africa; three stopped over in the lower tidewater before continuing northwards; two came from specific areas in Africa (Senegal and </w:t>
      </w:r>
      <w:r w:rsidR="001B01AD">
        <w:t xml:space="preserve">The </w:t>
      </w:r>
      <w:r>
        <w:t xml:space="preserve">Gambia, neighboring counties often referred to as Senegambia); and one first stopped in Maryland.  In other words, of the recorded shipments cited in Sweig (1985), the specific African port of origin is known for 151 enslaved individuals out of 1,517 brought directly from Africa by Sweig’s calculations. </w:t>
      </w:r>
    </w:p>
    <w:p w:rsidR="008203A5" w:rsidRDefault="008203A5" w:rsidP="00761666">
      <w:pPr>
        <w:spacing w:line="480" w:lineRule="auto"/>
        <w:ind w:firstLine="720"/>
      </w:pPr>
      <w:r>
        <w:t xml:space="preserve">Since the article was published in 1985, however, additional primary evidence on the trans-Atlantic slave trade has surfaced and </w:t>
      </w:r>
      <w:r w:rsidR="00123183">
        <w:t>been analyzed by Walsh (2001a).</w:t>
      </w:r>
      <w:r>
        <w:t xml:space="preserve"> Walsh’s (2001a) research focuses more specifically on the question of Chesapeake slave ethnicity by compiling evidence used by Sweig in the form of naval office shipping returns and new data published in the </w:t>
      </w:r>
      <w:r w:rsidRPr="00B76EE8">
        <w:rPr>
          <w:i/>
        </w:rPr>
        <w:t>Trans-Atlantic Slave Trade Database</w:t>
      </w:r>
      <w:r>
        <w:t xml:space="preserve"> (Voyages </w:t>
      </w:r>
      <w:r w:rsidR="00123183">
        <w:t xml:space="preserve">Database 2009b, 2009c, 2009d). </w:t>
      </w:r>
      <w:r>
        <w:t>There is one significant difference in these two datasets, howeve</w:t>
      </w:r>
      <w:r w:rsidR="00123183">
        <w:t xml:space="preserve">r (as reflected in Table 4-6). </w:t>
      </w:r>
      <w:r>
        <w:t>While the former includes shipments between colonies; the latter only includes voyages beginning in Africa an</w:t>
      </w:r>
      <w:r w:rsidR="00123183">
        <w:t xml:space="preserve">d terminating in the Americas. </w:t>
      </w:r>
      <w:r>
        <w:t>Walsh’s main conclusion is that historians know more than previously assumed about the ethnic origins of sla</w:t>
      </w:r>
      <w:r w:rsidR="00123183">
        <w:t xml:space="preserve">ves in Chesapeake sub-regions. </w:t>
      </w:r>
      <w:r>
        <w:t xml:space="preserve">Specifically for the upper Chesapeake region (South Potomac and all ports in Maryland), three quarters of slaves embarked on ships from the northern West African coast: “from Senegambia on the north </w:t>
      </w:r>
      <w:r>
        <w:lastRenderedPageBreak/>
        <w:t>to a second region extending from the Cassamance River to Cape Mount (present-day Sierra Leone is in the center), and then easterly along the Windward Coast (present-day Ivory Coast and Liberia), and ending on the Gold Coast (present-da</w:t>
      </w:r>
      <w:r w:rsidR="00123183">
        <w:t xml:space="preserve">y Ghana)” (Walsh 2001a:145). </w:t>
      </w:r>
      <w:r>
        <w:t>Of the 58 percent of slaves whose origins are known, more than three-fourths came from Senegambia to the So</w:t>
      </w:r>
      <w:r w:rsidR="00123183">
        <w:t xml:space="preserve">uth Potomac (Walsh 2001a:147). </w:t>
      </w:r>
      <w:r>
        <w:t xml:space="preserve">She (Walsh 2001a:147) writes: </w:t>
      </w:r>
    </w:p>
    <w:p w:rsidR="008203A5" w:rsidRDefault="008203A5" w:rsidP="00761666">
      <w:pPr>
        <w:spacing w:line="480" w:lineRule="auto"/>
        <w:ind w:left="720"/>
      </w:pPr>
      <w:r>
        <w:t xml:space="preserve">The large planters built up their workforces from varying combinations of laborers imported from the West Indies; Africans purchased in South Potomac, on the Maryland side of the river, or occasionally in the Rappahannock; and a mix of more seasoned Africans and creoles acquired through marriage or inheritance from relatives living in other parts of Virginia and in Maryland.  </w:t>
      </w:r>
    </w:p>
    <w:p w:rsidR="008203A5" w:rsidRDefault="008203A5" w:rsidP="008203A5">
      <w:pPr>
        <w:spacing w:line="480" w:lineRule="auto"/>
      </w:pPr>
      <w:r>
        <w:t xml:space="preserve">In the grand scheme of slavery in colonial Virginia, the South Potomac district ranked below all others as a slave destination, partly explained by importations from Maryland (Walsh 2001a:145) and partly because it was settled later than other areas. </w:t>
      </w:r>
    </w:p>
    <w:p w:rsidR="008203A5" w:rsidRDefault="008203A5" w:rsidP="008203A5">
      <w:pPr>
        <w:spacing w:line="480" w:lineRule="auto"/>
        <w:ind w:firstLine="720"/>
      </w:pPr>
      <w:r w:rsidRPr="00F36732">
        <w:t xml:space="preserve">Table </w:t>
      </w:r>
      <w:r>
        <w:t xml:space="preserve">4-6 presents a list of slave ships known to have unloaded their cargo either in the North Potomac, South Potomac, or Potomac (north or south unknown) naval districts in the eighteenth century drawn from Sweig’s (1985:512-513) table II and searching the </w:t>
      </w:r>
      <w:r w:rsidRPr="003752CF">
        <w:rPr>
          <w:i/>
        </w:rPr>
        <w:t>Trans-Atlantic Slave Trade Database</w:t>
      </w:r>
      <w:r>
        <w:rPr>
          <w:i/>
        </w:rPr>
        <w:t xml:space="preserve"> </w:t>
      </w:r>
      <w:r>
        <w:t xml:space="preserve">(Voyages </w:t>
      </w:r>
      <w:r w:rsidR="00123183">
        <w:t xml:space="preserve">Database 2009b, 2009c, 2009d). </w:t>
      </w:r>
      <w:r>
        <w:t>This dataset is slightly different from Walsh’s in that it includes only the North Potomac port as opposed to all Maryland ports in an attempt to g</w:t>
      </w:r>
      <w:r w:rsidR="00123183">
        <w:t>ain tighter geographic control.</w:t>
      </w:r>
      <w:r>
        <w:t xml:space="preserve"> Assuming that slaves who came to reside at Mount Vernon could have been purchased from either the North or South Potomac, which slave ethnicities predominated during Augustine, Lawrence, an</w:t>
      </w:r>
      <w:r w:rsidR="00123183">
        <w:t xml:space="preserve">d George Washington’s tenures? </w:t>
      </w:r>
      <w:r>
        <w:t xml:space="preserve">Walsh (2001a:147) finds, “With the exception of 1734-1741 [the period generally overlapping with Augustine Washington’s brief occupation of Mount Vernon], when Liverpool </w:t>
      </w:r>
      <w:r>
        <w:lastRenderedPageBreak/>
        <w:t>tobacco merchants made a concerted effort to supply Africans to this district, most of the consignments consisted of refuse slave</w:t>
      </w:r>
      <w:r w:rsidR="00123183">
        <w:t>s transshipped from Barbados.”</w:t>
      </w:r>
      <w:r>
        <w:t xml:space="preserve"> During the 1730s and early 1740s when Augustine and his household intermittently occupied Mount Vernon, most the slaves imported to the region were of unknown origin (n=723 or 48 percent), the rest were from Senegambia (n=339 or 23 percent), West Central Africa (n=220 or 15 percent), and the Bight of Biafra (n=217or 14 percent), each represen</w:t>
      </w:r>
      <w:r w:rsidR="00123183">
        <w:t xml:space="preserve">ting distinct cultural groups. </w:t>
      </w:r>
      <w:r>
        <w:t xml:space="preserve">Ten ships brought slaves to the region during Lawrence Washington’s tenure, </w:t>
      </w:r>
      <w:r w:rsidR="00123183">
        <w:t xml:space="preserve">1742 to 1752, at Mount Vernon. </w:t>
      </w:r>
      <w:r>
        <w:t>By taking this micro-view, a pattern emerges from this meager dataset – only one of the ten ships arriving in the upper Potomac during Lawrence Washington’s occupation origina</w:t>
      </w:r>
      <w:r w:rsidR="00123183">
        <w:t xml:space="preserve">ted in Africa. </w:t>
      </w:r>
      <w:r>
        <w:t>Most of the rest, as Walsh (2001a) suggests, began at least pa</w:t>
      </w:r>
      <w:r w:rsidR="00123183">
        <w:t>rt of their voyage in Barbados.</w:t>
      </w:r>
      <w:r>
        <w:t xml:space="preserve"> Broken down by numbers of slaves, Barbados specifically and the West Indies generally became a secondary source with 197 (57 percent) originating from the Bight of Biafra, 122 (35 percent) from the West Indies, and 29 (8 percent) from unknown ports of departure.  </w:t>
      </w:r>
    </w:p>
    <w:p w:rsidR="008203A5" w:rsidRDefault="008203A5" w:rsidP="008203A5">
      <w:pPr>
        <w:spacing w:after="200" w:line="276" w:lineRule="auto"/>
        <w:rPr>
          <w:b/>
        </w:rPr>
      </w:pPr>
      <w:r>
        <w:rPr>
          <w:b/>
        </w:rPr>
        <w:br w:type="page"/>
      </w:r>
    </w:p>
    <w:p w:rsidR="008203A5" w:rsidRDefault="008203A5" w:rsidP="008203A5">
      <w:r>
        <w:rPr>
          <w:b/>
        </w:rPr>
        <w:lastRenderedPageBreak/>
        <w:t>Table 4-6</w:t>
      </w:r>
      <w:r w:rsidRPr="00124BF5">
        <w:rPr>
          <w:b/>
        </w:rPr>
        <w:t xml:space="preserve">. </w:t>
      </w:r>
      <w:r w:rsidRPr="004F7425">
        <w:t>Importation of slaves to the upper Potomac Region, ca. 1735-1775, broken down by household (Sweig 1985:512-513; Voyages Database 2009b, 2009c, 2009d).</w:t>
      </w:r>
    </w:p>
    <w:p w:rsidR="008203A5" w:rsidRDefault="008203A5" w:rsidP="008203A5">
      <w:r>
        <w:t xml:space="preserve">           </w:t>
      </w:r>
    </w:p>
    <w:tbl>
      <w:tblPr>
        <w:tblW w:w="9340" w:type="dxa"/>
        <w:tblInd w:w="91" w:type="dxa"/>
        <w:tblLook w:val="04A0"/>
      </w:tblPr>
      <w:tblGrid>
        <w:gridCol w:w="939"/>
        <w:gridCol w:w="816"/>
        <w:gridCol w:w="1160"/>
        <w:gridCol w:w="928"/>
        <w:gridCol w:w="928"/>
        <w:gridCol w:w="1428"/>
        <w:gridCol w:w="1385"/>
        <w:gridCol w:w="1756"/>
      </w:tblGrid>
      <w:tr w:rsidR="00370286" w:rsidRPr="00370286" w:rsidTr="00370286">
        <w:trPr>
          <w:trHeight w:val="555"/>
        </w:trPr>
        <w:tc>
          <w:tcPr>
            <w:tcW w:w="939"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Year of Landing</w:t>
            </w:r>
          </w:p>
        </w:tc>
        <w:tc>
          <w:tcPr>
            <w:tcW w:w="816"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House-hold</w:t>
            </w:r>
          </w:p>
        </w:tc>
        <w:tc>
          <w:tcPr>
            <w:tcW w:w="1160"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Vessel</w:t>
            </w:r>
          </w:p>
        </w:tc>
        <w:tc>
          <w:tcPr>
            <w:tcW w:w="928"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Voyage ID Number</w:t>
            </w:r>
          </w:p>
        </w:tc>
        <w:tc>
          <w:tcPr>
            <w:tcW w:w="928"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 xml:space="preserve">Number of Slaves </w:t>
            </w:r>
          </w:p>
        </w:tc>
        <w:tc>
          <w:tcPr>
            <w:tcW w:w="1428"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Port of Disebarkation</w:t>
            </w:r>
          </w:p>
        </w:tc>
        <w:tc>
          <w:tcPr>
            <w:tcW w:w="1385"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Port of Origin</w:t>
            </w:r>
          </w:p>
        </w:tc>
        <w:tc>
          <w:tcPr>
            <w:tcW w:w="1756"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Notes</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1715</w:t>
            </w:r>
          </w:p>
        </w:tc>
        <w:tc>
          <w:tcPr>
            <w:tcW w:w="8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Cruizer</w:t>
            </w:r>
          </w:p>
        </w:tc>
        <w:tc>
          <w:tcPr>
            <w:tcW w:w="9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75038</w:t>
            </w:r>
          </w:p>
        </w:tc>
        <w:tc>
          <w:tcPr>
            <w:tcW w:w="9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84</w:t>
            </w:r>
          </w:p>
        </w:tc>
        <w:tc>
          <w:tcPr>
            <w:tcW w:w="14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unknown</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1717</w:t>
            </w:r>
          </w:p>
        </w:tc>
        <w:tc>
          <w:tcPr>
            <w:tcW w:w="8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George</w:t>
            </w:r>
          </w:p>
        </w:tc>
        <w:tc>
          <w:tcPr>
            <w:tcW w:w="9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21806</w:t>
            </w:r>
          </w:p>
        </w:tc>
        <w:tc>
          <w:tcPr>
            <w:tcW w:w="9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21</w:t>
            </w:r>
          </w:p>
        </w:tc>
        <w:tc>
          <w:tcPr>
            <w:tcW w:w="14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Bight of Biafra and Gulf of Guinea Islands</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First landed in Barbados where 169 slaves disembarked.</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1732</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William and Betty</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25159</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89</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North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First landed in York River, VA where 51 slaves disembarked.</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1732</w:t>
            </w:r>
          </w:p>
        </w:tc>
        <w:tc>
          <w:tcPr>
            <w:tcW w:w="8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Liverpool Merchant</w:t>
            </w:r>
          </w:p>
        </w:tc>
        <w:tc>
          <w:tcPr>
            <w:tcW w:w="9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92350</w:t>
            </w:r>
          </w:p>
        </w:tc>
        <w:tc>
          <w:tcPr>
            <w:tcW w:w="9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65</w:t>
            </w:r>
          </w:p>
        </w:tc>
        <w:tc>
          <w:tcPr>
            <w:tcW w:w="14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North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First landed in York River, VA where 95 slaves disembarked.</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1734</w:t>
            </w:r>
          </w:p>
        </w:tc>
        <w:tc>
          <w:tcPr>
            <w:tcW w:w="81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Thomas</w:t>
            </w:r>
          </w:p>
        </w:tc>
        <w:tc>
          <w:tcPr>
            <w:tcW w:w="9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92349</w:t>
            </w:r>
          </w:p>
        </w:tc>
        <w:tc>
          <w:tcPr>
            <w:tcW w:w="9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46</w:t>
            </w:r>
          </w:p>
        </w:tc>
        <w:tc>
          <w:tcPr>
            <w:tcW w:w="1428"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North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First landed in York River, VA where 54 slaves disembarked.</w:t>
            </w:r>
          </w:p>
        </w:tc>
      </w:tr>
      <w:tr w:rsidR="00370286" w:rsidRPr="00370286" w:rsidTr="00370286">
        <w:trPr>
          <w:trHeight w:val="51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1734</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Liverpool Merchant</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92348</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156</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102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1736</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George</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16823</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217</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North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unknown</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First landed in St. Kitts where some of the original 271 may have disembarked.</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1736</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Prince William</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92343</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52</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North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First landed in York River, VA where 114 slaves disembarked.</w:t>
            </w:r>
          </w:p>
        </w:tc>
      </w:tr>
      <w:tr w:rsidR="00370286" w:rsidRPr="00370286" w:rsidTr="00370286">
        <w:trPr>
          <w:trHeight w:val="51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1736</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Liverpool Merchant</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92344</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193</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unknown</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1736</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Bridget Gally</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16819</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150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West Central Africa and St. Helena</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51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1737</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Liverpool Merchant</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92337</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190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51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1737</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Brig Thomas</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92336</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97</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1738</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Liverpool Merchant</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92332</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70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West Central Africa and St. Helena</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51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1739</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Liverpool Merchant</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92329</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130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unknown</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bl>
    <w:p w:rsidR="00370286" w:rsidRDefault="00370286">
      <w:r>
        <w:br w:type="page"/>
      </w:r>
    </w:p>
    <w:tbl>
      <w:tblPr>
        <w:tblW w:w="9340" w:type="dxa"/>
        <w:tblInd w:w="91" w:type="dxa"/>
        <w:tblLook w:val="04A0"/>
      </w:tblPr>
      <w:tblGrid>
        <w:gridCol w:w="939"/>
        <w:gridCol w:w="816"/>
        <w:gridCol w:w="1160"/>
        <w:gridCol w:w="928"/>
        <w:gridCol w:w="928"/>
        <w:gridCol w:w="1428"/>
        <w:gridCol w:w="1385"/>
        <w:gridCol w:w="1756"/>
      </w:tblGrid>
      <w:tr w:rsidR="00370286" w:rsidRPr="00370286" w:rsidTr="00370286">
        <w:trPr>
          <w:trHeight w:val="315"/>
        </w:trPr>
        <w:tc>
          <w:tcPr>
            <w:tcW w:w="2915" w:type="dxa"/>
            <w:gridSpan w:val="3"/>
            <w:tcBorders>
              <w:top w:val="nil"/>
              <w:left w:val="nil"/>
              <w:bottom w:val="nil"/>
              <w:right w:val="nil"/>
            </w:tcBorders>
            <w:shd w:val="clear" w:color="auto" w:fill="auto"/>
            <w:noWrap/>
            <w:vAlign w:val="bottom"/>
            <w:hideMark/>
          </w:tcPr>
          <w:p w:rsidR="00370286" w:rsidRPr="00370286" w:rsidRDefault="00370286" w:rsidP="00370286">
            <w:pPr>
              <w:rPr>
                <w:rFonts w:eastAsia="Times New Roman"/>
                <w:b/>
                <w:bCs/>
                <w:color w:val="000000"/>
              </w:rPr>
            </w:pPr>
            <w:r w:rsidRPr="00370286">
              <w:rPr>
                <w:rFonts w:eastAsia="Times New Roman"/>
                <w:b/>
                <w:bCs/>
                <w:color w:val="000000"/>
              </w:rPr>
              <w:lastRenderedPageBreak/>
              <w:t xml:space="preserve">Table 4-6 (continued). </w:t>
            </w:r>
          </w:p>
        </w:tc>
        <w:tc>
          <w:tcPr>
            <w:tcW w:w="9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9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14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1385" w:type="dxa"/>
            <w:tcBorders>
              <w:top w:val="nil"/>
              <w:left w:val="nil"/>
              <w:bottom w:val="nil"/>
              <w:right w:val="nil"/>
            </w:tcBorders>
            <w:shd w:val="clear" w:color="auto" w:fill="auto"/>
            <w:vAlign w:val="bottom"/>
            <w:hideMark/>
          </w:tcPr>
          <w:p w:rsidR="00370286" w:rsidRPr="00370286" w:rsidRDefault="00370286" w:rsidP="00370286">
            <w:pPr>
              <w:rPr>
                <w:rFonts w:eastAsia="Times New Roman"/>
                <w:color w:val="000000"/>
                <w:sz w:val="20"/>
                <w:szCs w:val="20"/>
              </w:rPr>
            </w:pPr>
          </w:p>
        </w:tc>
        <w:tc>
          <w:tcPr>
            <w:tcW w:w="1756" w:type="dxa"/>
            <w:tcBorders>
              <w:top w:val="nil"/>
              <w:left w:val="nil"/>
              <w:bottom w:val="nil"/>
              <w:right w:val="nil"/>
            </w:tcBorders>
            <w:shd w:val="clear" w:color="auto" w:fill="auto"/>
            <w:vAlign w:val="bottom"/>
            <w:hideMark/>
          </w:tcPr>
          <w:p w:rsidR="00370286" w:rsidRPr="00370286" w:rsidRDefault="00370286" w:rsidP="00370286">
            <w:pPr>
              <w:rPr>
                <w:rFonts w:eastAsia="Times New Roman"/>
                <w:color w:val="000000"/>
                <w:sz w:val="20"/>
                <w:szCs w:val="20"/>
              </w:rPr>
            </w:pPr>
          </w:p>
        </w:tc>
      </w:tr>
      <w:tr w:rsidR="00370286" w:rsidRPr="00370286" w:rsidTr="00370286">
        <w:trPr>
          <w:trHeight w:val="255"/>
        </w:trPr>
        <w:tc>
          <w:tcPr>
            <w:tcW w:w="939"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816"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1160" w:type="dxa"/>
            <w:tcBorders>
              <w:top w:val="nil"/>
              <w:left w:val="nil"/>
              <w:bottom w:val="nil"/>
              <w:right w:val="nil"/>
            </w:tcBorders>
            <w:shd w:val="clear" w:color="auto" w:fill="auto"/>
            <w:vAlign w:val="bottom"/>
            <w:hideMark/>
          </w:tcPr>
          <w:p w:rsidR="00370286" w:rsidRPr="00370286" w:rsidRDefault="00370286" w:rsidP="00370286">
            <w:pPr>
              <w:rPr>
                <w:rFonts w:eastAsia="Times New Roman"/>
                <w:color w:val="000000"/>
                <w:sz w:val="20"/>
                <w:szCs w:val="20"/>
              </w:rPr>
            </w:pPr>
          </w:p>
        </w:tc>
        <w:tc>
          <w:tcPr>
            <w:tcW w:w="9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9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14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1385" w:type="dxa"/>
            <w:tcBorders>
              <w:top w:val="nil"/>
              <w:left w:val="nil"/>
              <w:bottom w:val="nil"/>
              <w:right w:val="nil"/>
            </w:tcBorders>
            <w:shd w:val="clear" w:color="auto" w:fill="auto"/>
            <w:vAlign w:val="bottom"/>
            <w:hideMark/>
          </w:tcPr>
          <w:p w:rsidR="00370286" w:rsidRPr="00370286" w:rsidRDefault="00370286" w:rsidP="00370286">
            <w:pPr>
              <w:rPr>
                <w:rFonts w:eastAsia="Times New Roman"/>
                <w:color w:val="000000"/>
                <w:sz w:val="20"/>
                <w:szCs w:val="20"/>
              </w:rPr>
            </w:pPr>
          </w:p>
        </w:tc>
        <w:tc>
          <w:tcPr>
            <w:tcW w:w="1756" w:type="dxa"/>
            <w:tcBorders>
              <w:top w:val="nil"/>
              <w:left w:val="nil"/>
              <w:bottom w:val="nil"/>
              <w:right w:val="nil"/>
            </w:tcBorders>
            <w:shd w:val="clear" w:color="auto" w:fill="auto"/>
            <w:vAlign w:val="bottom"/>
            <w:hideMark/>
          </w:tcPr>
          <w:p w:rsidR="00370286" w:rsidRPr="00370286" w:rsidRDefault="00370286" w:rsidP="00370286">
            <w:pPr>
              <w:rPr>
                <w:rFonts w:eastAsia="Times New Roman"/>
                <w:color w:val="000000"/>
                <w:sz w:val="20"/>
                <w:szCs w:val="20"/>
              </w:rPr>
            </w:pPr>
          </w:p>
        </w:tc>
      </w:tr>
      <w:tr w:rsidR="00370286" w:rsidRPr="00370286" w:rsidTr="00370286">
        <w:trPr>
          <w:trHeight w:val="555"/>
        </w:trPr>
        <w:tc>
          <w:tcPr>
            <w:tcW w:w="939"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Year of Landing</w:t>
            </w:r>
          </w:p>
        </w:tc>
        <w:tc>
          <w:tcPr>
            <w:tcW w:w="816"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House-hold</w:t>
            </w:r>
          </w:p>
        </w:tc>
        <w:tc>
          <w:tcPr>
            <w:tcW w:w="1160"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Vessel</w:t>
            </w:r>
          </w:p>
        </w:tc>
        <w:tc>
          <w:tcPr>
            <w:tcW w:w="928"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Voyage ID Number</w:t>
            </w:r>
          </w:p>
        </w:tc>
        <w:tc>
          <w:tcPr>
            <w:tcW w:w="928"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 xml:space="preserve">Number of Slaves </w:t>
            </w:r>
          </w:p>
        </w:tc>
        <w:tc>
          <w:tcPr>
            <w:tcW w:w="1428"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Port of Disebarkation</w:t>
            </w:r>
          </w:p>
        </w:tc>
        <w:tc>
          <w:tcPr>
            <w:tcW w:w="1385"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Port of Origin</w:t>
            </w:r>
          </w:p>
        </w:tc>
        <w:tc>
          <w:tcPr>
            <w:tcW w:w="1756"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Notes</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1740</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George</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16991</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217</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North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Bight of Biafra and Gulf of Guinea Islands</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51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1740</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Snow Bridgett</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92328</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53</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unknown</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1741</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Cape Coast</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94744</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130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unknown</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1749</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Success</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Hampton</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51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1749</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William &amp; Thomas</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Antigua</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1750</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Olive</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50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Barbados</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1750</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Success</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25</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York</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1751</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Success</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16</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Barbados</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1751</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xml:space="preserve">Hopewell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36</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Barbados</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1752</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Potomack Merchant</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25212</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197</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Bight of Biafra and Gulf of Guinea Islands</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1752</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Success</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Hampton</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1752</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Molly</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Barbados</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1752</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LW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Snow Africa</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16</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Barbados</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51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1754</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Brig Two Friends</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18</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Antigua</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102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1759</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Venus</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90710</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130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North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Then landed on the Rappahannock, VA where no slaves were recorded disembarking.</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1759</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True Blue</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90763</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350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North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Gold Coast</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102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1759</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Mildred</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75878</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28</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First landed in Rappahannock, VA where 22 slaves disembarked.</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1760</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Woodford</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77725</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288</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unknown</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bl>
    <w:p w:rsidR="00370286" w:rsidRDefault="00370286">
      <w:r>
        <w:br w:type="page"/>
      </w:r>
    </w:p>
    <w:tbl>
      <w:tblPr>
        <w:tblW w:w="9340" w:type="dxa"/>
        <w:tblInd w:w="91" w:type="dxa"/>
        <w:tblLook w:val="04A0"/>
      </w:tblPr>
      <w:tblGrid>
        <w:gridCol w:w="939"/>
        <w:gridCol w:w="816"/>
        <w:gridCol w:w="1160"/>
        <w:gridCol w:w="928"/>
        <w:gridCol w:w="928"/>
        <w:gridCol w:w="1428"/>
        <w:gridCol w:w="1385"/>
        <w:gridCol w:w="1756"/>
      </w:tblGrid>
      <w:tr w:rsidR="00370286" w:rsidRPr="00370286" w:rsidTr="00370286">
        <w:trPr>
          <w:trHeight w:val="315"/>
        </w:trPr>
        <w:tc>
          <w:tcPr>
            <w:tcW w:w="2915" w:type="dxa"/>
            <w:gridSpan w:val="3"/>
            <w:tcBorders>
              <w:top w:val="nil"/>
              <w:left w:val="nil"/>
              <w:bottom w:val="nil"/>
              <w:right w:val="nil"/>
            </w:tcBorders>
            <w:shd w:val="clear" w:color="auto" w:fill="auto"/>
            <w:noWrap/>
            <w:vAlign w:val="bottom"/>
            <w:hideMark/>
          </w:tcPr>
          <w:p w:rsidR="00370286" w:rsidRPr="00370286" w:rsidRDefault="00370286" w:rsidP="00370286">
            <w:pPr>
              <w:rPr>
                <w:rFonts w:eastAsia="Times New Roman"/>
                <w:b/>
                <w:bCs/>
                <w:color w:val="000000"/>
              </w:rPr>
            </w:pPr>
            <w:r w:rsidRPr="00370286">
              <w:rPr>
                <w:rFonts w:eastAsia="Times New Roman"/>
                <w:b/>
                <w:bCs/>
                <w:color w:val="000000"/>
              </w:rPr>
              <w:lastRenderedPageBreak/>
              <w:t xml:space="preserve">Table 4-6 (continued). </w:t>
            </w:r>
          </w:p>
        </w:tc>
        <w:tc>
          <w:tcPr>
            <w:tcW w:w="9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9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14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1385" w:type="dxa"/>
            <w:tcBorders>
              <w:top w:val="nil"/>
              <w:left w:val="nil"/>
              <w:bottom w:val="nil"/>
              <w:right w:val="nil"/>
            </w:tcBorders>
            <w:shd w:val="clear" w:color="auto" w:fill="auto"/>
            <w:vAlign w:val="bottom"/>
            <w:hideMark/>
          </w:tcPr>
          <w:p w:rsidR="00370286" w:rsidRPr="00370286" w:rsidRDefault="00370286" w:rsidP="00370286">
            <w:pPr>
              <w:rPr>
                <w:rFonts w:eastAsia="Times New Roman"/>
                <w:color w:val="000000"/>
                <w:sz w:val="20"/>
                <w:szCs w:val="20"/>
              </w:rPr>
            </w:pPr>
          </w:p>
        </w:tc>
        <w:tc>
          <w:tcPr>
            <w:tcW w:w="1756" w:type="dxa"/>
            <w:tcBorders>
              <w:top w:val="nil"/>
              <w:left w:val="nil"/>
              <w:bottom w:val="nil"/>
              <w:right w:val="nil"/>
            </w:tcBorders>
            <w:shd w:val="clear" w:color="auto" w:fill="auto"/>
            <w:vAlign w:val="bottom"/>
            <w:hideMark/>
          </w:tcPr>
          <w:p w:rsidR="00370286" w:rsidRPr="00370286" w:rsidRDefault="00370286" w:rsidP="00370286">
            <w:pPr>
              <w:rPr>
                <w:rFonts w:eastAsia="Times New Roman"/>
                <w:color w:val="000000"/>
                <w:sz w:val="20"/>
                <w:szCs w:val="20"/>
              </w:rPr>
            </w:pPr>
          </w:p>
        </w:tc>
      </w:tr>
      <w:tr w:rsidR="00370286" w:rsidRPr="00370286" w:rsidTr="00370286">
        <w:trPr>
          <w:trHeight w:val="255"/>
        </w:trPr>
        <w:tc>
          <w:tcPr>
            <w:tcW w:w="939"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816"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1160" w:type="dxa"/>
            <w:tcBorders>
              <w:top w:val="nil"/>
              <w:left w:val="nil"/>
              <w:bottom w:val="nil"/>
              <w:right w:val="nil"/>
            </w:tcBorders>
            <w:shd w:val="clear" w:color="auto" w:fill="auto"/>
            <w:vAlign w:val="bottom"/>
            <w:hideMark/>
          </w:tcPr>
          <w:p w:rsidR="00370286" w:rsidRPr="00370286" w:rsidRDefault="00370286" w:rsidP="00370286">
            <w:pPr>
              <w:rPr>
                <w:rFonts w:eastAsia="Times New Roman"/>
                <w:color w:val="000000"/>
                <w:sz w:val="20"/>
                <w:szCs w:val="20"/>
              </w:rPr>
            </w:pPr>
          </w:p>
        </w:tc>
        <w:tc>
          <w:tcPr>
            <w:tcW w:w="9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9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1428" w:type="dxa"/>
            <w:tcBorders>
              <w:top w:val="nil"/>
              <w:left w:val="nil"/>
              <w:bottom w:val="nil"/>
              <w:right w:val="nil"/>
            </w:tcBorders>
            <w:shd w:val="clear" w:color="auto" w:fill="auto"/>
            <w:noWrap/>
            <w:vAlign w:val="bottom"/>
            <w:hideMark/>
          </w:tcPr>
          <w:p w:rsidR="00370286" w:rsidRPr="00370286" w:rsidRDefault="00370286" w:rsidP="00370286">
            <w:pPr>
              <w:rPr>
                <w:rFonts w:eastAsia="Times New Roman"/>
                <w:color w:val="000000"/>
                <w:sz w:val="20"/>
                <w:szCs w:val="20"/>
              </w:rPr>
            </w:pPr>
          </w:p>
        </w:tc>
        <w:tc>
          <w:tcPr>
            <w:tcW w:w="1385" w:type="dxa"/>
            <w:tcBorders>
              <w:top w:val="nil"/>
              <w:left w:val="nil"/>
              <w:bottom w:val="nil"/>
              <w:right w:val="nil"/>
            </w:tcBorders>
            <w:shd w:val="clear" w:color="auto" w:fill="auto"/>
            <w:vAlign w:val="bottom"/>
            <w:hideMark/>
          </w:tcPr>
          <w:p w:rsidR="00370286" w:rsidRPr="00370286" w:rsidRDefault="00370286" w:rsidP="00370286">
            <w:pPr>
              <w:rPr>
                <w:rFonts w:eastAsia="Times New Roman"/>
                <w:color w:val="000000"/>
                <w:sz w:val="20"/>
                <w:szCs w:val="20"/>
              </w:rPr>
            </w:pPr>
          </w:p>
        </w:tc>
        <w:tc>
          <w:tcPr>
            <w:tcW w:w="1756" w:type="dxa"/>
            <w:tcBorders>
              <w:top w:val="nil"/>
              <w:left w:val="nil"/>
              <w:bottom w:val="nil"/>
              <w:right w:val="nil"/>
            </w:tcBorders>
            <w:shd w:val="clear" w:color="auto" w:fill="auto"/>
            <w:vAlign w:val="bottom"/>
            <w:hideMark/>
          </w:tcPr>
          <w:p w:rsidR="00370286" w:rsidRPr="00370286" w:rsidRDefault="00370286" w:rsidP="00370286">
            <w:pPr>
              <w:rPr>
                <w:rFonts w:eastAsia="Times New Roman"/>
                <w:color w:val="000000"/>
                <w:sz w:val="20"/>
                <w:szCs w:val="20"/>
              </w:rPr>
            </w:pPr>
          </w:p>
        </w:tc>
      </w:tr>
      <w:tr w:rsidR="00370286" w:rsidRPr="00370286" w:rsidTr="00370286">
        <w:trPr>
          <w:trHeight w:val="555"/>
        </w:trPr>
        <w:tc>
          <w:tcPr>
            <w:tcW w:w="939"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Year of Landing</w:t>
            </w:r>
          </w:p>
        </w:tc>
        <w:tc>
          <w:tcPr>
            <w:tcW w:w="816"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House-hold</w:t>
            </w:r>
          </w:p>
        </w:tc>
        <w:tc>
          <w:tcPr>
            <w:tcW w:w="1160"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Vessel</w:t>
            </w:r>
          </w:p>
        </w:tc>
        <w:tc>
          <w:tcPr>
            <w:tcW w:w="928"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Voyage ID Number</w:t>
            </w:r>
          </w:p>
        </w:tc>
        <w:tc>
          <w:tcPr>
            <w:tcW w:w="928"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 xml:space="preserve">Number of Slaves </w:t>
            </w:r>
          </w:p>
        </w:tc>
        <w:tc>
          <w:tcPr>
            <w:tcW w:w="1428"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Port of Disebarkation</w:t>
            </w:r>
          </w:p>
        </w:tc>
        <w:tc>
          <w:tcPr>
            <w:tcW w:w="1385"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Port of Origin</w:t>
            </w:r>
          </w:p>
        </w:tc>
        <w:tc>
          <w:tcPr>
            <w:tcW w:w="1756" w:type="dxa"/>
            <w:tcBorders>
              <w:top w:val="single" w:sz="4" w:space="0" w:color="auto"/>
              <w:left w:val="nil"/>
              <w:bottom w:val="single" w:sz="4" w:space="0" w:color="auto"/>
              <w:right w:val="single" w:sz="4" w:space="0" w:color="auto"/>
            </w:tcBorders>
            <w:shd w:val="clear" w:color="000000" w:fill="D8D8D8"/>
            <w:vAlign w:val="bottom"/>
            <w:hideMark/>
          </w:tcPr>
          <w:p w:rsidR="00370286" w:rsidRPr="00370286" w:rsidRDefault="00370286" w:rsidP="00370286">
            <w:pPr>
              <w:jc w:val="center"/>
              <w:rPr>
                <w:rFonts w:eastAsia="Times New Roman"/>
                <w:b/>
                <w:bCs/>
                <w:color w:val="000000"/>
                <w:sz w:val="20"/>
                <w:szCs w:val="20"/>
              </w:rPr>
            </w:pPr>
            <w:r w:rsidRPr="00370286">
              <w:rPr>
                <w:rFonts w:eastAsia="Times New Roman"/>
                <w:b/>
                <w:bCs/>
                <w:color w:val="000000"/>
                <w:sz w:val="20"/>
                <w:szCs w:val="20"/>
              </w:rPr>
              <w:t>Notes</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1760</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Ship Sarah</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76153</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80</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Then landed in the North Potomac where 7 slaves disembarked.</w:t>
            </w:r>
          </w:p>
        </w:tc>
      </w:tr>
      <w:tr w:rsidR="00370286" w:rsidRPr="00370286" w:rsidTr="00370286">
        <w:trPr>
          <w:trHeight w:val="76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1761</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Upton</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90773</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107</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North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Then landed in South Potomac where 30 slaves disembarked.</w:t>
            </w:r>
          </w:p>
        </w:tc>
      </w:tr>
      <w:tr w:rsidR="00370286" w:rsidRPr="00370286" w:rsidTr="00370286">
        <w:trPr>
          <w:trHeight w:val="102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1762</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Sloop Royal Charlotte</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42</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Basse-Terre</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Advertised as "Gambia slaves" offered for sale in Alexandria (Sweig 1985:522).</w:t>
            </w:r>
          </w:p>
        </w:tc>
      </w:tr>
      <w:tr w:rsidR="00370286" w:rsidRPr="00370286" w:rsidTr="00370286">
        <w:trPr>
          <w:trHeight w:val="51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1763</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Schooner Industry</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14</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St. Christopher</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1764</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Betsey</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7</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St. Christopher</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1765</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Sloop Nancy</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19</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Barbados</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1765</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Sloop Priscilla</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24</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Barbados</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510"/>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1765</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Brigantine Alice</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25308</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71</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Senegambia and Offshore Atlantic</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r w:rsidR="00370286" w:rsidRPr="00370286" w:rsidTr="00370286">
        <w:trPr>
          <w:trHeight w:val="255"/>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1771</w:t>
            </w:r>
          </w:p>
        </w:tc>
        <w:tc>
          <w:tcPr>
            <w:tcW w:w="816"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GW</w:t>
            </w:r>
          </w:p>
        </w:tc>
        <w:tc>
          <w:tcPr>
            <w:tcW w:w="1160"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Brig Swift</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c>
          <w:tcPr>
            <w:tcW w:w="9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jc w:val="right"/>
              <w:rPr>
                <w:rFonts w:eastAsia="Times New Roman"/>
                <w:color w:val="000000"/>
                <w:sz w:val="20"/>
                <w:szCs w:val="20"/>
              </w:rPr>
            </w:pPr>
            <w:r w:rsidRPr="00370286">
              <w:rPr>
                <w:rFonts w:eastAsia="Times New Roman"/>
                <w:color w:val="000000"/>
                <w:sz w:val="20"/>
                <w:szCs w:val="20"/>
              </w:rPr>
              <w:t>7</w:t>
            </w:r>
          </w:p>
        </w:tc>
        <w:tc>
          <w:tcPr>
            <w:tcW w:w="1428" w:type="dxa"/>
            <w:tcBorders>
              <w:top w:val="nil"/>
              <w:left w:val="nil"/>
              <w:bottom w:val="single" w:sz="4" w:space="0" w:color="auto"/>
              <w:right w:val="single" w:sz="4" w:space="0" w:color="auto"/>
            </w:tcBorders>
            <w:shd w:val="clear" w:color="auto" w:fill="auto"/>
            <w:noWrap/>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South Potomac</w:t>
            </w:r>
          </w:p>
        </w:tc>
        <w:tc>
          <w:tcPr>
            <w:tcW w:w="1385" w:type="dxa"/>
            <w:tcBorders>
              <w:top w:val="nil"/>
              <w:left w:val="nil"/>
              <w:bottom w:val="single" w:sz="4" w:space="0" w:color="auto"/>
              <w:right w:val="single" w:sz="4" w:space="0" w:color="auto"/>
            </w:tcBorders>
            <w:shd w:val="clear" w:color="auto" w:fill="auto"/>
            <w:vAlign w:val="bottom"/>
            <w:hideMark/>
          </w:tcPr>
          <w:p w:rsidR="00370286" w:rsidRPr="00370286" w:rsidRDefault="000E182D" w:rsidP="00370286">
            <w:pPr>
              <w:rPr>
                <w:rFonts w:eastAsia="Times New Roman"/>
                <w:color w:val="000000"/>
                <w:sz w:val="20"/>
                <w:szCs w:val="20"/>
              </w:rPr>
            </w:pPr>
            <w:r w:rsidRPr="00370286">
              <w:rPr>
                <w:rFonts w:eastAsia="Times New Roman"/>
                <w:color w:val="000000"/>
                <w:sz w:val="20"/>
                <w:szCs w:val="20"/>
              </w:rPr>
              <w:t>Jamaica</w:t>
            </w:r>
          </w:p>
        </w:tc>
        <w:tc>
          <w:tcPr>
            <w:tcW w:w="1756" w:type="dxa"/>
            <w:tcBorders>
              <w:top w:val="nil"/>
              <w:left w:val="nil"/>
              <w:bottom w:val="single" w:sz="4" w:space="0" w:color="auto"/>
              <w:right w:val="single" w:sz="4" w:space="0" w:color="auto"/>
            </w:tcBorders>
            <w:shd w:val="clear" w:color="auto" w:fill="auto"/>
            <w:vAlign w:val="bottom"/>
            <w:hideMark/>
          </w:tcPr>
          <w:p w:rsidR="00370286" w:rsidRPr="00370286" w:rsidRDefault="00370286" w:rsidP="00370286">
            <w:pPr>
              <w:rPr>
                <w:rFonts w:eastAsia="Times New Roman"/>
                <w:color w:val="000000"/>
                <w:sz w:val="20"/>
                <w:szCs w:val="20"/>
              </w:rPr>
            </w:pPr>
            <w:r w:rsidRPr="00370286">
              <w:rPr>
                <w:rFonts w:eastAsia="Times New Roman"/>
                <w:color w:val="000000"/>
                <w:sz w:val="20"/>
                <w:szCs w:val="20"/>
              </w:rPr>
              <w:t> </w:t>
            </w:r>
          </w:p>
        </w:tc>
      </w:tr>
    </w:tbl>
    <w:p w:rsidR="00BC3A31" w:rsidRDefault="00BC3A31" w:rsidP="00BC3A31"/>
    <w:p w:rsidR="00BC3A31" w:rsidRDefault="00BC3A31" w:rsidP="00BC3A31"/>
    <w:p w:rsidR="00BC3A31" w:rsidRDefault="00BC3A31" w:rsidP="00BC3A31"/>
    <w:p w:rsidR="008203A5" w:rsidRDefault="00370286" w:rsidP="00BC3A31">
      <w:pPr>
        <w:spacing w:line="480" w:lineRule="auto"/>
      </w:pPr>
      <w:r>
        <w:t xml:space="preserve"> </w:t>
      </w:r>
      <w:r w:rsidR="00BC3A31">
        <w:tab/>
      </w:r>
      <w:r w:rsidR="008203A5">
        <w:t xml:space="preserve">Focusing on slave shipments between 1754 and 1771, George Washington’s pre-Revolutionary War period of occupation, we see an increase in the number of recorded shipments </w:t>
      </w:r>
      <w:r w:rsidR="00123183">
        <w:t xml:space="preserve">arriving directly from Africa. </w:t>
      </w:r>
      <w:r w:rsidR="008203A5">
        <w:t>Of the 15 ships that entered the Potomac ports, 7 originated in Africa, 7 came from the West Indies, and one or</w:t>
      </w:r>
      <w:r w:rsidR="00123183">
        <w:t xml:space="preserve">iginated from an unknown port. </w:t>
      </w:r>
      <w:r w:rsidR="008203A5">
        <w:t>When we look at individual numbers of slaves of known origin, the proportion made up by those embarking in the West Indies is even les</w:t>
      </w:r>
      <w:r w:rsidR="00123183">
        <w:t xml:space="preserve">s significant for this period. </w:t>
      </w:r>
      <w:r w:rsidR="008203A5">
        <w:t>Nearly 50 percent (n=446) embarked in Senegambia and the offshore Atlantic, 38 percent (n=350) in the Gold Coast, and 14 perce</w:t>
      </w:r>
      <w:r w:rsidR="00123183">
        <w:t xml:space="preserve">nt (n=131) in the West Indies. </w:t>
      </w:r>
      <w:r w:rsidR="008203A5">
        <w:t>These numbers are roughly compatible with Walsh’s (2001a:166, table 1) findings for the South Potomac and Maryland for all periods.</w:t>
      </w:r>
      <w:r w:rsidR="00123183">
        <w:t xml:space="preserve"> </w:t>
      </w:r>
      <w:r w:rsidR="008203A5">
        <w:t xml:space="preserve">Therefore, </w:t>
      </w:r>
      <w:r w:rsidR="008203A5">
        <w:lastRenderedPageBreak/>
        <w:t>these data suggest that of the Washingtons’ purchases of newly-imported slaves in the upper Potomac region, Senegambians could have been the dominant ethnicity during Augustine and George Washington’s tenures and Igbos (from the Bight of Biafra) during</w:t>
      </w:r>
      <w:r w:rsidR="00123183">
        <w:t xml:space="preserve"> Lawrence Washington’s tenure. </w:t>
      </w:r>
      <w:r w:rsidR="008203A5">
        <w:t xml:space="preserve">This possibility becomes slightly higher if we rely on Sweig’s (1985:521) findings that the </w:t>
      </w:r>
      <w:r w:rsidR="008203A5" w:rsidRPr="0099154A">
        <w:rPr>
          <w:i/>
        </w:rPr>
        <w:t>Royal Charlotte</w:t>
      </w:r>
      <w:r w:rsidR="008203A5">
        <w:t xml:space="preserve"> from Basse-Terre contained “Gambia slaves” and that these may have been some of the individuals purchased by Washington at the end of 1761.    </w:t>
      </w:r>
    </w:p>
    <w:p w:rsidR="008203A5" w:rsidRDefault="008203A5" w:rsidP="00BC3A31">
      <w:pPr>
        <w:spacing w:line="480" w:lineRule="auto"/>
      </w:pPr>
      <w:r>
        <w:tab/>
        <w:t>If we are to instead view the numbers by collapsing the households into the period, 1735 to 1775, the picture of newly imported slave ethnicity becomes slightly clearer (Table 4-7</w:t>
      </w:r>
      <w:r w:rsidRPr="00F36732">
        <w:t>)</w:t>
      </w:r>
      <w:r w:rsidR="00123183">
        <w:t xml:space="preserve">. </w:t>
      </w:r>
      <w:r w:rsidR="00124C3E">
        <w:t>However, a large</w:t>
      </w:r>
      <w:r>
        <w:t xml:space="preserve"> proportion of the slaves (29 </w:t>
      </w:r>
      <w:r w:rsidR="00123183">
        <w:t xml:space="preserve">percent) is of unknown origin. </w:t>
      </w:r>
      <w:r>
        <w:t>Of the known slaves, Senegambian ethnic origins dominate, almost double the next highest group, I</w:t>
      </w:r>
      <w:r w:rsidR="00123183">
        <w:t xml:space="preserve">gbos from the Bight of Biafra. </w:t>
      </w:r>
      <w:r>
        <w:t>Finally, when a regional view is taken, most slaves imported to the upper Potomac region during this per</w:t>
      </w:r>
      <w:r w:rsidR="00123183">
        <w:t xml:space="preserve">iod came directly from Africa. </w:t>
      </w:r>
      <w:r>
        <w:t xml:space="preserve">In conclusion, if newly-imported slaves were being purchased by the Washingtons in the years before 1775 from ports closest to Mount Vernon, it is most likely that they would be either of unknown or Senegambian origin.  </w:t>
      </w:r>
    </w:p>
    <w:p w:rsidR="008203A5" w:rsidRDefault="008203A5" w:rsidP="008203A5">
      <w:pPr>
        <w:spacing w:after="200" w:line="276" w:lineRule="auto"/>
        <w:rPr>
          <w:b/>
        </w:rPr>
      </w:pPr>
    </w:p>
    <w:p w:rsidR="008203A5" w:rsidRDefault="008203A5" w:rsidP="008203A5">
      <w:pPr>
        <w:rPr>
          <w:b/>
        </w:rPr>
      </w:pPr>
      <w:r>
        <w:rPr>
          <w:b/>
        </w:rPr>
        <w:t>Table 4-7</w:t>
      </w:r>
      <w:r w:rsidRPr="00124BF5">
        <w:rPr>
          <w:b/>
        </w:rPr>
        <w:t xml:space="preserve">. </w:t>
      </w:r>
      <w:r w:rsidRPr="004F7425">
        <w:t>Importation of slaves to the upper Potomac region, ca. 1735-1775, aggregated (Sweig 1985:512-513; Voyages Database 2009b, 2009c, 2009d).</w:t>
      </w:r>
    </w:p>
    <w:p w:rsidR="008203A5" w:rsidRPr="004F7425" w:rsidRDefault="008203A5" w:rsidP="008203A5">
      <w:pPr>
        <w:rPr>
          <w:b/>
        </w:rPr>
      </w:pPr>
      <w:r>
        <w:t xml:space="preserve"> </w:t>
      </w:r>
    </w:p>
    <w:tbl>
      <w:tblPr>
        <w:tblW w:w="8680" w:type="dxa"/>
        <w:tblInd w:w="91" w:type="dxa"/>
        <w:tblLook w:val="04A0"/>
      </w:tblPr>
      <w:tblGrid>
        <w:gridCol w:w="3760"/>
        <w:gridCol w:w="1820"/>
        <w:gridCol w:w="872"/>
        <w:gridCol w:w="1420"/>
        <w:gridCol w:w="872"/>
      </w:tblGrid>
      <w:tr w:rsidR="001B01AD" w:rsidRPr="001B01AD" w:rsidTr="001B01AD">
        <w:trPr>
          <w:trHeight w:val="255"/>
        </w:trPr>
        <w:tc>
          <w:tcPr>
            <w:tcW w:w="3760"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1B01AD" w:rsidRPr="001B01AD" w:rsidRDefault="001B01AD" w:rsidP="001B01AD">
            <w:pPr>
              <w:jc w:val="center"/>
              <w:rPr>
                <w:rFonts w:eastAsia="Times New Roman"/>
                <w:b/>
                <w:bCs/>
                <w:color w:val="000000"/>
                <w:sz w:val="20"/>
                <w:szCs w:val="20"/>
              </w:rPr>
            </w:pPr>
            <w:r w:rsidRPr="001B01AD">
              <w:rPr>
                <w:rFonts w:eastAsia="Times New Roman"/>
                <w:b/>
                <w:bCs/>
                <w:color w:val="000000"/>
                <w:sz w:val="20"/>
                <w:szCs w:val="20"/>
              </w:rPr>
              <w:t>Port of Origin</w:t>
            </w:r>
          </w:p>
        </w:tc>
        <w:tc>
          <w:tcPr>
            <w:tcW w:w="1820" w:type="dxa"/>
            <w:tcBorders>
              <w:top w:val="single" w:sz="4" w:space="0" w:color="auto"/>
              <w:left w:val="nil"/>
              <w:bottom w:val="single" w:sz="4" w:space="0" w:color="auto"/>
              <w:right w:val="single" w:sz="4" w:space="0" w:color="auto"/>
            </w:tcBorders>
            <w:shd w:val="clear" w:color="000000" w:fill="D8D8D8"/>
            <w:vAlign w:val="bottom"/>
            <w:hideMark/>
          </w:tcPr>
          <w:p w:rsidR="001B01AD" w:rsidRPr="001B01AD" w:rsidRDefault="001B01AD" w:rsidP="001B01AD">
            <w:pPr>
              <w:rPr>
                <w:rFonts w:eastAsia="Times New Roman"/>
                <w:b/>
                <w:bCs/>
                <w:color w:val="000000"/>
                <w:sz w:val="20"/>
                <w:szCs w:val="20"/>
              </w:rPr>
            </w:pPr>
            <w:r w:rsidRPr="001B01AD">
              <w:rPr>
                <w:rFonts w:eastAsia="Times New Roman"/>
                <w:b/>
                <w:bCs/>
                <w:color w:val="000000"/>
                <w:sz w:val="20"/>
                <w:szCs w:val="20"/>
              </w:rPr>
              <w:t>Number of Slaves</w:t>
            </w:r>
          </w:p>
        </w:tc>
        <w:tc>
          <w:tcPr>
            <w:tcW w:w="840" w:type="dxa"/>
            <w:tcBorders>
              <w:top w:val="single" w:sz="4" w:space="0" w:color="auto"/>
              <w:left w:val="nil"/>
              <w:bottom w:val="single" w:sz="4" w:space="0" w:color="auto"/>
              <w:right w:val="single" w:sz="4" w:space="0" w:color="auto"/>
            </w:tcBorders>
            <w:shd w:val="clear" w:color="000000" w:fill="D8D8D8"/>
            <w:vAlign w:val="bottom"/>
            <w:hideMark/>
          </w:tcPr>
          <w:p w:rsidR="001B01AD" w:rsidRPr="001B01AD" w:rsidRDefault="001B01AD" w:rsidP="001B01AD">
            <w:pPr>
              <w:rPr>
                <w:rFonts w:eastAsia="Times New Roman"/>
                <w:b/>
                <w:bCs/>
                <w:color w:val="000000"/>
                <w:sz w:val="20"/>
                <w:szCs w:val="20"/>
              </w:rPr>
            </w:pPr>
            <w:r w:rsidRPr="001B01AD">
              <w:rPr>
                <w:rFonts w:eastAsia="Times New Roman"/>
                <w:b/>
                <w:bCs/>
                <w:color w:val="000000"/>
                <w:sz w:val="20"/>
                <w:szCs w:val="20"/>
              </w:rPr>
              <w:t>Percent</w:t>
            </w:r>
          </w:p>
        </w:tc>
        <w:tc>
          <w:tcPr>
            <w:tcW w:w="1420" w:type="dxa"/>
            <w:tcBorders>
              <w:top w:val="single" w:sz="4" w:space="0" w:color="auto"/>
              <w:left w:val="nil"/>
              <w:bottom w:val="single" w:sz="4" w:space="0" w:color="auto"/>
              <w:right w:val="single" w:sz="4" w:space="0" w:color="auto"/>
            </w:tcBorders>
            <w:shd w:val="clear" w:color="000000" w:fill="D8D8D8"/>
            <w:vAlign w:val="bottom"/>
            <w:hideMark/>
          </w:tcPr>
          <w:p w:rsidR="001B01AD" w:rsidRPr="001B01AD" w:rsidRDefault="001B01AD" w:rsidP="001B01AD">
            <w:pPr>
              <w:rPr>
                <w:rFonts w:eastAsia="Times New Roman"/>
                <w:b/>
                <w:bCs/>
                <w:color w:val="000000"/>
                <w:sz w:val="20"/>
                <w:szCs w:val="20"/>
              </w:rPr>
            </w:pPr>
            <w:r w:rsidRPr="001B01AD">
              <w:rPr>
                <w:rFonts w:eastAsia="Times New Roman"/>
                <w:b/>
                <w:bCs/>
                <w:color w:val="000000"/>
                <w:sz w:val="20"/>
                <w:szCs w:val="20"/>
              </w:rPr>
              <w:t>Region Totals</w:t>
            </w:r>
          </w:p>
        </w:tc>
        <w:tc>
          <w:tcPr>
            <w:tcW w:w="840" w:type="dxa"/>
            <w:tcBorders>
              <w:top w:val="single" w:sz="4" w:space="0" w:color="auto"/>
              <w:left w:val="nil"/>
              <w:bottom w:val="single" w:sz="4" w:space="0" w:color="auto"/>
              <w:right w:val="single" w:sz="4" w:space="0" w:color="auto"/>
            </w:tcBorders>
            <w:shd w:val="clear" w:color="000000" w:fill="D8D8D8"/>
            <w:vAlign w:val="bottom"/>
            <w:hideMark/>
          </w:tcPr>
          <w:p w:rsidR="001B01AD" w:rsidRPr="001B01AD" w:rsidRDefault="001B01AD" w:rsidP="001B01AD">
            <w:pPr>
              <w:rPr>
                <w:rFonts w:eastAsia="Times New Roman"/>
                <w:b/>
                <w:bCs/>
                <w:color w:val="000000"/>
                <w:sz w:val="20"/>
                <w:szCs w:val="20"/>
              </w:rPr>
            </w:pPr>
            <w:r w:rsidRPr="001B01AD">
              <w:rPr>
                <w:rFonts w:eastAsia="Times New Roman"/>
                <w:b/>
                <w:bCs/>
                <w:color w:val="000000"/>
                <w:sz w:val="20"/>
                <w:szCs w:val="20"/>
              </w:rPr>
              <w:t>Percent</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0E182D" w:rsidP="001B01AD">
            <w:pPr>
              <w:rPr>
                <w:rFonts w:eastAsia="Times New Roman"/>
                <w:color w:val="000000"/>
                <w:sz w:val="20"/>
                <w:szCs w:val="20"/>
              </w:rPr>
            </w:pPr>
            <w:r w:rsidRPr="001B01AD">
              <w:rPr>
                <w:rFonts w:eastAsia="Times New Roman"/>
                <w:color w:val="000000"/>
                <w:sz w:val="20"/>
                <w:szCs w:val="20"/>
              </w:rPr>
              <w:t>Jamaica</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7</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0.2</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16"/>
                <w:szCs w:val="16"/>
              </w:rPr>
            </w:pPr>
            <w:r w:rsidRPr="001B01AD">
              <w:rPr>
                <w:rFonts w:eastAsia="Times New Roman"/>
                <w:color w:val="000000"/>
                <w:sz w:val="16"/>
                <w:szCs w:val="16"/>
              </w:rPr>
              <w:t> </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Antigua</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28</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1.0</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16"/>
                <w:szCs w:val="16"/>
              </w:rPr>
            </w:pPr>
            <w:r w:rsidRPr="001B01AD">
              <w:rPr>
                <w:rFonts w:eastAsia="Times New Roman"/>
                <w:color w:val="000000"/>
                <w:sz w:val="16"/>
                <w:szCs w:val="16"/>
              </w:rPr>
              <w:t> </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St. Christopher/St. Kitts</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63</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2.2</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16"/>
                <w:szCs w:val="16"/>
              </w:rPr>
            </w:pPr>
            <w:r w:rsidRPr="001B01AD">
              <w:rPr>
                <w:rFonts w:eastAsia="Times New Roman"/>
                <w:color w:val="000000"/>
                <w:sz w:val="16"/>
                <w:szCs w:val="16"/>
              </w:rPr>
              <w:t> </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Barbados</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171</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6.0</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1B01AD" w:rsidP="001B01AD">
            <w:pPr>
              <w:jc w:val="right"/>
              <w:rPr>
                <w:rFonts w:eastAsia="Times New Roman"/>
                <w:i/>
                <w:iCs/>
                <w:color w:val="000000"/>
                <w:sz w:val="20"/>
                <w:szCs w:val="20"/>
              </w:rPr>
            </w:pPr>
            <w:r w:rsidRPr="001B01AD">
              <w:rPr>
                <w:rFonts w:eastAsia="Times New Roman"/>
                <w:i/>
                <w:iCs/>
                <w:color w:val="000000"/>
                <w:sz w:val="20"/>
                <w:szCs w:val="20"/>
              </w:rPr>
              <w:t>Caribbean</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269</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9.4</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West Central Africa and St. Helena</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220</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7.7</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Gold Coast</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350</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12.2</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Bight of Biafra and Gulf of Guinea Islands</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414</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14.5</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Senegambia and Offshore Atlantic</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785</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27.4</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1B01AD" w:rsidP="001B01AD">
            <w:pPr>
              <w:jc w:val="right"/>
              <w:rPr>
                <w:rFonts w:eastAsia="Times New Roman"/>
                <w:i/>
                <w:iCs/>
                <w:color w:val="000000"/>
                <w:sz w:val="20"/>
                <w:szCs w:val="20"/>
              </w:rPr>
            </w:pPr>
            <w:r w:rsidRPr="001B01AD">
              <w:rPr>
                <w:rFonts w:eastAsia="Times New Roman"/>
                <w:i/>
                <w:iCs/>
                <w:color w:val="000000"/>
                <w:sz w:val="20"/>
                <w:szCs w:val="20"/>
              </w:rPr>
              <w:t>Africa</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1769</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61.8</w:t>
            </w:r>
          </w:p>
        </w:tc>
      </w:tr>
      <w:tr w:rsidR="001B01AD" w:rsidRPr="001B01AD" w:rsidTr="001B01AD">
        <w:trPr>
          <w:trHeight w:val="255"/>
        </w:trPr>
        <w:tc>
          <w:tcPr>
            <w:tcW w:w="3760" w:type="dxa"/>
            <w:tcBorders>
              <w:top w:val="nil"/>
              <w:left w:val="single" w:sz="4" w:space="0" w:color="auto"/>
              <w:bottom w:val="single" w:sz="4" w:space="0" w:color="auto"/>
              <w:right w:val="single" w:sz="4" w:space="0" w:color="auto"/>
            </w:tcBorders>
            <w:shd w:val="clear" w:color="auto" w:fill="auto"/>
            <w:vAlign w:val="bottom"/>
            <w:hideMark/>
          </w:tcPr>
          <w:p w:rsidR="001B01AD" w:rsidRPr="001B01AD" w:rsidRDefault="00123183" w:rsidP="001B01AD">
            <w:pPr>
              <w:rPr>
                <w:rFonts w:eastAsia="Times New Roman"/>
                <w:color w:val="000000"/>
                <w:sz w:val="20"/>
                <w:szCs w:val="20"/>
              </w:rPr>
            </w:pPr>
            <w:r w:rsidRPr="001B01AD">
              <w:rPr>
                <w:rFonts w:eastAsia="Times New Roman"/>
                <w:color w:val="000000"/>
                <w:sz w:val="20"/>
                <w:szCs w:val="20"/>
              </w:rPr>
              <w:t>U</w:t>
            </w:r>
            <w:r w:rsidR="001B01AD" w:rsidRPr="001B01AD">
              <w:rPr>
                <w:rFonts w:eastAsia="Times New Roman"/>
                <w:color w:val="000000"/>
                <w:sz w:val="20"/>
                <w:szCs w:val="20"/>
              </w:rPr>
              <w:t>nknown</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823</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28.8</w:t>
            </w:r>
          </w:p>
        </w:tc>
        <w:tc>
          <w:tcPr>
            <w:tcW w:w="14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 </w:t>
            </w:r>
          </w:p>
        </w:tc>
      </w:tr>
      <w:tr w:rsidR="001B01AD" w:rsidRPr="001B01AD" w:rsidTr="001B01A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1B01AD" w:rsidRPr="001B01AD" w:rsidRDefault="001B01AD" w:rsidP="001B01AD">
            <w:pPr>
              <w:rPr>
                <w:rFonts w:eastAsia="Times New Roman"/>
                <w:color w:val="000000"/>
                <w:sz w:val="20"/>
                <w:szCs w:val="20"/>
              </w:rPr>
            </w:pPr>
            <w:r w:rsidRPr="001B01AD">
              <w:rPr>
                <w:rFonts w:eastAsia="Times New Roman"/>
                <w:color w:val="000000"/>
                <w:sz w:val="20"/>
                <w:szCs w:val="20"/>
              </w:rPr>
              <w:t>TOTAL</w:t>
            </w:r>
          </w:p>
        </w:tc>
        <w:tc>
          <w:tcPr>
            <w:tcW w:w="1820" w:type="dxa"/>
            <w:tcBorders>
              <w:top w:val="nil"/>
              <w:left w:val="nil"/>
              <w:bottom w:val="single" w:sz="4" w:space="0" w:color="auto"/>
              <w:right w:val="single" w:sz="4" w:space="0" w:color="auto"/>
            </w:tcBorders>
            <w:shd w:val="clear" w:color="auto" w:fill="auto"/>
            <w:noWrap/>
            <w:vAlign w:val="bottom"/>
            <w:hideMark/>
          </w:tcPr>
          <w:p w:rsidR="001B01AD" w:rsidRPr="001B01AD" w:rsidRDefault="001B01AD" w:rsidP="001B01AD">
            <w:pPr>
              <w:jc w:val="right"/>
              <w:rPr>
                <w:rFonts w:eastAsia="Times New Roman"/>
                <w:color w:val="000000"/>
                <w:sz w:val="20"/>
                <w:szCs w:val="20"/>
              </w:rPr>
            </w:pPr>
            <w:r w:rsidRPr="001B01AD">
              <w:rPr>
                <w:rFonts w:eastAsia="Times New Roman"/>
                <w:color w:val="000000"/>
                <w:sz w:val="20"/>
                <w:szCs w:val="20"/>
              </w:rPr>
              <w:t>2861</w:t>
            </w:r>
          </w:p>
        </w:tc>
        <w:tc>
          <w:tcPr>
            <w:tcW w:w="840" w:type="dxa"/>
            <w:tcBorders>
              <w:top w:val="nil"/>
              <w:left w:val="nil"/>
              <w:bottom w:val="nil"/>
              <w:right w:val="nil"/>
            </w:tcBorders>
            <w:shd w:val="clear" w:color="auto" w:fill="auto"/>
            <w:noWrap/>
            <w:vAlign w:val="bottom"/>
            <w:hideMark/>
          </w:tcPr>
          <w:p w:rsidR="001B01AD" w:rsidRPr="001B01AD" w:rsidRDefault="001B01AD" w:rsidP="001B01AD">
            <w:pPr>
              <w:rPr>
                <w:rFonts w:eastAsia="Times New Roman"/>
                <w:color w:val="000000"/>
                <w:sz w:val="20"/>
                <w:szCs w:val="20"/>
              </w:rPr>
            </w:pPr>
          </w:p>
        </w:tc>
        <w:tc>
          <w:tcPr>
            <w:tcW w:w="1420" w:type="dxa"/>
            <w:tcBorders>
              <w:top w:val="nil"/>
              <w:left w:val="nil"/>
              <w:bottom w:val="nil"/>
              <w:right w:val="nil"/>
            </w:tcBorders>
            <w:shd w:val="clear" w:color="auto" w:fill="auto"/>
            <w:noWrap/>
            <w:vAlign w:val="bottom"/>
            <w:hideMark/>
          </w:tcPr>
          <w:p w:rsidR="001B01AD" w:rsidRPr="001B01AD" w:rsidRDefault="001B01AD" w:rsidP="001B01AD">
            <w:pP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1B01AD" w:rsidRPr="001B01AD" w:rsidRDefault="001B01AD" w:rsidP="001B01AD">
            <w:pPr>
              <w:rPr>
                <w:rFonts w:eastAsia="Times New Roman"/>
                <w:color w:val="000000"/>
                <w:sz w:val="20"/>
                <w:szCs w:val="20"/>
              </w:rPr>
            </w:pPr>
          </w:p>
        </w:tc>
      </w:tr>
    </w:tbl>
    <w:p w:rsidR="008203A5" w:rsidRDefault="008203A5" w:rsidP="008203A5">
      <w:r>
        <w:t xml:space="preserve"> </w:t>
      </w:r>
    </w:p>
    <w:p w:rsidR="008203A5" w:rsidRDefault="008203A5" w:rsidP="008203A5">
      <w:pPr>
        <w:spacing w:line="480" w:lineRule="auto"/>
        <w:ind w:firstLine="720"/>
      </w:pPr>
      <w:r w:rsidRPr="00097B3E">
        <w:rPr>
          <w:i/>
        </w:rPr>
        <w:lastRenderedPageBreak/>
        <w:t>Mount Vernon’s Charter Generation.</w:t>
      </w:r>
      <w:r w:rsidR="00123183">
        <w:t xml:space="preserve"> </w:t>
      </w:r>
      <w:r>
        <w:t>The question remains, however, if Senegambian slaves were most frequently purchased by the Washingtons, as the large scale approach to slave ethnicity tentatively suggests, would they have formed a culturally-dominant majority when micro-scale household events</w:t>
      </w:r>
      <w:r w:rsidR="00123183">
        <w:t xml:space="preserve"> are taken into consideration? </w:t>
      </w:r>
      <w:r>
        <w:t xml:space="preserve">In other words, if we were to consider the documentation pertaining specifically to the slaves at Mount Vernon, does our model for </w:t>
      </w:r>
      <w:r w:rsidR="00124C3E">
        <w:t>historical creolization begin</w:t>
      </w:r>
      <w:r w:rsidR="00123183">
        <w:t xml:space="preserve"> with a Senegambian base? </w:t>
      </w:r>
      <w:r>
        <w:t>I conclude that the charter generation of slaves at Mount Vernon coalesced from too many sources with too many unknowns to categorically state that one ethnicity dominated when a micro-scale approach is considered.</w:t>
      </w:r>
    </w:p>
    <w:p w:rsidR="008203A5" w:rsidRDefault="008203A5" w:rsidP="008203A5">
      <w:pPr>
        <w:spacing w:line="480" w:lineRule="auto"/>
        <w:ind w:firstLine="720"/>
      </w:pPr>
      <w:r>
        <w:rPr>
          <w:i/>
        </w:rPr>
        <w:t xml:space="preserve">Previous work. </w:t>
      </w:r>
      <w:r>
        <w:t>Historian Mary Thompson (1991, 2001, 2013) has undertaken the most extensive research into George Washington’s enslaved community (se</w:t>
      </w:r>
      <w:r w:rsidR="00123183">
        <w:t>e also Stevenson 1996:209-212).</w:t>
      </w:r>
      <w:r>
        <w:t xml:space="preserve"> Her biographical and genealogical efforts draw from the slave census taken in approximately June 1799 (Abbot 1999[4]:527-542), among myriad other sources</w:t>
      </w:r>
      <w:r w:rsidRPr="001715D2">
        <w:t>.</w:t>
      </w:r>
      <w:r w:rsidR="00123183">
        <w:t xml:space="preserve"> </w:t>
      </w:r>
      <w:r>
        <w:t>The following information was recorded in the 1799 slave census: name; age; farm and work assignment; ownership status (Martha Washington dower versus George Washington</w:t>
      </w:r>
      <w:r w:rsidR="00124C3E">
        <w:t>, which also implies different ports of disembarkation and therefore different ethnic origins</w:t>
      </w:r>
      <w:r>
        <w:t>); surnames; remarks and commen</w:t>
      </w:r>
      <w:r w:rsidR="00123183">
        <w:t xml:space="preserve">ts; and marriage and children. </w:t>
      </w:r>
      <w:r>
        <w:t xml:space="preserve">The only other existing complete census of the Washington’s slaves (216 total) was recorded in George Washington’s diary in 1786 and included information on farm and work assignments and ownership status (Jackson and Twohig 1978 [4]:227-283).     </w:t>
      </w:r>
    </w:p>
    <w:p w:rsidR="008203A5" w:rsidRDefault="008203A5" w:rsidP="008203A5">
      <w:pPr>
        <w:spacing w:line="480" w:lineRule="auto"/>
        <w:ind w:firstLine="720"/>
      </w:pPr>
      <w:r>
        <w:t>Additionally, thorough work involving the nineteenth-century slave community can be found in Casper (2008a) and on the associat</w:t>
      </w:r>
      <w:r w:rsidR="00123183">
        <w:t xml:space="preserve">ed website (Casper 2008b). </w:t>
      </w:r>
      <w:r>
        <w:t xml:space="preserve">In order to tell the story of the transformation of Mount Vernon from plantation to shrine and the role of the enslaved and </w:t>
      </w:r>
      <w:r>
        <w:lastRenderedPageBreak/>
        <w:t>free African Americans in creating and communicating that story, Scott Casper delved into estate documents associated with Bushrod Washington (tenure: 1815-1830), John Augustine Washington II (1832-1833), and John Augusti</w:t>
      </w:r>
      <w:r w:rsidR="00123183">
        <w:t xml:space="preserve">ne Washington III (1841-1861). </w:t>
      </w:r>
      <w:r>
        <w:t>This chapter in the enslaved community’s development can be characterized as one of dissolution due to financial hards</w:t>
      </w:r>
      <w:r w:rsidR="00123183">
        <w:t>hips and ownership instability.</w:t>
      </w:r>
      <w:r>
        <w:t xml:space="preserve"> Some individuals experienced the seemingly unattainable goal of freedom while others found themselves sold into the harsh conditions of </w:t>
      </w:r>
      <w:r w:rsidR="00123183">
        <w:t xml:space="preserve">enslavement in the deep south. </w:t>
      </w:r>
      <w:r>
        <w:t>By the nineteenth century, slaves were increasingly recorded as family units facil</w:t>
      </w:r>
      <w:r w:rsidR="00123183">
        <w:t xml:space="preserve">itating genealogical research. </w:t>
      </w:r>
      <w:r>
        <w:t xml:space="preserve">When possible, Casper (2008b) records familial relationships, number of appearance in the document, date of birth, acquisition history, value, source, subsequent disposition/later history (heir, death, sale), and additional notes.  </w:t>
      </w:r>
    </w:p>
    <w:p w:rsidR="008203A5" w:rsidRDefault="008203A5" w:rsidP="00761666">
      <w:pPr>
        <w:spacing w:line="480" w:lineRule="auto"/>
        <w:ind w:firstLine="720"/>
      </w:pPr>
      <w:r>
        <w:t>This section draws from Thompson (2013) and Casper’s (2008a, 2008b) research initiatives to bring us to the foremost enslaved individuals tasked with preparing the fields to receive their first tobacco plants or meals in the new kitchen for the y</w:t>
      </w:r>
      <w:r w:rsidR="00123183">
        <w:t xml:space="preserve">oung owners, Lawrence and Ann. </w:t>
      </w:r>
      <w:r>
        <w:t>Less sleuthing has occurred into the cultural backgrounds of these individuals than on the later community, with the exception of the work of Sweig (1985), Walsh (2001c), and Thompson (20</w:t>
      </w:r>
      <w:r w:rsidR="00123183">
        <w:t xml:space="preserve">06). </w:t>
      </w:r>
      <w:r>
        <w:t>Less effort has been expended on systematically developing a picture of the first generation of slaves living and working at Mount Vernon – probably for good reason, since the existing data are not neatly</w:t>
      </w:r>
      <w:r w:rsidR="00123183">
        <w:t xml:space="preserve"> contained in a single census. </w:t>
      </w:r>
      <w:r>
        <w:t xml:space="preserve">Abbot (1999[4]:527) comments on the complex documentary history of the beginnings of George Washington’s enslaved community: </w:t>
      </w:r>
    </w:p>
    <w:p w:rsidR="008203A5" w:rsidRDefault="008203A5" w:rsidP="00761666">
      <w:pPr>
        <w:spacing w:line="480" w:lineRule="auto"/>
        <w:ind w:left="720"/>
      </w:pPr>
      <w:r>
        <w:t xml:space="preserve">The slaves Washington owned in his own right came from several sources. He was left eleven slaves by his father’s will; a portion of his half-brother Lawrence Washington’s slaves, about a dozen in all, were willed to him after the death of Lawrence’s infant </w:t>
      </w:r>
      <w:r>
        <w:lastRenderedPageBreak/>
        <w:t xml:space="preserve">daughter and his widow; and Washington purchased from time to time slaves for himself, mostly before the Revolution.  </w:t>
      </w:r>
    </w:p>
    <w:p w:rsidR="008203A5" w:rsidRDefault="008203A5" w:rsidP="008203A5">
      <w:pPr>
        <w:spacing w:line="480" w:lineRule="auto"/>
      </w:pPr>
      <w:r>
        <w:t>George Washington kept notes on Martha’s dower slaves, both those brought to Mount Vernon and those who stayed in the lower tidewat</w:t>
      </w:r>
      <w:r w:rsidR="00123183">
        <w:t xml:space="preserve">er region (Abbot 1988[6]:282). </w:t>
      </w:r>
      <w:r>
        <w:t>The recordation of the Mount Vernon slaves became more regular in 1760 through the end of the early period (pre-1775) with the lists of tithables for Truro and Fairfax parishes, cont</w:t>
      </w:r>
      <w:r w:rsidR="00123183">
        <w:t>aining Washington’s five farms.</w:t>
      </w:r>
      <w:r>
        <w:t xml:space="preserve"> These lists do not capture slaves under 16 years of age or some slaves too elderly for work, but they do contain vital evidence of farm and work assignments </w:t>
      </w:r>
      <w:r w:rsidR="00123183">
        <w:t>and changes from year to year.</w:t>
      </w:r>
      <w:r>
        <w:t xml:space="preserve"> The editorial notes also present research on slave identification and </w:t>
      </w:r>
      <w:r w:rsidR="00123183">
        <w:t xml:space="preserve">genealogy (Abbot 1999[4]:528). </w:t>
      </w:r>
      <w:r>
        <w:t>Piecing together these disparate documents affords a view of the beginnings of an enslaved community who became increasingly better documented over time and offers the potential to connect that community across six generations of Washington households.</w:t>
      </w:r>
    </w:p>
    <w:p w:rsidR="008203A5" w:rsidRDefault="008203A5" w:rsidP="008203A5">
      <w:pPr>
        <w:spacing w:line="480" w:lineRule="auto"/>
        <w:ind w:firstLine="720"/>
      </w:pPr>
      <w:r w:rsidRPr="009672AE">
        <w:rPr>
          <w:i/>
        </w:rPr>
        <w:t>About the dataset</w:t>
      </w:r>
      <w:r w:rsidR="00123183">
        <w:t xml:space="preserve">. </w:t>
      </w:r>
      <w:r>
        <w:t>The intent of this section is to piece together the broadest universe of individuals from which the first generation of Mount Vern</w:t>
      </w:r>
      <w:r w:rsidR="00123183">
        <w:t xml:space="preserve">on’s slaves could have formed. </w:t>
      </w:r>
      <w:r>
        <w:t xml:space="preserve">(This dataset does not include Martha Washington’s dower slaves working her non-Mount Vernon farms </w:t>
      </w:r>
      <w:r w:rsidRPr="001715D2">
        <w:t>(</w:t>
      </w:r>
      <w:r>
        <w:t>Abbot 1988[6]:217-220</w:t>
      </w:r>
      <w:r w:rsidRPr="001715D2">
        <w:t>)</w:t>
      </w:r>
      <w:r>
        <w:t xml:space="preserve"> nor does it include slaves inventoried as part of Lawrence Washington’s Frederick County estate </w:t>
      </w:r>
      <w:r w:rsidRPr="001715D2">
        <w:t>(</w:t>
      </w:r>
      <w:r>
        <w:t>Hardin and Keyes 1752</w:t>
      </w:r>
      <w:r w:rsidRPr="001715D2">
        <w:t>)).</w:t>
      </w:r>
      <w:r w:rsidR="00123183">
        <w:t xml:space="preserve"> </w:t>
      </w:r>
      <w:r>
        <w:t xml:space="preserve">Never before have all sources pertaining to slaves at Mount Vernon in the pre-1775 period been brought together in such a systematic fashion. I believe that once complete, this effort will yield much more satisfying interpretations and understandings of </w:t>
      </w:r>
      <w:r w:rsidR="00124C3E">
        <w:t xml:space="preserve">the identities of </w:t>
      </w:r>
      <w:r>
        <w:t>the individual</w:t>
      </w:r>
      <w:r w:rsidR="00123183">
        <w:t xml:space="preserve">s that served the Washingtons. </w:t>
      </w:r>
      <w:r>
        <w:t>Howeve</w:t>
      </w:r>
      <w:r w:rsidR="00123183">
        <w:t xml:space="preserve">r, this effort is preliminary. </w:t>
      </w:r>
      <w:r>
        <w:t xml:space="preserve">After the dataset and its structure are summarized, the next stages of analysis are presented for future work.  The list is comprised of 26 unique sources including: 15 tithable lists; the list of slaves that George Washington inherited </w:t>
      </w:r>
      <w:r>
        <w:lastRenderedPageBreak/>
        <w:t xml:space="preserve">from his father, Augustine; documents pertaining to the execution of Lawrence Washington’s will (including his Mount Vernon probate inventory, the division of the slaves between the Washington brothers and George Lee, Lawrence’s widow’s second husband, the further division of the Washington brothers’ slaves among each other, another division of slaves occurring after Lawrence’s widow’s death); purchases of slaves by George Washington (from John Posey to settle a debt and from other individuals as outright transactions); a list of household slaves written by George Washington after his marriage, including Martha’s dower slaves; the inventory of Daniel Parke Custis; a list of slaves sent to the Dismal Swamp; and </w:t>
      </w:r>
      <w:r w:rsidR="00123183">
        <w:t xml:space="preserve">a runaway slave advertisement. </w:t>
      </w:r>
      <w:r>
        <w:t>(See Table 4-8 for documents and citations.)</w:t>
      </w:r>
    </w:p>
    <w:p w:rsidR="00BC3A31" w:rsidRDefault="00BC3A31" w:rsidP="00BC3A31">
      <w:pPr>
        <w:spacing w:line="480" w:lineRule="auto"/>
        <w:ind w:firstLine="720"/>
      </w:pPr>
      <w:r>
        <w:t xml:space="preserve">Individual names appearing in each of these 26 documents were entered into an Excel spreadsheet. This initial list will eventually facilitate the matching of slaves between sources and ultimately the reconstruction of family units across space and time. In addition to the slave’s name, I captured 15 fields in the creation of the dataset, in part drawing from the structure of the Monticello Plantation Database (Thomas Jefferson Foundation 2008) and the work of Thompson (1991) and Casper (2008b) as a model. These fields and a description are listed </w:t>
      </w:r>
      <w:r w:rsidRPr="00F36732">
        <w:t xml:space="preserve">in </w:t>
      </w:r>
      <w:r>
        <w:t>Table 4-9</w:t>
      </w:r>
      <w:r w:rsidRPr="00F36732">
        <w:t>.</w:t>
      </w:r>
      <w:r>
        <w:t xml:space="preserve"> In structuring the dataset in this way, by listing each slave reference as a separate entry, the goal was to avoid interpretation at this stage. In other words, instead of attempting to make leaps between documents, all data were entered identically so that the most informed decisions can later be made about, for example, how many Jacks actually lived at Mount Vernon and what relationship these Jacks may have had to other slaves in the community. Some of these fields are fully populated while others are anticipatory for future research. The final dataset includes 1,435 entries and a total of 164 unique slave names. </w:t>
      </w:r>
    </w:p>
    <w:p w:rsidR="008203A5" w:rsidRDefault="008203A5" w:rsidP="008203A5">
      <w:pPr>
        <w:spacing w:after="200" w:line="276" w:lineRule="auto"/>
        <w:rPr>
          <w:b/>
        </w:rPr>
      </w:pPr>
      <w:r>
        <w:rPr>
          <w:b/>
        </w:rPr>
        <w:br w:type="page"/>
      </w:r>
    </w:p>
    <w:p w:rsidR="008203A5" w:rsidRPr="004F7425" w:rsidRDefault="008203A5" w:rsidP="008203A5">
      <w:pPr>
        <w:spacing w:line="480" w:lineRule="auto"/>
        <w:rPr>
          <w:b/>
        </w:rPr>
      </w:pPr>
      <w:r>
        <w:rPr>
          <w:b/>
        </w:rPr>
        <w:lastRenderedPageBreak/>
        <w:t>Table 4-8</w:t>
      </w:r>
      <w:r w:rsidRPr="00124BF5">
        <w:rPr>
          <w:b/>
        </w:rPr>
        <w:t xml:space="preserve">. </w:t>
      </w:r>
      <w:r w:rsidRPr="004F7425">
        <w:t>Documents pertaining to Mount Vernon’s early enslaved community.</w:t>
      </w:r>
    </w:p>
    <w:tbl>
      <w:tblPr>
        <w:tblW w:w="8655" w:type="dxa"/>
        <w:tblInd w:w="93" w:type="dxa"/>
        <w:tblLook w:val="04A0"/>
      </w:tblPr>
      <w:tblGrid>
        <w:gridCol w:w="3255"/>
        <w:gridCol w:w="750"/>
        <w:gridCol w:w="4650"/>
      </w:tblGrid>
      <w:tr w:rsidR="008203A5" w:rsidRPr="00105F9A" w:rsidTr="00E91746">
        <w:trPr>
          <w:trHeight w:val="300"/>
        </w:trPr>
        <w:tc>
          <w:tcPr>
            <w:tcW w:w="3255"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8203A5" w:rsidRPr="00105F9A" w:rsidRDefault="008203A5" w:rsidP="00E91746">
            <w:pPr>
              <w:rPr>
                <w:rFonts w:eastAsia="Times New Roman"/>
                <w:b/>
                <w:bCs/>
                <w:color w:val="000000"/>
                <w:sz w:val="20"/>
              </w:rPr>
            </w:pPr>
            <w:r w:rsidRPr="00105F9A">
              <w:rPr>
                <w:rFonts w:eastAsia="Times New Roman"/>
                <w:b/>
                <w:bCs/>
                <w:color w:val="000000"/>
                <w:sz w:val="20"/>
              </w:rPr>
              <w:t>Source</w:t>
            </w:r>
          </w:p>
        </w:tc>
        <w:tc>
          <w:tcPr>
            <w:tcW w:w="72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105F9A" w:rsidRDefault="008203A5" w:rsidP="00E91746">
            <w:pPr>
              <w:rPr>
                <w:rFonts w:eastAsia="Times New Roman"/>
                <w:b/>
                <w:bCs/>
                <w:color w:val="000000"/>
                <w:sz w:val="20"/>
              </w:rPr>
            </w:pPr>
            <w:r w:rsidRPr="00105F9A">
              <w:rPr>
                <w:rFonts w:eastAsia="Times New Roman"/>
                <w:b/>
                <w:bCs/>
                <w:color w:val="000000"/>
                <w:sz w:val="20"/>
              </w:rPr>
              <w:t>Year</w:t>
            </w:r>
          </w:p>
        </w:tc>
        <w:tc>
          <w:tcPr>
            <w:tcW w:w="4680" w:type="dxa"/>
            <w:tcBorders>
              <w:top w:val="single" w:sz="4" w:space="0" w:color="auto"/>
              <w:left w:val="nil"/>
              <w:bottom w:val="single" w:sz="4" w:space="0" w:color="auto"/>
              <w:right w:val="single" w:sz="4" w:space="0" w:color="auto"/>
            </w:tcBorders>
            <w:shd w:val="clear" w:color="000000" w:fill="D8D8D8"/>
            <w:vAlign w:val="bottom"/>
            <w:hideMark/>
          </w:tcPr>
          <w:p w:rsidR="008203A5" w:rsidRPr="00105F9A" w:rsidRDefault="008203A5" w:rsidP="00E91746">
            <w:pPr>
              <w:rPr>
                <w:rFonts w:eastAsia="Times New Roman"/>
                <w:b/>
                <w:bCs/>
                <w:color w:val="000000"/>
                <w:sz w:val="20"/>
              </w:rPr>
            </w:pPr>
            <w:r w:rsidRPr="00105F9A">
              <w:rPr>
                <w:rFonts w:eastAsia="Times New Roman"/>
                <w:b/>
                <w:bCs/>
                <w:color w:val="000000"/>
                <w:sz w:val="20"/>
              </w:rPr>
              <w:t xml:space="preserve">Interpretation </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1990[7]:173</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[1750]</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Slaves Inherited by George Washington from Augustine</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Washington 1753</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1753</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Pr>
                <w:rFonts w:eastAsia="Times New Roman"/>
                <w:color w:val="000000"/>
                <w:sz w:val="20"/>
              </w:rPr>
              <w:t>Lawrence Washington’</w:t>
            </w:r>
            <w:r w:rsidRPr="00105F9A">
              <w:rPr>
                <w:rFonts w:eastAsia="Times New Roman"/>
                <w:color w:val="000000"/>
                <w:sz w:val="20"/>
              </w:rPr>
              <w:t>s Inventory</w:t>
            </w:r>
          </w:p>
        </w:tc>
      </w:tr>
      <w:tr w:rsidR="008203A5" w:rsidRPr="00105F9A" w:rsidTr="00E91746">
        <w:trPr>
          <w:trHeight w:val="465"/>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1983[1]:229</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sz w:val="20"/>
              </w:rPr>
            </w:pPr>
            <w:r w:rsidRPr="00105F9A">
              <w:rPr>
                <w:rFonts w:eastAsia="Times New Roman"/>
                <w:sz w:val="20"/>
              </w:rPr>
              <w:t>1754</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Division of slaves after Lawrence Washington's death between the Washington brothers and George Lee</w:t>
            </w:r>
          </w:p>
        </w:tc>
      </w:tr>
      <w:tr w:rsidR="008203A5" w:rsidRPr="00105F9A" w:rsidTr="00E91746">
        <w:trPr>
          <w:trHeight w:val="465"/>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1983[1]:231</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[1754]</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 xml:space="preserve">Division of slaves after Lawrence Washington's death between the Washington brothers </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Washington 1750-1774</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Pr>
                <w:rFonts w:eastAsia="Times New Roman"/>
                <w:color w:val="000000"/>
                <w:sz w:val="20"/>
              </w:rPr>
              <w:t>1752</w:t>
            </w:r>
            <w:r w:rsidRPr="00105F9A">
              <w:rPr>
                <w:rFonts w:eastAsia="Times New Roman"/>
                <w:color w:val="000000"/>
                <w:sz w:val="20"/>
              </w:rPr>
              <w:t>-17</w:t>
            </w:r>
            <w:r>
              <w:rPr>
                <w:rFonts w:eastAsia="Times New Roman"/>
                <w:color w:val="000000"/>
                <w:sz w:val="20"/>
              </w:rPr>
              <w:t>71</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Ledger A</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1988[6]:217-220</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1759</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Pr>
                <w:rFonts w:eastAsia="Times New Roman"/>
                <w:color w:val="000000"/>
                <w:sz w:val="20"/>
              </w:rPr>
              <w:t>Daniel Parke Custis’</w:t>
            </w:r>
            <w:r w:rsidRPr="00105F9A">
              <w:rPr>
                <w:rFonts w:eastAsia="Times New Roman"/>
                <w:color w:val="000000"/>
                <w:sz w:val="20"/>
              </w:rPr>
              <w:t xml:space="preserve"> Inventory</w:t>
            </w:r>
          </w:p>
        </w:tc>
      </w:tr>
      <w:tr w:rsidR="008203A5" w:rsidRPr="00105F9A" w:rsidTr="00E91746">
        <w:trPr>
          <w:trHeight w:val="465"/>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1988[6]:282</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[1759]</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List of Household Slaves made after George and Martha Washington's Marriage</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1988[6]:428</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1760</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1990[7]:45</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1761</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548"/>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1990[7]:65-68</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1761</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Runaway Slave Ad</w:t>
            </w:r>
            <w:r w:rsidR="00124C3E">
              <w:rPr>
                <w:rFonts w:eastAsia="Times New Roman"/>
                <w:color w:val="000000"/>
                <w:sz w:val="20"/>
              </w:rPr>
              <w:t>vertisement</w:t>
            </w:r>
          </w:p>
        </w:tc>
      </w:tr>
      <w:tr w:rsidR="008203A5" w:rsidRPr="00105F9A" w:rsidTr="00E91746">
        <w:trPr>
          <w:trHeight w:val="53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1990[7]:172-174</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[1762]</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Division of sl</w:t>
            </w:r>
            <w:r>
              <w:rPr>
                <w:rFonts w:eastAsia="Times New Roman"/>
                <w:color w:val="000000"/>
                <w:sz w:val="20"/>
              </w:rPr>
              <w:t>aves after Ann (Washington) Lee’</w:t>
            </w:r>
            <w:r w:rsidRPr="00105F9A">
              <w:rPr>
                <w:rFonts w:eastAsia="Times New Roman"/>
                <w:color w:val="000000"/>
                <w:sz w:val="20"/>
              </w:rPr>
              <w:t>s death</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1990[7]:139</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1762</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476"/>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1990[7]:227-228</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1763</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1990[7]:313</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1764</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503"/>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1990[7]:314-316</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1764</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 xml:space="preserve">List of Slaves Sent to the Dismal Swamp </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Posey 1765</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1765</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Slaves Purchased by George Washington</w:t>
            </w:r>
          </w:p>
        </w:tc>
      </w:tr>
      <w:tr w:rsidR="008203A5" w:rsidRPr="00105F9A" w:rsidTr="00E91746">
        <w:trPr>
          <w:trHeight w:val="485"/>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1990[7]:376-377</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1765</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521"/>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1990[7]:442-443</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1766</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1990[7]:515-516</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1767</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1993[8]:104</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1768</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1993[8]:220-221</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1769</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1993[8]:356-357</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1770</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1993[8]:479-480</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1771</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1994[9]:54-55</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1772</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1994[9]:238-239</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1773</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r w:rsidR="008203A5" w:rsidRPr="00105F9A" w:rsidTr="00E91746">
        <w:trPr>
          <w:trHeight w:val="300"/>
        </w:trPr>
        <w:tc>
          <w:tcPr>
            <w:tcW w:w="32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Abbot and Twohig 1995[10]:137-138</w:t>
            </w:r>
          </w:p>
        </w:tc>
        <w:tc>
          <w:tcPr>
            <w:tcW w:w="720" w:type="dxa"/>
            <w:tcBorders>
              <w:top w:val="nil"/>
              <w:left w:val="nil"/>
              <w:bottom w:val="single" w:sz="4" w:space="0" w:color="auto"/>
              <w:right w:val="single" w:sz="4" w:space="0" w:color="auto"/>
            </w:tcBorders>
            <w:shd w:val="clear" w:color="auto" w:fill="auto"/>
            <w:noWrap/>
            <w:vAlign w:val="bottom"/>
            <w:hideMark/>
          </w:tcPr>
          <w:p w:rsidR="008203A5" w:rsidRPr="00105F9A" w:rsidRDefault="008203A5" w:rsidP="00E91746">
            <w:pPr>
              <w:jc w:val="center"/>
              <w:rPr>
                <w:rFonts w:eastAsia="Times New Roman"/>
                <w:color w:val="000000"/>
                <w:sz w:val="20"/>
              </w:rPr>
            </w:pPr>
            <w:r w:rsidRPr="00105F9A">
              <w:rPr>
                <w:rFonts w:eastAsia="Times New Roman"/>
                <w:color w:val="000000"/>
                <w:sz w:val="20"/>
              </w:rPr>
              <w:t>1774</w:t>
            </w:r>
          </w:p>
        </w:tc>
        <w:tc>
          <w:tcPr>
            <w:tcW w:w="4680"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Tithable list</w:t>
            </w:r>
          </w:p>
        </w:tc>
      </w:tr>
    </w:tbl>
    <w:p w:rsidR="008203A5" w:rsidRDefault="008203A5" w:rsidP="008203A5">
      <w:pPr>
        <w:ind w:firstLine="720"/>
        <w:rPr>
          <w:b/>
        </w:rPr>
      </w:pPr>
    </w:p>
    <w:p w:rsidR="008203A5" w:rsidRDefault="008203A5" w:rsidP="008203A5">
      <w:pPr>
        <w:spacing w:line="480" w:lineRule="auto"/>
        <w:ind w:firstLine="720"/>
      </w:pPr>
    </w:p>
    <w:p w:rsidR="008203A5" w:rsidRDefault="008203A5" w:rsidP="008203A5">
      <w:pPr>
        <w:spacing w:after="200" w:line="276" w:lineRule="auto"/>
      </w:pPr>
      <w:r>
        <w:br w:type="page"/>
      </w:r>
    </w:p>
    <w:p w:rsidR="008203A5" w:rsidRPr="004F7425" w:rsidRDefault="008203A5" w:rsidP="008203A5">
      <w:pPr>
        <w:spacing w:line="480" w:lineRule="auto"/>
        <w:rPr>
          <w:b/>
        </w:rPr>
      </w:pPr>
      <w:r>
        <w:rPr>
          <w:b/>
        </w:rPr>
        <w:lastRenderedPageBreak/>
        <w:t>Table 4-9</w:t>
      </w:r>
      <w:r w:rsidRPr="00995DB7">
        <w:rPr>
          <w:b/>
        </w:rPr>
        <w:t xml:space="preserve">. </w:t>
      </w:r>
      <w:r w:rsidRPr="004F7425">
        <w:t>Fields and descriptions recorded in the Mount Vernon slave dataset.</w:t>
      </w:r>
      <w:r>
        <w:t xml:space="preserve">  </w:t>
      </w:r>
    </w:p>
    <w:tbl>
      <w:tblPr>
        <w:tblW w:w="9467" w:type="dxa"/>
        <w:tblInd w:w="91" w:type="dxa"/>
        <w:tblLook w:val="04A0"/>
      </w:tblPr>
      <w:tblGrid>
        <w:gridCol w:w="2060"/>
        <w:gridCol w:w="7407"/>
      </w:tblGrid>
      <w:tr w:rsidR="008203A5" w:rsidRPr="00105F9A" w:rsidTr="00E91746">
        <w:trPr>
          <w:trHeight w:val="285"/>
        </w:trPr>
        <w:tc>
          <w:tcPr>
            <w:tcW w:w="2060"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8203A5" w:rsidRPr="00105F9A" w:rsidRDefault="008203A5" w:rsidP="00E91746">
            <w:pPr>
              <w:jc w:val="center"/>
              <w:rPr>
                <w:rFonts w:eastAsia="Times New Roman"/>
                <w:b/>
                <w:bCs/>
                <w:color w:val="000000"/>
                <w:sz w:val="20"/>
              </w:rPr>
            </w:pPr>
            <w:r w:rsidRPr="00105F9A">
              <w:rPr>
                <w:rFonts w:eastAsia="Times New Roman"/>
                <w:b/>
                <w:bCs/>
                <w:color w:val="000000"/>
                <w:sz w:val="20"/>
              </w:rPr>
              <w:t>Field Name</w:t>
            </w:r>
          </w:p>
        </w:tc>
        <w:tc>
          <w:tcPr>
            <w:tcW w:w="7407" w:type="dxa"/>
            <w:tcBorders>
              <w:top w:val="single" w:sz="4" w:space="0" w:color="auto"/>
              <w:left w:val="nil"/>
              <w:bottom w:val="single" w:sz="4" w:space="0" w:color="auto"/>
              <w:right w:val="single" w:sz="4" w:space="0" w:color="auto"/>
            </w:tcBorders>
            <w:shd w:val="clear" w:color="000000" w:fill="D8D8D8"/>
            <w:vAlign w:val="bottom"/>
            <w:hideMark/>
          </w:tcPr>
          <w:p w:rsidR="008203A5" w:rsidRPr="00105F9A" w:rsidRDefault="008203A5" w:rsidP="00E91746">
            <w:pPr>
              <w:jc w:val="center"/>
              <w:rPr>
                <w:rFonts w:eastAsia="Times New Roman"/>
                <w:b/>
                <w:bCs/>
                <w:color w:val="000000"/>
                <w:sz w:val="20"/>
              </w:rPr>
            </w:pPr>
            <w:r w:rsidRPr="00105F9A">
              <w:rPr>
                <w:rFonts w:eastAsia="Times New Roman"/>
                <w:b/>
                <w:bCs/>
                <w:color w:val="000000"/>
                <w:sz w:val="20"/>
              </w:rPr>
              <w:t>Description</w:t>
            </w:r>
          </w:p>
        </w:tc>
      </w:tr>
      <w:tr w:rsidR="008203A5" w:rsidRPr="00105F9A" w:rsidTr="00E91746">
        <w:trPr>
          <w:trHeight w:val="450"/>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Slave Name</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Record the slave name or best interpretation followed by the name as it actually appears.</w:t>
            </w:r>
          </w:p>
        </w:tc>
      </w:tr>
      <w:tr w:rsidR="008203A5" w:rsidRPr="00105F9A" w:rsidTr="00E91746">
        <w:trPr>
          <w:trHeight w:val="450"/>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Aka</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Mainly reserved for future use to record various spellings or other names by which the slave was called.</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Date of record</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Date of the source where the name appears.</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Value</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Value of the slave in pounds.shillings.pence.</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Age</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Age of the slave.</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Source</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Citation of the document in which the name appears.</w:t>
            </w:r>
          </w:p>
        </w:tc>
      </w:tr>
      <w:tr w:rsidR="008203A5" w:rsidRPr="00105F9A" w:rsidTr="00E91746">
        <w:trPr>
          <w:trHeight w:val="70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Number of appearance in document</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For lists, this is a sequential numbering of the individuals in the order they appear to retain context that will be otherwise lost in databasing or sorting. When mother and child are listed together, they both receive the same number.</w:t>
            </w:r>
          </w:p>
        </w:tc>
      </w:tr>
      <w:tr w:rsidR="008203A5" w:rsidRPr="00105F9A" w:rsidTr="00E91746">
        <w:trPr>
          <w:trHeight w:val="450"/>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Relationships</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List any known relationships. Eventually the hope is to break up this column by mother, father, child, etc.</w:t>
            </w:r>
          </w:p>
        </w:tc>
      </w:tr>
      <w:tr w:rsidR="008203A5" w:rsidRPr="00105F9A" w:rsidTr="00E91746">
        <w:trPr>
          <w:trHeight w:val="450"/>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 xml:space="preserve">From </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 xml:space="preserve">Previous owner or owners in chronological order from earliest to latest if multiple are known. </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To</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 xml:space="preserve">Final owner. </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Work Assignment</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Task to which the slave was assigned.</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Location</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Farm to which the slave was assigned.</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Dower?</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Enter "Y" if the slave is one of Martha Washington's dower slaves.</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Original Notes in document</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Enter any original notes found in the document in quotes.</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i/>
                <w:iCs/>
                <w:color w:val="000000"/>
                <w:sz w:val="20"/>
              </w:rPr>
              <w:t xml:space="preserve">Papers </w:t>
            </w:r>
            <w:r w:rsidRPr="00105F9A">
              <w:rPr>
                <w:rFonts w:eastAsia="Times New Roman"/>
                <w:color w:val="000000"/>
                <w:sz w:val="20"/>
              </w:rPr>
              <w:t>Notes</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 xml:space="preserve">Enter any editorial notes from the </w:t>
            </w:r>
            <w:r w:rsidRPr="00105F9A">
              <w:rPr>
                <w:rFonts w:eastAsia="Times New Roman"/>
                <w:i/>
                <w:iCs/>
                <w:color w:val="000000"/>
                <w:sz w:val="20"/>
              </w:rPr>
              <w:t>Papers</w:t>
            </w:r>
            <w:r w:rsidRPr="00105F9A">
              <w:rPr>
                <w:rFonts w:eastAsia="Times New Roman"/>
                <w:color w:val="000000"/>
                <w:sz w:val="20"/>
              </w:rPr>
              <w:t xml:space="preserve"> in quotes.</w:t>
            </w:r>
          </w:p>
        </w:tc>
      </w:tr>
      <w:tr w:rsidR="008203A5" w:rsidRPr="00105F9A" w:rsidTr="00E91746">
        <w:trPr>
          <w:trHeight w:val="285"/>
        </w:trPr>
        <w:tc>
          <w:tcPr>
            <w:tcW w:w="2060" w:type="dxa"/>
            <w:tcBorders>
              <w:top w:val="nil"/>
              <w:left w:val="single" w:sz="4" w:space="0" w:color="auto"/>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Notes, other</w:t>
            </w:r>
          </w:p>
        </w:tc>
        <w:tc>
          <w:tcPr>
            <w:tcW w:w="7407" w:type="dxa"/>
            <w:tcBorders>
              <w:top w:val="nil"/>
              <w:left w:val="nil"/>
              <w:bottom w:val="single" w:sz="4" w:space="0" w:color="auto"/>
              <w:right w:val="single" w:sz="4" w:space="0" w:color="auto"/>
            </w:tcBorders>
            <w:shd w:val="clear" w:color="auto" w:fill="auto"/>
            <w:vAlign w:val="bottom"/>
            <w:hideMark/>
          </w:tcPr>
          <w:p w:rsidR="008203A5" w:rsidRPr="00105F9A" w:rsidRDefault="008203A5" w:rsidP="00E91746">
            <w:pPr>
              <w:rPr>
                <w:rFonts w:eastAsia="Times New Roman"/>
                <w:color w:val="000000"/>
                <w:sz w:val="20"/>
              </w:rPr>
            </w:pPr>
            <w:r w:rsidRPr="00105F9A">
              <w:rPr>
                <w:rFonts w:eastAsia="Times New Roman"/>
                <w:color w:val="000000"/>
                <w:sz w:val="20"/>
              </w:rPr>
              <w:t>Enter any additional notes.</w:t>
            </w:r>
          </w:p>
        </w:tc>
      </w:tr>
    </w:tbl>
    <w:p w:rsidR="008203A5" w:rsidRDefault="008203A5" w:rsidP="008203A5">
      <w:pPr>
        <w:rPr>
          <w:b/>
        </w:rPr>
      </w:pPr>
    </w:p>
    <w:p w:rsidR="008203A5" w:rsidRDefault="008203A5" w:rsidP="008203A5">
      <w:pPr>
        <w:spacing w:line="480" w:lineRule="auto"/>
      </w:pPr>
      <w:r>
        <w:tab/>
      </w:r>
    </w:p>
    <w:p w:rsidR="008203A5" w:rsidRDefault="008203A5" w:rsidP="008203A5">
      <w:pPr>
        <w:spacing w:line="480" w:lineRule="auto"/>
        <w:ind w:firstLine="720"/>
      </w:pPr>
      <w:r w:rsidRPr="00A74F2A">
        <w:rPr>
          <w:i/>
        </w:rPr>
        <w:t xml:space="preserve">Internal watersheds. </w:t>
      </w:r>
      <w:r>
        <w:t>Though still in need of a full scale analysis, cobbling together these disparate sources on the enslaved community in conjunction with what is known about broader trends in slave imports and ethnicity during this period allow f</w:t>
      </w:r>
      <w:r w:rsidR="00123183">
        <w:t xml:space="preserve">or some tentative conclusions. </w:t>
      </w:r>
      <w:r>
        <w:t>What becomes immediately apparent from this list of documents is that we know very little about slaves who were purchased and more about those who came to Mount Vernon through life events suc</w:t>
      </w:r>
      <w:r w:rsidR="00123183">
        <w:t xml:space="preserve">h as marriage and inheritance. </w:t>
      </w:r>
      <w:r>
        <w:t>Specially, we do not know how the slaves that Lawrence Washington owned came to him except that he inherited some from his father (Toner 1891:13), though</w:t>
      </w:r>
      <w:r w:rsidR="00123183">
        <w:t xml:space="preserve"> presumably he purchased some. </w:t>
      </w:r>
      <w:r>
        <w:t>Additionally, the count and composition of the slave population first owned by Augustine and inherited by Lawrence is undocumented and therefore cannot be captured in this analy</w:t>
      </w:r>
      <w:r w:rsidR="00123183">
        <w:t xml:space="preserve">sis. </w:t>
      </w:r>
      <w:r>
        <w:t xml:space="preserve">With these caveats, the application of the historical </w:t>
      </w:r>
      <w:r>
        <w:lastRenderedPageBreak/>
        <w:t xml:space="preserve">creolization model does allow for some insights into the early generations of Mount Vernon’s slaves. </w:t>
      </w:r>
    </w:p>
    <w:p w:rsidR="008203A5" w:rsidRDefault="008203A5" w:rsidP="008203A5">
      <w:pPr>
        <w:spacing w:line="480" w:lineRule="auto"/>
        <w:ind w:firstLine="720"/>
      </w:pPr>
      <w:r>
        <w:t>Borrowing from Chamber’s (2005) historical creolization model, the development of Mount Vernon’s enslaved community is marked with similar generation types and ch</w:t>
      </w:r>
      <w:r w:rsidR="00123183">
        <w:t xml:space="preserve">aracteristics (see Table 4-5). </w:t>
      </w:r>
      <w:r>
        <w:t xml:space="preserve">The slaves that Augustine Washington brought with him to Mount Vernon, probably a small group, faced a period of adaptation to a new and undeveloped plantation and represent the </w:t>
      </w:r>
      <w:r w:rsidRPr="0073131A">
        <w:rPr>
          <w:b/>
        </w:rPr>
        <w:t>charter generation</w:t>
      </w:r>
      <w:r w:rsidR="00123183">
        <w:t xml:space="preserve">. </w:t>
      </w:r>
      <w:r>
        <w:t xml:space="preserve">Some of these individuals may have stayed on as part of Lawrence’s inheritance to continue to carve </w:t>
      </w:r>
      <w:r w:rsidR="00123183">
        <w:t xml:space="preserve">tobacco fields from the woods. </w:t>
      </w:r>
      <w:r>
        <w:t>Augustine’s slaves, purchased either from the Potomac or Rappahannock naval districts (in other words, either near Mount Vernon or closer to his properties on the Northern Neck) were probably a mix</w:t>
      </w:r>
      <w:r w:rsidR="00123183">
        <w:t xml:space="preserve"> of Senegambia and Igbo slaves.</w:t>
      </w:r>
      <w:r>
        <w:t xml:space="preserve"> As previously discussed, Senegambian ethnicity dominated imports to the upper Potomac region during Augusti</w:t>
      </w:r>
      <w:r w:rsidR="00123183">
        <w:t xml:space="preserve">ne’s tenure at Mount Vernon. </w:t>
      </w:r>
      <w:r>
        <w:t>Augustine probably also bought slaves imported into the Rappahannock Naval District in the periods calculated by Walsh (2001a:166-169, tabl</w:t>
      </w:r>
      <w:r w:rsidR="00123183">
        <w:t xml:space="preserve">e 1): 1719-1730 and 1731-1745. </w:t>
      </w:r>
      <w:r>
        <w:t>The first period saw more slaves from the Bight of Biaf</w:t>
      </w:r>
      <w:r w:rsidR="00123183">
        <w:t>ra, the latter from Senegambia.</w:t>
      </w:r>
      <w:r>
        <w:t xml:space="preserve"> Lawrence Washington inherited the slaves assigned to Little Hunting Creek from Augu</w:t>
      </w:r>
      <w:r w:rsidR="00123183">
        <w:t xml:space="preserve">stine in 1743 (Toner 1891:13). </w:t>
      </w:r>
      <w:r>
        <w:t>From the list of tithables taken just five years later, we know that Lawrence already owned 27 individuals, a larger num</w:t>
      </w:r>
      <w:r w:rsidR="00123183">
        <w:t xml:space="preserve">ber in the parish at the time. </w:t>
      </w:r>
      <w:r>
        <w:t>Speculatively, some were inherited from Augustine, some owned by his new wife, Ann</w:t>
      </w:r>
      <w:r w:rsidR="00123183">
        <w:t xml:space="preserve">, and some purchased outright. </w:t>
      </w:r>
      <w:r>
        <w:t>This was a period when imports to the upper Potomac region were dominated by the Bight of Biafra a</w:t>
      </w:r>
      <w:r w:rsidR="00123183">
        <w:t>s the region of origin.</w:t>
      </w:r>
      <w:r>
        <w:t xml:space="preserve"> The document dividing Lawrence’s slaves between Colonel Lee and the Washington brothers (Abbot 1983[1]:229) records the </w:t>
      </w:r>
      <w:r w:rsidRPr="0073131A">
        <w:rPr>
          <w:b/>
        </w:rPr>
        <w:t>creolizing generation</w:t>
      </w:r>
      <w:r>
        <w:t>, with the beginnings of family formations and the birth</w:t>
      </w:r>
      <w:r w:rsidR="00123183">
        <w:t xml:space="preserve"> of a locally born population. </w:t>
      </w:r>
      <w:r>
        <w:t>The list includes slaves with African-</w:t>
      </w:r>
      <w:r>
        <w:lastRenderedPageBreak/>
        <w:t>derived names, but also young c</w:t>
      </w:r>
      <w:r w:rsidR="00123183">
        <w:t xml:space="preserve">hildren, at least 7 out of 62. </w:t>
      </w:r>
      <w:r>
        <w:t>This emerging community was disrupted with the death of Lawrence and the dispersal of slaves to Colonel Lee’s and to the Washington brothers’ plantations, but 26 of these individuals continued on at Mount Vernon, either inherited o</w:t>
      </w:r>
      <w:r w:rsidR="00123183">
        <w:t xml:space="preserve">r leased by George Washington. </w:t>
      </w:r>
      <w:r>
        <w:t xml:space="preserve">Nine or ten of these individuals were children.  Of the 18 leased from Ann, Washington ultimately inherited 5 upon her death in 1762 (Abbot and Twohig 1990[7]:172-174).       </w:t>
      </w:r>
    </w:p>
    <w:p w:rsidR="008203A5" w:rsidRDefault="008203A5" w:rsidP="00CC25E1">
      <w:pPr>
        <w:spacing w:line="480" w:lineRule="auto"/>
        <w:ind w:firstLine="720"/>
      </w:pPr>
      <w:r>
        <w:t>The major internal watershed in the development of Mount Vernon’s enslaved community that occurred around the time of Ann’s death was George Washington’s marriage to Martha and the combini</w:t>
      </w:r>
      <w:r w:rsidR="00123183">
        <w:t xml:space="preserve">ng of two communities in 1759. </w:t>
      </w:r>
      <w:r>
        <w:t xml:space="preserve">From the slave census taken in 1786 (Abbot 1999[4]:528-540), we know that many of these adults intermarried as the </w:t>
      </w:r>
      <w:r w:rsidRPr="00D80471">
        <w:rPr>
          <w:b/>
        </w:rPr>
        <w:t>creolizing generation</w:t>
      </w:r>
      <w:r w:rsidR="00123183">
        <w:t xml:space="preserve"> continued. </w:t>
      </w:r>
      <w:r>
        <w:t>With Martha’s move from the lower tidewater region to the upper Potomac, she brought with her part of a community:</w:t>
      </w:r>
    </w:p>
    <w:p w:rsidR="008203A5" w:rsidRDefault="008203A5" w:rsidP="008203A5">
      <w:pPr>
        <w:spacing w:line="480" w:lineRule="auto"/>
        <w:ind w:left="720"/>
      </w:pPr>
      <w:r>
        <w:t>…from Parke and Custis family quarters along the York River and on the Eastern Shore, and these workers came from different backgrounds than most Af</w:t>
      </w:r>
      <w:r w:rsidR="00123183">
        <w:t xml:space="preserve">ricans brought to the Potomac. </w:t>
      </w:r>
      <w:r>
        <w:t>Three quarters of Africans transported into the York River in the 18</w:t>
      </w:r>
      <w:r w:rsidRPr="003C3A90">
        <w:rPr>
          <w:vertAlign w:val="superscript"/>
        </w:rPr>
        <w:t>th</w:t>
      </w:r>
      <w:r>
        <w:t xml:space="preserve"> century came from more southerly and easterly parts of Africa, the Bight of B</w:t>
      </w:r>
      <w:r w:rsidR="00123183">
        <w:t xml:space="preserve">iafra and West Central Africa. </w:t>
      </w:r>
      <w:r>
        <w:t>In the 1690s, Daniel Parke II bought slaves carried from the Bight of Biafra; and some of the new Africans John Custis purchased in the 1720s and 1730s prob</w:t>
      </w:r>
      <w:r w:rsidR="00123183">
        <w:t xml:space="preserve">ably came from the same </w:t>
      </w:r>
      <w:r w:rsidR="000E182D">
        <w:t>region. Laborers</w:t>
      </w:r>
      <w:r>
        <w:t xml:space="preserve"> whom Custis inherited from his father’s Eastern Shore plantations almost certainly included captives from Angola (or their descendants), and Custis probably purchased addition</w:t>
      </w:r>
      <w:r w:rsidR="00123183">
        <w:t xml:space="preserve">al Angolans in the late 1730s. </w:t>
      </w:r>
      <w:r>
        <w:t xml:space="preserve">A few others came from the Gold Coast (Walsh 2001c:53).  </w:t>
      </w:r>
    </w:p>
    <w:p w:rsidR="008203A5" w:rsidRDefault="008203A5" w:rsidP="008203A5">
      <w:pPr>
        <w:spacing w:line="480" w:lineRule="auto"/>
      </w:pPr>
      <w:r>
        <w:lastRenderedPageBreak/>
        <w:t>Who from this diverse lot came to Mount Vernon is the question, but we can infer that most of these individuals were</w:t>
      </w:r>
      <w:r w:rsidR="00123183">
        <w:t xml:space="preserve"> native born (Walsh 2001c:53). </w:t>
      </w:r>
      <w:r>
        <w:t xml:space="preserve">By ca. 1760, the slaves living on Mansion House Farm, the name of Washington’s homelot and adjacent fields, included a mix of dower and Washington-owned slaves assigned to skilled tasks including carpentry (9), shirtmaking (2), tanning (1), waiting (3), jobbing (1), cooking (2), ironing (1), laundering (1), cleaning (2), spinning (1), and sewing (1) (Abbot 1988[6]:282).    </w:t>
      </w:r>
    </w:p>
    <w:p w:rsidR="008203A5" w:rsidRDefault="008203A5" w:rsidP="008203A5">
      <w:pPr>
        <w:spacing w:line="480" w:lineRule="auto"/>
        <w:ind w:firstLine="720"/>
      </w:pPr>
      <w:r>
        <w:t>George Washington continued to purchase slaves between 1759 and 1775, many unnamed and unnumbered (Washington 1750-1774), but some</w:t>
      </w:r>
      <w:r w:rsidR="00123183">
        <w:t xml:space="preserve"> likely of Senegambian origin. </w:t>
      </w:r>
      <w:r>
        <w:t>Some of those slaves purchased during this period do not appear on the tithable lists suggesting that they were possibly assigned to other lands, such as the Dismal Swamp (Abbo</w:t>
      </w:r>
      <w:r w:rsidR="00123183">
        <w:t xml:space="preserve">t and Twohig 1990[7]:314-316). </w:t>
      </w:r>
      <w:r>
        <w:t xml:space="preserve">Of the slaves listed in the purchase by Washington from John Posey in 1765, only one name appears for the first time in the tithable list of 1766 – Winney (Abbot and Twohig 1990[7]:442-443 and Posey 1765).  </w:t>
      </w:r>
    </w:p>
    <w:p w:rsidR="008203A5" w:rsidRDefault="008203A5" w:rsidP="008203A5">
      <w:pPr>
        <w:spacing w:line="480" w:lineRule="auto"/>
        <w:ind w:firstLine="720"/>
      </w:pPr>
      <w:r>
        <w:t>The runaway slave advertisement placed in the summer of 1761 speaks to the creolizing nature of this generation and deserves some attention in light of this new analysis (Ab</w:t>
      </w:r>
      <w:r w:rsidR="0011637B">
        <w:t xml:space="preserve">bot and Twohig 1990[7]:65-68). </w:t>
      </w:r>
      <w:r>
        <w:t>In August of 1761, four men ran away from Mount Vernon plantation: Pe</w:t>
      </w:r>
      <w:r w:rsidR="0011637B">
        <w:t xml:space="preserve">ros, Jack, Neptune, and Cupid. </w:t>
      </w:r>
      <w:r>
        <w:t xml:space="preserve">Washington wrote that two of the men (Neptune and Cupid) were recent arrivals to colonial Virginia, being transported on “an </w:t>
      </w:r>
      <w:r w:rsidRPr="008D55EC">
        <w:rPr>
          <w:i/>
        </w:rPr>
        <w:t>African</w:t>
      </w:r>
      <w:r>
        <w:t xml:space="preserve"> ship in </w:t>
      </w:r>
      <w:r w:rsidRPr="008D55EC">
        <w:rPr>
          <w:i/>
        </w:rPr>
        <w:t>August</w:t>
      </w:r>
      <w:r w:rsidR="0011637B">
        <w:t xml:space="preserve"> 1759.” </w:t>
      </w:r>
      <w:r>
        <w:t>Jack was not on this ship, but was noted as a “Countryman” to Neptune and Cupid and had “Cuts down each Ch</w:t>
      </w:r>
      <w:r w:rsidR="0011637B">
        <w:t xml:space="preserve">eek, being his Country Marks.” </w:t>
      </w:r>
      <w:r>
        <w:t>Neptune was noted for his filed teeth and “small Marks or Dots running from both Sho</w:t>
      </w:r>
      <w:r w:rsidR="0011637B">
        <w:t xml:space="preserve">ulders down to his Waistband.” </w:t>
      </w:r>
      <w:r>
        <w:t>According to Washington, both Jack and Peros spoke fairly good English, Jack having been in the country for “several Years,” specifically in the lower tidewater county of Middle</w:t>
      </w:r>
      <w:r w:rsidR="0011637B">
        <w:t xml:space="preserve">sex. </w:t>
      </w:r>
      <w:r>
        <w:t xml:space="preserve">Peros’ place of birth is not </w:t>
      </w:r>
      <w:r>
        <w:lastRenderedPageBreak/>
        <w:t>mentioned, but as “little of his Country Dialect” remained, he might be assumed to be native born</w:t>
      </w:r>
      <w:r w:rsidR="00124C3E">
        <w:t xml:space="preserve"> or imported as a child</w:t>
      </w:r>
      <w:r w:rsidR="0011637B">
        <w:t xml:space="preserve">. </w:t>
      </w:r>
      <w:r>
        <w:t xml:space="preserve">He was also a former resident of Williamsburg in the lower tidewater.  </w:t>
      </w:r>
    </w:p>
    <w:p w:rsidR="008203A5" w:rsidRDefault="008203A5" w:rsidP="008203A5">
      <w:pPr>
        <w:spacing w:line="480" w:lineRule="auto"/>
        <w:ind w:firstLine="720"/>
      </w:pPr>
      <w:r>
        <w:t>Where did Jack, Neptune, and Cupid come from and how</w:t>
      </w:r>
      <w:r w:rsidR="0011637B">
        <w:t xml:space="preserve"> did they get to Mount Vernon? </w:t>
      </w:r>
      <w:r>
        <w:t>Documents pertaining to the purchase of Neptune and Cupid would have to fall between August of 1759 when their ship landed and August of 1761 wh</w:t>
      </w:r>
      <w:r w:rsidR="0011637B">
        <w:t xml:space="preserve">en they were reported missing. </w:t>
      </w:r>
      <w:r>
        <w:t>Abbot and Twohig (1990[7]:65-68, footnote 6) believe that no evidence of the pu</w:t>
      </w:r>
      <w:r w:rsidR="0011637B">
        <w:t xml:space="preserve">rchase of these slaves exists. </w:t>
      </w:r>
      <w:r>
        <w:t>In fact, the editors suggest that this transaction and others regarding slave purchases and sales must have been kept in an account book that does not survive, though this appears not t</w:t>
      </w:r>
      <w:r w:rsidR="0011637B">
        <w:t xml:space="preserve">o be the case (see Table 4-4). </w:t>
      </w:r>
      <w:r>
        <w:t>Sweig (1985:519) speculates that Neptune and Cupid could have been among the nine unnamed individuals purchased from C</w:t>
      </w:r>
      <w:r w:rsidR="00124C3E">
        <w:t>olonel Churchill in May of 1760;</w:t>
      </w:r>
      <w:r>
        <w:t xml:space="preserve"> the two runaways could have been among the nine (see Ta</w:t>
      </w:r>
      <w:r w:rsidR="0011637B">
        <w:t xml:space="preserve">ble 4-4). </w:t>
      </w:r>
      <w:r>
        <w:t>Neptune and</w:t>
      </w:r>
      <w:r w:rsidR="00A63B3C">
        <w:t>/or</w:t>
      </w:r>
      <w:r>
        <w:t xml:space="preserve"> Cupid could also have been purchased from Doctor Symmes for £60, al</w:t>
      </w:r>
      <w:r w:rsidR="0011637B">
        <w:t xml:space="preserve">so in May of 1760 (Table 4-4). </w:t>
      </w:r>
      <w:r>
        <w:t>Additionally, there is a letter dated to August 6, 1761, two days before the four men sought their freedom, in which Washington informed his factor Robert Cary that he has drawn a bill in the amount of £259 to be paid to Charles Graham, William Fitzhugh, and Benjamin Fendall of Calvert and Charles County, Maryland, for “Sundry Slaves wch I bought of those Gentn Yesterday” (Abbot and Twohig 1990[7]:</w:t>
      </w:r>
      <w:r w:rsidR="0011637B">
        <w:t xml:space="preserve">62). </w:t>
      </w:r>
      <w:r w:rsidRPr="00185046">
        <w:t xml:space="preserve">Ledger A </w:t>
      </w:r>
      <w:r>
        <w:t>recorded</w:t>
      </w:r>
      <w:r w:rsidRPr="00185046">
        <w:t xml:space="preserve"> this transaction in July of 1761 (Washington 1750-1774).</w:t>
      </w:r>
      <w:r w:rsidR="0011637B">
        <w:t xml:space="preserve"> </w:t>
      </w:r>
      <w:r>
        <w:t xml:space="preserve">Perhaps Neptune or Cupid were recent arrivals from Africa, arriving at Mount Vernon via Maryland, who, with nothing to lose and no ties to the community there, decided to take their chances and escape as a group.          </w:t>
      </w:r>
    </w:p>
    <w:p w:rsidR="008203A5" w:rsidRDefault="00124C3E" w:rsidP="008203A5">
      <w:pPr>
        <w:spacing w:line="480" w:lineRule="auto"/>
        <w:ind w:firstLine="720"/>
      </w:pPr>
      <w:r>
        <w:t>M</w:t>
      </w:r>
      <w:r w:rsidR="008203A5">
        <w:t xml:space="preserve">any questions remain about the purchase of these slaves.  Sweig (1985:519) attempted to discover their port of origin; however with the documentation available to him at the time, he </w:t>
      </w:r>
      <w:r w:rsidR="008203A5">
        <w:lastRenderedPageBreak/>
        <w:t>concluded that “no ship carrying slaves entered at South P</w:t>
      </w:r>
      <w:r w:rsidR="0011637B">
        <w:t xml:space="preserve">otomac between 1754 and 1760.” </w:t>
      </w:r>
      <w:r w:rsidR="008203A5">
        <w:t xml:space="preserve">In light of new evidence offered by the </w:t>
      </w:r>
      <w:r w:rsidR="008203A5" w:rsidRPr="0068757A">
        <w:rPr>
          <w:i/>
        </w:rPr>
        <w:t>Trans-Atlantic Slave Database</w:t>
      </w:r>
      <w:r w:rsidR="008203A5">
        <w:t xml:space="preserve"> (Voyages Database 2009b, 2009c, 2009d), we now know that one ship did enter this port during this period: the </w:t>
      </w:r>
      <w:r w:rsidR="008203A5" w:rsidRPr="00264A49">
        <w:rPr>
          <w:i/>
        </w:rPr>
        <w:t>Mildred</w:t>
      </w:r>
      <w:r w:rsidR="0011637B">
        <w:t xml:space="preserve"> (see Table 4-6). </w:t>
      </w:r>
      <w:r w:rsidR="008203A5">
        <w:t xml:space="preserve">However, she did not arrive until the end of September 1759 and according to George Washington, Neptune and </w:t>
      </w:r>
      <w:r w:rsidR="0011637B">
        <w:t xml:space="preserve">Cupid arrived a month earlier. </w:t>
      </w:r>
      <w:r w:rsidR="008203A5">
        <w:t xml:space="preserve">Again, data contained in the </w:t>
      </w:r>
      <w:r w:rsidR="008203A5" w:rsidRPr="00955A2F">
        <w:rPr>
          <w:i/>
        </w:rPr>
        <w:t>Trans-Atlantic Slave Database</w:t>
      </w:r>
      <w:r w:rsidR="008203A5">
        <w:t xml:space="preserve"> not available to Sweig document two ships entering the North Potomac district in 1759: </w:t>
      </w:r>
      <w:r w:rsidR="008203A5" w:rsidRPr="00264A49">
        <w:rPr>
          <w:i/>
        </w:rPr>
        <w:t>Venus</w:t>
      </w:r>
      <w:r w:rsidR="008203A5">
        <w:t xml:space="preserve"> and </w:t>
      </w:r>
      <w:r w:rsidR="008203A5" w:rsidRPr="00264A49">
        <w:rPr>
          <w:i/>
        </w:rPr>
        <w:t>True Blue</w:t>
      </w:r>
      <w:r w:rsidR="0011637B">
        <w:t xml:space="preserve">. </w:t>
      </w:r>
      <w:r w:rsidR="008203A5">
        <w:t>Both arrived on August 16 and could, therefore, represent Washington’s purchase of slaves brought to Maryland to avoid duties and one of the ships carrying Neptune and Cupid</w:t>
      </w:r>
      <w:r w:rsidR="0011637B">
        <w:t xml:space="preserve">. </w:t>
      </w:r>
      <w:r w:rsidR="008203A5">
        <w:t xml:space="preserve">The </w:t>
      </w:r>
      <w:r w:rsidR="008203A5" w:rsidRPr="00955A2F">
        <w:rPr>
          <w:i/>
        </w:rPr>
        <w:t>Venus</w:t>
      </w:r>
      <w:r w:rsidR="008203A5">
        <w:t xml:space="preserve"> left an African port in Senegambia, while the </w:t>
      </w:r>
      <w:r w:rsidR="008203A5" w:rsidRPr="00955A2F">
        <w:rPr>
          <w:i/>
        </w:rPr>
        <w:t>True Blue</w:t>
      </w:r>
      <w:r w:rsidR="0011637B">
        <w:t xml:space="preserve"> came from the Gold Coast. </w:t>
      </w:r>
      <w:r w:rsidR="008203A5">
        <w:t xml:space="preserve">Clues contained in the runaway advertisement tentatively suggest that the countrymen were from Senegambia and, therefore, that Neptune and Cupid arrived on the </w:t>
      </w:r>
      <w:r w:rsidR="008203A5" w:rsidRPr="00BE534D">
        <w:rPr>
          <w:i/>
        </w:rPr>
        <w:t>Venus</w:t>
      </w:r>
      <w:r w:rsidR="0011637B">
        <w:t xml:space="preserve">. </w:t>
      </w:r>
      <w:r w:rsidR="008203A5">
        <w:t>While the tooth mutilation observed on Neptune was a common practice through</w:t>
      </w:r>
      <w:r>
        <w:t>out</w:t>
      </w:r>
      <w:r w:rsidR="008203A5">
        <w:t xml:space="preserve"> West and West Central Africa (Handler 1994), “country marks” or facial scarification was repeatedly observed by plantation owners in runaway advertisements for Gambian slaves (Gomez 1998:39). </w:t>
      </w:r>
    </w:p>
    <w:p w:rsidR="008203A5" w:rsidRDefault="008203A5" w:rsidP="008203A5">
      <w:pPr>
        <w:spacing w:line="480" w:lineRule="auto"/>
        <w:ind w:firstLine="720"/>
      </w:pPr>
      <w:r>
        <w:t>Jack and Neptune were not the only individual</w:t>
      </w:r>
      <w:r w:rsidR="0011637B">
        <w:t>s noted for body modifications.</w:t>
      </w:r>
      <w:r>
        <w:t xml:space="preserve"> Sambo Anderson, a slave of unknown arrival date to Mount Vernon, exhibited facial tatt</w:t>
      </w:r>
      <w:r w:rsidR="0011637B">
        <w:t xml:space="preserve">oos and scarification as well. </w:t>
      </w:r>
      <w:r>
        <w:t>Sambo first appears in the documentary records in 1781, when he is assume</w:t>
      </w:r>
      <w:r w:rsidR="0011637B">
        <w:t xml:space="preserve">d to be about 20 years of age. </w:t>
      </w:r>
      <w:r>
        <w:t>Sambo often claimed he was the son of a king, harkening</w:t>
      </w:r>
      <w:r w:rsidR="0011637B">
        <w:t xml:space="preserve"> back to his African heritage. </w:t>
      </w:r>
      <w:r>
        <w:t>The name Sambo, an iteration of the name Samba, was common to the Hausa people of current northwestern Nigeria and southern Niger, used to denote a se</w:t>
      </w:r>
      <w:r w:rsidR="0011637B">
        <w:t xml:space="preserve">cond-born son (Gomez 1998:69). </w:t>
      </w:r>
      <w:r>
        <w:t>The Hausa were heavily influenced by the Arabic language and Islamic religion – perhaps</w:t>
      </w:r>
      <w:r w:rsidR="0011637B">
        <w:t xml:space="preserve"> Sambo was a practicing Muslim.</w:t>
      </w:r>
      <w:r>
        <w:t xml:space="preserve"> The name was also given to children </w:t>
      </w:r>
      <w:r>
        <w:lastRenderedPageBreak/>
        <w:t>of other ethnic g</w:t>
      </w:r>
      <w:r w:rsidR="0011637B">
        <w:t>roups in this area.</w:t>
      </w:r>
      <w:r>
        <w:t xml:space="preserve"> Lawrence Washington’s 1754 division of slaves document lists a Sambo who was subsequently inherited by George W</w:t>
      </w:r>
      <w:r w:rsidR="0011637B">
        <w:t xml:space="preserve">ashington’s brother Augustine. </w:t>
      </w:r>
      <w:r>
        <w:t>Perhaps this Sambo too originated in the hint</w:t>
      </w:r>
      <w:r w:rsidR="0011637B">
        <w:t xml:space="preserve">erlands of the Gulf of Guinea. </w:t>
      </w:r>
      <w:r>
        <w:t>Sambo Anderson was known to have arrived in the colonies on the same ship as another indiv</w:t>
      </w:r>
      <w:r w:rsidR="0011637B">
        <w:t xml:space="preserve">idual with a distinctive name. </w:t>
      </w:r>
      <w:r>
        <w:t xml:space="preserve">Simon Washington was originally variously </w:t>
      </w:r>
      <w:r w:rsidR="00124C3E">
        <w:t xml:space="preserve">called </w:t>
      </w:r>
      <w:r w:rsidR="0011637B">
        <w:t xml:space="preserve">Huntemah or Funty Munty. </w:t>
      </w:r>
      <w:r>
        <w:t xml:space="preserve">No evidence has yet come to light in regards to Simon’s original name, but given his connection to Sambo, it is possible that they shared the same ethnic origins (Thompson 2006).     </w:t>
      </w:r>
    </w:p>
    <w:p w:rsidR="008203A5" w:rsidRDefault="008203A5" w:rsidP="008203A5">
      <w:pPr>
        <w:spacing w:line="480" w:lineRule="auto"/>
        <w:ind w:firstLine="720"/>
      </w:pPr>
      <w:r>
        <w:t>We are afforded the slightest glimpse of additional potential Islamic cultural influences</w:t>
      </w:r>
      <w:r w:rsidR="0011637B">
        <w:t xml:space="preserve"> within the enslaved community.</w:t>
      </w:r>
      <w:r>
        <w:t xml:space="preserve"> Generally, parts of Senegambia to which many slaves brought to the upper Potomac region could trace their ethnic origins practiced t</w:t>
      </w:r>
      <w:r w:rsidR="0011637B">
        <w:t xml:space="preserve">he Islamic faith (Gomez 1998). </w:t>
      </w:r>
      <w:r>
        <w:t>Specifically, George Washington’s tithables list of 1774 records two female slaves assigned to Mill farm: Fatimer an</w:t>
      </w:r>
      <w:r w:rsidR="0011637B">
        <w:t xml:space="preserve">d little Fatimer. </w:t>
      </w:r>
      <w:r>
        <w:t xml:space="preserve">The name </w:t>
      </w:r>
      <w:r w:rsidR="00124C3E">
        <w:t>probably</w:t>
      </w:r>
      <w:r>
        <w:t xml:space="preserve"> derives from the popular Muslim woman’s name, Fatima, me</w:t>
      </w:r>
      <w:r w:rsidR="0011637B">
        <w:t xml:space="preserve">aning “Shining One” in Arabic. </w:t>
      </w:r>
      <w:r>
        <w:t>The Prophet Mohammed’s daughter was</w:t>
      </w:r>
      <w:r w:rsidR="0011637B">
        <w:t xml:space="preserve"> named Fatima (Thompson 2006). </w:t>
      </w:r>
      <w:r>
        <w:t>The tithable list is the only surviving reference to either of t</w:t>
      </w:r>
      <w:r w:rsidR="0011637B">
        <w:t xml:space="preserve">hese individuals. </w:t>
      </w:r>
      <w:r>
        <w:t>Though past our period of interest, it appears that Fatimer and little Fatimer may not have been the only slaves whose na</w:t>
      </w:r>
      <w:r w:rsidR="0011637B">
        <w:t xml:space="preserve">mes denote Islamic traditions. </w:t>
      </w:r>
      <w:r>
        <w:t xml:space="preserve">In 1800, a slave named Letty assigned to Muddy Hole Farm had a daughter named Nila. This name is a known version of an Islamic woman’s name, Naailah, meaning “someone who acquires something” or “someone who gets what they want” (Thompson 2006).  </w:t>
      </w:r>
    </w:p>
    <w:p w:rsidR="00A63B3C" w:rsidRDefault="00A63B3C" w:rsidP="008203A5">
      <w:pPr>
        <w:spacing w:line="480" w:lineRule="auto"/>
        <w:ind w:firstLine="720"/>
      </w:pPr>
      <w:r>
        <w:t>What became of Pe</w:t>
      </w:r>
      <w:r w:rsidR="0011637B">
        <w:t xml:space="preserve">ros, Jack, Neptune, and Cupid? </w:t>
      </w:r>
      <w:r>
        <w:t>Recorded in the tithable list of June 176</w:t>
      </w:r>
      <w:r w:rsidR="00946B5B">
        <w:t>2</w:t>
      </w:r>
      <w:r>
        <w:t xml:space="preserve">, submitted 10 months after the runaway advertisement was placed, were the names Cupid, Jack, and Peros – suggesting that their attempts to seek freedom were </w:t>
      </w:r>
      <w:r w:rsidR="00CD76C2">
        <w:t>quickly thwarted</w:t>
      </w:r>
      <w:r>
        <w:t xml:space="preserve"> (Abbot and </w:t>
      </w:r>
      <w:r w:rsidR="0011637B">
        <w:t>Twohig 1990[7]:67, footnote 1).</w:t>
      </w:r>
      <w:r>
        <w:t xml:space="preserve"> </w:t>
      </w:r>
      <w:r w:rsidR="00946B5B">
        <w:t xml:space="preserve">Neptune’s temporary disappearance from the tithables list </w:t>
      </w:r>
      <w:r w:rsidR="0011637B">
        <w:lastRenderedPageBreak/>
        <w:t xml:space="preserve">portrays a different fate. </w:t>
      </w:r>
      <w:r w:rsidR="00946B5B">
        <w:t>However, he too was recaptured sometime before the summer of 1766, as his name reappears in th</w:t>
      </w:r>
      <w:r w:rsidR="0011637B">
        <w:t xml:space="preserve">e tithable list for that year. </w:t>
      </w:r>
      <w:r w:rsidR="00CD76C2">
        <w:t xml:space="preserve">We know that Neptune made it at least as far as Maryland before he was caught and </w:t>
      </w:r>
      <w:r w:rsidR="0011637B">
        <w:t xml:space="preserve">imprisoned. </w:t>
      </w:r>
      <w:r w:rsidR="00946B5B">
        <w:t xml:space="preserve">George Washington paid Joseph Davenport £3.7.3 in cash for “Prison Fees in Maryld Neptune” (Abbot and Twohig 1990[7]:67, footnote 4).  </w:t>
      </w:r>
      <w:r>
        <w:t xml:space="preserve">     </w:t>
      </w:r>
    </w:p>
    <w:p w:rsidR="008203A5" w:rsidRPr="00287F04" w:rsidRDefault="008203A5" w:rsidP="008203A5">
      <w:pPr>
        <w:spacing w:line="480" w:lineRule="auto"/>
        <w:ind w:firstLine="720"/>
      </w:pPr>
      <w:r>
        <w:t>Based on this work with disparate documents relating to Mount Vernon’s first slaves, we can characterize the pre-1775 enslaved community as two generations – t</w:t>
      </w:r>
      <w:r w:rsidR="0011637B">
        <w:t xml:space="preserve">he charter and the creolizing. </w:t>
      </w:r>
      <w:r>
        <w:t>Our ability to conjecture that the creolizing generation transformed from just one ethnicity is too simplistic in</w:t>
      </w:r>
      <w:r w:rsidR="0011637B">
        <w:t xml:space="preserve"> light of internal watersheds. </w:t>
      </w:r>
      <w:r>
        <w:t xml:space="preserve">Unlike the plantations studied by Chambers (2005) and Walsh (1997), Mount Vernon’s enslaved community most likely evolved from multi-ethnic influences.   </w:t>
      </w:r>
    </w:p>
    <w:p w:rsidR="008203A5" w:rsidRDefault="008203A5" w:rsidP="008203A5">
      <w:pPr>
        <w:spacing w:line="480" w:lineRule="auto"/>
        <w:ind w:firstLine="720"/>
      </w:pPr>
      <w:r w:rsidRPr="008D3D06">
        <w:rPr>
          <w:i/>
        </w:rPr>
        <w:t>Future research.</w:t>
      </w:r>
      <w:r>
        <w:t xml:space="preserve"> There is much more work that needs to be done in parsing out the early Mount Vernon slave community both in the real</w:t>
      </w:r>
      <w:r w:rsidR="0011637B">
        <w:t xml:space="preserve">ms of data entry and analysis. </w:t>
      </w:r>
      <w:r>
        <w:t>The next steps in this research vein could include the following:</w:t>
      </w:r>
    </w:p>
    <w:p w:rsidR="008203A5" w:rsidRDefault="008203A5" w:rsidP="008203A5">
      <w:pPr>
        <w:spacing w:line="480" w:lineRule="auto"/>
      </w:pPr>
      <w:r>
        <w:t>1) Inputting Thompson’s (2013) extensive research.</w:t>
      </w:r>
    </w:p>
    <w:p w:rsidR="008203A5" w:rsidRDefault="008203A5" w:rsidP="008203A5">
      <w:pPr>
        <w:spacing w:line="480" w:lineRule="auto"/>
      </w:pPr>
      <w:r>
        <w:t xml:space="preserve">2) Inputting any additional documentary data as necessary (for example, information contained in footnotes to the </w:t>
      </w:r>
      <w:r w:rsidRPr="00911BAC">
        <w:rPr>
          <w:i/>
        </w:rPr>
        <w:t>Papers of George Washington</w:t>
      </w:r>
      <w:r w:rsidRPr="00035D1D">
        <w:t xml:space="preserve"> </w:t>
      </w:r>
      <w:r>
        <w:t>or data from Washington’s financial records and other papers that record the micro-events of slaves’ lives including doctors visits and economic transactions between master and slave).</w:t>
      </w:r>
    </w:p>
    <w:p w:rsidR="008203A5" w:rsidRPr="00182858" w:rsidRDefault="008203A5" w:rsidP="008203A5">
      <w:pPr>
        <w:spacing w:line="480" w:lineRule="auto"/>
      </w:pPr>
      <w:r>
        <w:t xml:space="preserve">3) Meshing all the interpreted data into an online, searchable database that presents a true prosopography of this richly documented and deeply contextualized community.  </w:t>
      </w:r>
    </w:p>
    <w:p w:rsidR="00BC3A31" w:rsidRDefault="00BC3A31">
      <w:pPr>
        <w:rPr>
          <w:b/>
        </w:rPr>
      </w:pPr>
      <w:r>
        <w:rPr>
          <w:b/>
        </w:rPr>
        <w:br w:type="page"/>
      </w:r>
    </w:p>
    <w:p w:rsidR="008203A5" w:rsidRDefault="008203A5" w:rsidP="008203A5">
      <w:pPr>
        <w:spacing w:line="480" w:lineRule="auto"/>
        <w:rPr>
          <w:b/>
        </w:rPr>
      </w:pPr>
      <w:r>
        <w:rPr>
          <w:b/>
        </w:rPr>
        <w:lastRenderedPageBreak/>
        <w:t>Conclusions</w:t>
      </w:r>
    </w:p>
    <w:p w:rsidR="008203A5" w:rsidRDefault="008203A5" w:rsidP="008203A5">
      <w:pPr>
        <w:spacing w:line="480" w:lineRule="auto"/>
      </w:pPr>
      <w:r>
        <w:rPr>
          <w:b/>
        </w:rPr>
        <w:tab/>
      </w:r>
      <w:r>
        <w:t>Over the course of the eighteenth century, the upper Potomac Region saw vast transformations in the economy, agricu</w:t>
      </w:r>
      <w:r w:rsidR="0011637B">
        <w:t>lture, demography, and culture.</w:t>
      </w:r>
      <w:r>
        <w:t xml:space="preserve"> Towns and the networks that connected plantations to these social and economic centers g</w:t>
      </w:r>
      <w:r w:rsidR="0011637B">
        <w:t xml:space="preserve">rew rapidly after mid-century. </w:t>
      </w:r>
      <w:r>
        <w:t xml:space="preserve">Both white and black populations steadily increased as the promise of a new, more profitable agricultural enterprise in the form of mixed grain cultivation drew settlers and their enslaved </w:t>
      </w:r>
      <w:r w:rsidR="0011637B">
        <w:t xml:space="preserve">laborers to northern Virginia. </w:t>
      </w:r>
      <w:r>
        <w:t xml:space="preserve">These increasingly mobile, interconnected, and native-born enslaved communities tended to live on large plantations along the Potomac River with absentee owners whose primary residence was typically farther south, although not in the case of </w:t>
      </w:r>
      <w:r w:rsidR="0011637B">
        <w:t xml:space="preserve">Lawrence or George Washington. </w:t>
      </w:r>
      <w:r>
        <w:t xml:space="preserve">The Washingtons first settled in what would become Fairfax County in the late seventeenth century and the family began to grow and prosper, with each generation </w:t>
      </w:r>
      <w:r w:rsidR="0011637B">
        <w:t xml:space="preserve">more successful than the last. </w:t>
      </w:r>
      <w:r>
        <w:t xml:space="preserve">They did so through investments in land and labor, the maintenance of connections back to England, military successes, political prominence, and fortuitous marriage </w:t>
      </w:r>
      <w:r w:rsidR="0011637B">
        <w:t xml:space="preserve">alliances. </w:t>
      </w:r>
      <w:r>
        <w:t xml:space="preserve">Their prosperity was reflected in the development of Mount Vernon plantation </w:t>
      </w:r>
      <w:r w:rsidR="0011637B">
        <w:t xml:space="preserve">– in acreage and architecture. </w:t>
      </w:r>
      <w:r>
        <w:t xml:space="preserve">Though there is much more work in terms of documentary and archaeological research to be conducted, the conjectural evolution of the Mount Vernon homelot shows a trend towards specialization and self-sufficiency of labor that occurred around the mansion and formalization and elaboration of landscape elements.   </w:t>
      </w:r>
    </w:p>
    <w:p w:rsidR="008203A5" w:rsidRDefault="008203A5" w:rsidP="008203A5">
      <w:pPr>
        <w:spacing w:line="480" w:lineRule="auto"/>
      </w:pPr>
      <w:r>
        <w:tab/>
        <w:t>The earliest generations of enslaved individuals residing at Mount Vernon, in the House for Families slave quarter, surrounding outbuildings, and outlying quarters, coalesced through a complex combination of micro-events – purchase, marriage, and bequest – and m</w:t>
      </w:r>
      <w:r w:rsidR="0011637B">
        <w:t xml:space="preserve">acro, transatlantic processes. </w:t>
      </w:r>
      <w:r>
        <w:t xml:space="preserve">Before coming to Mount Vernon, some of these individuals had resided nearby in the lower Chesapeake and Maryland, some had journeyed from as far away as </w:t>
      </w:r>
      <w:r>
        <w:lastRenderedPageBreak/>
        <w:t xml:space="preserve">Senegambia, and </w:t>
      </w:r>
      <w:r w:rsidR="0011637B">
        <w:t xml:space="preserve">many more from places unknown. </w:t>
      </w:r>
      <w:r>
        <w:t xml:space="preserve">A more detailed look at the formation processes of this one community in light of broader patterns of African ethnicities present in this region suggest that these first generations </w:t>
      </w:r>
      <w:r w:rsidR="009B458D">
        <w:t xml:space="preserve">of individuals creolized from </w:t>
      </w:r>
      <w:r>
        <w:t xml:space="preserve">not a single African ethnicity, but from a multi-ethnic base.      </w:t>
      </w:r>
    </w:p>
    <w:p w:rsidR="008203A5" w:rsidRDefault="008203A5" w:rsidP="008203A5">
      <w:pPr>
        <w:spacing w:after="200" w:line="276" w:lineRule="auto"/>
      </w:pPr>
      <w:r>
        <w:br w:type="page"/>
      </w:r>
    </w:p>
    <w:p w:rsidR="008203A5" w:rsidRDefault="008203A5" w:rsidP="00BE6873">
      <w:pPr>
        <w:spacing w:line="480" w:lineRule="auto"/>
        <w:jc w:val="center"/>
        <w:rPr>
          <w:b/>
        </w:rPr>
      </w:pPr>
      <w:r w:rsidRPr="005F5F0C">
        <w:rPr>
          <w:b/>
        </w:rPr>
        <w:lastRenderedPageBreak/>
        <w:t>Chapter 5: George Washington’s Invoices and Orders</w:t>
      </w:r>
    </w:p>
    <w:p w:rsidR="008203A5" w:rsidRDefault="008203A5" w:rsidP="008203A5">
      <w:pPr>
        <w:spacing w:line="480" w:lineRule="auto"/>
        <w:ind w:firstLine="720"/>
        <w:rPr>
          <w:rStyle w:val="normal0"/>
        </w:rPr>
      </w:pPr>
      <w:r>
        <w:rPr>
          <w:rStyle w:val="normal0"/>
        </w:rPr>
        <w:t>T</w:t>
      </w:r>
      <w:r w:rsidRPr="00506A4E">
        <w:rPr>
          <w:rStyle w:val="normal0"/>
        </w:rPr>
        <w:t xml:space="preserve">he majority of ceramics that graced </w:t>
      </w:r>
      <w:r>
        <w:rPr>
          <w:rStyle w:val="normal0"/>
        </w:rPr>
        <w:t>Lawrence and George Washington’s</w:t>
      </w:r>
      <w:r w:rsidRPr="00506A4E">
        <w:rPr>
          <w:rStyle w:val="normal0"/>
        </w:rPr>
        <w:t xml:space="preserve"> table</w:t>
      </w:r>
      <w:r>
        <w:rPr>
          <w:rStyle w:val="normal0"/>
        </w:rPr>
        <w:t>s</w:t>
      </w:r>
      <w:r w:rsidRPr="00506A4E">
        <w:rPr>
          <w:rStyle w:val="normal0"/>
        </w:rPr>
        <w:t xml:space="preserve">, books that lined </w:t>
      </w:r>
      <w:r>
        <w:rPr>
          <w:rStyle w:val="normal0"/>
        </w:rPr>
        <w:t>their</w:t>
      </w:r>
      <w:r w:rsidRPr="00506A4E">
        <w:rPr>
          <w:rStyle w:val="normal0"/>
        </w:rPr>
        <w:t xml:space="preserve"> shelves, and even </w:t>
      </w:r>
      <w:r w:rsidR="00F873FE">
        <w:rPr>
          <w:rStyle w:val="normal0"/>
        </w:rPr>
        <w:t xml:space="preserve">lead </w:t>
      </w:r>
      <w:r w:rsidRPr="00506A4E">
        <w:rPr>
          <w:rStyle w:val="normal0"/>
        </w:rPr>
        <w:t xml:space="preserve">shot that filled </w:t>
      </w:r>
      <w:r>
        <w:rPr>
          <w:rStyle w:val="normal0"/>
        </w:rPr>
        <w:t>their</w:t>
      </w:r>
      <w:r w:rsidRPr="00506A4E">
        <w:rPr>
          <w:rStyle w:val="normal0"/>
        </w:rPr>
        <w:t xml:space="preserve"> </w:t>
      </w:r>
      <w:r w:rsidR="00F873FE">
        <w:rPr>
          <w:rStyle w:val="normal0"/>
        </w:rPr>
        <w:t>rifles</w:t>
      </w:r>
      <w:r w:rsidRPr="00506A4E">
        <w:rPr>
          <w:rStyle w:val="normal0"/>
        </w:rPr>
        <w:t xml:space="preserve"> made the trans-Atlantic voyage directly and were not purchased </w:t>
      </w:r>
      <w:r>
        <w:rPr>
          <w:rStyle w:val="normal0"/>
        </w:rPr>
        <w:t>from</w:t>
      </w:r>
      <w:r w:rsidRPr="00506A4E">
        <w:rPr>
          <w:rStyle w:val="normal0"/>
        </w:rPr>
        <w:t xml:space="preserve"> </w:t>
      </w:r>
      <w:r>
        <w:rPr>
          <w:rStyle w:val="normal0"/>
        </w:rPr>
        <w:t xml:space="preserve">local </w:t>
      </w:r>
      <w:r w:rsidR="009E2F39">
        <w:rPr>
          <w:rStyle w:val="normal0"/>
        </w:rPr>
        <w:t xml:space="preserve">stores before c. 1775. </w:t>
      </w:r>
      <w:r w:rsidRPr="00506A4E">
        <w:rPr>
          <w:rStyle w:val="normal0"/>
        </w:rPr>
        <w:t xml:space="preserve">The consignment system operated such that large-scale planters like </w:t>
      </w:r>
      <w:r>
        <w:rPr>
          <w:rStyle w:val="normal0"/>
        </w:rPr>
        <w:t>the</w:t>
      </w:r>
      <w:r w:rsidRPr="00506A4E">
        <w:rPr>
          <w:rStyle w:val="normal0"/>
        </w:rPr>
        <w:t xml:space="preserve"> Washington </w:t>
      </w:r>
      <w:r>
        <w:rPr>
          <w:rStyle w:val="normal0"/>
        </w:rPr>
        <w:t xml:space="preserve">brothers </w:t>
      </w:r>
      <w:r w:rsidRPr="00506A4E">
        <w:rPr>
          <w:rStyle w:val="normal0"/>
        </w:rPr>
        <w:t xml:space="preserve">had direct access to goods from London, Bristol, and </w:t>
      </w:r>
      <w:r>
        <w:rPr>
          <w:rStyle w:val="normal0"/>
        </w:rPr>
        <w:t>Liverpool</w:t>
      </w:r>
      <w:r w:rsidRPr="00506A4E">
        <w:rPr>
          <w:rStyle w:val="normal0"/>
        </w:rPr>
        <w:t xml:space="preserve"> through their business relationships with agents like Robert Cary </w:t>
      </w:r>
      <w:r w:rsidR="000A2271">
        <w:rPr>
          <w:rStyle w:val="normal0"/>
        </w:rPr>
        <w:t>&amp;</w:t>
      </w:r>
      <w:r w:rsidRPr="00506A4E">
        <w:rPr>
          <w:rStyle w:val="normal0"/>
        </w:rPr>
        <w:t xml:space="preserve"> Company, Thomas Knox, and Richa</w:t>
      </w:r>
      <w:r w:rsidR="009E2F39">
        <w:rPr>
          <w:rStyle w:val="normal0"/>
        </w:rPr>
        <w:t xml:space="preserve">rd Washington (Ragsdale 1989). </w:t>
      </w:r>
      <w:r>
        <w:rPr>
          <w:rStyle w:val="normal0"/>
        </w:rPr>
        <w:t>Because of who George Washington was, we have an extensive documentary record of his orders and invoices for goods, perhaps the largest k</w:t>
      </w:r>
      <w:r w:rsidR="009E2F39">
        <w:rPr>
          <w:rStyle w:val="normal0"/>
        </w:rPr>
        <w:t xml:space="preserve">nown complete set of its kind. </w:t>
      </w:r>
      <w:r>
        <w:rPr>
          <w:rStyle w:val="normal0"/>
        </w:rPr>
        <w:t xml:space="preserve">An order is defined as a document written by George Washington and sent to his British agent containing long lists of items he wished </w:t>
      </w:r>
      <w:r w:rsidR="002154B9">
        <w:rPr>
          <w:rStyle w:val="normal0"/>
        </w:rPr>
        <w:t xml:space="preserve">to be </w:t>
      </w:r>
      <w:r>
        <w:rPr>
          <w:rStyle w:val="normal0"/>
        </w:rPr>
        <w:t>sent to Mount Vernon, paid for by the credit g</w:t>
      </w:r>
      <w:r w:rsidR="009E2F39">
        <w:rPr>
          <w:rStyle w:val="normal0"/>
        </w:rPr>
        <w:t xml:space="preserve">arnered through tobacco sales. </w:t>
      </w:r>
      <w:r>
        <w:rPr>
          <w:rStyle w:val="normal0"/>
        </w:rPr>
        <w:t>An invoice is defined as the return bill of goods, written by the British agent to George Washington, listing each it</w:t>
      </w:r>
      <w:r w:rsidR="009E2F39">
        <w:rPr>
          <w:rStyle w:val="normal0"/>
        </w:rPr>
        <w:t xml:space="preserve">em and the associated charges. </w:t>
      </w:r>
      <w:r>
        <w:rPr>
          <w:rStyle w:val="normal0"/>
        </w:rPr>
        <w:t>These documents do not exist for Lawrence Washington, though presumably his tobacco crops were similarly consigned.</w:t>
      </w:r>
    </w:p>
    <w:p w:rsidR="008203A5" w:rsidRDefault="008203A5" w:rsidP="008203A5">
      <w:pPr>
        <w:spacing w:line="480" w:lineRule="auto"/>
        <w:ind w:firstLine="720"/>
        <w:rPr>
          <w:rStyle w:val="normal0"/>
        </w:rPr>
      </w:pPr>
      <w:r w:rsidRPr="00451299">
        <w:rPr>
          <w:rStyle w:val="normal0"/>
        </w:rPr>
        <w:t>While</w:t>
      </w:r>
      <w:r w:rsidRPr="00506A4E">
        <w:rPr>
          <w:rStyle w:val="normal0"/>
        </w:rPr>
        <w:t xml:space="preserve"> excerpts from the</w:t>
      </w:r>
      <w:r>
        <w:rPr>
          <w:rStyle w:val="normal0"/>
        </w:rPr>
        <w:t xml:space="preserve"> invoices and orders</w:t>
      </w:r>
      <w:r w:rsidRPr="00506A4E">
        <w:rPr>
          <w:rStyle w:val="normal0"/>
        </w:rPr>
        <w:t xml:space="preserve"> appear in myriad studies (Carson 1994; Sweeney 1994</w:t>
      </w:r>
      <w:r>
        <w:rPr>
          <w:rStyle w:val="normal0"/>
        </w:rPr>
        <w:t>;</w:t>
      </w:r>
      <w:r w:rsidRPr="001D1806">
        <w:rPr>
          <w:rStyle w:val="normal0"/>
        </w:rPr>
        <w:t xml:space="preserve"> </w:t>
      </w:r>
      <w:r w:rsidRPr="00506A4E">
        <w:rPr>
          <w:rStyle w:val="normal0"/>
        </w:rPr>
        <w:t xml:space="preserve">Rozbicki 1998; </w:t>
      </w:r>
      <w:r>
        <w:rPr>
          <w:rStyle w:val="normal0"/>
        </w:rPr>
        <w:t>Breen 2004</w:t>
      </w:r>
      <w:r w:rsidRPr="00506A4E">
        <w:rPr>
          <w:rStyle w:val="normal0"/>
        </w:rPr>
        <w:t>), none have yet treated thi</w:t>
      </w:r>
      <w:r>
        <w:rPr>
          <w:rStyle w:val="normal0"/>
        </w:rPr>
        <w:t>s source like a dataset</w:t>
      </w:r>
      <w:r w:rsidRPr="00506A4E">
        <w:rPr>
          <w:rStyle w:val="normal0"/>
        </w:rPr>
        <w:t xml:space="preserve"> for analysis until the Archaeology Department at Mount Vernon began the George Washington Inventory Database Project (Mount Vernon Archaeology</w:t>
      </w:r>
      <w:r w:rsidR="009E2F39">
        <w:rPr>
          <w:rStyle w:val="normal0"/>
        </w:rPr>
        <w:t xml:space="preserve"> Department 1997a, 1997b). </w:t>
      </w:r>
      <w:r w:rsidRPr="00506A4E">
        <w:t>In the late 1990s, following the completion of the excavation of the South Grove Midden site, Mount Vernon archaeologists Dennis Pogue and Esther White conceived of a project that would “facilitate the study of</w:t>
      </w:r>
      <w:r w:rsidR="002154B9">
        <w:t xml:space="preserve"> material culture of eighteenth-</w:t>
      </w:r>
      <w:r w:rsidRPr="00506A4E">
        <w:t>century plantation life in the Chesapeake area” through the careful cataloguing and databasing of George Washington’s orders to his factors in England and the invoices that accompanied those goods back to the plantation (</w:t>
      </w:r>
      <w:r w:rsidRPr="00506A4E">
        <w:rPr>
          <w:rStyle w:val="normal0"/>
        </w:rPr>
        <w:t xml:space="preserve">Mount </w:t>
      </w:r>
      <w:r w:rsidRPr="00506A4E">
        <w:rPr>
          <w:rStyle w:val="normal0"/>
        </w:rPr>
        <w:lastRenderedPageBreak/>
        <w:t xml:space="preserve">Vernon Archaeology Department </w:t>
      </w:r>
      <w:r w:rsidR="009E2F39">
        <w:t xml:space="preserve">1997b). </w:t>
      </w:r>
      <w:r w:rsidRPr="00506A4E">
        <w:t xml:space="preserve">A study of this kind allows for an unprecedented opportunity to </w:t>
      </w:r>
      <w:r w:rsidRPr="00506A4E">
        <w:rPr>
          <w:rStyle w:val="normal0"/>
        </w:rPr>
        <w:t>systematically examine and analyze a gentry planter’s orders and invoices for goods from England that allow</w:t>
      </w:r>
      <w:r>
        <w:rPr>
          <w:rStyle w:val="normal0"/>
        </w:rPr>
        <w:t>s</w:t>
      </w:r>
      <w:r w:rsidRPr="00506A4E">
        <w:rPr>
          <w:rStyle w:val="normal0"/>
        </w:rPr>
        <w:t xml:space="preserve"> for a more thorough understanding of the actual material differences in the lives of individuals of varying classes and races</w:t>
      </w:r>
      <w:r>
        <w:rPr>
          <w:rStyle w:val="normal0"/>
        </w:rPr>
        <w:t>, explored in Chapter 7</w:t>
      </w:r>
      <w:r w:rsidRPr="00506A4E">
        <w:rPr>
          <w:rStyle w:val="normal0"/>
        </w:rPr>
        <w:t>.</w:t>
      </w:r>
      <w:r w:rsidR="009E2F39">
        <w:rPr>
          <w:rStyle w:val="normal0"/>
        </w:rPr>
        <w:t xml:space="preserve"> </w:t>
      </w:r>
      <w:r w:rsidRPr="00506A4E">
        <w:rPr>
          <w:rStyle w:val="normal0"/>
        </w:rPr>
        <w:t>By picking up where these researchers left off, this dissertation will compile and analyze individual order</w:t>
      </w:r>
      <w:r>
        <w:rPr>
          <w:rStyle w:val="normal0"/>
        </w:rPr>
        <w:t xml:space="preserve">s for </w:t>
      </w:r>
      <w:r w:rsidRPr="00506A4E">
        <w:rPr>
          <w:rStyle w:val="normal0"/>
        </w:rPr>
        <w:t>good</w:t>
      </w:r>
      <w:r>
        <w:rPr>
          <w:rStyle w:val="normal0"/>
        </w:rPr>
        <w:t>s</w:t>
      </w:r>
      <w:r w:rsidRPr="00506A4E">
        <w:rPr>
          <w:rStyle w:val="normal0"/>
        </w:rPr>
        <w:t xml:space="preserve"> and matching invoice</w:t>
      </w:r>
      <w:r>
        <w:rPr>
          <w:rStyle w:val="normal0"/>
        </w:rPr>
        <w:t>s</w:t>
      </w:r>
      <w:r w:rsidRPr="00506A4E">
        <w:rPr>
          <w:rStyle w:val="normal0"/>
        </w:rPr>
        <w:t xml:space="preserve"> to allow for </w:t>
      </w:r>
      <w:r>
        <w:rPr>
          <w:rStyle w:val="normal0"/>
        </w:rPr>
        <w:t>a</w:t>
      </w:r>
      <w:r w:rsidRPr="00506A4E">
        <w:rPr>
          <w:rStyle w:val="normal0"/>
        </w:rPr>
        <w:t xml:space="preserve"> comprehensive study of gentry consumption</w:t>
      </w:r>
      <w:r>
        <w:rPr>
          <w:rStyle w:val="normal0"/>
        </w:rPr>
        <w:t xml:space="preserve"> from the documentary record</w:t>
      </w:r>
      <w:r w:rsidRPr="00506A4E">
        <w:rPr>
          <w:rStyle w:val="normal0"/>
        </w:rPr>
        <w:t>.</w:t>
      </w:r>
      <w:r>
        <w:rPr>
          <w:rStyle w:val="normal0"/>
        </w:rPr>
        <w:t xml:space="preserve">  </w:t>
      </w:r>
    </w:p>
    <w:p w:rsidR="008203A5" w:rsidRPr="00506A4E" w:rsidRDefault="008203A5" w:rsidP="008203A5">
      <w:pPr>
        <w:spacing w:line="480" w:lineRule="auto"/>
        <w:ind w:firstLine="720"/>
        <w:rPr>
          <w:bCs/>
        </w:rPr>
      </w:pPr>
      <w:r>
        <w:rPr>
          <w:rStyle w:val="normal0"/>
        </w:rPr>
        <w:t>This chapter begins with an introduction to and summary of the dataset and outlines trends in the consumer behavior of George Washington through the consignment system in the decades before t</w:t>
      </w:r>
      <w:r w:rsidR="009E2F39">
        <w:rPr>
          <w:rStyle w:val="normal0"/>
        </w:rPr>
        <w:t>he Revolutionary War.</w:t>
      </w:r>
      <w:r>
        <w:rPr>
          <w:rStyle w:val="normal0"/>
        </w:rPr>
        <w:t xml:space="preserve"> I follow with an analysis of the categori</w:t>
      </w:r>
      <w:r w:rsidR="009E2F39">
        <w:rPr>
          <w:rStyle w:val="normal0"/>
        </w:rPr>
        <w:t xml:space="preserve">es and subcategories of goods. </w:t>
      </w:r>
      <w:r>
        <w:rPr>
          <w:rStyle w:val="normal0"/>
        </w:rPr>
        <w:t>What types of thin</w:t>
      </w:r>
      <w:r w:rsidR="009E2F39">
        <w:rPr>
          <w:rStyle w:val="normal0"/>
        </w:rPr>
        <w:t xml:space="preserve">gs did he purchase most often? </w:t>
      </w:r>
      <w:r>
        <w:rPr>
          <w:rStyle w:val="normal0"/>
        </w:rPr>
        <w:t xml:space="preserve">What groups of goods </w:t>
      </w:r>
      <w:r w:rsidR="009E2F39">
        <w:rPr>
          <w:rStyle w:val="normal0"/>
        </w:rPr>
        <w:t xml:space="preserve">did he invest in most heavily? </w:t>
      </w:r>
      <w:r>
        <w:rPr>
          <w:rStyle w:val="normal0"/>
        </w:rPr>
        <w:t>I then explore the relationships between George Washington and the factors and vendors that served as middlemen in this system, addressing issues of consisten</w:t>
      </w:r>
      <w:r w:rsidR="009E2F39">
        <w:rPr>
          <w:rStyle w:val="normal0"/>
        </w:rPr>
        <w:t xml:space="preserve">cy, reliability, and accuracy. </w:t>
      </w:r>
      <w:r>
        <w:rPr>
          <w:rStyle w:val="normal0"/>
        </w:rPr>
        <w:t>Finally, I analyze and discuss the fee structure inherent in this system, providing the evidence to support the fact that planters clung to an outdated and cos</w:t>
      </w:r>
      <w:r w:rsidR="009E2F39">
        <w:rPr>
          <w:rStyle w:val="normal0"/>
        </w:rPr>
        <w:t xml:space="preserve">tly mode of economic exchange. </w:t>
      </w:r>
      <w:r>
        <w:rPr>
          <w:rStyle w:val="normal0"/>
        </w:rPr>
        <w:t>Chapter 6 offers tantalizing clues as to why planters continued with the consignment system, more fully fleshed out in Chapter 7.</w:t>
      </w:r>
      <w:r w:rsidRPr="00506A4E">
        <w:rPr>
          <w:rStyle w:val="normal0"/>
        </w:rPr>
        <w:t xml:space="preserve">  </w:t>
      </w:r>
    </w:p>
    <w:p w:rsidR="008203A5" w:rsidRPr="00506A4E" w:rsidRDefault="008203A5" w:rsidP="008203A5">
      <w:pPr>
        <w:spacing w:line="480" w:lineRule="auto"/>
        <w:rPr>
          <w:b/>
          <w:bCs/>
        </w:rPr>
      </w:pPr>
      <w:r>
        <w:rPr>
          <w:b/>
          <w:bCs/>
        </w:rPr>
        <w:t>Compiling the Dataset</w:t>
      </w:r>
    </w:p>
    <w:p w:rsidR="008203A5" w:rsidRPr="00905D11" w:rsidRDefault="008203A5" w:rsidP="008203A5">
      <w:pPr>
        <w:spacing w:line="480" w:lineRule="auto"/>
        <w:ind w:firstLine="720"/>
        <w:rPr>
          <w:rStyle w:val="normal0"/>
        </w:rPr>
      </w:pPr>
      <w:r w:rsidRPr="00947878">
        <w:rPr>
          <w:rStyle w:val="normal0"/>
          <w:i/>
        </w:rPr>
        <w:t>Background</w:t>
      </w:r>
      <w:r w:rsidR="009E2F39">
        <w:rPr>
          <w:rStyle w:val="normal0"/>
        </w:rPr>
        <w:t xml:space="preserve">. </w:t>
      </w:r>
      <w:r>
        <w:rPr>
          <w:rStyle w:val="normal0"/>
        </w:rPr>
        <w:t>The consignment system worked such that Washington would compile an order, basically an eighteenth-century shopping list, and mail that d</w:t>
      </w:r>
      <w:r w:rsidR="009E2F39">
        <w:rPr>
          <w:rStyle w:val="normal0"/>
        </w:rPr>
        <w:t xml:space="preserve">ocument to his English factor. </w:t>
      </w:r>
      <w:r>
        <w:rPr>
          <w:rStyle w:val="normal0"/>
        </w:rPr>
        <w:t>These shopping lists sometimes included hundreds of items that might include specific details as to unit price, color, size, quantity, quality, style, and</w:t>
      </w:r>
      <w:r w:rsidRPr="00451299">
        <w:rPr>
          <w:rStyle w:val="normal0"/>
        </w:rPr>
        <w:t xml:space="preserve"> or</w:t>
      </w:r>
      <w:r>
        <w:rPr>
          <w:rStyle w:val="normal0"/>
        </w:rPr>
        <w:t>i</w:t>
      </w:r>
      <w:r w:rsidR="009E2F39">
        <w:rPr>
          <w:rStyle w:val="normal0"/>
        </w:rPr>
        <w:t xml:space="preserve">gin of manufacture. </w:t>
      </w:r>
      <w:r>
        <w:rPr>
          <w:rStyle w:val="normal0"/>
        </w:rPr>
        <w:t xml:space="preserve">Washington usually attached an </w:t>
      </w:r>
      <w:r w:rsidRPr="00451299">
        <w:rPr>
          <w:rStyle w:val="normal0"/>
        </w:rPr>
        <w:t xml:space="preserve">order for goods </w:t>
      </w:r>
      <w:r>
        <w:rPr>
          <w:rStyle w:val="normal0"/>
        </w:rPr>
        <w:t>as an enclosure to a</w:t>
      </w:r>
      <w:r w:rsidRPr="00451299">
        <w:rPr>
          <w:rStyle w:val="normal0"/>
        </w:rPr>
        <w:t xml:space="preserve"> letter </w:t>
      </w:r>
      <w:r>
        <w:rPr>
          <w:rStyle w:val="normal0"/>
        </w:rPr>
        <w:t>he sent to his</w:t>
      </w:r>
      <w:r w:rsidRPr="00451299">
        <w:rPr>
          <w:rStyle w:val="normal0"/>
        </w:rPr>
        <w:t xml:space="preserve"> agent.</w:t>
      </w:r>
      <w:r>
        <w:rPr>
          <w:rStyle w:val="normal0"/>
        </w:rPr>
        <w:t xml:space="preserve"> </w:t>
      </w:r>
      <w:r w:rsidRPr="00451299">
        <w:t xml:space="preserve">The structure of the </w:t>
      </w:r>
      <w:r w:rsidRPr="00451299">
        <w:lastRenderedPageBreak/>
        <w:t>orders themselves did not change much over time, with long lists loosely grouped by item type.</w:t>
      </w:r>
      <w:r>
        <w:t xml:space="preserve">  Invoices, or lists of goods and their price</w:t>
      </w:r>
      <w:r w:rsidR="002154B9">
        <w:t>s</w:t>
      </w:r>
      <w:r>
        <w:t xml:space="preserve"> collected by the agent and shipped to Washin</w:t>
      </w:r>
      <w:r w:rsidRPr="00905D11">
        <w:t>gton, usually contained slightly more structu</w:t>
      </w:r>
      <w:r w:rsidR="009E2F39">
        <w:t xml:space="preserve">re and detail than the orders. </w:t>
      </w:r>
      <w:r w:rsidRPr="00905D11">
        <w:t>These itemized bills typically began by recording the agent</w:t>
      </w:r>
      <w:r w:rsidR="002154B9">
        <w:t xml:space="preserve"> who acquired them and the ship</w:t>
      </w:r>
      <w:r w:rsidRPr="00905D11">
        <w:t xml:space="preserve"> and the captain</w:t>
      </w:r>
      <w:r w:rsidR="002154B9">
        <w:t xml:space="preserve"> who delivered them</w:t>
      </w:r>
      <w:r w:rsidR="002466AD">
        <w:t xml:space="preserve">. </w:t>
      </w:r>
      <w:r w:rsidRPr="00905D11">
        <w:t xml:space="preserve">Within the invoice, </w:t>
      </w:r>
      <w:r>
        <w:t xml:space="preserve">the agent typically grouped </w:t>
      </w:r>
      <w:r w:rsidRPr="00905D11">
        <w:t>goods by vendor</w:t>
      </w:r>
      <w:r>
        <w:t>,</w:t>
      </w:r>
      <w:r w:rsidRPr="00905D11">
        <w:t xml:space="preserve"> </w:t>
      </w:r>
      <w:r>
        <w:t>placing</w:t>
      </w:r>
      <w:r w:rsidRPr="00905D11">
        <w:t xml:space="preserve"> the item on the left of the page and the p</w:t>
      </w:r>
      <w:r w:rsidR="002466AD">
        <w:t>rice of the good on the right. </w:t>
      </w:r>
      <w:r w:rsidRPr="00905D11">
        <w:t xml:space="preserve">Sub-tallies and tallies were often given – though they </w:t>
      </w:r>
      <w:r>
        <w:t>are not included in the dataset</w:t>
      </w:r>
      <w:r w:rsidR="002466AD">
        <w:t>.</w:t>
      </w:r>
      <w:r w:rsidRPr="00905D11">
        <w:t xml:space="preserve"> Just as Washington sometimes provided additional commentary on certain items, the agents too might reply that an item could not be found or that insufficient information in the order </w:t>
      </w:r>
      <w:r w:rsidR="002466AD">
        <w:t>prevented it from being filled.</w:t>
      </w:r>
      <w:r w:rsidRPr="00905D11">
        <w:t xml:space="preserve"> Most invoices concluded with a list of additional shipping charges, insurance, and commission before the final total was given.   </w:t>
      </w:r>
    </w:p>
    <w:p w:rsidR="008203A5" w:rsidRPr="00905D11" w:rsidRDefault="008203A5" w:rsidP="008203A5">
      <w:pPr>
        <w:spacing w:line="480" w:lineRule="auto"/>
        <w:ind w:firstLine="720"/>
        <w:rPr>
          <w:rFonts w:eastAsia="Calibri"/>
        </w:rPr>
      </w:pPr>
      <w:r>
        <w:t>This dataset</w:t>
      </w:r>
      <w:r w:rsidRPr="00905D11">
        <w:t xml:space="preserve"> was first partially compiled by Betsy Alexander and Amy Dennis</w:t>
      </w:r>
      <w:r w:rsidR="002466AD">
        <w:t>.</w:t>
      </w:r>
      <w:r>
        <w:t xml:space="preserve"> They</w:t>
      </w:r>
      <w:r w:rsidRPr="00905D11">
        <w:t xml:space="preserve"> assisted in the creation of a Paradox for Windows 5.0 database and the initial data entry and cataloguing of the orders and invoices to and from George Washington’s factor, Robert Cary &amp; Company, the agent to whom Washington directed most of his business betwe</w:t>
      </w:r>
      <w:r w:rsidR="002466AD">
        <w:t xml:space="preserve">en the years of 1759 and 1772. </w:t>
      </w:r>
      <w:r w:rsidRPr="00905D11">
        <w:t>Their goal was to enter all information related to t</w:t>
      </w:r>
      <w:r w:rsidR="002466AD">
        <w:t xml:space="preserve">hese consignment transactions. </w:t>
      </w:r>
      <w:r w:rsidRPr="00905D11">
        <w:t xml:space="preserve">Cataloguing protocols facilitated and standardized data entry in the George Washington Inventory Project Cataloguer’s Manual </w:t>
      </w:r>
      <w:r>
        <w:t>(</w:t>
      </w:r>
      <w:r w:rsidRPr="00905D11">
        <w:rPr>
          <w:rFonts w:eastAsia="Calibri"/>
        </w:rPr>
        <w:t>Mount Vernon Archaeology Department</w:t>
      </w:r>
      <w:r>
        <w:rPr>
          <w:rFonts w:eastAsia="Calibri"/>
        </w:rPr>
        <w:t xml:space="preserve"> </w:t>
      </w:r>
      <w:r w:rsidR="002466AD">
        <w:t xml:space="preserve">1997a). </w:t>
      </w:r>
      <w:r w:rsidRPr="00506A4E">
        <w:t>Although this effort led to some initial analysis, the database was never completed nor was the information widely distributed.</w:t>
      </w:r>
    </w:p>
    <w:p w:rsidR="008203A5" w:rsidRDefault="008203A5" w:rsidP="008203A5">
      <w:pPr>
        <w:spacing w:line="480" w:lineRule="auto"/>
        <w:ind w:firstLine="720"/>
      </w:pPr>
      <w:r w:rsidRPr="00506A4E">
        <w:t xml:space="preserve">In order to systematically examine the material culture of Mount Vernon from an interdisciplinary perspective, I </w:t>
      </w:r>
      <w:r>
        <w:t>revisited the</w:t>
      </w:r>
      <w:r w:rsidRPr="00506A4E">
        <w:t xml:space="preserve"> preliminary work with the goal of producing a </w:t>
      </w:r>
      <w:r>
        <w:t xml:space="preserve">comprehensive dataset, not limited to transactions with Robert Cary &amp; Company, </w:t>
      </w:r>
      <w:r w:rsidRPr="00506A4E">
        <w:t xml:space="preserve">in the form of </w:t>
      </w:r>
      <w:r w:rsidRPr="00506A4E">
        <w:lastRenderedPageBreak/>
        <w:t>an Excel spreadsheet of all consignment transactions from the earliest recorded in 1754 through the latest recorded in 1773</w:t>
      </w:r>
      <w:r>
        <w:t xml:space="preserve"> </w:t>
      </w:r>
      <w:r w:rsidRPr="00BC5397">
        <w:t>(</w:t>
      </w:r>
      <w:r w:rsidRPr="00BC5397">
        <w:rPr>
          <w:rFonts w:eastAsia="Calibri"/>
        </w:rPr>
        <w:t>Mount Vernon Archaeology Department 2012</w:t>
      </w:r>
      <w:r>
        <w:rPr>
          <w:rFonts w:eastAsia="Calibri"/>
        </w:rPr>
        <w:t>a</w:t>
      </w:r>
      <w:r w:rsidRPr="00BC5397">
        <w:rPr>
          <w:rFonts w:eastAsia="Calibri"/>
        </w:rPr>
        <w:t>)</w:t>
      </w:r>
      <w:r w:rsidR="002466AD">
        <w:t xml:space="preserve">. </w:t>
      </w:r>
      <w:r>
        <w:t>The spreadsheet</w:t>
      </w:r>
      <w:r w:rsidRPr="00506A4E">
        <w:t xml:space="preserve"> includes a total of 32 groupings of orders and invoices inclusive</w:t>
      </w:r>
      <w:r>
        <w:t xml:space="preserve"> of 72 unique documents (Table 5-1</w:t>
      </w:r>
      <w:r w:rsidR="002466AD">
        <w:t xml:space="preserve">). </w:t>
      </w:r>
      <w:r w:rsidRPr="00506A4E">
        <w:t>The number of unique documents is more than double the groupings because in some instances, George Washington wrote to his factors requesting goods on several different dates, but received the goods all in the same shipment,</w:t>
      </w:r>
      <w:r w:rsidR="002466AD">
        <w:t xml:space="preserve"> recorded in the same invoice. </w:t>
      </w:r>
      <w:r w:rsidRPr="00506A4E">
        <w:t xml:space="preserve">The same </w:t>
      </w:r>
      <w:r w:rsidR="002154B9">
        <w:t xml:space="preserve">process </w:t>
      </w:r>
      <w:r w:rsidRPr="00506A4E">
        <w:t>occasionally occurred for orders that were divided into multiple shipments an</w:t>
      </w:r>
      <w:r w:rsidR="002466AD">
        <w:t xml:space="preserve">d therefore multiple invoices. </w:t>
      </w:r>
      <w:r w:rsidRPr="00506A4E">
        <w:t xml:space="preserve">Most of the documents have been transcribed and are published </w:t>
      </w:r>
      <w:r>
        <w:t>in</w:t>
      </w:r>
      <w:r w:rsidRPr="00506A4E">
        <w:t xml:space="preserve"> the </w:t>
      </w:r>
      <w:r w:rsidRPr="002C1BED">
        <w:rPr>
          <w:i/>
        </w:rPr>
        <w:t>Papers of George Washington</w:t>
      </w:r>
      <w:r w:rsidR="002466AD">
        <w:t xml:space="preserve">. </w:t>
      </w:r>
      <w:r w:rsidRPr="00506A4E">
        <w:t>Three are in their original format but available online through the Library of Congre</w:t>
      </w:r>
      <w:r w:rsidR="002466AD">
        <w:t xml:space="preserve">ss (Library of Congress 1999). </w:t>
      </w:r>
      <w:r w:rsidRPr="00506A4E">
        <w:t xml:space="preserve">In some instances, no order survives for the corresponding invoice (and vice versa); however the decision was made to include these </w:t>
      </w:r>
      <w:r w:rsidR="002154B9">
        <w:t xml:space="preserve">invoices </w:t>
      </w:r>
      <w:r w:rsidR="002466AD">
        <w:t xml:space="preserve">as well. </w:t>
      </w:r>
      <w:r>
        <w:t>This dataset does not include orders for goods placed solely on behalf of John (Jacky) Parke Custis o</w:t>
      </w:r>
      <w:r w:rsidR="002466AD">
        <w:t xml:space="preserve">r Martha (Patsy) Parke Custis. </w:t>
      </w:r>
      <w:r>
        <w:t xml:space="preserve">These items were paid for out of the Custis estate and therefore were ordered separately.  </w:t>
      </w:r>
    </w:p>
    <w:p w:rsidR="008203A5" w:rsidRDefault="008203A5" w:rsidP="008203A5">
      <w:pPr>
        <w:spacing w:line="480" w:lineRule="auto"/>
      </w:pPr>
    </w:p>
    <w:p w:rsidR="008203A5" w:rsidRDefault="008203A5" w:rsidP="008203A5">
      <w:pPr>
        <w:rPr>
          <w:b/>
        </w:rPr>
      </w:pPr>
      <w:r>
        <w:rPr>
          <w:b/>
        </w:rPr>
        <w:br w:type="page"/>
      </w:r>
    </w:p>
    <w:p w:rsidR="008203A5" w:rsidRPr="0034760A" w:rsidRDefault="008203A5" w:rsidP="008203A5">
      <w:pPr>
        <w:spacing w:line="480" w:lineRule="auto"/>
        <w:rPr>
          <w:b/>
        </w:rPr>
      </w:pPr>
      <w:r w:rsidRPr="00D817C8">
        <w:rPr>
          <w:b/>
        </w:rPr>
        <w:lastRenderedPageBreak/>
        <w:t xml:space="preserve">Table 5-1. </w:t>
      </w:r>
      <w:r w:rsidRPr="0034760A">
        <w:t>List of George Washington’s orders for goods and corresponding invoices.</w:t>
      </w:r>
    </w:p>
    <w:tbl>
      <w:tblPr>
        <w:tblW w:w="3707" w:type="dxa"/>
        <w:tblInd w:w="91" w:type="dxa"/>
        <w:tblLook w:val="04A0"/>
      </w:tblPr>
      <w:tblGrid>
        <w:gridCol w:w="1997"/>
        <w:gridCol w:w="1710"/>
      </w:tblGrid>
      <w:tr w:rsidR="00FB0F53" w:rsidRPr="00FB0F53" w:rsidTr="00FB0F53">
        <w:trPr>
          <w:trHeight w:val="300"/>
        </w:trPr>
        <w:tc>
          <w:tcPr>
            <w:tcW w:w="199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B0F53" w:rsidRPr="00FB0F53" w:rsidRDefault="00FB0F53" w:rsidP="00FB0F53">
            <w:pPr>
              <w:rPr>
                <w:rFonts w:eastAsia="Times New Roman"/>
                <w:b/>
                <w:bCs/>
                <w:color w:val="000000"/>
                <w:sz w:val="20"/>
                <w:szCs w:val="20"/>
              </w:rPr>
            </w:pPr>
            <w:r w:rsidRPr="00FB0F53">
              <w:rPr>
                <w:rFonts w:eastAsia="Times New Roman"/>
                <w:b/>
                <w:bCs/>
                <w:color w:val="000000"/>
                <w:sz w:val="20"/>
              </w:rPr>
              <w:t>Order Date</w:t>
            </w:r>
          </w:p>
        </w:tc>
        <w:tc>
          <w:tcPr>
            <w:tcW w:w="1710" w:type="dxa"/>
            <w:tcBorders>
              <w:top w:val="single" w:sz="4" w:space="0" w:color="auto"/>
              <w:left w:val="nil"/>
              <w:bottom w:val="single" w:sz="4" w:space="0" w:color="auto"/>
              <w:right w:val="single" w:sz="4" w:space="0" w:color="auto"/>
            </w:tcBorders>
            <w:shd w:val="clear" w:color="000000" w:fill="D9D9D9"/>
            <w:noWrap/>
            <w:vAlign w:val="bottom"/>
            <w:hideMark/>
          </w:tcPr>
          <w:p w:rsidR="00FB0F53" w:rsidRPr="00FB0F53" w:rsidRDefault="00FB0F53" w:rsidP="00FB0F53">
            <w:pPr>
              <w:rPr>
                <w:rFonts w:eastAsia="Times New Roman"/>
                <w:b/>
                <w:bCs/>
                <w:color w:val="000000"/>
                <w:sz w:val="20"/>
                <w:szCs w:val="20"/>
              </w:rPr>
            </w:pPr>
            <w:r w:rsidRPr="00FB0F53">
              <w:rPr>
                <w:rFonts w:eastAsia="Times New Roman"/>
                <w:b/>
                <w:bCs/>
                <w:color w:val="000000"/>
                <w:sz w:val="20"/>
              </w:rPr>
              <w:t>Invoice Date</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None</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1754, Oct 23</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1755, Dec 6</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1756, April 6</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1757, April 15</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1757, Nov 10</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None</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1757, Aug 20</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None</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1757, Sept 28</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1757, Dec 26</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1758, Aug 18 (1)</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1757, Dec 30</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1758, Aug 18 (2)</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1758, Jan</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1758, Aug 18 (3)</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1758, March 18</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1758, Aug 18 (4)</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1758, April 5</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1759, March 20</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1759, May 1</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1759, Aug 6 (1)</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1759, June 12</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1759, Aug 6 (2)</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1759, Sept 20</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1760, March 15</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1760, Sept 28</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1761, March 31</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1761, Oct 12</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1762, April 10 (1)</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1762, Jan 25</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1762, April 10 (2)</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1762, Nov 15</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1763, April 13</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1762, Nov 15</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1763, April 23</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1763, April 26</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1764, Feb 13 (1)</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1763, Sept 27 (1)</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1764, Feb 13 (2)</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1763, Sept 27 (2)</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1764, Feb 13 (3)</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1763, Oct 24</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1764, Feb 13 (4)</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1764, Jan 22</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1764, April 2</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None</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1764, June 6</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1764, June 5</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1765, May 15</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1764, Aug 10</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1765, Feb 13</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1765, March 6</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1765, July</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1765, Sept 20</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1765, Dec 20</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1765, Oct 25</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1766, March 27</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1765, Nov 6</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1766, Feb 28</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1766, June 23</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1766, Nov 17 (1)</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1766, June 28</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1766, Nov 17 (2)</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1766, July 21</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1766, Nov 17 (3)</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1767, July 20</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1767, Oct 29</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1768, June 20</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1768, Sept 28 (1)</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1768, July 7</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1768, Sept 28 (2)</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1769, Jan 12</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1769, Jan 12</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1769,  July 25</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1770, Jan 23</w:t>
            </w:r>
          </w:p>
        </w:tc>
      </w:tr>
      <w:tr w:rsidR="00FB0F53" w:rsidRPr="00FB0F53" w:rsidTr="00FB0F53">
        <w:trPr>
          <w:trHeight w:val="315"/>
        </w:trPr>
        <w:tc>
          <w:tcPr>
            <w:tcW w:w="3707" w:type="dxa"/>
            <w:gridSpan w:val="2"/>
            <w:tcBorders>
              <w:top w:val="nil"/>
              <w:left w:val="nil"/>
              <w:bottom w:val="nil"/>
              <w:right w:val="nil"/>
            </w:tcBorders>
            <w:shd w:val="clear" w:color="auto" w:fill="auto"/>
            <w:noWrap/>
            <w:vAlign w:val="bottom"/>
            <w:hideMark/>
          </w:tcPr>
          <w:p w:rsidR="00FB0F53" w:rsidRPr="00FB0F53" w:rsidRDefault="00FB0F53" w:rsidP="00FB0F53">
            <w:pPr>
              <w:rPr>
                <w:rFonts w:eastAsia="Times New Roman"/>
                <w:b/>
                <w:bCs/>
                <w:color w:val="000000"/>
              </w:rPr>
            </w:pPr>
            <w:r w:rsidRPr="00FB0F53">
              <w:rPr>
                <w:rFonts w:eastAsia="Times New Roman"/>
                <w:b/>
                <w:bCs/>
                <w:color w:val="000000"/>
              </w:rPr>
              <w:lastRenderedPageBreak/>
              <w:t xml:space="preserve">Table 5-1 (continued). </w:t>
            </w:r>
          </w:p>
        </w:tc>
      </w:tr>
      <w:tr w:rsidR="00FB0F53" w:rsidRPr="00FB0F53" w:rsidTr="00FB0F53">
        <w:trPr>
          <w:trHeight w:val="300"/>
        </w:trPr>
        <w:tc>
          <w:tcPr>
            <w:tcW w:w="1997" w:type="dxa"/>
            <w:tcBorders>
              <w:top w:val="nil"/>
              <w:left w:val="nil"/>
              <w:bottom w:val="nil"/>
              <w:right w:val="nil"/>
            </w:tcBorders>
            <w:shd w:val="clear" w:color="auto" w:fill="auto"/>
            <w:noWrap/>
            <w:vAlign w:val="bottom"/>
            <w:hideMark/>
          </w:tcPr>
          <w:p w:rsidR="00FB0F53" w:rsidRPr="00FB0F53" w:rsidRDefault="00FB0F53" w:rsidP="00FB0F53">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FB0F53" w:rsidRPr="00FB0F53" w:rsidRDefault="00FB0F53" w:rsidP="00FB0F53">
            <w:pPr>
              <w:rPr>
                <w:rFonts w:eastAsia="Times New Roman"/>
                <w:color w:val="000000"/>
                <w:sz w:val="20"/>
                <w:szCs w:val="20"/>
              </w:rPr>
            </w:pPr>
          </w:p>
        </w:tc>
      </w:tr>
      <w:tr w:rsidR="00FB0F53" w:rsidRPr="00FB0F53" w:rsidTr="00FB0F53">
        <w:trPr>
          <w:trHeight w:val="300"/>
        </w:trPr>
        <w:tc>
          <w:tcPr>
            <w:tcW w:w="199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FB0F53" w:rsidRPr="00FB0F53" w:rsidRDefault="00FB0F53" w:rsidP="00FB0F53">
            <w:pPr>
              <w:rPr>
                <w:rFonts w:eastAsia="Times New Roman"/>
                <w:b/>
                <w:bCs/>
                <w:color w:val="000000"/>
                <w:sz w:val="20"/>
                <w:szCs w:val="20"/>
              </w:rPr>
            </w:pPr>
            <w:r w:rsidRPr="00FB0F53">
              <w:rPr>
                <w:rFonts w:eastAsia="Times New Roman"/>
                <w:b/>
                <w:bCs/>
                <w:color w:val="000000"/>
                <w:sz w:val="20"/>
              </w:rPr>
              <w:t>Order Date</w:t>
            </w:r>
          </w:p>
        </w:tc>
        <w:tc>
          <w:tcPr>
            <w:tcW w:w="1710" w:type="dxa"/>
            <w:tcBorders>
              <w:top w:val="single" w:sz="4" w:space="0" w:color="auto"/>
              <w:left w:val="nil"/>
              <w:bottom w:val="single" w:sz="4" w:space="0" w:color="auto"/>
              <w:right w:val="single" w:sz="4" w:space="0" w:color="auto"/>
            </w:tcBorders>
            <w:shd w:val="clear" w:color="000000" w:fill="D9D9D9"/>
            <w:noWrap/>
            <w:vAlign w:val="bottom"/>
            <w:hideMark/>
          </w:tcPr>
          <w:p w:rsidR="00FB0F53" w:rsidRPr="00FB0F53" w:rsidRDefault="00FB0F53" w:rsidP="00FB0F53">
            <w:pPr>
              <w:rPr>
                <w:rFonts w:eastAsia="Times New Roman"/>
                <w:b/>
                <w:bCs/>
                <w:color w:val="000000"/>
                <w:sz w:val="20"/>
                <w:szCs w:val="20"/>
              </w:rPr>
            </w:pPr>
            <w:r w:rsidRPr="00FB0F53">
              <w:rPr>
                <w:rFonts w:eastAsia="Times New Roman"/>
                <w:b/>
                <w:bCs/>
                <w:color w:val="000000"/>
                <w:sz w:val="20"/>
              </w:rPr>
              <w:t>Invoice Date</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1770, Aug 20</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1770, Nov 13</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1771, July 18 (1)</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1771, Dec 3 (1)</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1771, July 18 (2)</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1771, Dec 3 (2)</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1771, Aug 12</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1771, Dec 3 (3)</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1772, July 15</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1772, Sept 29</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1772, Oct 15</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None</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1773, July 10</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None</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1773, July 12</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None</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1773, July 26</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None</w:t>
            </w:r>
          </w:p>
        </w:tc>
      </w:tr>
      <w:tr w:rsidR="00FB0F53" w:rsidRPr="00FB0F53" w:rsidTr="00FB0F53">
        <w:trPr>
          <w:trHeight w:val="300"/>
        </w:trPr>
        <w:tc>
          <w:tcPr>
            <w:tcW w:w="1997" w:type="dxa"/>
            <w:tcBorders>
              <w:top w:val="nil"/>
              <w:left w:val="single" w:sz="4" w:space="0" w:color="auto"/>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1773, Oct 6</w:t>
            </w:r>
          </w:p>
        </w:tc>
        <w:tc>
          <w:tcPr>
            <w:tcW w:w="1710" w:type="dxa"/>
            <w:tcBorders>
              <w:top w:val="nil"/>
              <w:left w:val="nil"/>
              <w:bottom w:val="single" w:sz="4" w:space="0" w:color="auto"/>
              <w:right w:val="single" w:sz="4" w:space="0" w:color="auto"/>
            </w:tcBorders>
            <w:shd w:val="clear" w:color="auto" w:fill="auto"/>
            <w:noWrap/>
            <w:vAlign w:val="bottom"/>
            <w:hideMark/>
          </w:tcPr>
          <w:p w:rsidR="00FB0F53" w:rsidRPr="00FB0F53" w:rsidRDefault="00FB0F53" w:rsidP="00FB0F53">
            <w:pPr>
              <w:rPr>
                <w:rFonts w:eastAsia="Times New Roman"/>
                <w:color w:val="000000"/>
                <w:sz w:val="20"/>
                <w:szCs w:val="20"/>
              </w:rPr>
            </w:pPr>
            <w:r w:rsidRPr="00FB0F53">
              <w:rPr>
                <w:rFonts w:eastAsia="Times New Roman"/>
                <w:color w:val="000000"/>
                <w:sz w:val="20"/>
              </w:rPr>
              <w:t>None</w:t>
            </w:r>
          </w:p>
        </w:tc>
      </w:tr>
    </w:tbl>
    <w:p w:rsidR="008203A5" w:rsidRDefault="008203A5" w:rsidP="00FB0F53">
      <w:pPr>
        <w:rPr>
          <w:i/>
        </w:rPr>
      </w:pPr>
    </w:p>
    <w:p w:rsidR="008203A5" w:rsidRDefault="008203A5" w:rsidP="00FB0F53">
      <w:pPr>
        <w:rPr>
          <w:i/>
        </w:rPr>
      </w:pPr>
    </w:p>
    <w:p w:rsidR="00FB0F53" w:rsidRDefault="00FB0F53" w:rsidP="00FB0F53">
      <w:pPr>
        <w:ind w:firstLine="720"/>
        <w:rPr>
          <w:i/>
        </w:rPr>
      </w:pPr>
    </w:p>
    <w:p w:rsidR="008203A5" w:rsidRDefault="008203A5" w:rsidP="008203A5">
      <w:pPr>
        <w:spacing w:line="480" w:lineRule="auto"/>
        <w:ind w:firstLine="720"/>
      </w:pPr>
      <w:r w:rsidRPr="005F2ACF">
        <w:rPr>
          <w:i/>
        </w:rPr>
        <w:t>Why match invoices and orders?</w:t>
      </w:r>
      <w:r w:rsidR="002466AD">
        <w:t xml:space="preserve"> </w:t>
      </w:r>
      <w:r>
        <w:t>Much of the effort expended to compile this dataset focused on first, matching the specific order with its specific invoice and second, matching individual requests for goods within the larger order</w:t>
      </w:r>
      <w:r w:rsidR="002466AD">
        <w:t xml:space="preserve"> to line items in the invoice. </w:t>
      </w:r>
      <w:r>
        <w:t xml:space="preserve">In the digital edition of the </w:t>
      </w:r>
      <w:r w:rsidRPr="005238AF">
        <w:rPr>
          <w:i/>
        </w:rPr>
        <w:t>Papers of George Washington</w:t>
      </w:r>
      <w:r>
        <w:t xml:space="preserve"> </w:t>
      </w:r>
      <w:r w:rsidRPr="00506A4E">
        <w:t>(Crackel 2008)</w:t>
      </w:r>
      <w:r>
        <w:t>, researchers can currently search for specific</w:t>
      </w:r>
      <w:r w:rsidR="002466AD">
        <w:t xml:space="preserve"> items, for example, thimbles. </w:t>
      </w:r>
      <w:r>
        <w:t>However, the search results display at least twice the number of thimbles than were ordered, pulling from both the or</w:t>
      </w:r>
      <w:r w:rsidR="002466AD">
        <w:t xml:space="preserve">der and the invoice documents. </w:t>
      </w:r>
      <w:r>
        <w:t>Additionally, the search pulls from any other document in Washington’s writings tha</w:t>
      </w:r>
      <w:r w:rsidR="002466AD">
        <w:t xml:space="preserve">t happens to mention thimbles. </w:t>
      </w:r>
      <w:r>
        <w:t>In order to know how many thimbles were actually ordered, the researcher has to weed through these results and go through the arduous process of matching the orders with the invoices for every result and repeat the pr</w:t>
      </w:r>
      <w:r w:rsidR="002466AD">
        <w:t xml:space="preserve">ocess for every unique search. </w:t>
      </w:r>
      <w:r>
        <w:t xml:space="preserve">By matching one year’s request for thimbles with the subsequent bill for those thimbles and cataloguing this entry using defined fields of data, Washington’s participation in the consignment system can be </w:t>
      </w:r>
      <w:r w:rsidRPr="005238AF">
        <w:t xml:space="preserve">quantified and analyzed in ways previously not possible.  </w:t>
      </w:r>
    </w:p>
    <w:p w:rsidR="008203A5" w:rsidRDefault="008203A5" w:rsidP="008203A5">
      <w:pPr>
        <w:spacing w:line="480" w:lineRule="auto"/>
        <w:ind w:firstLine="720"/>
      </w:pPr>
      <w:r>
        <w:t>Treating the ordered and invoiced item as data allows not only for quantitative studies, but also lends insights into avenues for material culture research, which will be d</w:t>
      </w:r>
      <w:r w:rsidR="002466AD">
        <w:t xml:space="preserve">iscussed further </w:t>
      </w:r>
      <w:r w:rsidR="002466AD">
        <w:lastRenderedPageBreak/>
        <w:t xml:space="preserve">in Chapter 7. </w:t>
      </w:r>
      <w:r w:rsidRPr="00506A4E">
        <w:t xml:space="preserve">In her use of orders and invoices for ceramics in a study of George Washington’s Chinese export porcelains, </w:t>
      </w:r>
      <w:r>
        <w:t xml:space="preserve">Susan </w:t>
      </w:r>
      <w:r w:rsidRPr="00506A4E">
        <w:t>Detweiler (1982:44) writes, “Comparison of the reciprocal documents often produces information about contemporary terminology and taste as well as providing clues to the identification of form, decoration, and manufacture of ceramics offered by an eighteenth-century London retailer.”</w:t>
      </w:r>
      <w:r w:rsidR="002466AD">
        <w:t xml:space="preserve"> </w:t>
      </w:r>
      <w:r>
        <w:t>For example, in May of 1759, George Washington requested a list of books including, “</w:t>
      </w:r>
      <w:r w:rsidRPr="007A03B3">
        <w:t>The newest and most approvd Treatise of Agriculture</w:t>
      </w:r>
      <w:r>
        <w:t>,” leaving the specific title up to the discretion of his</w:t>
      </w:r>
      <w:r w:rsidR="002466AD">
        <w:t xml:space="preserve"> factor Robert Cary &amp; Company. </w:t>
      </w:r>
      <w:r>
        <w:t xml:space="preserve">To procure the books that Washington requested, Robert Cary employed John Clarke, a bookseller in London.  Clarke knew exactly the type of book that Washington was seeking and sent him Dr. Francis Home’s </w:t>
      </w:r>
      <w:r w:rsidRPr="007A03B3">
        <w:rPr>
          <w:i/>
        </w:rPr>
        <w:t>The Principles of Agriculture and Vegetation</w:t>
      </w:r>
      <w:r>
        <w:t xml:space="preserve">, first published in Edinburgh, Scotland in 1756, certainly fulfilling the stipulation that the work be current (Abbot 1988[6]:317-318, 332-337).  </w:t>
      </w:r>
    </w:p>
    <w:p w:rsidR="008203A5" w:rsidRDefault="008203A5" w:rsidP="008203A5">
      <w:pPr>
        <w:spacing w:line="480" w:lineRule="auto"/>
        <w:ind w:firstLine="720"/>
      </w:pPr>
      <w:r>
        <w:t>Another example falls into the rea</w:t>
      </w:r>
      <w:r w:rsidR="002466AD">
        <w:t>lm of contemporary terminology.</w:t>
      </w:r>
      <w:r>
        <w:t xml:space="preserve"> In order to tease out acts of consumption in the archaeological record, it is important to decipher how many types of a certain good might have been available to those participating in the consig</w:t>
      </w:r>
      <w:r w:rsidR="002466AD">
        <w:t xml:space="preserve">nment or direct trade systems. </w:t>
      </w:r>
      <w:r>
        <w:t>In 1760 and again in 1772, George Washington requested large pins or large whites (whites being a common nickname for st</w:t>
      </w:r>
      <w:r w:rsidR="002466AD">
        <w:t xml:space="preserve">raight pins) in the thousands. </w:t>
      </w:r>
      <w:r>
        <w:t>Robert Cary first employed Lardner &amp; Baratty, haberdashers and tobacconists, to fulfill the order (Abbot 1988[6]:403) and later Stephen Heath, also a haberdasher (</w:t>
      </w:r>
      <w:r w:rsidR="002466AD">
        <w:t xml:space="preserve">Abbot and Twohig 1990[7]:130). </w:t>
      </w:r>
      <w:r>
        <w:t>In both instances, Robert Cary met the order for large whites with corking or caulking (also cauking</w:t>
      </w:r>
      <w:r w:rsidR="002154B9">
        <w:t>, calkin, cawking, corkin (OED 2013)</w:t>
      </w:r>
      <w:r>
        <w:t>) pins, suggesting that the</w:t>
      </w:r>
      <w:r w:rsidR="002466AD">
        <w:t xml:space="preserve">se terms were interchangeable. </w:t>
      </w:r>
      <w:r>
        <w:t xml:space="preserve">It appears that Washington also used the terms interchangeably, ordering corking pins in 1759, 1761, 1768, and 1769 </w:t>
      </w:r>
      <w:r w:rsidRPr="00BC5397">
        <w:t>(</w:t>
      </w:r>
      <w:r w:rsidRPr="00BC5397">
        <w:rPr>
          <w:rFonts w:eastAsia="Calibri"/>
        </w:rPr>
        <w:t>Mount Vernon Archaeology Department 2012</w:t>
      </w:r>
      <w:r>
        <w:rPr>
          <w:rFonts w:eastAsia="Calibri"/>
        </w:rPr>
        <w:t>a</w:t>
      </w:r>
      <w:r w:rsidRPr="00BC5397">
        <w:rPr>
          <w:rFonts w:eastAsia="Calibri"/>
        </w:rPr>
        <w:t>)</w:t>
      </w:r>
      <w:r w:rsidRPr="00BC5397">
        <w:t>.</w:t>
      </w:r>
      <w:r w:rsidR="002466AD">
        <w:t xml:space="preserve"> </w:t>
      </w:r>
      <w:r>
        <w:lastRenderedPageBreak/>
        <w:t>Ferreting out the intricacies of eighteenth-century terminology and understanding that corking and large pins were one and the same better allows archaeologists to understand the variety available or chosen by colonial consumers.</w:t>
      </w:r>
    </w:p>
    <w:p w:rsidR="008203A5" w:rsidRPr="005238AF" w:rsidRDefault="008203A5" w:rsidP="008203A5">
      <w:pPr>
        <w:spacing w:line="480" w:lineRule="auto"/>
        <w:ind w:firstLine="720"/>
      </w:pPr>
      <w:r>
        <w:t>There are entries that remain unmatched, both in</w:t>
      </w:r>
      <w:r w:rsidR="002466AD">
        <w:t xml:space="preserve">voice items and ordered items. </w:t>
      </w:r>
      <w:r>
        <w:t>Many of the unmatched entries are invoice items that fall into the category of shipping-related expenses, which of course George Washington did not order but came standard with ev</w:t>
      </w:r>
      <w:r w:rsidR="002466AD">
        <w:t>ery shipment of consumer goods.</w:t>
      </w:r>
      <w:r>
        <w:t xml:space="preserve"> Another benefit of putting these documents in a spreadsheet is that the digital format facilitates quantification of this large category of information.      </w:t>
      </w:r>
      <w:r w:rsidRPr="00506A4E">
        <w:t xml:space="preserve">    </w:t>
      </w:r>
    </w:p>
    <w:p w:rsidR="008203A5" w:rsidRDefault="008203A5" w:rsidP="008203A5">
      <w:pPr>
        <w:spacing w:line="480" w:lineRule="auto"/>
        <w:ind w:firstLine="720"/>
      </w:pPr>
      <w:r w:rsidRPr="005F2ACF">
        <w:rPr>
          <w:i/>
        </w:rPr>
        <w:t xml:space="preserve">Data Entry. </w:t>
      </w:r>
      <w:r w:rsidRPr="005238AF">
        <w:t>After the docu</w:t>
      </w:r>
      <w:r>
        <w:t>ments were matched, the invoice entries</w:t>
      </w:r>
      <w:r w:rsidRPr="005238AF">
        <w:t xml:space="preserve"> were numbered in the order that they appeared in the document to </w:t>
      </w:r>
      <w:r w:rsidRPr="005238AF">
        <w:rPr>
          <w:rFonts w:eastAsia="Times New Roman"/>
          <w:color w:val="000000"/>
        </w:rPr>
        <w:t xml:space="preserve">ensure that any invoice </w:t>
      </w:r>
      <w:r>
        <w:rPr>
          <w:rFonts w:eastAsia="Times New Roman"/>
          <w:color w:val="000000"/>
        </w:rPr>
        <w:t>could</w:t>
      </w:r>
      <w:r w:rsidRPr="005238AF">
        <w:rPr>
          <w:rFonts w:eastAsia="Times New Roman"/>
          <w:color w:val="000000"/>
        </w:rPr>
        <w:t xml:space="preserve"> be </w:t>
      </w:r>
      <w:r>
        <w:rPr>
          <w:rFonts w:eastAsia="Times New Roman"/>
          <w:color w:val="000000"/>
        </w:rPr>
        <w:t>sorted</w:t>
      </w:r>
      <w:r w:rsidRPr="005238AF">
        <w:rPr>
          <w:rFonts w:eastAsia="Times New Roman"/>
          <w:color w:val="000000"/>
        </w:rPr>
        <w:t xml:space="preserve"> into its original sequence and, therefore, retain contextual information </w:t>
      </w:r>
      <w:r>
        <w:rPr>
          <w:rFonts w:eastAsia="Times New Roman"/>
          <w:color w:val="000000"/>
        </w:rPr>
        <w:t>(</w:t>
      </w:r>
      <w:r w:rsidR="002154B9">
        <w:rPr>
          <w:rFonts w:eastAsia="Times New Roman"/>
          <w:color w:val="000000"/>
        </w:rPr>
        <w:t>which</w:t>
      </w:r>
      <w:r>
        <w:rPr>
          <w:rFonts w:eastAsia="Times New Roman"/>
          <w:color w:val="000000"/>
        </w:rPr>
        <w:t xml:space="preserve"> items came before and after) </w:t>
      </w:r>
      <w:r w:rsidRPr="005238AF">
        <w:rPr>
          <w:rFonts w:eastAsia="Times New Roman"/>
          <w:color w:val="000000"/>
        </w:rPr>
        <w:t>that would otherwise be lost when items were catalogued</w:t>
      </w:r>
      <w:r w:rsidRPr="006C672E">
        <w:rPr>
          <w:rFonts w:eastAsia="Times New Roman"/>
          <w:color w:val="000000"/>
        </w:rPr>
        <w:t xml:space="preserve"> </w:t>
      </w:r>
      <w:r w:rsidRPr="005238AF">
        <w:rPr>
          <w:rFonts w:eastAsia="Times New Roman"/>
          <w:color w:val="000000"/>
        </w:rPr>
        <w:t>separately.</w:t>
      </w:r>
      <w:r w:rsidR="002466AD">
        <w:rPr>
          <w:rFonts w:eastAsia="Times New Roman"/>
          <w:color w:val="000000"/>
        </w:rPr>
        <w:t xml:space="preserve"> </w:t>
      </w:r>
      <w:r>
        <w:rPr>
          <w:rFonts w:eastAsia="Times New Roman"/>
          <w:color w:val="000000"/>
        </w:rPr>
        <w:t xml:space="preserve">Once the invoice was numbered, individual items were matched with their corresponding order and entered into excel. </w:t>
      </w:r>
      <w:r>
        <w:t>A</w:t>
      </w:r>
      <w:r w:rsidRPr="005238AF">
        <w:t>n updated</w:t>
      </w:r>
      <w:r>
        <w:t xml:space="preserve"> manual was created to reflect the type of information captured in the more recent re-exam</w:t>
      </w:r>
      <w:r w:rsidR="002466AD">
        <w:t xml:space="preserve">ination of these documents. </w:t>
      </w:r>
      <w:r>
        <w:t>The manual, search tips, frequently asked questions, and an online searchable database and the downloadable dataset are available to researchers through the Mount Vernon Midden websit</w:t>
      </w:r>
      <w:r w:rsidRPr="00B138F4">
        <w:t>e (</w:t>
      </w:r>
      <w:r w:rsidRPr="00B138F4">
        <w:rPr>
          <w:rFonts w:eastAsia="Calibri"/>
        </w:rPr>
        <w:t>Mount Vernon Archaeology Department 2012</w:t>
      </w:r>
      <w:r>
        <w:rPr>
          <w:rFonts w:eastAsia="Calibri"/>
        </w:rPr>
        <w:t>a</w:t>
      </w:r>
      <w:r w:rsidRPr="00B138F4">
        <w:t>).</w:t>
      </w:r>
      <w:r>
        <w:t xml:space="preserve">  </w:t>
      </w:r>
    </w:p>
    <w:p w:rsidR="008203A5" w:rsidRDefault="008203A5" w:rsidP="008203A5">
      <w:pPr>
        <w:spacing w:line="480" w:lineRule="auto"/>
        <w:ind w:firstLine="720"/>
      </w:pPr>
      <w:r>
        <w:t>Twenty-four fields of data were collected for each invoice and accompa</w:t>
      </w:r>
      <w:r w:rsidR="002466AD">
        <w:t xml:space="preserve">nying order entry (Table 5-2). </w:t>
      </w:r>
      <w:r>
        <w:t xml:space="preserve">Of these, seven </w:t>
      </w:r>
      <w:r w:rsidRPr="00506A4E">
        <w:t xml:space="preserve">fields have associated authority tables </w:t>
      </w:r>
      <w:r>
        <w:t>to</w:t>
      </w:r>
      <w:r w:rsidRPr="00506A4E">
        <w:t xml:space="preserve"> constrain the universe of possible entries</w:t>
      </w:r>
      <w:r>
        <w:t>: item; vendor; category; subcategory; qualifier; ship; and agent</w:t>
      </w:r>
      <w:r w:rsidRPr="00506A4E">
        <w:t>.</w:t>
      </w:r>
      <w:r w:rsidR="002466AD">
        <w:t xml:space="preserve"> </w:t>
      </w:r>
      <w:r>
        <w:t>The authority tables also allow for quick sorting by multiple levels in excel to aid analysis.</w:t>
      </w:r>
    </w:p>
    <w:p w:rsidR="008203A5" w:rsidRDefault="008203A5" w:rsidP="008203A5">
      <w:pPr>
        <w:spacing w:line="480" w:lineRule="auto"/>
        <w:rPr>
          <w:b/>
        </w:rPr>
      </w:pPr>
    </w:p>
    <w:p w:rsidR="008203A5" w:rsidRDefault="008203A5" w:rsidP="008203A5">
      <w:pPr>
        <w:rPr>
          <w:b/>
        </w:rPr>
      </w:pPr>
      <w:r>
        <w:rPr>
          <w:b/>
        </w:rPr>
        <w:br w:type="page"/>
      </w:r>
    </w:p>
    <w:p w:rsidR="008203A5" w:rsidRPr="0034760A" w:rsidRDefault="008203A5" w:rsidP="008203A5">
      <w:pPr>
        <w:spacing w:line="480" w:lineRule="auto"/>
      </w:pPr>
      <w:r w:rsidRPr="00D817C8">
        <w:rPr>
          <w:b/>
        </w:rPr>
        <w:lastRenderedPageBreak/>
        <w:t xml:space="preserve">Table 5-2. </w:t>
      </w:r>
      <w:r w:rsidRPr="0034760A">
        <w:t xml:space="preserve">Data entry fields for the Invoices and Orders Project.       </w:t>
      </w:r>
    </w:p>
    <w:tbl>
      <w:tblPr>
        <w:tblW w:w="9195" w:type="dxa"/>
        <w:tblInd w:w="93" w:type="dxa"/>
        <w:tblLook w:val="04A0"/>
      </w:tblPr>
      <w:tblGrid>
        <w:gridCol w:w="1905"/>
        <w:gridCol w:w="7290"/>
      </w:tblGrid>
      <w:tr w:rsidR="008203A5" w:rsidRPr="002A3B31" w:rsidTr="00E91746">
        <w:trPr>
          <w:trHeight w:val="255"/>
        </w:trPr>
        <w:tc>
          <w:tcPr>
            <w:tcW w:w="190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8203A5" w:rsidRPr="002A3B31" w:rsidRDefault="008203A5" w:rsidP="00E91746">
            <w:pPr>
              <w:jc w:val="center"/>
              <w:rPr>
                <w:rFonts w:eastAsia="Times New Roman"/>
                <w:b/>
                <w:bCs/>
                <w:color w:val="000000"/>
                <w:sz w:val="20"/>
              </w:rPr>
            </w:pPr>
            <w:r w:rsidRPr="002A3B31">
              <w:rPr>
                <w:rFonts w:eastAsia="Times New Roman"/>
                <w:b/>
                <w:bCs/>
                <w:color w:val="000000"/>
                <w:sz w:val="20"/>
              </w:rPr>
              <w:t>Field</w:t>
            </w:r>
          </w:p>
        </w:tc>
        <w:tc>
          <w:tcPr>
            <w:tcW w:w="7290" w:type="dxa"/>
            <w:tcBorders>
              <w:top w:val="single" w:sz="4" w:space="0" w:color="auto"/>
              <w:left w:val="nil"/>
              <w:bottom w:val="single" w:sz="4" w:space="0" w:color="auto"/>
              <w:right w:val="single" w:sz="4" w:space="0" w:color="auto"/>
            </w:tcBorders>
            <w:shd w:val="clear" w:color="000000" w:fill="D9D9D9"/>
            <w:vAlign w:val="center"/>
            <w:hideMark/>
          </w:tcPr>
          <w:p w:rsidR="008203A5" w:rsidRPr="002A3B31" w:rsidRDefault="008203A5" w:rsidP="00E91746">
            <w:pPr>
              <w:jc w:val="center"/>
              <w:rPr>
                <w:rFonts w:eastAsia="Times New Roman"/>
                <w:b/>
                <w:bCs/>
                <w:color w:val="000000"/>
                <w:sz w:val="20"/>
              </w:rPr>
            </w:pPr>
            <w:r w:rsidRPr="002A3B31">
              <w:rPr>
                <w:rFonts w:eastAsia="Times New Roman"/>
                <w:b/>
                <w:bCs/>
                <w:color w:val="000000"/>
                <w:sz w:val="20"/>
              </w:rPr>
              <w:t>Description</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Item</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A one or two word name for the good received.</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Item Number</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Sequential number in the order the item appears in the invoice or “no invoice” if there is no match for the item.</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Ship Date: Month</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month that the item was shipped.</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Ship Date: Day</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day that the item was shipped.</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Ship Date: Year</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year that the item was shipped.</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Invoice Reference</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 xml:space="preserve">The relevant reference to the volume and page of the </w:t>
            </w:r>
            <w:r w:rsidRPr="002A3B31">
              <w:rPr>
                <w:rFonts w:eastAsia="Times New Roman"/>
                <w:i/>
                <w:iCs/>
                <w:color w:val="000000"/>
                <w:sz w:val="20"/>
              </w:rPr>
              <w:t>Papers of George Washington</w:t>
            </w:r>
            <w:r w:rsidRPr="002A3B31">
              <w:rPr>
                <w:rFonts w:eastAsia="Times New Roman"/>
                <w:color w:val="000000"/>
                <w:sz w:val="20"/>
              </w:rPr>
              <w:t xml:space="preserve"> or the html link to the Library of Congress document.</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Vendor</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name of the shop or individual from whom the item(s) was procured.</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Invoice Description</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A record of the description of the item exactly as it appears in the invoice.</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Unit Price</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Not always originally recorded, but the cost of a unit of the item, as opposed to the total cost.</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Category</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broad grouping into which the item falls (i.e., art, furniture, textiles) to facilitate macro-analyses.</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Subcategory</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sub-grouping into which the item falls (for textiles, i.e., bedding, fabric, notions, or windows).</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Qualifier</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Used if the quantity recorded is not per piece (i.e., pair, yard, pound, bushel).</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Quantity</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count of the item ordered.</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Cost</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total cost of the item.</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List</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An * is used to denote if multiple items are recorded as a list with only one total cost.</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Ship via</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name of the ship that transported the goods.</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Agent</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 xml:space="preserve">The person or company Washington ordered from; the agent </w:t>
            </w:r>
            <w:r w:rsidR="0053435E">
              <w:rPr>
                <w:rFonts w:eastAsia="Times New Roman"/>
                <w:color w:val="000000"/>
                <w:sz w:val="20"/>
              </w:rPr>
              <w:t xml:space="preserve">that </w:t>
            </w:r>
            <w:r w:rsidRPr="002A3B31">
              <w:rPr>
                <w:rFonts w:eastAsia="Times New Roman"/>
                <w:color w:val="000000"/>
                <w:sz w:val="20"/>
              </w:rPr>
              <w:t>did the buying from individual shops or vendors.</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Order Date: Month</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month the order was placed.</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Order Date: Day</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day the order was placed.</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Order Date: Year</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year the order was placed.</w:t>
            </w:r>
          </w:p>
        </w:tc>
      </w:tr>
      <w:tr w:rsidR="008203A5" w:rsidRPr="002A3B31"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Order Description</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The matching order to the item description that appears in the invoice.</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Order Reference</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 xml:space="preserve">The relevant reference to the volume and page of the </w:t>
            </w:r>
            <w:r w:rsidRPr="002A3B31">
              <w:rPr>
                <w:rFonts w:eastAsia="Times New Roman"/>
                <w:i/>
                <w:iCs/>
                <w:color w:val="000000"/>
                <w:sz w:val="20"/>
              </w:rPr>
              <w:t>Papers of George Washington</w:t>
            </w:r>
            <w:r w:rsidRPr="002A3B31">
              <w:rPr>
                <w:rFonts w:eastAsia="Times New Roman"/>
                <w:color w:val="000000"/>
                <w:sz w:val="20"/>
              </w:rPr>
              <w:t xml:space="preserve"> or the html link to the Library of Congress document.</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Other Reference</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 xml:space="preserve">Used for citation to works other than the </w:t>
            </w:r>
            <w:r w:rsidRPr="002A3B31">
              <w:rPr>
                <w:rFonts w:eastAsia="Times New Roman"/>
                <w:i/>
                <w:iCs/>
                <w:color w:val="000000"/>
                <w:sz w:val="20"/>
              </w:rPr>
              <w:t>Papers</w:t>
            </w:r>
            <w:r w:rsidRPr="002A3B31">
              <w:rPr>
                <w:rFonts w:eastAsia="Times New Roman"/>
                <w:color w:val="000000"/>
                <w:sz w:val="20"/>
              </w:rPr>
              <w:t xml:space="preserve"> in which the item may be mentioned.</w:t>
            </w:r>
          </w:p>
        </w:tc>
      </w:tr>
      <w:tr w:rsidR="008203A5" w:rsidRPr="002A3B31" w:rsidTr="00E91746">
        <w:trPr>
          <w:trHeight w:val="450"/>
        </w:trPr>
        <w:tc>
          <w:tcPr>
            <w:tcW w:w="1905" w:type="dxa"/>
            <w:tcBorders>
              <w:top w:val="nil"/>
              <w:left w:val="single" w:sz="4" w:space="0" w:color="auto"/>
              <w:bottom w:val="single" w:sz="4" w:space="0" w:color="auto"/>
              <w:right w:val="single" w:sz="4" w:space="0" w:color="auto"/>
            </w:tcBorders>
            <w:shd w:val="clear" w:color="auto" w:fill="auto"/>
            <w:vAlign w:val="center"/>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Note</w:t>
            </w:r>
          </w:p>
        </w:tc>
        <w:tc>
          <w:tcPr>
            <w:tcW w:w="7290" w:type="dxa"/>
            <w:tcBorders>
              <w:top w:val="nil"/>
              <w:left w:val="nil"/>
              <w:bottom w:val="single" w:sz="4" w:space="0" w:color="auto"/>
              <w:right w:val="single" w:sz="4" w:space="0" w:color="auto"/>
            </w:tcBorders>
            <w:shd w:val="clear" w:color="auto" w:fill="auto"/>
            <w:vAlign w:val="center"/>
            <w:hideMark/>
          </w:tcPr>
          <w:p w:rsidR="008203A5" w:rsidRPr="002A3B31" w:rsidRDefault="008203A5" w:rsidP="00E91746">
            <w:pPr>
              <w:rPr>
                <w:rFonts w:eastAsia="Times New Roman"/>
                <w:color w:val="000000"/>
                <w:sz w:val="20"/>
              </w:rPr>
            </w:pPr>
            <w:r w:rsidRPr="002A3B31">
              <w:rPr>
                <w:rFonts w:eastAsia="Times New Roman"/>
                <w:color w:val="000000"/>
                <w:sz w:val="20"/>
              </w:rPr>
              <w:t>Records individual items that were part of a list of items with one cost or for any other comments.</w:t>
            </w:r>
          </w:p>
        </w:tc>
      </w:tr>
    </w:tbl>
    <w:p w:rsidR="008203A5" w:rsidRDefault="008203A5" w:rsidP="008203A5">
      <w:pPr>
        <w:spacing w:line="480" w:lineRule="auto"/>
        <w:rPr>
          <w:b/>
        </w:rPr>
      </w:pPr>
      <w:r w:rsidRPr="00506A4E">
        <w:t xml:space="preserve">  </w:t>
      </w:r>
    </w:p>
    <w:p w:rsidR="008203A5" w:rsidRPr="00B21CFC" w:rsidRDefault="008203A5" w:rsidP="008203A5">
      <w:pPr>
        <w:spacing w:line="480" w:lineRule="auto"/>
        <w:rPr>
          <w:b/>
        </w:rPr>
      </w:pPr>
    </w:p>
    <w:p w:rsidR="008203A5" w:rsidRDefault="008203A5" w:rsidP="008203A5">
      <w:pPr>
        <w:rPr>
          <w:bCs/>
          <w:i/>
        </w:rPr>
      </w:pPr>
      <w:r>
        <w:rPr>
          <w:bCs/>
          <w:i/>
        </w:rPr>
        <w:br w:type="page"/>
      </w:r>
    </w:p>
    <w:p w:rsidR="008203A5" w:rsidRPr="0051644A" w:rsidRDefault="008203A5" w:rsidP="008203A5">
      <w:pPr>
        <w:spacing w:line="480" w:lineRule="auto"/>
        <w:ind w:firstLine="720"/>
        <w:rPr>
          <w:bCs/>
        </w:rPr>
      </w:pPr>
      <w:r w:rsidRPr="0051644A">
        <w:rPr>
          <w:bCs/>
          <w:i/>
        </w:rPr>
        <w:lastRenderedPageBreak/>
        <w:t>Strengths and Weaknesses</w:t>
      </w:r>
      <w:r w:rsidR="002466AD">
        <w:rPr>
          <w:bCs/>
        </w:rPr>
        <w:t xml:space="preserve">. </w:t>
      </w:r>
      <w:r>
        <w:rPr>
          <w:bCs/>
        </w:rPr>
        <w:t>Before engaging with the data contained in the invoices and orders dataset, we need to consider the potential contributi</w:t>
      </w:r>
      <w:r w:rsidR="002466AD">
        <w:rPr>
          <w:bCs/>
        </w:rPr>
        <w:t xml:space="preserve">ons and biases of the dataset. </w:t>
      </w:r>
      <w:r>
        <w:rPr>
          <w:bCs/>
        </w:rPr>
        <w:t>The information contained in it presents a dynamic, robust, and uniquely rich picture of gentry consumer practices, or more accurately the consumer practice of on</w:t>
      </w:r>
      <w:r w:rsidR="002466AD">
        <w:rPr>
          <w:bCs/>
        </w:rPr>
        <w:t>e large-scale plantation owner.</w:t>
      </w:r>
      <w:r>
        <w:rPr>
          <w:bCs/>
        </w:rPr>
        <w:t xml:space="preserve"> Caution should be </w:t>
      </w:r>
      <w:r w:rsidR="0053435E">
        <w:rPr>
          <w:bCs/>
        </w:rPr>
        <w:t>used</w:t>
      </w:r>
      <w:r>
        <w:rPr>
          <w:bCs/>
        </w:rPr>
        <w:t xml:space="preserve"> when investigating the data and care taken to remember that they pertain to only one individual</w:t>
      </w:r>
      <w:r w:rsidRPr="008C29F7">
        <w:rPr>
          <w:bCs/>
        </w:rPr>
        <w:t xml:space="preserve"> </w:t>
      </w:r>
      <w:r>
        <w:rPr>
          <w:bCs/>
        </w:rPr>
        <w:t>and are specific to Washington’s economic circumstance</w:t>
      </w:r>
      <w:r w:rsidR="002466AD">
        <w:rPr>
          <w:bCs/>
        </w:rPr>
        <w:t>s at that point in his life.</w:t>
      </w:r>
      <w:r>
        <w:rPr>
          <w:bCs/>
        </w:rPr>
        <w:t xml:space="preserve"> I hope that the triangulation between these data and the two other sources (store inventories and the archaeological record) will balance out the particular</w:t>
      </w:r>
      <w:r w:rsidR="002466AD">
        <w:rPr>
          <w:bCs/>
        </w:rPr>
        <w:t xml:space="preserve">ism of this documentary angle. </w:t>
      </w:r>
      <w:r>
        <w:rPr>
          <w:bCs/>
        </w:rPr>
        <w:t xml:space="preserve">Since no comparative data exist, we do not know how similar George Washington’s purchasing habits </w:t>
      </w:r>
      <w:r w:rsidR="0053435E">
        <w:rPr>
          <w:bCs/>
        </w:rPr>
        <w:t>relative to those</w:t>
      </w:r>
      <w:r w:rsidR="002466AD">
        <w:rPr>
          <w:bCs/>
        </w:rPr>
        <w:t xml:space="preserve"> of his peers. </w:t>
      </w:r>
      <w:r>
        <w:rPr>
          <w:bCs/>
        </w:rPr>
        <w:t>Secondly, the dataset affords only one picture of eighteenth century consumerism – local purchases made with cash, barter, and credit are contained in the plantation ledger A for the similar time per</w:t>
      </w:r>
      <w:r w:rsidR="002466AD">
        <w:rPr>
          <w:bCs/>
        </w:rPr>
        <w:t xml:space="preserve">iod and not incorporated here. </w:t>
      </w:r>
      <w:r>
        <w:rPr>
          <w:rFonts w:eastAsia="Calibri"/>
        </w:rPr>
        <w:t xml:space="preserve">The first in a series of three, Washington’s Ledger A encompasses his personal accounts with individuals and companies and cash transactions </w:t>
      </w:r>
      <w:r>
        <w:rPr>
          <w:bCs/>
        </w:rPr>
        <w:t xml:space="preserve">(Washington </w:t>
      </w:r>
      <w:r>
        <w:t>1750-1774)</w:t>
      </w:r>
      <w:r w:rsidR="002466AD">
        <w:rPr>
          <w:rFonts w:eastAsia="Calibri"/>
        </w:rPr>
        <w:t xml:space="preserve">. </w:t>
      </w:r>
      <w:r>
        <w:rPr>
          <w:bCs/>
        </w:rPr>
        <w:t xml:space="preserve">Impressionistically, however, Washington made few local purchases and the products of his plantation never </w:t>
      </w:r>
      <w:r w:rsidR="002466AD">
        <w:rPr>
          <w:bCs/>
        </w:rPr>
        <w:t xml:space="preserve">replaced the need for imports. </w:t>
      </w:r>
      <w:r>
        <w:rPr>
          <w:bCs/>
        </w:rPr>
        <w:t>The invoices and orders fall somewhere between a snapshot of consumer practices and a</w:t>
      </w:r>
      <w:r w:rsidR="002466AD">
        <w:rPr>
          <w:bCs/>
        </w:rPr>
        <w:t xml:space="preserve"> synthesis of change over time.</w:t>
      </w:r>
      <w:r>
        <w:rPr>
          <w:bCs/>
        </w:rPr>
        <w:t xml:space="preserve"> Finally, as previously mentioned, these types of documents do not survive for Lawrence Washington; therefore, one-to-one comparisons with the archaeol</w:t>
      </w:r>
      <w:r w:rsidR="002466AD">
        <w:rPr>
          <w:bCs/>
        </w:rPr>
        <w:t xml:space="preserve">ogical data are often invalid. </w:t>
      </w:r>
      <w:r>
        <w:rPr>
          <w:bCs/>
        </w:rPr>
        <w:t xml:space="preserve">This documentary dataset should be seen as informing the archaeological record (and vice versa), and not as a proxy for it.    </w:t>
      </w:r>
    </w:p>
    <w:p w:rsidR="008203A5" w:rsidRPr="005F2ACF" w:rsidRDefault="008203A5" w:rsidP="008203A5">
      <w:pPr>
        <w:spacing w:line="480" w:lineRule="auto"/>
        <w:rPr>
          <w:b/>
          <w:bCs/>
        </w:rPr>
      </w:pPr>
      <w:r w:rsidRPr="00506A4E">
        <w:rPr>
          <w:b/>
          <w:bCs/>
        </w:rPr>
        <w:t>Summary of the Dataset</w:t>
      </w:r>
    </w:p>
    <w:p w:rsidR="008203A5" w:rsidRDefault="008203A5" w:rsidP="008203A5">
      <w:pPr>
        <w:spacing w:line="480" w:lineRule="auto"/>
        <w:ind w:firstLine="720"/>
      </w:pPr>
      <w:r w:rsidRPr="00073E97">
        <w:rPr>
          <w:i/>
        </w:rPr>
        <w:t xml:space="preserve">Chronology. </w:t>
      </w:r>
      <w:r>
        <w:t xml:space="preserve">The </w:t>
      </w:r>
      <w:r w:rsidRPr="00393107">
        <w:t xml:space="preserve">earliest </w:t>
      </w:r>
      <w:r>
        <w:t>document included in the dataset was an invoice recorded on October 23,</w:t>
      </w:r>
      <w:r w:rsidRPr="00393107">
        <w:t xml:space="preserve"> 1754</w:t>
      </w:r>
      <w:r>
        <w:t xml:space="preserve">, when George Washington was 22 years old and signed an agreement with </w:t>
      </w:r>
      <w:r>
        <w:lastRenderedPageBreak/>
        <w:t>Lawrence’s widow to lease Mount V</w:t>
      </w:r>
      <w:r w:rsidR="002466AD">
        <w:t xml:space="preserve">ernon (Abbot 1983[1]:232-235). </w:t>
      </w:r>
      <w:r>
        <w:t>With the lease of the plantation, Washington ent</w:t>
      </w:r>
      <w:r w:rsidR="002466AD">
        <w:t xml:space="preserve">ered into the tobacco economy. </w:t>
      </w:r>
      <w:r>
        <w:t>No matching order for this</w:t>
      </w:r>
      <w:r w:rsidR="002466AD">
        <w:t xml:space="preserve"> bill of goods has been found. </w:t>
      </w:r>
      <w:r>
        <w:t>The latest document recorded in the dataset was an order dated October 6, 1773. No ma</w:t>
      </w:r>
      <w:r w:rsidR="002466AD">
        <w:t xml:space="preserve">tching invoice has been found. </w:t>
      </w:r>
      <w:r>
        <w:t>In fact, the last five known orders placed by Washington with his factor in England, in 1772 and 1773, have no matching invoices.</w:t>
      </w:r>
      <w:r w:rsidR="002466AD">
        <w:t xml:space="preserve"> </w:t>
      </w:r>
      <w:r>
        <w:t xml:space="preserve">We assume that these orders were filled, but that </w:t>
      </w:r>
      <w:r w:rsidR="002466AD">
        <w:t xml:space="preserve">the paperwork did not survive. </w:t>
      </w:r>
      <w:r>
        <w:t>Washington shipped his last cargo of tobacco to England in 1773, effectively ending his participation in the consignment system and, thereby, his financial and com</w:t>
      </w:r>
      <w:r w:rsidR="002466AD">
        <w:t xml:space="preserve">mercial dependence on England. </w:t>
      </w:r>
      <w:r>
        <w:t>By the end of 1774, Washington’s thriving grain and fish trades allowed him to direct his consumer business to the new nexus of fashion and taste, Philadelphia (Ragsdale 1989:161).</w:t>
      </w:r>
    </w:p>
    <w:p w:rsidR="008203A5" w:rsidRDefault="008203A5" w:rsidP="008203A5">
      <w:pPr>
        <w:spacing w:line="480" w:lineRule="auto"/>
        <w:ind w:firstLine="720"/>
      </w:pPr>
      <w:r w:rsidRPr="00073E97">
        <w:rPr>
          <w:i/>
        </w:rPr>
        <w:t xml:space="preserve">Sum Totals. </w:t>
      </w:r>
      <w:r>
        <w:t>The dataset contains 3</w:t>
      </w:r>
      <w:r w:rsidR="0053435E">
        <w:t>,</w:t>
      </w:r>
      <w:r w:rsidR="002466AD">
        <w:t>839 total entries.</w:t>
      </w:r>
      <w:r>
        <w:t xml:space="preserve"> These entries include items for which both an invoice and matching order exist and items for which o</w:t>
      </w:r>
      <w:r w:rsidR="002466AD">
        <w:t xml:space="preserve">nly an invoice or order exist. </w:t>
      </w:r>
      <w:r>
        <w:t>These entries breakdown into 3</w:t>
      </w:r>
      <w:r w:rsidR="0053435E">
        <w:t>,</w:t>
      </w:r>
      <w:r>
        <w:t>204 invoiced and/or ordered items and 635 line items for shipping-related expenses (includi</w:t>
      </w:r>
      <w:r w:rsidR="002466AD">
        <w:t>ng fees and packing materials).</w:t>
      </w:r>
      <w:r>
        <w:t>We have evidence that 3525 items (n=2</w:t>
      </w:r>
      <w:r w:rsidR="0053435E">
        <w:t>,</w:t>
      </w:r>
      <w:r>
        <w:t>890) or fees (n=635) were charged to George Washington during this nearly 20-year time period. The remaining 314 items a</w:t>
      </w:r>
      <w:r w:rsidR="002466AD">
        <w:t xml:space="preserve">ppear only in order documents. </w:t>
      </w:r>
      <w:r>
        <w:t>We have no documentary evidence in the form of an invoice that these items act</w:t>
      </w:r>
      <w:r w:rsidR="002466AD">
        <w:t xml:space="preserve">ually arrived at Mount Vernon. </w:t>
      </w:r>
      <w:r>
        <w:t>Over the span of nearly 20 years, Washington paid his factors a total of £4</w:t>
      </w:r>
      <w:r w:rsidR="0053435E">
        <w:t>,</w:t>
      </w:r>
      <w:r>
        <w:t>694 for those 3</w:t>
      </w:r>
      <w:r w:rsidR="0053435E">
        <w:t>,</w:t>
      </w:r>
      <w:r w:rsidR="002466AD">
        <w:t xml:space="preserve">525 goods and services. </w:t>
      </w:r>
      <w:r>
        <w:t xml:space="preserve">Of this sum, £593 (13 percent) was spent on shipping-related charges and £4101 (87 percent) was spent on goods.     </w:t>
      </w:r>
    </w:p>
    <w:p w:rsidR="008203A5" w:rsidRDefault="008203A5" w:rsidP="008203A5">
      <w:pPr>
        <w:spacing w:line="480" w:lineRule="auto"/>
        <w:ind w:firstLine="720"/>
      </w:pPr>
      <w:r>
        <w:rPr>
          <w:i/>
        </w:rPr>
        <w:t>Chronology of Consumerism by Count</w:t>
      </w:r>
      <w:r w:rsidRPr="00073E97">
        <w:rPr>
          <w:i/>
        </w:rPr>
        <w:t xml:space="preserve">. </w:t>
      </w:r>
      <w:r>
        <w:t>The height of George Washington’s participation in the consignment system, when viewed by total items invoiced by year, occurred f</w:t>
      </w:r>
      <w:r w:rsidR="002466AD">
        <w:t xml:space="preserve">rom 1760 to 1765 (Figure 5-1). </w:t>
      </w:r>
      <w:r>
        <w:t>No items were invoiced</w:t>
      </w:r>
      <w:r w:rsidR="002466AD">
        <w:t xml:space="preserve"> in 1755 and only one in 1769. </w:t>
      </w:r>
      <w:r>
        <w:t xml:space="preserve">It should be said </w:t>
      </w:r>
      <w:r w:rsidR="0053435E">
        <w:t xml:space="preserve">that </w:t>
      </w:r>
      <w:r>
        <w:lastRenderedPageBreak/>
        <w:t>calculating total items is not a calculation of the total quantity of individual purchases shipped to Mount Vernon, for this m</w:t>
      </w:r>
      <w:r w:rsidR="002466AD">
        <w:t xml:space="preserve">etric is impossible to assess. </w:t>
      </w:r>
      <w:r>
        <w:t>For example, nails were invoiced by count, textiles were recorded by length, and seeds were invoiced by weight.</w:t>
      </w:r>
      <w:r w:rsidR="002466AD">
        <w:t xml:space="preserve"> </w:t>
      </w:r>
      <w:r>
        <w:t xml:space="preserve">The metric being recorded in Figure 5-1 is the counts of items that incurred charges as captured in the corresponding invoice.    </w:t>
      </w:r>
    </w:p>
    <w:p w:rsidR="008203A5" w:rsidRDefault="008203A5" w:rsidP="00FB0F53">
      <w:pPr>
        <w:spacing w:line="480" w:lineRule="auto"/>
        <w:ind w:firstLine="720"/>
      </w:pPr>
      <w:r w:rsidRPr="007053C5">
        <w:t>If we pull in those additional 314 entries that only appear in the order documentation</w:t>
      </w:r>
      <w:r>
        <w:t>,</w:t>
      </w:r>
      <w:r w:rsidRPr="007053C5">
        <w:t xml:space="preserve"> for</w:t>
      </w:r>
      <w:r>
        <w:rPr>
          <w:color w:val="FF0000"/>
        </w:rPr>
        <w:t xml:space="preserve"> </w:t>
      </w:r>
      <w:r>
        <w:t>a total of 3</w:t>
      </w:r>
      <w:r w:rsidR="0053435E">
        <w:t>,</w:t>
      </w:r>
      <w:r>
        <w:t>204, the picture changes little except to extend th</w:t>
      </w:r>
      <w:r w:rsidR="002466AD">
        <w:t>e graph into 1773 (Figure 5-2).</w:t>
      </w:r>
      <w:r>
        <w:t xml:space="preserve"> The years 1760 and 1765 remain the peak years in terms of items ordered and invoiced; 1755 and 1769 remain the lowest.  </w:t>
      </w:r>
    </w:p>
    <w:p w:rsidR="00FB0F53" w:rsidRDefault="00FB0F53" w:rsidP="008203A5">
      <w:pPr>
        <w:spacing w:line="480" w:lineRule="auto"/>
        <w:ind w:firstLine="720"/>
      </w:pPr>
    </w:p>
    <w:p w:rsidR="008203A5" w:rsidRDefault="008203A5" w:rsidP="008203A5">
      <w:r w:rsidRPr="00AE5323">
        <w:rPr>
          <w:noProof/>
        </w:rPr>
        <w:drawing>
          <wp:inline distT="0" distB="0" distL="0" distR="0">
            <wp:extent cx="6000750" cy="3238500"/>
            <wp:effectExtent l="0" t="0" r="0" b="0"/>
            <wp:docPr id="2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203A5" w:rsidRPr="00237E26" w:rsidRDefault="008203A5" w:rsidP="008203A5">
      <w:pPr>
        <w:rPr>
          <w:b/>
        </w:rPr>
      </w:pPr>
      <w:r>
        <w:rPr>
          <w:b/>
        </w:rPr>
        <w:t>Figure 5-1</w:t>
      </w:r>
      <w:r w:rsidRPr="00237E26">
        <w:rPr>
          <w:b/>
        </w:rPr>
        <w:t xml:space="preserve">. </w:t>
      </w:r>
      <w:r w:rsidRPr="0034760A">
        <w:t>Number of items invoiced per year.</w:t>
      </w:r>
    </w:p>
    <w:p w:rsidR="008203A5" w:rsidRDefault="008203A5" w:rsidP="008203A5"/>
    <w:p w:rsidR="008203A5" w:rsidRDefault="008203A5" w:rsidP="008203A5">
      <w:pPr>
        <w:spacing w:line="480" w:lineRule="auto"/>
        <w:ind w:firstLine="720"/>
      </w:pPr>
    </w:p>
    <w:p w:rsidR="008203A5" w:rsidRDefault="008203A5" w:rsidP="008203A5">
      <w:pPr>
        <w:spacing w:after="200" w:line="276" w:lineRule="auto"/>
      </w:pPr>
      <w:r>
        <w:br w:type="page"/>
      </w:r>
    </w:p>
    <w:p w:rsidR="008203A5" w:rsidRDefault="008203A5" w:rsidP="008203A5">
      <w:r w:rsidRPr="00AE5323">
        <w:rPr>
          <w:noProof/>
        </w:rPr>
        <w:lastRenderedPageBreak/>
        <w:drawing>
          <wp:inline distT="0" distB="0" distL="0" distR="0">
            <wp:extent cx="5772150" cy="2990850"/>
            <wp:effectExtent l="0" t="0" r="0" b="0"/>
            <wp:docPr id="2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203A5" w:rsidRPr="00237E26" w:rsidRDefault="008203A5" w:rsidP="008203A5">
      <w:pPr>
        <w:rPr>
          <w:b/>
        </w:rPr>
      </w:pPr>
      <w:r>
        <w:rPr>
          <w:b/>
        </w:rPr>
        <w:t>Figure 5-2</w:t>
      </w:r>
      <w:r w:rsidRPr="00237E26">
        <w:rPr>
          <w:b/>
        </w:rPr>
        <w:t xml:space="preserve">. </w:t>
      </w:r>
      <w:r w:rsidRPr="00BC7531">
        <w:t>Number of items ordered and invoiced per year.</w:t>
      </w:r>
    </w:p>
    <w:p w:rsidR="008203A5" w:rsidRDefault="008203A5" w:rsidP="008203A5"/>
    <w:p w:rsidR="008203A5" w:rsidRDefault="008203A5" w:rsidP="008203A5"/>
    <w:p w:rsidR="008203A5" w:rsidRDefault="008203A5" w:rsidP="008203A5"/>
    <w:p w:rsidR="008203A5" w:rsidRDefault="008203A5" w:rsidP="008203A5">
      <w:pPr>
        <w:spacing w:line="480" w:lineRule="auto"/>
        <w:ind w:firstLine="720"/>
      </w:pPr>
      <w:r>
        <w:t>The peak in consumer activity in the early 1760s represents the half decade following Washington’s return from the French and Indian War, the new-found resources at his disposal as a result of his union with Martha in 1759, and his increased investment in the tobacco consig</w:t>
      </w:r>
      <w:r w:rsidR="002466AD">
        <w:t xml:space="preserve">nment system (Pogue 1994:103). </w:t>
      </w:r>
      <w:r>
        <w:t>External forces, such as the disruption of trans-Atlantic trade during the French and Indian War, and Washington’s newness to the role of planter account for the pre-</w:t>
      </w:r>
      <w:r w:rsidR="002466AD">
        <w:t xml:space="preserve">1759 lull (Ragsdale 1989:137). </w:t>
      </w:r>
      <w:r>
        <w:t xml:space="preserve">Almost as soon as Washington embarked on colonial Virginia’s “time-honored method” of getting rich quick, he started to </w:t>
      </w:r>
      <w:r w:rsidRPr="00753A44">
        <w:t>complain about that method, particularly in regards to th</w:t>
      </w:r>
      <w:r w:rsidR="002466AD">
        <w:t xml:space="preserve">e prices his tobacco obtained. </w:t>
      </w:r>
      <w:r w:rsidRPr="00753A44">
        <w:t>In fact, “at no time did Washington acknowledge that tob</w:t>
      </w:r>
      <w:r>
        <w:t xml:space="preserve">acco sales met his expectations” </w:t>
      </w:r>
      <w:r w:rsidRPr="00753A44">
        <w:t>(Pogue 1994:104)</w:t>
      </w:r>
      <w:r w:rsidR="002466AD">
        <w:t xml:space="preserve">. </w:t>
      </w:r>
      <w:r>
        <w:t>The prices on Washington’s tobacco declined from 1760 to 1764, onl</w:t>
      </w:r>
      <w:r w:rsidR="002466AD">
        <w:t xml:space="preserve">y to slightly rebound in 1765. </w:t>
      </w:r>
      <w:r>
        <w:t xml:space="preserve">Yet he continued to order goods, </w:t>
      </w:r>
      <w:r w:rsidR="0053435E">
        <w:t>a practice that resulted in</w:t>
      </w:r>
      <w:r>
        <w:t xml:space="preserve"> a debt of £1</w:t>
      </w:r>
      <w:r w:rsidR="0053435E">
        <w:t>,</w:t>
      </w:r>
      <w:r>
        <w:t>800 owed to Robert</w:t>
      </w:r>
      <w:r w:rsidR="002466AD">
        <w:t xml:space="preserve"> Cary (Ragsdale 1989:146-148). </w:t>
      </w:r>
      <w:r>
        <w:t>This debt was considerable and amounted to nearly half of the total £4</w:t>
      </w:r>
      <w:r w:rsidR="0053435E">
        <w:t>,</w:t>
      </w:r>
      <w:r>
        <w:t>101 spent on goods during</w:t>
      </w:r>
      <w:r w:rsidR="002466AD">
        <w:t xml:space="preserve"> the entire consignment period.</w:t>
      </w:r>
      <w:r>
        <w:t xml:space="preserve"> It is easy to understand how this </w:t>
      </w:r>
      <w:r w:rsidR="002466AD">
        <w:lastRenderedPageBreak/>
        <w:t>debt accrued.</w:t>
      </w:r>
      <w:r>
        <w:t xml:space="preserve"> In 1762, for example, Washington’s tobacco earned £463 and yet his invoice for goods in that year alone tota</w:t>
      </w:r>
      <w:r w:rsidR="002466AD">
        <w:t xml:space="preserve">led £377.7.0 (Pogue 1994:106). </w:t>
      </w:r>
      <w:r>
        <w:t>Poor crops, poor prices, and rich desires for goods created the incentive Washington needed to disengage from the tobacco consignment system and set his sights on a new grain-based plan</w:t>
      </w:r>
      <w:r w:rsidR="002466AD">
        <w:t xml:space="preserve">tation model (Pogue 1994:106). </w:t>
      </w:r>
      <w:r>
        <w:t>This new plantation model, requiring a withdrawal from the tobacco market and the credit extended to planters by the consignment houses in England, created a conundrum – how would Washington fulfill his need for goods cultivated in those peak years?</w:t>
      </w:r>
    </w:p>
    <w:p w:rsidR="008203A5" w:rsidRDefault="008203A5" w:rsidP="008203A5">
      <w:pPr>
        <w:spacing w:line="480" w:lineRule="auto"/>
        <w:ind w:firstLine="720"/>
      </w:pPr>
      <w:r>
        <w:t>The sharp decline in 1769 was a direct result of George Washington’s response to the Stamp Act of 1765, an attempt on the part of the British government to extract additio</w:t>
      </w:r>
      <w:r w:rsidR="00D96AFF">
        <w:t xml:space="preserve">nal revenue from its colonies. </w:t>
      </w:r>
      <w:r>
        <w:t>Colonists resisted the Stamp Act through economic pressure applied through organized boycotts of certain imported English goods, call</w:t>
      </w:r>
      <w:r w:rsidR="00D96AFF">
        <w:t xml:space="preserve">ed non-importation agreements. </w:t>
      </w:r>
      <w:r>
        <w:t>Washington and other proponents of the non-importation agreement, like George Mason, saw this protest as a way to decrease dependence on imported good</w:t>
      </w:r>
      <w:r w:rsidRPr="00237E26">
        <w:t>s from the mother country an</w:t>
      </w:r>
      <w:r w:rsidR="00D96AFF">
        <w:t xml:space="preserve">d stimulate local manufacture. </w:t>
      </w:r>
      <w:r>
        <w:t>In 1769, “Washington’</w:t>
      </w:r>
      <w:r w:rsidRPr="00237E26">
        <w:t>s close adherence to the agreement enabled him to reduce his annual order from Robert Cary</w:t>
      </w:r>
      <w:r>
        <w:t xml:space="preserve"> &amp; Co. to the lowest le</w:t>
      </w:r>
      <w:r w:rsidR="00D96AFF">
        <w:t xml:space="preserve">vel ever” (Ragsdale 1989:159). </w:t>
      </w:r>
      <w:r>
        <w:t>The number of items invoiced, however, quickly rebounded in 1770 despite the fact that the non-importation agreemen</w:t>
      </w:r>
      <w:r w:rsidR="00D96AFF">
        <w:t xml:space="preserve">t continued for a second year. </w:t>
      </w:r>
      <w:r>
        <w:t>This change was partly due to the fact that although Washington had completely switched away from tobacco cultivation at his Mount Vernon plantation, he continued to grow the</w:t>
      </w:r>
      <w:r w:rsidR="00D96AFF">
        <w:t xml:space="preserve"> crop on his York River lands. </w:t>
      </w:r>
      <w:r>
        <w:t>By continuing his engagement with the consignment system, Washington obtained “the necessaries wanted for my Family’s use” in addition to a devising way to slowly battle the debt owed to Rober</w:t>
      </w:r>
      <w:r w:rsidR="00CA3DEE">
        <w:t>t Cary (Ragsdale 1989:159-160).</w:t>
      </w:r>
      <w:r>
        <w:t xml:space="preserve"> The other factor in the 1770 increase in purchases can be found in the invoices for goods themselves, which evidence a need for items </w:t>
      </w:r>
      <w:r>
        <w:lastRenderedPageBreak/>
        <w:t xml:space="preserve">that local manufacture could not yet meet – including inexpensive cloth and plantation tools (Ragsdale 1989:159).          </w:t>
      </w:r>
    </w:p>
    <w:p w:rsidR="008203A5" w:rsidRDefault="008203A5" w:rsidP="008203A5">
      <w:pPr>
        <w:spacing w:line="480" w:lineRule="auto"/>
        <w:ind w:firstLine="720"/>
      </w:pPr>
      <w:r>
        <w:t>Isolating items ordered by year (Figure 5-3) affords a better glimpse of George Wash</w:t>
      </w:r>
      <w:r w:rsidR="00CA3DEE">
        <w:t>ington’s outlook on the system.</w:t>
      </w:r>
      <w:r>
        <w:t xml:space="preserve"> First, we find evidence for the largest invoice for goods in 1760, correlating to the lar</w:t>
      </w:r>
      <w:r w:rsidR="00CA3DEE">
        <w:t xml:space="preserve">gest order the preceding year. </w:t>
      </w:r>
      <w:r>
        <w:t>In 1759, Washington ordered at least 100 more items than in any other yea</w:t>
      </w:r>
      <w:r w:rsidR="00CA3DEE">
        <w:t xml:space="preserve">r. </w:t>
      </w:r>
      <w:r>
        <w:t>Certainly, he needed a vast array of goods for household and plantation as his ambitions shifted fro</w:t>
      </w:r>
      <w:r w:rsidR="00CA3DEE">
        <w:t xml:space="preserve">m military service to planter. </w:t>
      </w:r>
      <w:r>
        <w:t>Additionally, his eagerness to succeed had yet to be quelled by the vagaries of the tobacco market and subsequent indebtednes</w:t>
      </w:r>
      <w:r w:rsidR="00CA3DEE">
        <w:t>s that characterized the 1760s.</w:t>
      </w:r>
      <w:r>
        <w:t xml:space="preserve"> Also, it appears tha</w:t>
      </w:r>
      <w:r w:rsidR="0053435E">
        <w:t>t the low invoice count for 1770</w:t>
      </w:r>
      <w:r>
        <w:t xml:space="preserve"> is probably an anomaly, as he ordered goods in both 1768 and 1769.  </w:t>
      </w:r>
    </w:p>
    <w:p w:rsidR="008203A5" w:rsidRDefault="008203A5" w:rsidP="008203A5">
      <w:pPr>
        <w:spacing w:line="480" w:lineRule="auto"/>
        <w:ind w:firstLine="720"/>
      </w:pPr>
    </w:p>
    <w:p w:rsidR="008203A5" w:rsidRDefault="008203A5" w:rsidP="008203A5">
      <w:r w:rsidRPr="00AE5323">
        <w:rPr>
          <w:noProof/>
        </w:rPr>
        <w:drawing>
          <wp:inline distT="0" distB="0" distL="0" distR="0">
            <wp:extent cx="5781675" cy="3171825"/>
            <wp:effectExtent l="0" t="0" r="0" b="0"/>
            <wp:docPr id="2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203A5" w:rsidRPr="0034760A" w:rsidRDefault="008203A5" w:rsidP="008203A5">
      <w:r w:rsidRPr="00AE5323">
        <w:rPr>
          <w:b/>
        </w:rPr>
        <w:t>Figure</w:t>
      </w:r>
      <w:r>
        <w:rPr>
          <w:b/>
        </w:rPr>
        <w:t xml:space="preserve"> 5-3</w:t>
      </w:r>
      <w:r w:rsidR="00CA3DEE">
        <w:rPr>
          <w:b/>
        </w:rPr>
        <w:t>.</w:t>
      </w:r>
      <w:r w:rsidRPr="00AE5323">
        <w:rPr>
          <w:b/>
        </w:rPr>
        <w:t xml:space="preserve"> </w:t>
      </w:r>
      <w:r w:rsidRPr="0034760A">
        <w:t>Number of items ordered per year.</w:t>
      </w:r>
    </w:p>
    <w:p w:rsidR="008203A5" w:rsidRDefault="008203A5" w:rsidP="008203A5"/>
    <w:p w:rsidR="008203A5" w:rsidRDefault="008203A5" w:rsidP="008203A5"/>
    <w:p w:rsidR="008203A5" w:rsidRDefault="008203A5" w:rsidP="008203A5">
      <w:pPr>
        <w:rPr>
          <w:i/>
        </w:rPr>
      </w:pPr>
      <w:r>
        <w:rPr>
          <w:i/>
        </w:rPr>
        <w:br w:type="page"/>
      </w:r>
    </w:p>
    <w:p w:rsidR="008203A5" w:rsidRDefault="008203A5" w:rsidP="008203A5">
      <w:pPr>
        <w:spacing w:line="480" w:lineRule="auto"/>
        <w:ind w:firstLine="720"/>
      </w:pPr>
      <w:r>
        <w:rPr>
          <w:i/>
        </w:rPr>
        <w:lastRenderedPageBreak/>
        <w:t>Chronology of Consumerism by Cost</w:t>
      </w:r>
      <w:r w:rsidRPr="00073E97">
        <w:rPr>
          <w:i/>
        </w:rPr>
        <w:t xml:space="preserve">. </w:t>
      </w:r>
      <w:r>
        <w:t>A slightly different picture emerges if we look at the r</w:t>
      </w:r>
      <w:r w:rsidR="00CA3DEE">
        <w:t xml:space="preserve">elative invoice total by year. </w:t>
      </w:r>
      <w:r w:rsidR="0053435E">
        <w:t>I</w:t>
      </w:r>
      <w:r>
        <w:t>n general, the number of items for which George Washington was charged correlates to the to</w:t>
      </w:r>
      <w:r w:rsidR="00CA3DEE">
        <w:t xml:space="preserve">tal invoice cost (Figure 5-4). </w:t>
      </w:r>
      <w:r>
        <w:t>There are deviations, discussed subsequently, particularly in 1757 when fewer goods were invoiced than other years, and yet Washington paid the high</w:t>
      </w:r>
      <w:r w:rsidR="00CA3DEE">
        <w:t xml:space="preserve">est invoice total of any year. </w:t>
      </w:r>
      <w:r>
        <w:t>Table 5-3 presents a breakdown of individual invoice total</w:t>
      </w:r>
      <w:r w:rsidR="00CA3DEE">
        <w:t xml:space="preserve">s and invoice totals per year. </w:t>
      </w:r>
      <w:r>
        <w:t>Washington paid the most for his goods in the years 1757,</w:t>
      </w:r>
      <w:r w:rsidR="00CA3DEE">
        <w:t xml:space="preserve"> 1764, and 1771, respectively. </w:t>
      </w:r>
      <w:r>
        <w:t>In these three years alone, Washington spent one quarter of the total £4</w:t>
      </w:r>
      <w:r w:rsidR="0053435E">
        <w:t>,</w:t>
      </w:r>
      <w:r>
        <w:t>694.  In general, invoice charges e</w:t>
      </w:r>
      <w:r w:rsidR="00CA3DEE">
        <w:t xml:space="preserve">xceeded £300 in 7 of 18 years. </w:t>
      </w:r>
      <w:r>
        <w:t xml:space="preserve">As Ragsdale notes, “The costs in part reflect the couple’s pursuit of a standard of living that had come to characterize Virginia’s most prominent </w:t>
      </w:r>
      <w:r w:rsidR="00CA3DEE">
        <w:t xml:space="preserve">planters” (Ragsdale 1989:143). </w:t>
      </w:r>
      <w:r>
        <w:t xml:space="preserve">Individual invoices averaged over £160, with the largest single invoices occurring in 1764, 1762, and 1771, respectively.   </w:t>
      </w:r>
    </w:p>
    <w:p w:rsidR="008203A5" w:rsidRDefault="008203A5" w:rsidP="008203A5">
      <w:pPr>
        <w:rPr>
          <w:noProof/>
        </w:rPr>
      </w:pPr>
      <w:r>
        <w:rPr>
          <w:noProof/>
        </w:rPr>
        <w:br w:type="page"/>
      </w:r>
    </w:p>
    <w:p w:rsidR="008203A5" w:rsidRDefault="008203A5" w:rsidP="008203A5">
      <w:r w:rsidRPr="00AE5323">
        <w:rPr>
          <w:noProof/>
        </w:rPr>
        <w:lastRenderedPageBreak/>
        <w:drawing>
          <wp:inline distT="0" distB="0" distL="0" distR="0">
            <wp:extent cx="5943600" cy="3804285"/>
            <wp:effectExtent l="0" t="0" r="0" b="0"/>
            <wp:docPr id="24"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203A5" w:rsidRPr="00803762" w:rsidRDefault="008203A5" w:rsidP="008203A5">
      <w:pPr>
        <w:rPr>
          <w:b/>
        </w:rPr>
      </w:pPr>
      <w:r>
        <w:rPr>
          <w:b/>
        </w:rPr>
        <w:t>Figure 5-4</w:t>
      </w:r>
      <w:r w:rsidR="00CA3DEE">
        <w:rPr>
          <w:b/>
        </w:rPr>
        <w:t>.</w:t>
      </w:r>
      <w:r w:rsidRPr="00803762">
        <w:rPr>
          <w:b/>
        </w:rPr>
        <w:t xml:space="preserve"> </w:t>
      </w:r>
      <w:r w:rsidRPr="0034760A">
        <w:t>Relative invoice totals per year.</w:t>
      </w:r>
    </w:p>
    <w:p w:rsidR="008203A5" w:rsidRDefault="008203A5" w:rsidP="008203A5"/>
    <w:p w:rsidR="008203A5" w:rsidRDefault="008203A5" w:rsidP="008203A5"/>
    <w:p w:rsidR="008203A5" w:rsidRDefault="008203A5" w:rsidP="008203A5">
      <w:pPr>
        <w:rPr>
          <w:b/>
        </w:rPr>
      </w:pPr>
    </w:p>
    <w:p w:rsidR="008203A5" w:rsidRDefault="008203A5" w:rsidP="008203A5">
      <w:pPr>
        <w:spacing w:line="480" w:lineRule="auto"/>
      </w:pPr>
      <w:r>
        <w:rPr>
          <w:b/>
        </w:rPr>
        <w:t>Table 5-3</w:t>
      </w:r>
      <w:r w:rsidRPr="00803762">
        <w:rPr>
          <w:b/>
        </w:rPr>
        <w:t xml:space="preserve">. </w:t>
      </w:r>
      <w:r w:rsidRPr="0034760A">
        <w:t xml:space="preserve">Breakdown of individual invoices totals and invoices totals per year.  </w:t>
      </w:r>
    </w:p>
    <w:tbl>
      <w:tblPr>
        <w:tblW w:w="4775" w:type="dxa"/>
        <w:tblInd w:w="103" w:type="dxa"/>
        <w:tblLook w:val="04A0"/>
      </w:tblPr>
      <w:tblGrid>
        <w:gridCol w:w="1715"/>
        <w:gridCol w:w="180"/>
        <w:gridCol w:w="900"/>
        <w:gridCol w:w="990"/>
        <w:gridCol w:w="990"/>
      </w:tblGrid>
      <w:tr w:rsidR="00280741" w:rsidRPr="00280741" w:rsidTr="00280741">
        <w:trPr>
          <w:trHeight w:val="255"/>
        </w:trPr>
        <w:tc>
          <w:tcPr>
            <w:tcW w:w="1715"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280741" w:rsidRPr="00280741" w:rsidRDefault="00280741" w:rsidP="00280741">
            <w:pPr>
              <w:rPr>
                <w:rFonts w:eastAsia="Times New Roman"/>
                <w:b/>
                <w:bCs/>
                <w:color w:val="000000"/>
                <w:sz w:val="20"/>
                <w:szCs w:val="20"/>
              </w:rPr>
            </w:pPr>
            <w:r w:rsidRPr="00280741">
              <w:rPr>
                <w:rFonts w:eastAsia="Times New Roman"/>
                <w:b/>
                <w:bCs/>
                <w:color w:val="000000"/>
                <w:sz w:val="20"/>
                <w:szCs w:val="20"/>
              </w:rPr>
              <w:t>Invoice Date</w:t>
            </w:r>
          </w:p>
        </w:tc>
        <w:tc>
          <w:tcPr>
            <w:tcW w:w="1080" w:type="dxa"/>
            <w:gridSpan w:val="2"/>
            <w:tcBorders>
              <w:top w:val="single" w:sz="4" w:space="0" w:color="auto"/>
              <w:left w:val="nil"/>
              <w:bottom w:val="single" w:sz="4" w:space="0" w:color="auto"/>
              <w:right w:val="single" w:sz="4" w:space="0" w:color="auto"/>
            </w:tcBorders>
            <w:shd w:val="clear" w:color="000000" w:fill="D8D8D8"/>
            <w:noWrap/>
            <w:vAlign w:val="bottom"/>
            <w:hideMark/>
          </w:tcPr>
          <w:p w:rsidR="00280741" w:rsidRPr="00280741" w:rsidRDefault="00280741" w:rsidP="00280741">
            <w:pPr>
              <w:rPr>
                <w:rFonts w:eastAsia="Times New Roman"/>
                <w:b/>
                <w:bCs/>
                <w:color w:val="000000"/>
                <w:sz w:val="20"/>
                <w:szCs w:val="20"/>
              </w:rPr>
            </w:pPr>
            <w:r w:rsidRPr="00280741">
              <w:rPr>
                <w:rFonts w:eastAsia="Times New Roman"/>
                <w:b/>
                <w:bCs/>
                <w:color w:val="000000"/>
                <w:sz w:val="20"/>
                <w:szCs w:val="20"/>
              </w:rPr>
              <w:t>Pounds</w:t>
            </w:r>
          </w:p>
        </w:tc>
        <w:tc>
          <w:tcPr>
            <w:tcW w:w="990" w:type="dxa"/>
            <w:tcBorders>
              <w:top w:val="single" w:sz="4" w:space="0" w:color="auto"/>
              <w:left w:val="nil"/>
              <w:bottom w:val="single" w:sz="4" w:space="0" w:color="auto"/>
              <w:right w:val="single" w:sz="4" w:space="0" w:color="auto"/>
            </w:tcBorders>
            <w:shd w:val="clear" w:color="000000" w:fill="D8D8D8"/>
            <w:noWrap/>
            <w:vAlign w:val="bottom"/>
            <w:hideMark/>
          </w:tcPr>
          <w:p w:rsidR="00280741" w:rsidRPr="00280741" w:rsidRDefault="00280741" w:rsidP="00280741">
            <w:pPr>
              <w:rPr>
                <w:rFonts w:eastAsia="Times New Roman"/>
                <w:b/>
                <w:bCs/>
                <w:color w:val="000000"/>
                <w:sz w:val="20"/>
                <w:szCs w:val="20"/>
              </w:rPr>
            </w:pPr>
            <w:r w:rsidRPr="00280741">
              <w:rPr>
                <w:rFonts w:eastAsia="Times New Roman"/>
                <w:b/>
                <w:bCs/>
                <w:color w:val="000000"/>
                <w:sz w:val="20"/>
                <w:szCs w:val="20"/>
              </w:rPr>
              <w:t>Shillings</w:t>
            </w:r>
          </w:p>
        </w:tc>
        <w:tc>
          <w:tcPr>
            <w:tcW w:w="990" w:type="dxa"/>
            <w:tcBorders>
              <w:top w:val="single" w:sz="4" w:space="0" w:color="auto"/>
              <w:left w:val="nil"/>
              <w:bottom w:val="single" w:sz="4" w:space="0" w:color="auto"/>
              <w:right w:val="single" w:sz="4" w:space="0" w:color="auto"/>
            </w:tcBorders>
            <w:shd w:val="clear" w:color="000000" w:fill="D8D8D8"/>
            <w:noWrap/>
            <w:vAlign w:val="bottom"/>
            <w:hideMark/>
          </w:tcPr>
          <w:p w:rsidR="00280741" w:rsidRPr="00280741" w:rsidRDefault="00280741" w:rsidP="00280741">
            <w:pPr>
              <w:rPr>
                <w:rFonts w:eastAsia="Times New Roman"/>
                <w:b/>
                <w:bCs/>
                <w:color w:val="000000"/>
                <w:sz w:val="20"/>
                <w:szCs w:val="20"/>
              </w:rPr>
            </w:pPr>
            <w:r w:rsidRPr="00280741">
              <w:rPr>
                <w:rFonts w:eastAsia="Times New Roman"/>
                <w:b/>
                <w:bCs/>
                <w:color w:val="000000"/>
                <w:sz w:val="20"/>
                <w:szCs w:val="20"/>
              </w:rPr>
              <w:t>Pence</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1754, Oct 23</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28</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1754 TOTAL</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28</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1755 TOTAL</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0</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1756, April 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69</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19</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1756 TOTAL</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69</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19</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1757, Nov 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105</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4</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1757, Aug 20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274</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0</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1757, Sept 28</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56</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7</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1757 TOTAL</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435</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4</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 xml:space="preserve">1758, Aug 18 </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111</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9</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1758 TOTAL</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111</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9</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1759, March 20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16</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7</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 xml:space="preserve">1759, Aug 6 </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151</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5</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10</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1759 TOTAL</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167</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6</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1760, March 15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353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15</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9</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1760 TOTAL</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353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15</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9</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1761, March 31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316</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16</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0</w:t>
            </w:r>
          </w:p>
        </w:tc>
      </w:tr>
      <w:tr w:rsidR="00280741" w:rsidRPr="00280741" w:rsidTr="00280741">
        <w:trPr>
          <w:trHeight w:val="255"/>
        </w:trPr>
        <w:tc>
          <w:tcPr>
            <w:tcW w:w="1715" w:type="dxa"/>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1761 TOTAL</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316</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16</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0</w:t>
            </w:r>
          </w:p>
        </w:tc>
      </w:tr>
      <w:tr w:rsidR="00280741" w:rsidRPr="00280741" w:rsidTr="00280741">
        <w:trPr>
          <w:trHeight w:val="315"/>
        </w:trPr>
        <w:tc>
          <w:tcPr>
            <w:tcW w:w="2795" w:type="dxa"/>
            <w:gridSpan w:val="3"/>
            <w:tcBorders>
              <w:top w:val="nil"/>
              <w:left w:val="nil"/>
              <w:bottom w:val="nil"/>
              <w:right w:val="nil"/>
            </w:tcBorders>
            <w:shd w:val="clear" w:color="auto" w:fill="auto"/>
            <w:noWrap/>
            <w:vAlign w:val="bottom"/>
            <w:hideMark/>
          </w:tcPr>
          <w:p w:rsidR="00280741" w:rsidRPr="00280741" w:rsidRDefault="00280741" w:rsidP="00280741">
            <w:pPr>
              <w:rPr>
                <w:rFonts w:eastAsia="Times New Roman"/>
                <w:b/>
                <w:bCs/>
                <w:color w:val="000000"/>
              </w:rPr>
            </w:pPr>
            <w:r w:rsidRPr="00280741">
              <w:rPr>
                <w:rFonts w:eastAsia="Times New Roman"/>
                <w:b/>
                <w:bCs/>
                <w:color w:val="000000"/>
              </w:rPr>
              <w:lastRenderedPageBreak/>
              <w:t xml:space="preserve">Table 5-3 (continued). </w:t>
            </w:r>
          </w:p>
        </w:tc>
        <w:tc>
          <w:tcPr>
            <w:tcW w:w="990" w:type="dxa"/>
            <w:tcBorders>
              <w:top w:val="nil"/>
              <w:left w:val="nil"/>
              <w:bottom w:val="nil"/>
              <w:right w:val="nil"/>
            </w:tcBorders>
            <w:shd w:val="clear" w:color="auto" w:fill="auto"/>
            <w:noWrap/>
            <w:vAlign w:val="bottom"/>
            <w:hideMark/>
          </w:tcPr>
          <w:p w:rsidR="00280741" w:rsidRPr="00280741" w:rsidRDefault="00280741" w:rsidP="00280741">
            <w:pPr>
              <w:rPr>
                <w:rFonts w:ascii="Arial" w:eastAsia="Times New Roman" w:hAnsi="Arial" w:cs="Arial"/>
                <w:b/>
                <w:bCs/>
                <w:color w:val="000000"/>
                <w:sz w:val="16"/>
                <w:szCs w:val="16"/>
              </w:rPr>
            </w:pPr>
          </w:p>
        </w:tc>
        <w:tc>
          <w:tcPr>
            <w:tcW w:w="990" w:type="dxa"/>
            <w:tcBorders>
              <w:top w:val="nil"/>
              <w:left w:val="nil"/>
              <w:bottom w:val="nil"/>
              <w:right w:val="nil"/>
            </w:tcBorders>
            <w:shd w:val="clear" w:color="auto" w:fill="auto"/>
            <w:noWrap/>
            <w:vAlign w:val="bottom"/>
            <w:hideMark/>
          </w:tcPr>
          <w:p w:rsidR="00280741" w:rsidRPr="00280741" w:rsidRDefault="00280741" w:rsidP="00280741">
            <w:pPr>
              <w:rPr>
                <w:rFonts w:ascii="Arial" w:eastAsia="Times New Roman" w:hAnsi="Arial" w:cs="Arial"/>
                <w:b/>
                <w:bCs/>
                <w:color w:val="000000"/>
                <w:sz w:val="16"/>
                <w:szCs w:val="16"/>
              </w:rPr>
            </w:pPr>
          </w:p>
        </w:tc>
      </w:tr>
      <w:tr w:rsidR="00280741" w:rsidRPr="00280741" w:rsidTr="00280741">
        <w:trPr>
          <w:trHeight w:val="225"/>
        </w:trPr>
        <w:tc>
          <w:tcPr>
            <w:tcW w:w="1895" w:type="dxa"/>
            <w:gridSpan w:val="2"/>
            <w:tcBorders>
              <w:top w:val="nil"/>
              <w:left w:val="nil"/>
              <w:bottom w:val="nil"/>
              <w:right w:val="nil"/>
            </w:tcBorders>
            <w:shd w:val="clear" w:color="auto" w:fill="auto"/>
            <w:noWrap/>
            <w:vAlign w:val="bottom"/>
            <w:hideMark/>
          </w:tcPr>
          <w:p w:rsidR="00280741" w:rsidRPr="00280741" w:rsidRDefault="00280741" w:rsidP="00280741">
            <w:pPr>
              <w:jc w:val="right"/>
              <w:rPr>
                <w:rFonts w:ascii="Arial" w:eastAsia="Times New Roman" w:hAnsi="Arial" w:cs="Arial"/>
                <w:b/>
                <w:bCs/>
                <w:color w:val="000000"/>
                <w:sz w:val="16"/>
                <w:szCs w:val="16"/>
              </w:rPr>
            </w:pPr>
          </w:p>
        </w:tc>
        <w:tc>
          <w:tcPr>
            <w:tcW w:w="900" w:type="dxa"/>
            <w:tcBorders>
              <w:top w:val="nil"/>
              <w:left w:val="nil"/>
              <w:bottom w:val="nil"/>
              <w:right w:val="nil"/>
            </w:tcBorders>
            <w:shd w:val="clear" w:color="auto" w:fill="auto"/>
            <w:noWrap/>
            <w:vAlign w:val="bottom"/>
            <w:hideMark/>
          </w:tcPr>
          <w:p w:rsidR="00280741" w:rsidRPr="00280741" w:rsidRDefault="00280741" w:rsidP="00280741">
            <w:pPr>
              <w:rPr>
                <w:rFonts w:ascii="Arial" w:eastAsia="Times New Roman" w:hAnsi="Arial" w:cs="Arial"/>
                <w:b/>
                <w:bCs/>
                <w:color w:val="000000"/>
                <w:sz w:val="16"/>
                <w:szCs w:val="16"/>
              </w:rPr>
            </w:pPr>
          </w:p>
        </w:tc>
        <w:tc>
          <w:tcPr>
            <w:tcW w:w="990" w:type="dxa"/>
            <w:tcBorders>
              <w:top w:val="nil"/>
              <w:left w:val="nil"/>
              <w:bottom w:val="nil"/>
              <w:right w:val="nil"/>
            </w:tcBorders>
            <w:shd w:val="clear" w:color="auto" w:fill="auto"/>
            <w:noWrap/>
            <w:vAlign w:val="bottom"/>
            <w:hideMark/>
          </w:tcPr>
          <w:p w:rsidR="00280741" w:rsidRPr="00280741" w:rsidRDefault="00280741" w:rsidP="00280741">
            <w:pPr>
              <w:rPr>
                <w:rFonts w:ascii="Arial" w:eastAsia="Times New Roman" w:hAnsi="Arial" w:cs="Arial"/>
                <w:b/>
                <w:bCs/>
                <w:color w:val="000000"/>
                <w:sz w:val="16"/>
                <w:szCs w:val="16"/>
              </w:rPr>
            </w:pPr>
          </w:p>
        </w:tc>
        <w:tc>
          <w:tcPr>
            <w:tcW w:w="990" w:type="dxa"/>
            <w:tcBorders>
              <w:top w:val="nil"/>
              <w:left w:val="nil"/>
              <w:bottom w:val="nil"/>
              <w:right w:val="nil"/>
            </w:tcBorders>
            <w:shd w:val="clear" w:color="auto" w:fill="auto"/>
            <w:noWrap/>
            <w:vAlign w:val="bottom"/>
            <w:hideMark/>
          </w:tcPr>
          <w:p w:rsidR="00280741" w:rsidRPr="00280741" w:rsidRDefault="00280741" w:rsidP="00280741">
            <w:pPr>
              <w:rPr>
                <w:rFonts w:ascii="Arial" w:eastAsia="Times New Roman" w:hAnsi="Arial" w:cs="Arial"/>
                <w:b/>
                <w:bCs/>
                <w:color w:val="000000"/>
                <w:sz w:val="16"/>
                <w:szCs w:val="16"/>
              </w:rPr>
            </w:pPr>
          </w:p>
        </w:tc>
      </w:tr>
      <w:tr w:rsidR="00280741" w:rsidRPr="00280741" w:rsidTr="00280741">
        <w:trPr>
          <w:trHeight w:val="255"/>
        </w:trPr>
        <w:tc>
          <w:tcPr>
            <w:tcW w:w="1895" w:type="dxa"/>
            <w:gridSpan w:val="2"/>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280741" w:rsidRPr="00280741" w:rsidRDefault="00280741" w:rsidP="00280741">
            <w:pPr>
              <w:rPr>
                <w:rFonts w:eastAsia="Times New Roman"/>
                <w:b/>
                <w:bCs/>
                <w:color w:val="000000"/>
                <w:sz w:val="20"/>
                <w:szCs w:val="20"/>
              </w:rPr>
            </w:pPr>
            <w:r w:rsidRPr="00280741">
              <w:rPr>
                <w:rFonts w:eastAsia="Times New Roman"/>
                <w:b/>
                <w:bCs/>
                <w:color w:val="000000"/>
                <w:sz w:val="20"/>
                <w:szCs w:val="20"/>
              </w:rPr>
              <w:t>Invoice Date</w:t>
            </w:r>
          </w:p>
        </w:tc>
        <w:tc>
          <w:tcPr>
            <w:tcW w:w="900" w:type="dxa"/>
            <w:tcBorders>
              <w:top w:val="single" w:sz="4" w:space="0" w:color="auto"/>
              <w:left w:val="nil"/>
              <w:bottom w:val="single" w:sz="4" w:space="0" w:color="auto"/>
              <w:right w:val="single" w:sz="4" w:space="0" w:color="auto"/>
            </w:tcBorders>
            <w:shd w:val="clear" w:color="000000" w:fill="D8D8D8"/>
            <w:noWrap/>
            <w:vAlign w:val="bottom"/>
            <w:hideMark/>
          </w:tcPr>
          <w:p w:rsidR="00280741" w:rsidRPr="00280741" w:rsidRDefault="00280741" w:rsidP="00280741">
            <w:pPr>
              <w:rPr>
                <w:rFonts w:eastAsia="Times New Roman"/>
                <w:b/>
                <w:bCs/>
                <w:color w:val="000000"/>
                <w:sz w:val="20"/>
                <w:szCs w:val="20"/>
              </w:rPr>
            </w:pPr>
            <w:r w:rsidRPr="00280741">
              <w:rPr>
                <w:rFonts w:eastAsia="Times New Roman"/>
                <w:b/>
                <w:bCs/>
                <w:color w:val="000000"/>
                <w:sz w:val="20"/>
                <w:szCs w:val="20"/>
              </w:rPr>
              <w:t>Pounds</w:t>
            </w:r>
          </w:p>
        </w:tc>
        <w:tc>
          <w:tcPr>
            <w:tcW w:w="990" w:type="dxa"/>
            <w:tcBorders>
              <w:top w:val="single" w:sz="4" w:space="0" w:color="auto"/>
              <w:left w:val="nil"/>
              <w:bottom w:val="single" w:sz="4" w:space="0" w:color="auto"/>
              <w:right w:val="single" w:sz="4" w:space="0" w:color="auto"/>
            </w:tcBorders>
            <w:shd w:val="clear" w:color="000000" w:fill="D8D8D8"/>
            <w:noWrap/>
            <w:vAlign w:val="bottom"/>
            <w:hideMark/>
          </w:tcPr>
          <w:p w:rsidR="00280741" w:rsidRPr="00280741" w:rsidRDefault="00280741" w:rsidP="00280741">
            <w:pPr>
              <w:rPr>
                <w:rFonts w:eastAsia="Times New Roman"/>
                <w:b/>
                <w:bCs/>
                <w:color w:val="000000"/>
                <w:sz w:val="20"/>
                <w:szCs w:val="20"/>
              </w:rPr>
            </w:pPr>
            <w:r w:rsidRPr="00280741">
              <w:rPr>
                <w:rFonts w:eastAsia="Times New Roman"/>
                <w:b/>
                <w:bCs/>
                <w:color w:val="000000"/>
                <w:sz w:val="20"/>
                <w:szCs w:val="20"/>
              </w:rPr>
              <w:t>Shillings</w:t>
            </w:r>
          </w:p>
        </w:tc>
        <w:tc>
          <w:tcPr>
            <w:tcW w:w="990" w:type="dxa"/>
            <w:tcBorders>
              <w:top w:val="single" w:sz="4" w:space="0" w:color="auto"/>
              <w:left w:val="nil"/>
              <w:bottom w:val="single" w:sz="4" w:space="0" w:color="auto"/>
              <w:right w:val="single" w:sz="4" w:space="0" w:color="auto"/>
            </w:tcBorders>
            <w:shd w:val="clear" w:color="000000" w:fill="D8D8D8"/>
            <w:noWrap/>
            <w:vAlign w:val="bottom"/>
            <w:hideMark/>
          </w:tcPr>
          <w:p w:rsidR="00280741" w:rsidRPr="00280741" w:rsidRDefault="00280741" w:rsidP="00280741">
            <w:pPr>
              <w:rPr>
                <w:rFonts w:eastAsia="Times New Roman"/>
                <w:b/>
                <w:bCs/>
                <w:color w:val="000000"/>
                <w:sz w:val="20"/>
                <w:szCs w:val="20"/>
              </w:rPr>
            </w:pPr>
            <w:r w:rsidRPr="00280741">
              <w:rPr>
                <w:rFonts w:eastAsia="Times New Roman"/>
                <w:b/>
                <w:bCs/>
                <w:color w:val="000000"/>
                <w:sz w:val="20"/>
                <w:szCs w:val="20"/>
              </w:rPr>
              <w:t>Pence</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1762, April 10</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377</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7</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0</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1762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377</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7</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0</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1763, April 13</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298</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1763, April 23</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35</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6</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1763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333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9</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1764, Feb 13</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404</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19</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1764, April 2</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22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18</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4</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1764, June 6</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4</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6</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1764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430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40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13</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1765, May 15</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8</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1765, Feb 13</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168</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14</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0</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1765, July</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22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4</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5</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1765, Dec 20</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171</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4</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9</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1765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393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39</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22</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1766, March 27</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14</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0</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1766, Feb 28</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53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18</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9</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 xml:space="preserve">1766, Nov 17 </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161</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0</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1766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228</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29</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9</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1767, Oct 29</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139</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0</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1767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139</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0</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1768, Sept 28</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315</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6</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1768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315</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6</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1769, Jan 12</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6</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1769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6</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1770, Jan 23</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85</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11</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1770, Nov 13</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123</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1770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208</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4</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1771, Dec 3</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386</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4</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1771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386</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4</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1772, Sept 29</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380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rPr>
                <w:rFonts w:eastAsia="Times New Roman"/>
                <w:color w:val="000000"/>
                <w:sz w:val="20"/>
                <w:szCs w:val="20"/>
              </w:rPr>
            </w:pPr>
            <w:r w:rsidRPr="00280741">
              <w:rPr>
                <w:rFonts w:eastAsia="Times New Roman"/>
                <w:color w:val="000000"/>
                <w:sz w:val="20"/>
                <w:szCs w:val="20"/>
              </w:rPr>
              <w:t>6</w:t>
            </w:r>
          </w:p>
        </w:tc>
      </w:tr>
      <w:tr w:rsidR="00280741" w:rsidRPr="00280741" w:rsidTr="00280741">
        <w:trPr>
          <w:trHeight w:val="255"/>
        </w:trPr>
        <w:tc>
          <w:tcPr>
            <w:tcW w:w="1895" w:type="dxa"/>
            <w:gridSpan w:val="2"/>
            <w:tcBorders>
              <w:top w:val="nil"/>
              <w:left w:val="single" w:sz="4" w:space="0" w:color="auto"/>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1772 TOTAL</w:t>
            </w:r>
          </w:p>
        </w:tc>
        <w:tc>
          <w:tcPr>
            <w:tcW w:w="90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380</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280741" w:rsidRPr="00280741" w:rsidRDefault="00280741" w:rsidP="00280741">
            <w:pPr>
              <w:jc w:val="right"/>
              <w:rPr>
                <w:rFonts w:eastAsia="Times New Roman"/>
                <w:b/>
                <w:bCs/>
                <w:color w:val="000000"/>
                <w:sz w:val="20"/>
                <w:szCs w:val="20"/>
              </w:rPr>
            </w:pPr>
            <w:r w:rsidRPr="00280741">
              <w:rPr>
                <w:rFonts w:eastAsia="Times New Roman"/>
                <w:b/>
                <w:bCs/>
                <w:color w:val="000000"/>
                <w:sz w:val="20"/>
                <w:szCs w:val="20"/>
              </w:rPr>
              <w:t>6</w:t>
            </w:r>
          </w:p>
        </w:tc>
      </w:tr>
    </w:tbl>
    <w:p w:rsidR="008203A5" w:rsidRDefault="008203A5" w:rsidP="00280741">
      <w:pPr>
        <w:rPr>
          <w:b/>
        </w:rPr>
      </w:pPr>
    </w:p>
    <w:p w:rsidR="008203A5" w:rsidRDefault="008203A5" w:rsidP="00280741">
      <w:pPr>
        <w:rPr>
          <w:b/>
        </w:rPr>
      </w:pPr>
    </w:p>
    <w:p w:rsidR="00280741" w:rsidRDefault="00280741" w:rsidP="00280741">
      <w:pPr>
        <w:rPr>
          <w:bCs/>
        </w:rPr>
      </w:pPr>
    </w:p>
    <w:p w:rsidR="008203A5" w:rsidRPr="00F03C6C" w:rsidRDefault="008203A5" w:rsidP="008203A5">
      <w:pPr>
        <w:spacing w:line="480" w:lineRule="auto"/>
        <w:rPr>
          <w:bCs/>
        </w:rPr>
      </w:pPr>
      <w:r>
        <w:rPr>
          <w:bCs/>
        </w:rPr>
        <w:tab/>
      </w:r>
      <w:r w:rsidR="0053435E">
        <w:rPr>
          <w:bCs/>
        </w:rPr>
        <w:t xml:space="preserve">George Washington’s hopes for the lifestyle of a </w:t>
      </w:r>
      <w:r>
        <w:rPr>
          <w:bCs/>
        </w:rPr>
        <w:t>genteel planter are expressed in the massive order for goods placed in 1759 and the peak in inv</w:t>
      </w:r>
      <w:r w:rsidR="00CA3DEE">
        <w:rPr>
          <w:bCs/>
        </w:rPr>
        <w:t xml:space="preserve">oiced items from 1760 to 1765. </w:t>
      </w:r>
      <w:r>
        <w:rPr>
          <w:bCs/>
        </w:rPr>
        <w:t>These early ambitions were challenged by a simultaneous decline in tobacco prices – the result being an accrual of debt that prompted Washington to begin to seek a</w:t>
      </w:r>
      <w:r w:rsidR="00CA3DEE">
        <w:rPr>
          <w:bCs/>
        </w:rPr>
        <w:t xml:space="preserve">lternative revenue strategies. </w:t>
      </w:r>
      <w:r>
        <w:rPr>
          <w:bCs/>
        </w:rPr>
        <w:t>External forces, such as wartime disruptions and political crises, provided compounding eviden</w:t>
      </w:r>
      <w:r w:rsidR="00CA3DEE">
        <w:rPr>
          <w:bCs/>
        </w:rPr>
        <w:t xml:space="preserve">ce of a flawed economic model. </w:t>
      </w:r>
      <w:r>
        <w:rPr>
          <w:bCs/>
        </w:rPr>
        <w:t xml:space="preserve">Despite Washington’s growing realization of these </w:t>
      </w:r>
      <w:r>
        <w:rPr>
          <w:bCs/>
        </w:rPr>
        <w:lastRenderedPageBreak/>
        <w:t>problems, and his attempts to extricate himself from the web of consignment, his orders and payments for goods continue</w:t>
      </w:r>
      <w:r w:rsidR="00CA3DEE">
        <w:rPr>
          <w:bCs/>
        </w:rPr>
        <w:t xml:space="preserve">d strong into the early 1770s. </w:t>
      </w:r>
      <w:r>
        <w:rPr>
          <w:bCs/>
        </w:rPr>
        <w:t xml:space="preserve">Without the eventual disorder caused by the Revolutionary War, we might wonder how long Washington would have remained entangled in this ailing system.    </w:t>
      </w:r>
    </w:p>
    <w:p w:rsidR="008203A5" w:rsidRPr="00393107" w:rsidRDefault="008203A5" w:rsidP="008203A5">
      <w:pPr>
        <w:spacing w:line="480" w:lineRule="auto"/>
        <w:rPr>
          <w:b/>
          <w:bCs/>
        </w:rPr>
      </w:pPr>
      <w:r w:rsidRPr="00393107">
        <w:rPr>
          <w:b/>
          <w:bCs/>
        </w:rPr>
        <w:t xml:space="preserve">Category </w:t>
      </w:r>
      <w:r>
        <w:rPr>
          <w:b/>
          <w:bCs/>
        </w:rPr>
        <w:t xml:space="preserve">and </w:t>
      </w:r>
      <w:r w:rsidRPr="00393107">
        <w:rPr>
          <w:b/>
          <w:bCs/>
        </w:rPr>
        <w:t>Subcategory Analysis</w:t>
      </w:r>
    </w:p>
    <w:p w:rsidR="008203A5" w:rsidRDefault="008203A5" w:rsidP="008203A5">
      <w:pPr>
        <w:spacing w:line="480" w:lineRule="auto"/>
        <w:ind w:firstLine="720"/>
      </w:pPr>
      <w:r w:rsidRPr="00506A4E">
        <w:t>Admittedly, some of the it</w:t>
      </w:r>
      <w:r>
        <w:t>ems that Washington ordered had</w:t>
      </w:r>
      <w:r w:rsidRPr="00506A4E">
        <w:t xml:space="preserve"> multiple functions and, therefore, the potential to relate to multiple</w:t>
      </w:r>
      <w:r w:rsidR="00CA3DEE">
        <w:t xml:space="preserve"> categories or sub-categories. </w:t>
      </w:r>
      <w:r w:rsidRPr="00506A4E">
        <w:t xml:space="preserve">In order to offer some </w:t>
      </w:r>
      <w:r>
        <w:t>synthesis of</w:t>
      </w:r>
      <w:r w:rsidRPr="00506A4E">
        <w:t xml:space="preserve"> his consumer habits in the height of this phase of the consumer revolution, however, a typology </w:t>
      </w:r>
      <w:r>
        <w:t>that places goods into single functional categories and subcategories is necessary</w:t>
      </w:r>
      <w:r w:rsidR="00CA3DEE">
        <w:t xml:space="preserve">. </w:t>
      </w:r>
      <w:r>
        <w:t>Of the 3</w:t>
      </w:r>
      <w:r w:rsidR="0053435E">
        <w:t>,</w:t>
      </w:r>
      <w:r>
        <w:t>839 total entries in the invoices and orders datase</w:t>
      </w:r>
      <w:r w:rsidR="00CA3DEE">
        <w:t xml:space="preserve">t, there are 741 unique items. </w:t>
      </w:r>
      <w:r>
        <w:t>These items fall into 22 categories or types, including groups like hardware, textiles, and weapons, and 83 subcategories, including accessories, alcohol, footwear, a</w:t>
      </w:r>
      <w:r w:rsidR="00CA3DEE">
        <w:t xml:space="preserve">nd wall coverings (Table A-2). </w:t>
      </w:r>
      <w:r>
        <w:t>Table A-2 in the Appendix shows which items fall into which</w:t>
      </w:r>
      <w:r w:rsidR="00CA3DEE">
        <w:t xml:space="preserve"> categories and subcategories. </w:t>
      </w:r>
      <w:r>
        <w:t>The category of shipping and related subcategories will be discussed sepa</w:t>
      </w:r>
      <w:r w:rsidR="00CA3DEE">
        <w:t xml:space="preserve">rately in a following section. </w:t>
      </w:r>
      <w:r>
        <w:t>Therefore, this analysis considers 21 object categories and 78 subcategories encompassing 3</w:t>
      </w:r>
      <w:r w:rsidR="0053435E">
        <w:t>,</w:t>
      </w:r>
      <w:r w:rsidR="00CA3DEE">
        <w:t xml:space="preserve">204 dataset entries. </w:t>
      </w:r>
      <w:r>
        <w:t>Nearly three quarters of the 3</w:t>
      </w:r>
      <w:r w:rsidR="0053435E">
        <w:t>,</w:t>
      </w:r>
      <w:r>
        <w:t xml:space="preserve">204 items fell into four categories: textiles (the components necessary to produce finished garments, upholstered furniture, window treatments, and bed linens); hardware (tools and other items necessary for construction, agriculture, milling, and other plantation labors); household stores (foodstuffs, medicine, and </w:t>
      </w:r>
      <w:r w:rsidR="00947878">
        <w:t>miscellaneous</w:t>
      </w:r>
      <w:r>
        <w:t xml:space="preserve"> items); and clothing (finished garments, shoes, and other ite</w:t>
      </w:r>
      <w:r w:rsidR="00CA3DEE">
        <w:t>ms of apparel and accessories).</w:t>
      </w:r>
      <w:r>
        <w:t xml:space="preserve"> Each of the individual remaining categories never comprised higher than four percent of the total (Table 5-4).  </w:t>
      </w:r>
    </w:p>
    <w:p w:rsidR="008203A5" w:rsidRDefault="008203A5" w:rsidP="008203A5">
      <w:pPr>
        <w:spacing w:line="480" w:lineRule="auto"/>
      </w:pPr>
    </w:p>
    <w:p w:rsidR="008203A5" w:rsidRPr="0034760A" w:rsidRDefault="008203A5" w:rsidP="008203A5">
      <w:pPr>
        <w:spacing w:line="480" w:lineRule="auto"/>
        <w:rPr>
          <w:b/>
        </w:rPr>
      </w:pPr>
      <w:r>
        <w:rPr>
          <w:b/>
        </w:rPr>
        <w:lastRenderedPageBreak/>
        <w:t>Table 5-4</w:t>
      </w:r>
      <w:r w:rsidRPr="0051209D">
        <w:rPr>
          <w:b/>
        </w:rPr>
        <w:t xml:space="preserve">. </w:t>
      </w:r>
      <w:r w:rsidRPr="0034760A">
        <w:t>Frequency of categories of goods.</w:t>
      </w:r>
    </w:p>
    <w:tbl>
      <w:tblPr>
        <w:tblW w:w="4785" w:type="dxa"/>
        <w:tblInd w:w="93" w:type="dxa"/>
        <w:tblLook w:val="04A0"/>
      </w:tblPr>
      <w:tblGrid>
        <w:gridCol w:w="2445"/>
        <w:gridCol w:w="1260"/>
        <w:gridCol w:w="1080"/>
      </w:tblGrid>
      <w:tr w:rsidR="008203A5" w:rsidRPr="002A3B31" w:rsidTr="00E91746">
        <w:trPr>
          <w:trHeight w:val="255"/>
        </w:trPr>
        <w:tc>
          <w:tcPr>
            <w:tcW w:w="2445"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8203A5" w:rsidRPr="002A3B31" w:rsidRDefault="008203A5" w:rsidP="00E91746">
            <w:pPr>
              <w:jc w:val="center"/>
              <w:rPr>
                <w:rFonts w:eastAsia="Times New Roman"/>
                <w:b/>
                <w:bCs/>
                <w:color w:val="000000"/>
              </w:rPr>
            </w:pPr>
            <w:r w:rsidRPr="002A3B31">
              <w:rPr>
                <w:rFonts w:eastAsia="Times New Roman"/>
                <w:b/>
                <w:bCs/>
                <w:color w:val="000000"/>
              </w:rPr>
              <w:t>Category</w:t>
            </w:r>
          </w:p>
        </w:tc>
        <w:tc>
          <w:tcPr>
            <w:tcW w:w="126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2A3B31" w:rsidRDefault="008203A5" w:rsidP="00E91746">
            <w:pPr>
              <w:rPr>
                <w:rFonts w:eastAsia="Times New Roman"/>
                <w:b/>
                <w:bCs/>
                <w:color w:val="000000"/>
              </w:rPr>
            </w:pPr>
            <w:r w:rsidRPr="002A3B31">
              <w:rPr>
                <w:rFonts w:eastAsia="Times New Roman"/>
                <w:b/>
                <w:bCs/>
                <w:color w:val="000000"/>
              </w:rPr>
              <w:t>Count</w:t>
            </w:r>
          </w:p>
        </w:tc>
        <w:tc>
          <w:tcPr>
            <w:tcW w:w="108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2A3B31" w:rsidRDefault="008203A5" w:rsidP="00E91746">
            <w:pPr>
              <w:rPr>
                <w:rFonts w:eastAsia="Times New Roman"/>
                <w:b/>
                <w:bCs/>
                <w:color w:val="000000"/>
              </w:rPr>
            </w:pPr>
            <w:r w:rsidRPr="002A3B31">
              <w:rPr>
                <w:rFonts w:eastAsia="Times New Roman"/>
                <w:b/>
                <w:bCs/>
                <w:color w:val="000000"/>
              </w:rPr>
              <w:t>Percent</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Unidentified</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2</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0.1</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Heating</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5</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0.2</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Tobacco</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11</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0.3</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Lighting</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15</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0.5</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Instrument</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16</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0.5</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Travel</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18</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0.6</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Furniture</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22</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0.7</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Household Décor</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30</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0.9</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Weapons</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35</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1.1</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Recreation</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37</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1.2</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Agriculture</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52</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1.6</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Food Preparation</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54</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1.7</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Writing</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85</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2.7</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Food Service</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97</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3.0</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Household Utensil</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107</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3.3</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Beverage</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117</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3.7</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Stable</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120</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3.7</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Clothing</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480</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15.0</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Household Stores</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575</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17.9</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Hardware</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587</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18.3</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Textiles</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739</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23.1</w:t>
            </w:r>
          </w:p>
        </w:tc>
      </w:tr>
      <w:tr w:rsidR="008203A5" w:rsidRPr="002A3B31" w:rsidTr="00E91746">
        <w:trPr>
          <w:trHeight w:val="255"/>
        </w:trPr>
        <w:tc>
          <w:tcPr>
            <w:tcW w:w="244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rPr>
            </w:pPr>
            <w:r w:rsidRPr="002A3B31">
              <w:rPr>
                <w:rFonts w:eastAsia="Times New Roman"/>
                <w:color w:val="000000"/>
              </w:rPr>
              <w:t>TOTAL</w:t>
            </w:r>
          </w:p>
        </w:tc>
        <w:tc>
          <w:tcPr>
            <w:tcW w:w="126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3204</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rPr>
            </w:pPr>
            <w:r w:rsidRPr="002A3B31">
              <w:rPr>
                <w:rFonts w:eastAsia="Times New Roman"/>
                <w:color w:val="000000"/>
              </w:rPr>
              <w:t>100.0</w:t>
            </w:r>
          </w:p>
        </w:tc>
      </w:tr>
    </w:tbl>
    <w:p w:rsidR="008203A5" w:rsidRDefault="008203A5" w:rsidP="008203A5">
      <w:pPr>
        <w:ind w:firstLine="720"/>
        <w:rPr>
          <w:b/>
        </w:rPr>
      </w:pPr>
    </w:p>
    <w:p w:rsidR="008203A5" w:rsidRDefault="008203A5" w:rsidP="008203A5">
      <w:pPr>
        <w:ind w:firstLine="720"/>
        <w:rPr>
          <w:b/>
        </w:rPr>
      </w:pPr>
    </w:p>
    <w:p w:rsidR="008203A5" w:rsidRDefault="008203A5" w:rsidP="008203A5">
      <w:pPr>
        <w:ind w:firstLine="720"/>
        <w:rPr>
          <w:b/>
        </w:rPr>
      </w:pPr>
    </w:p>
    <w:p w:rsidR="008203A5" w:rsidRDefault="008203A5" w:rsidP="008203A5">
      <w:pPr>
        <w:spacing w:after="200" w:line="276" w:lineRule="auto"/>
      </w:pPr>
      <w:r>
        <w:br w:type="page"/>
      </w:r>
    </w:p>
    <w:p w:rsidR="008203A5" w:rsidRDefault="008203A5" w:rsidP="008203A5">
      <w:pPr>
        <w:spacing w:line="480" w:lineRule="auto"/>
        <w:ind w:firstLine="720"/>
      </w:pPr>
      <w:r>
        <w:lastRenderedPageBreak/>
        <w:t>When calculated as a percent of the total items invoiced and/or ordered in any given year, interestingly, these four categories peak in the years before 1759, showing that Washington needed these types of goods most desperately to establish a functioning plantation bef</w:t>
      </w:r>
      <w:r w:rsidR="00CA3DEE">
        <w:t xml:space="preserve">ore his marriage (Figure 5-5). </w:t>
      </w:r>
      <w:r>
        <w:t xml:space="preserve">The data are somewhat skewed by documentation dating to 1754 when over 70 percent of the items invoiced fell </w:t>
      </w:r>
      <w:r w:rsidR="00CA3DEE">
        <w:t xml:space="preserve">into the category of textiles. </w:t>
      </w:r>
      <w:r>
        <w:t xml:space="preserve">This order was placed before George Washington leased Mount Vernon and in preparation for his military service.  </w:t>
      </w:r>
    </w:p>
    <w:p w:rsidR="00280741" w:rsidRDefault="00280741" w:rsidP="008203A5">
      <w:pPr>
        <w:spacing w:line="480" w:lineRule="auto"/>
        <w:ind w:firstLine="720"/>
      </w:pPr>
    </w:p>
    <w:p w:rsidR="008203A5" w:rsidRDefault="008203A5" w:rsidP="008203A5">
      <w:r w:rsidRPr="00250E1E">
        <w:rPr>
          <w:noProof/>
        </w:rPr>
        <w:drawing>
          <wp:inline distT="0" distB="0" distL="0" distR="0">
            <wp:extent cx="5943600" cy="3851910"/>
            <wp:effectExtent l="0" t="0" r="0" b="0"/>
            <wp:docPr id="2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203A5" w:rsidRPr="0051209D" w:rsidRDefault="008203A5" w:rsidP="008203A5">
      <w:pPr>
        <w:spacing w:line="480" w:lineRule="auto"/>
        <w:rPr>
          <w:b/>
        </w:rPr>
      </w:pPr>
      <w:r>
        <w:rPr>
          <w:b/>
        </w:rPr>
        <w:t>Figure 5-5</w:t>
      </w:r>
      <w:r w:rsidRPr="0051209D">
        <w:rPr>
          <w:b/>
        </w:rPr>
        <w:t xml:space="preserve">. </w:t>
      </w:r>
      <w:r w:rsidRPr="0034760A">
        <w:t>Top most frequently ordered categories by year.</w:t>
      </w:r>
    </w:p>
    <w:p w:rsidR="008203A5" w:rsidRDefault="008203A5" w:rsidP="008203A5">
      <w:pPr>
        <w:spacing w:line="480" w:lineRule="auto"/>
        <w:ind w:firstLine="720"/>
      </w:pPr>
    </w:p>
    <w:p w:rsidR="008203A5" w:rsidRDefault="008203A5" w:rsidP="008203A5">
      <w:pPr>
        <w:spacing w:after="200" w:line="276" w:lineRule="auto"/>
      </w:pPr>
      <w:r>
        <w:br w:type="page"/>
      </w:r>
    </w:p>
    <w:p w:rsidR="008203A5" w:rsidRDefault="008203A5" w:rsidP="008203A5">
      <w:pPr>
        <w:spacing w:line="480" w:lineRule="auto"/>
        <w:ind w:firstLine="720"/>
      </w:pPr>
      <w:r>
        <w:lastRenderedPageBreak/>
        <w:t>The subcategory breakdown allows a more specific view of the popular categories of hardware, textiles, household sto</w:t>
      </w:r>
      <w:r w:rsidR="00CA3DEE">
        <w:t xml:space="preserve">res, and clothing (Table 5-5). </w:t>
      </w:r>
      <w:r>
        <w:t>The most frequently ordered and/or received include: hardware, tools (n=353); textiles, fabric (n=336); textiles, notions (n=324); household stores, food (n=269); a</w:t>
      </w:r>
      <w:r w:rsidR="00CA3DEE">
        <w:t xml:space="preserve">nd clothing, footwear (n=207). </w:t>
      </w:r>
      <w:r>
        <w:t xml:space="preserve">Together, these five categories make up nearly half of all items ordered. </w:t>
      </w:r>
    </w:p>
    <w:p w:rsidR="008203A5" w:rsidRDefault="008203A5" w:rsidP="008203A5"/>
    <w:p w:rsidR="008203A5" w:rsidRDefault="008203A5" w:rsidP="008203A5"/>
    <w:p w:rsidR="008203A5" w:rsidRPr="0034760A" w:rsidRDefault="008203A5" w:rsidP="008203A5">
      <w:pPr>
        <w:spacing w:line="480" w:lineRule="auto"/>
        <w:rPr>
          <w:b/>
        </w:rPr>
      </w:pPr>
      <w:r>
        <w:rPr>
          <w:b/>
        </w:rPr>
        <w:t>Table 5-5</w:t>
      </w:r>
      <w:r w:rsidRPr="0051209D">
        <w:rPr>
          <w:b/>
        </w:rPr>
        <w:t xml:space="preserve">. </w:t>
      </w:r>
      <w:r w:rsidRPr="0034760A">
        <w:t>Frequency of subcategories of goods.</w:t>
      </w:r>
      <w:r>
        <w:t xml:space="preserve">  </w:t>
      </w:r>
    </w:p>
    <w:tbl>
      <w:tblPr>
        <w:tblW w:w="5447" w:type="dxa"/>
        <w:tblInd w:w="91" w:type="dxa"/>
        <w:tblLook w:val="04A0"/>
      </w:tblPr>
      <w:tblGrid>
        <w:gridCol w:w="2087"/>
        <w:gridCol w:w="1620"/>
        <w:gridCol w:w="750"/>
        <w:gridCol w:w="990"/>
      </w:tblGrid>
      <w:tr w:rsidR="009259FA" w:rsidRPr="009259FA" w:rsidTr="009259FA">
        <w:trPr>
          <w:trHeight w:val="255"/>
        </w:trPr>
        <w:tc>
          <w:tcPr>
            <w:tcW w:w="2087"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9259FA" w:rsidRPr="009259FA" w:rsidRDefault="009259FA" w:rsidP="009259FA">
            <w:pPr>
              <w:jc w:val="center"/>
              <w:rPr>
                <w:rFonts w:eastAsia="Times New Roman"/>
                <w:b/>
                <w:bCs/>
                <w:color w:val="000000"/>
                <w:sz w:val="20"/>
                <w:szCs w:val="20"/>
              </w:rPr>
            </w:pPr>
            <w:r w:rsidRPr="009259FA">
              <w:rPr>
                <w:rFonts w:eastAsia="Times New Roman"/>
                <w:b/>
                <w:bCs/>
                <w:color w:val="000000"/>
                <w:sz w:val="20"/>
                <w:szCs w:val="20"/>
              </w:rPr>
              <w:t>Category</w:t>
            </w:r>
          </w:p>
        </w:tc>
        <w:tc>
          <w:tcPr>
            <w:tcW w:w="1620" w:type="dxa"/>
            <w:tcBorders>
              <w:top w:val="single" w:sz="4" w:space="0" w:color="auto"/>
              <w:left w:val="nil"/>
              <w:bottom w:val="single" w:sz="4" w:space="0" w:color="auto"/>
              <w:right w:val="single" w:sz="4" w:space="0" w:color="auto"/>
            </w:tcBorders>
            <w:shd w:val="clear" w:color="000000" w:fill="D8D8D8"/>
            <w:noWrap/>
            <w:vAlign w:val="bottom"/>
            <w:hideMark/>
          </w:tcPr>
          <w:p w:rsidR="009259FA" w:rsidRPr="009259FA" w:rsidRDefault="009259FA" w:rsidP="009259FA">
            <w:pPr>
              <w:jc w:val="center"/>
              <w:rPr>
                <w:rFonts w:eastAsia="Times New Roman"/>
                <w:b/>
                <w:bCs/>
                <w:color w:val="000000"/>
                <w:sz w:val="20"/>
                <w:szCs w:val="20"/>
              </w:rPr>
            </w:pPr>
            <w:r w:rsidRPr="009259FA">
              <w:rPr>
                <w:rFonts w:eastAsia="Times New Roman"/>
                <w:b/>
                <w:bCs/>
                <w:color w:val="000000"/>
                <w:sz w:val="20"/>
                <w:szCs w:val="20"/>
              </w:rPr>
              <w:t>Subcategory</w:t>
            </w:r>
          </w:p>
        </w:tc>
        <w:tc>
          <w:tcPr>
            <w:tcW w:w="750" w:type="dxa"/>
            <w:tcBorders>
              <w:top w:val="single" w:sz="4" w:space="0" w:color="auto"/>
              <w:left w:val="nil"/>
              <w:bottom w:val="single" w:sz="4" w:space="0" w:color="auto"/>
              <w:right w:val="single" w:sz="4" w:space="0" w:color="auto"/>
            </w:tcBorders>
            <w:shd w:val="clear" w:color="000000" w:fill="D8D8D8"/>
            <w:noWrap/>
            <w:vAlign w:val="bottom"/>
            <w:hideMark/>
          </w:tcPr>
          <w:p w:rsidR="009259FA" w:rsidRPr="009259FA" w:rsidRDefault="009259FA" w:rsidP="009259FA">
            <w:pPr>
              <w:jc w:val="center"/>
              <w:rPr>
                <w:rFonts w:eastAsia="Times New Roman"/>
                <w:b/>
                <w:bCs/>
                <w:color w:val="000000"/>
                <w:sz w:val="20"/>
                <w:szCs w:val="20"/>
              </w:rPr>
            </w:pPr>
            <w:r w:rsidRPr="009259FA">
              <w:rPr>
                <w:rFonts w:eastAsia="Times New Roman"/>
                <w:b/>
                <w:bCs/>
                <w:color w:val="000000"/>
                <w:sz w:val="20"/>
                <w:szCs w:val="20"/>
              </w:rPr>
              <w:t>Count</w:t>
            </w:r>
          </w:p>
        </w:tc>
        <w:tc>
          <w:tcPr>
            <w:tcW w:w="990" w:type="dxa"/>
            <w:tcBorders>
              <w:top w:val="single" w:sz="4" w:space="0" w:color="auto"/>
              <w:left w:val="nil"/>
              <w:bottom w:val="single" w:sz="4" w:space="0" w:color="auto"/>
              <w:right w:val="single" w:sz="4" w:space="0" w:color="auto"/>
            </w:tcBorders>
            <w:shd w:val="clear" w:color="000000" w:fill="D8D8D8"/>
            <w:noWrap/>
            <w:vAlign w:val="bottom"/>
            <w:hideMark/>
          </w:tcPr>
          <w:p w:rsidR="009259FA" w:rsidRPr="009259FA" w:rsidRDefault="009259FA" w:rsidP="009259FA">
            <w:pPr>
              <w:rPr>
                <w:rFonts w:eastAsia="Times New Roman"/>
                <w:b/>
                <w:bCs/>
                <w:color w:val="000000"/>
                <w:sz w:val="20"/>
                <w:szCs w:val="20"/>
              </w:rPr>
            </w:pPr>
            <w:r w:rsidRPr="009259FA">
              <w:rPr>
                <w:rFonts w:eastAsia="Times New Roman"/>
                <w:b/>
                <w:bCs/>
                <w:color w:val="000000"/>
                <w:sz w:val="20"/>
                <w:szCs w:val="20"/>
              </w:rPr>
              <w:t>Percent</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Weapons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Edge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Hardware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Furniture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Writing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Magazine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Instrument</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Recreation</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Décor</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Painting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Lighting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Snuffer</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Furniture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Unidentified</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Unidentified</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Unidentified</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Upholstery</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Chocolate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Furniture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Fireplace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Recreation</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Hunting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Furniture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Hygiene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Lighting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Lamp</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Laundry</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Travel</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Furniture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Recreation</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Furniture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Table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Décor</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Instrument</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Survey</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Bed Upholstery</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5</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Bedding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5</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Heating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Tools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5</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Bedding Over</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6</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Lighting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Candle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6</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Lighting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Lantern</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6</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Recreation</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Games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7</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Lighting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7</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Travel</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Storage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7</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Floor</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8</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0.3</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8</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0.3</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Tobacco</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Tobacco</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8</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0.3</w:t>
            </w:r>
          </w:p>
        </w:tc>
      </w:tr>
      <w:tr w:rsidR="009259FA" w:rsidRPr="009259FA" w:rsidTr="009259FA">
        <w:trPr>
          <w:trHeight w:val="315"/>
        </w:trPr>
        <w:tc>
          <w:tcPr>
            <w:tcW w:w="3707" w:type="dxa"/>
            <w:gridSpan w:val="2"/>
            <w:tcBorders>
              <w:top w:val="nil"/>
              <w:left w:val="nil"/>
              <w:bottom w:val="nil"/>
              <w:right w:val="nil"/>
            </w:tcBorders>
            <w:shd w:val="clear" w:color="auto" w:fill="auto"/>
            <w:noWrap/>
            <w:vAlign w:val="bottom"/>
            <w:hideMark/>
          </w:tcPr>
          <w:p w:rsidR="009259FA" w:rsidRPr="009259FA" w:rsidRDefault="009259FA" w:rsidP="009259FA">
            <w:pPr>
              <w:rPr>
                <w:rFonts w:eastAsia="Times New Roman"/>
                <w:b/>
                <w:bCs/>
                <w:color w:val="000000"/>
              </w:rPr>
            </w:pPr>
            <w:r w:rsidRPr="009259FA">
              <w:rPr>
                <w:rFonts w:eastAsia="Times New Roman"/>
                <w:b/>
                <w:bCs/>
                <w:color w:val="000000"/>
              </w:rPr>
              <w:lastRenderedPageBreak/>
              <w:t xml:space="preserve">Table 5-5 (continued). </w:t>
            </w:r>
          </w:p>
        </w:tc>
        <w:tc>
          <w:tcPr>
            <w:tcW w:w="750" w:type="dxa"/>
            <w:tcBorders>
              <w:top w:val="nil"/>
              <w:left w:val="nil"/>
              <w:bottom w:val="nil"/>
              <w:right w:val="nil"/>
            </w:tcBorders>
            <w:shd w:val="clear" w:color="auto" w:fill="auto"/>
            <w:noWrap/>
            <w:vAlign w:val="bottom"/>
            <w:hideMark/>
          </w:tcPr>
          <w:p w:rsidR="009259FA" w:rsidRPr="009259FA" w:rsidRDefault="009259FA" w:rsidP="009259FA">
            <w:pPr>
              <w:jc w:val="right"/>
              <w:rPr>
                <w:rFonts w:eastAsia="Times New Roman"/>
                <w:color w:val="000000"/>
                <w:sz w:val="20"/>
                <w:szCs w:val="20"/>
              </w:rPr>
            </w:pPr>
          </w:p>
        </w:tc>
        <w:tc>
          <w:tcPr>
            <w:tcW w:w="990" w:type="dxa"/>
            <w:tcBorders>
              <w:top w:val="nil"/>
              <w:left w:val="nil"/>
              <w:bottom w:val="nil"/>
              <w:right w:val="nil"/>
            </w:tcBorders>
            <w:shd w:val="clear" w:color="auto" w:fill="auto"/>
            <w:noWrap/>
            <w:vAlign w:val="bottom"/>
            <w:hideMark/>
          </w:tcPr>
          <w:p w:rsidR="009259FA" w:rsidRPr="009259FA" w:rsidRDefault="009259FA" w:rsidP="009259FA">
            <w:pPr>
              <w:rPr>
                <w:rFonts w:eastAsia="Times New Roman"/>
                <w:color w:val="000000"/>
                <w:sz w:val="20"/>
                <w:szCs w:val="20"/>
              </w:rPr>
            </w:pPr>
          </w:p>
        </w:tc>
      </w:tr>
      <w:tr w:rsidR="009259FA" w:rsidRPr="009259FA" w:rsidTr="009259FA">
        <w:trPr>
          <w:trHeight w:val="255"/>
        </w:trPr>
        <w:tc>
          <w:tcPr>
            <w:tcW w:w="2087" w:type="dxa"/>
            <w:tcBorders>
              <w:top w:val="nil"/>
              <w:left w:val="nil"/>
              <w:bottom w:val="nil"/>
              <w:right w:val="nil"/>
            </w:tcBorders>
            <w:shd w:val="clear" w:color="auto" w:fill="auto"/>
            <w:noWrap/>
            <w:vAlign w:val="bottom"/>
            <w:hideMark/>
          </w:tcPr>
          <w:p w:rsidR="009259FA" w:rsidRPr="009259FA" w:rsidRDefault="009259FA" w:rsidP="009259FA">
            <w:pPr>
              <w:rPr>
                <w:rFonts w:eastAsia="Times New Roman"/>
                <w:color w:val="000000"/>
                <w:sz w:val="20"/>
                <w:szCs w:val="20"/>
              </w:rPr>
            </w:pPr>
          </w:p>
        </w:tc>
        <w:tc>
          <w:tcPr>
            <w:tcW w:w="1620" w:type="dxa"/>
            <w:tcBorders>
              <w:top w:val="nil"/>
              <w:left w:val="nil"/>
              <w:bottom w:val="nil"/>
              <w:right w:val="nil"/>
            </w:tcBorders>
            <w:shd w:val="clear" w:color="auto" w:fill="auto"/>
            <w:noWrap/>
            <w:vAlign w:val="bottom"/>
            <w:hideMark/>
          </w:tcPr>
          <w:p w:rsidR="009259FA" w:rsidRPr="009259FA" w:rsidRDefault="009259FA" w:rsidP="009259FA">
            <w:pPr>
              <w:rPr>
                <w:rFonts w:eastAsia="Times New Roman"/>
                <w:color w:val="000000"/>
                <w:sz w:val="20"/>
                <w:szCs w:val="20"/>
              </w:rPr>
            </w:pPr>
          </w:p>
        </w:tc>
        <w:tc>
          <w:tcPr>
            <w:tcW w:w="750" w:type="dxa"/>
            <w:tcBorders>
              <w:top w:val="nil"/>
              <w:left w:val="nil"/>
              <w:bottom w:val="nil"/>
              <w:right w:val="nil"/>
            </w:tcBorders>
            <w:shd w:val="clear" w:color="auto" w:fill="auto"/>
            <w:noWrap/>
            <w:vAlign w:val="bottom"/>
            <w:hideMark/>
          </w:tcPr>
          <w:p w:rsidR="009259FA" w:rsidRPr="009259FA" w:rsidRDefault="009259FA" w:rsidP="009259FA">
            <w:pPr>
              <w:jc w:val="right"/>
              <w:rPr>
                <w:rFonts w:eastAsia="Times New Roman"/>
                <w:color w:val="000000"/>
                <w:sz w:val="20"/>
                <w:szCs w:val="20"/>
              </w:rPr>
            </w:pPr>
          </w:p>
        </w:tc>
        <w:tc>
          <w:tcPr>
            <w:tcW w:w="990" w:type="dxa"/>
            <w:tcBorders>
              <w:top w:val="nil"/>
              <w:left w:val="nil"/>
              <w:bottom w:val="nil"/>
              <w:right w:val="nil"/>
            </w:tcBorders>
            <w:shd w:val="clear" w:color="auto" w:fill="auto"/>
            <w:noWrap/>
            <w:vAlign w:val="bottom"/>
            <w:hideMark/>
          </w:tcPr>
          <w:p w:rsidR="009259FA" w:rsidRPr="009259FA" w:rsidRDefault="009259FA" w:rsidP="009259FA">
            <w:pPr>
              <w:rPr>
                <w:rFonts w:eastAsia="Times New Roman"/>
                <w:color w:val="000000"/>
                <w:sz w:val="20"/>
                <w:szCs w:val="20"/>
              </w:rPr>
            </w:pPr>
          </w:p>
        </w:tc>
      </w:tr>
      <w:tr w:rsidR="009259FA" w:rsidRPr="009259FA" w:rsidTr="009259FA">
        <w:trPr>
          <w:trHeight w:val="255"/>
        </w:trPr>
        <w:tc>
          <w:tcPr>
            <w:tcW w:w="2087"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9259FA" w:rsidRPr="009259FA" w:rsidRDefault="009259FA" w:rsidP="009259FA">
            <w:pPr>
              <w:jc w:val="center"/>
              <w:rPr>
                <w:rFonts w:eastAsia="Times New Roman"/>
                <w:b/>
                <w:bCs/>
                <w:color w:val="000000"/>
                <w:sz w:val="20"/>
                <w:szCs w:val="20"/>
              </w:rPr>
            </w:pPr>
            <w:r w:rsidRPr="009259FA">
              <w:rPr>
                <w:rFonts w:eastAsia="Times New Roman"/>
                <w:b/>
                <w:bCs/>
                <w:color w:val="000000"/>
                <w:sz w:val="20"/>
                <w:szCs w:val="20"/>
              </w:rPr>
              <w:t>Category</w:t>
            </w:r>
          </w:p>
        </w:tc>
        <w:tc>
          <w:tcPr>
            <w:tcW w:w="1620" w:type="dxa"/>
            <w:tcBorders>
              <w:top w:val="single" w:sz="4" w:space="0" w:color="auto"/>
              <w:left w:val="nil"/>
              <w:bottom w:val="single" w:sz="4" w:space="0" w:color="auto"/>
              <w:right w:val="single" w:sz="4" w:space="0" w:color="auto"/>
            </w:tcBorders>
            <w:shd w:val="clear" w:color="000000" w:fill="D8D8D8"/>
            <w:noWrap/>
            <w:vAlign w:val="bottom"/>
            <w:hideMark/>
          </w:tcPr>
          <w:p w:rsidR="009259FA" w:rsidRPr="009259FA" w:rsidRDefault="009259FA" w:rsidP="009259FA">
            <w:pPr>
              <w:jc w:val="center"/>
              <w:rPr>
                <w:rFonts w:eastAsia="Times New Roman"/>
                <w:b/>
                <w:bCs/>
                <w:color w:val="000000"/>
                <w:sz w:val="20"/>
                <w:szCs w:val="20"/>
              </w:rPr>
            </w:pPr>
            <w:r w:rsidRPr="009259FA">
              <w:rPr>
                <w:rFonts w:eastAsia="Times New Roman"/>
                <w:b/>
                <w:bCs/>
                <w:color w:val="000000"/>
                <w:sz w:val="20"/>
                <w:szCs w:val="20"/>
              </w:rPr>
              <w:t>Subcategory</w:t>
            </w:r>
          </w:p>
        </w:tc>
        <w:tc>
          <w:tcPr>
            <w:tcW w:w="750" w:type="dxa"/>
            <w:tcBorders>
              <w:top w:val="single" w:sz="4" w:space="0" w:color="auto"/>
              <w:left w:val="nil"/>
              <w:bottom w:val="single" w:sz="4" w:space="0" w:color="auto"/>
              <w:right w:val="single" w:sz="4" w:space="0" w:color="auto"/>
            </w:tcBorders>
            <w:shd w:val="clear" w:color="000000" w:fill="D8D8D8"/>
            <w:noWrap/>
            <w:vAlign w:val="bottom"/>
            <w:hideMark/>
          </w:tcPr>
          <w:p w:rsidR="009259FA" w:rsidRPr="009259FA" w:rsidRDefault="009259FA" w:rsidP="009259FA">
            <w:pPr>
              <w:jc w:val="center"/>
              <w:rPr>
                <w:rFonts w:eastAsia="Times New Roman"/>
                <w:b/>
                <w:bCs/>
                <w:color w:val="000000"/>
                <w:sz w:val="20"/>
                <w:szCs w:val="20"/>
              </w:rPr>
            </w:pPr>
            <w:r w:rsidRPr="009259FA">
              <w:rPr>
                <w:rFonts w:eastAsia="Times New Roman"/>
                <w:b/>
                <w:bCs/>
                <w:color w:val="000000"/>
                <w:sz w:val="20"/>
                <w:szCs w:val="20"/>
              </w:rPr>
              <w:t>Count</w:t>
            </w:r>
          </w:p>
        </w:tc>
        <w:tc>
          <w:tcPr>
            <w:tcW w:w="990" w:type="dxa"/>
            <w:tcBorders>
              <w:top w:val="single" w:sz="4" w:space="0" w:color="auto"/>
              <w:left w:val="nil"/>
              <w:bottom w:val="single" w:sz="4" w:space="0" w:color="auto"/>
              <w:right w:val="single" w:sz="4" w:space="0" w:color="auto"/>
            </w:tcBorders>
            <w:shd w:val="clear" w:color="000000" w:fill="D8D8D8"/>
            <w:noWrap/>
            <w:vAlign w:val="bottom"/>
            <w:hideMark/>
          </w:tcPr>
          <w:p w:rsidR="009259FA" w:rsidRPr="009259FA" w:rsidRDefault="009259FA" w:rsidP="009259FA">
            <w:pPr>
              <w:rPr>
                <w:rFonts w:eastAsia="Times New Roman"/>
                <w:b/>
                <w:bCs/>
                <w:color w:val="000000"/>
                <w:sz w:val="20"/>
                <w:szCs w:val="20"/>
              </w:rPr>
            </w:pPr>
            <w:r w:rsidRPr="009259FA">
              <w:rPr>
                <w:rFonts w:eastAsia="Times New Roman"/>
                <w:b/>
                <w:bCs/>
                <w:color w:val="000000"/>
                <w:sz w:val="20"/>
                <w:szCs w:val="20"/>
              </w:rPr>
              <w:t>Percent</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Food Service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Dessert</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9</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0.3</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Stable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Medicine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9</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0.3</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Furniture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Sleeping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9</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0.3</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Travel</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Vehicle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9</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0.3</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Coffee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10</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0.3</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Instrument</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Measure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10</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0.3</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Décor</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Ornament</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10</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0.3</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Food Preparation</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Processing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0.4</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Furniture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Seating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0.4</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Food Service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14</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0.5</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Food Service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Serving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14</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0.5</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Tea</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15</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0.5</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Décor</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Wall Cover</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16</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0.6</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Stable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18</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0.6</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Writing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Book</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19</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0.7</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Recreation</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Fishing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19</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0.7</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Window</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19</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0.7</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Food Service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Cutlery</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0.8</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Utensil</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0.8</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Hardware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Paint</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0.8</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Tea</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24</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0.8</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Beverage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25</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0.9</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General</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28</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Weapons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Fire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29</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1.0</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Production</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31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1.1</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Utensil</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Cleaning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35</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Food Service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Dishes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35</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Food Preparation</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Cooking</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40</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1.4</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Clothing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Headgear</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41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1.4</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42</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1.5</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Agriculture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Seed</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43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1.5</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Alcohol</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44</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1.5</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Utensil</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Hygiene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44</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1.5</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Clothing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Gloves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45</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1.6</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Writing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Material</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53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1.8</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Clothing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Apparel</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83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2.9</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Stable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Tack</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83</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2.9</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Clothing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Accessories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84</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2.9</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Hardware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167</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5.8</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Clothing</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Footwear</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179</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6.2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Medicine</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191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6.6</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Food</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241</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8.3</w:t>
            </w:r>
          </w:p>
        </w:tc>
      </w:tr>
    </w:tbl>
    <w:p w:rsidR="009259FA" w:rsidRDefault="009259FA">
      <w:r>
        <w:br w:type="page"/>
      </w:r>
    </w:p>
    <w:tbl>
      <w:tblPr>
        <w:tblW w:w="5447" w:type="dxa"/>
        <w:tblInd w:w="91" w:type="dxa"/>
        <w:tblLook w:val="04A0"/>
      </w:tblPr>
      <w:tblGrid>
        <w:gridCol w:w="2087"/>
        <w:gridCol w:w="1620"/>
        <w:gridCol w:w="750"/>
        <w:gridCol w:w="990"/>
      </w:tblGrid>
      <w:tr w:rsidR="009259FA" w:rsidRPr="009259FA" w:rsidTr="009259FA">
        <w:trPr>
          <w:trHeight w:val="315"/>
        </w:trPr>
        <w:tc>
          <w:tcPr>
            <w:tcW w:w="3707" w:type="dxa"/>
            <w:gridSpan w:val="2"/>
            <w:tcBorders>
              <w:top w:val="nil"/>
              <w:left w:val="nil"/>
              <w:bottom w:val="nil"/>
              <w:right w:val="nil"/>
            </w:tcBorders>
            <w:shd w:val="clear" w:color="auto" w:fill="auto"/>
            <w:noWrap/>
            <w:vAlign w:val="bottom"/>
            <w:hideMark/>
          </w:tcPr>
          <w:p w:rsidR="009259FA" w:rsidRPr="009259FA" w:rsidRDefault="009259FA" w:rsidP="009259FA">
            <w:pPr>
              <w:rPr>
                <w:rFonts w:eastAsia="Times New Roman"/>
                <w:b/>
                <w:bCs/>
                <w:color w:val="000000"/>
              </w:rPr>
            </w:pPr>
            <w:r w:rsidRPr="009259FA">
              <w:rPr>
                <w:rFonts w:eastAsia="Times New Roman"/>
                <w:b/>
                <w:bCs/>
                <w:color w:val="000000"/>
              </w:rPr>
              <w:lastRenderedPageBreak/>
              <w:t xml:space="preserve">Table 5-5 (continued). </w:t>
            </w:r>
          </w:p>
        </w:tc>
        <w:tc>
          <w:tcPr>
            <w:tcW w:w="750" w:type="dxa"/>
            <w:tcBorders>
              <w:top w:val="nil"/>
              <w:left w:val="nil"/>
              <w:bottom w:val="nil"/>
              <w:right w:val="nil"/>
            </w:tcBorders>
            <w:shd w:val="clear" w:color="auto" w:fill="auto"/>
            <w:noWrap/>
            <w:vAlign w:val="bottom"/>
            <w:hideMark/>
          </w:tcPr>
          <w:p w:rsidR="009259FA" w:rsidRPr="009259FA" w:rsidRDefault="009259FA" w:rsidP="009259FA">
            <w:pPr>
              <w:jc w:val="right"/>
              <w:rPr>
                <w:rFonts w:eastAsia="Times New Roman"/>
                <w:color w:val="000000"/>
                <w:sz w:val="20"/>
                <w:szCs w:val="20"/>
              </w:rPr>
            </w:pPr>
          </w:p>
        </w:tc>
        <w:tc>
          <w:tcPr>
            <w:tcW w:w="990" w:type="dxa"/>
            <w:tcBorders>
              <w:top w:val="nil"/>
              <w:left w:val="nil"/>
              <w:bottom w:val="nil"/>
              <w:right w:val="nil"/>
            </w:tcBorders>
            <w:shd w:val="clear" w:color="auto" w:fill="auto"/>
            <w:noWrap/>
            <w:vAlign w:val="bottom"/>
            <w:hideMark/>
          </w:tcPr>
          <w:p w:rsidR="009259FA" w:rsidRPr="009259FA" w:rsidRDefault="009259FA" w:rsidP="009259FA">
            <w:pPr>
              <w:rPr>
                <w:rFonts w:eastAsia="Times New Roman"/>
                <w:color w:val="000000"/>
                <w:sz w:val="20"/>
                <w:szCs w:val="20"/>
              </w:rPr>
            </w:pPr>
          </w:p>
        </w:tc>
      </w:tr>
      <w:tr w:rsidR="009259FA" w:rsidRPr="009259FA" w:rsidTr="009259FA">
        <w:trPr>
          <w:trHeight w:val="255"/>
        </w:trPr>
        <w:tc>
          <w:tcPr>
            <w:tcW w:w="2087" w:type="dxa"/>
            <w:tcBorders>
              <w:top w:val="nil"/>
              <w:left w:val="nil"/>
              <w:bottom w:val="nil"/>
              <w:right w:val="nil"/>
            </w:tcBorders>
            <w:shd w:val="clear" w:color="auto" w:fill="auto"/>
            <w:noWrap/>
            <w:vAlign w:val="bottom"/>
            <w:hideMark/>
          </w:tcPr>
          <w:p w:rsidR="009259FA" w:rsidRPr="009259FA" w:rsidRDefault="009259FA" w:rsidP="009259FA">
            <w:pPr>
              <w:rPr>
                <w:rFonts w:eastAsia="Times New Roman"/>
                <w:color w:val="000000"/>
                <w:sz w:val="20"/>
                <w:szCs w:val="20"/>
              </w:rPr>
            </w:pPr>
          </w:p>
        </w:tc>
        <w:tc>
          <w:tcPr>
            <w:tcW w:w="1620" w:type="dxa"/>
            <w:tcBorders>
              <w:top w:val="nil"/>
              <w:left w:val="nil"/>
              <w:bottom w:val="nil"/>
              <w:right w:val="nil"/>
            </w:tcBorders>
            <w:shd w:val="clear" w:color="auto" w:fill="auto"/>
            <w:noWrap/>
            <w:vAlign w:val="bottom"/>
            <w:hideMark/>
          </w:tcPr>
          <w:p w:rsidR="009259FA" w:rsidRPr="009259FA" w:rsidRDefault="009259FA" w:rsidP="009259FA">
            <w:pPr>
              <w:rPr>
                <w:rFonts w:eastAsia="Times New Roman"/>
                <w:color w:val="000000"/>
                <w:sz w:val="20"/>
                <w:szCs w:val="20"/>
              </w:rPr>
            </w:pPr>
          </w:p>
        </w:tc>
        <w:tc>
          <w:tcPr>
            <w:tcW w:w="750" w:type="dxa"/>
            <w:tcBorders>
              <w:top w:val="nil"/>
              <w:left w:val="nil"/>
              <w:bottom w:val="nil"/>
              <w:right w:val="nil"/>
            </w:tcBorders>
            <w:shd w:val="clear" w:color="auto" w:fill="auto"/>
            <w:noWrap/>
            <w:vAlign w:val="bottom"/>
            <w:hideMark/>
          </w:tcPr>
          <w:p w:rsidR="009259FA" w:rsidRPr="009259FA" w:rsidRDefault="009259FA" w:rsidP="009259FA">
            <w:pPr>
              <w:jc w:val="right"/>
              <w:rPr>
                <w:rFonts w:eastAsia="Times New Roman"/>
                <w:color w:val="000000"/>
                <w:sz w:val="20"/>
                <w:szCs w:val="20"/>
              </w:rPr>
            </w:pPr>
          </w:p>
        </w:tc>
        <w:tc>
          <w:tcPr>
            <w:tcW w:w="990" w:type="dxa"/>
            <w:tcBorders>
              <w:top w:val="nil"/>
              <w:left w:val="nil"/>
              <w:bottom w:val="nil"/>
              <w:right w:val="nil"/>
            </w:tcBorders>
            <w:shd w:val="clear" w:color="auto" w:fill="auto"/>
            <w:noWrap/>
            <w:vAlign w:val="bottom"/>
            <w:hideMark/>
          </w:tcPr>
          <w:p w:rsidR="009259FA" w:rsidRPr="009259FA" w:rsidRDefault="009259FA" w:rsidP="009259FA">
            <w:pPr>
              <w:rPr>
                <w:rFonts w:eastAsia="Times New Roman"/>
                <w:color w:val="000000"/>
                <w:sz w:val="20"/>
                <w:szCs w:val="20"/>
              </w:rPr>
            </w:pPr>
          </w:p>
        </w:tc>
      </w:tr>
      <w:tr w:rsidR="009259FA" w:rsidRPr="009259FA" w:rsidTr="009259FA">
        <w:trPr>
          <w:trHeight w:val="255"/>
        </w:trPr>
        <w:tc>
          <w:tcPr>
            <w:tcW w:w="2087"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9259FA" w:rsidRPr="009259FA" w:rsidRDefault="009259FA" w:rsidP="009259FA">
            <w:pPr>
              <w:jc w:val="center"/>
              <w:rPr>
                <w:rFonts w:eastAsia="Times New Roman"/>
                <w:b/>
                <w:bCs/>
                <w:color w:val="000000"/>
                <w:sz w:val="20"/>
                <w:szCs w:val="20"/>
              </w:rPr>
            </w:pPr>
            <w:r w:rsidRPr="009259FA">
              <w:rPr>
                <w:rFonts w:eastAsia="Times New Roman"/>
                <w:b/>
                <w:bCs/>
                <w:color w:val="000000"/>
                <w:sz w:val="20"/>
                <w:szCs w:val="20"/>
              </w:rPr>
              <w:t>Category</w:t>
            </w:r>
          </w:p>
        </w:tc>
        <w:tc>
          <w:tcPr>
            <w:tcW w:w="1620" w:type="dxa"/>
            <w:tcBorders>
              <w:top w:val="single" w:sz="4" w:space="0" w:color="auto"/>
              <w:left w:val="nil"/>
              <w:bottom w:val="single" w:sz="4" w:space="0" w:color="auto"/>
              <w:right w:val="single" w:sz="4" w:space="0" w:color="auto"/>
            </w:tcBorders>
            <w:shd w:val="clear" w:color="000000" w:fill="D8D8D8"/>
            <w:noWrap/>
            <w:vAlign w:val="bottom"/>
            <w:hideMark/>
          </w:tcPr>
          <w:p w:rsidR="009259FA" w:rsidRPr="009259FA" w:rsidRDefault="009259FA" w:rsidP="009259FA">
            <w:pPr>
              <w:jc w:val="center"/>
              <w:rPr>
                <w:rFonts w:eastAsia="Times New Roman"/>
                <w:b/>
                <w:bCs/>
                <w:color w:val="000000"/>
                <w:sz w:val="20"/>
                <w:szCs w:val="20"/>
              </w:rPr>
            </w:pPr>
            <w:r w:rsidRPr="009259FA">
              <w:rPr>
                <w:rFonts w:eastAsia="Times New Roman"/>
                <w:b/>
                <w:bCs/>
                <w:color w:val="000000"/>
                <w:sz w:val="20"/>
                <w:szCs w:val="20"/>
              </w:rPr>
              <w:t>Subcategory</w:t>
            </w:r>
          </w:p>
        </w:tc>
        <w:tc>
          <w:tcPr>
            <w:tcW w:w="750" w:type="dxa"/>
            <w:tcBorders>
              <w:top w:val="single" w:sz="4" w:space="0" w:color="auto"/>
              <w:left w:val="nil"/>
              <w:bottom w:val="single" w:sz="4" w:space="0" w:color="auto"/>
              <w:right w:val="single" w:sz="4" w:space="0" w:color="auto"/>
            </w:tcBorders>
            <w:shd w:val="clear" w:color="000000" w:fill="D8D8D8"/>
            <w:noWrap/>
            <w:vAlign w:val="bottom"/>
            <w:hideMark/>
          </w:tcPr>
          <w:p w:rsidR="009259FA" w:rsidRPr="009259FA" w:rsidRDefault="009259FA" w:rsidP="009259FA">
            <w:pPr>
              <w:jc w:val="center"/>
              <w:rPr>
                <w:rFonts w:eastAsia="Times New Roman"/>
                <w:b/>
                <w:bCs/>
                <w:color w:val="000000"/>
                <w:sz w:val="20"/>
                <w:szCs w:val="20"/>
              </w:rPr>
            </w:pPr>
            <w:r w:rsidRPr="009259FA">
              <w:rPr>
                <w:rFonts w:eastAsia="Times New Roman"/>
                <w:b/>
                <w:bCs/>
                <w:color w:val="000000"/>
                <w:sz w:val="20"/>
                <w:szCs w:val="20"/>
              </w:rPr>
              <w:t>Count</w:t>
            </w:r>
          </w:p>
        </w:tc>
        <w:tc>
          <w:tcPr>
            <w:tcW w:w="990" w:type="dxa"/>
            <w:tcBorders>
              <w:top w:val="single" w:sz="4" w:space="0" w:color="auto"/>
              <w:left w:val="nil"/>
              <w:bottom w:val="single" w:sz="4" w:space="0" w:color="auto"/>
              <w:right w:val="single" w:sz="4" w:space="0" w:color="auto"/>
            </w:tcBorders>
            <w:shd w:val="clear" w:color="000000" w:fill="D8D8D8"/>
            <w:noWrap/>
            <w:vAlign w:val="bottom"/>
            <w:hideMark/>
          </w:tcPr>
          <w:p w:rsidR="009259FA" w:rsidRPr="009259FA" w:rsidRDefault="009259FA" w:rsidP="009259FA">
            <w:pPr>
              <w:rPr>
                <w:rFonts w:eastAsia="Times New Roman"/>
                <w:b/>
                <w:bCs/>
                <w:color w:val="000000"/>
                <w:sz w:val="20"/>
                <w:szCs w:val="20"/>
              </w:rPr>
            </w:pPr>
            <w:r w:rsidRPr="009259FA">
              <w:rPr>
                <w:rFonts w:eastAsia="Times New Roman"/>
                <w:b/>
                <w:bCs/>
                <w:color w:val="000000"/>
                <w:sz w:val="20"/>
                <w:szCs w:val="20"/>
              </w:rPr>
              <w:t>Percent</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Notions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295</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Hardware</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Tools</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295</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10.2</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Fabric</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306</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10.6</w:t>
            </w:r>
          </w:p>
        </w:tc>
      </w:tr>
      <w:tr w:rsidR="009259FA" w:rsidRPr="009259FA" w:rsidTr="009259FA">
        <w:trPr>
          <w:trHeight w:val="255"/>
        </w:trPr>
        <w:tc>
          <w:tcPr>
            <w:tcW w:w="2087" w:type="dxa"/>
            <w:tcBorders>
              <w:top w:val="nil"/>
              <w:left w:val="single" w:sz="4" w:space="0" w:color="auto"/>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TOTAL</w:t>
            </w:r>
          </w:p>
        </w:tc>
        <w:tc>
          <w:tcPr>
            <w:tcW w:w="162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rPr>
                <w:rFonts w:eastAsia="Times New Roman"/>
                <w:color w:val="000000"/>
                <w:sz w:val="20"/>
                <w:szCs w:val="20"/>
              </w:rPr>
            </w:pPr>
            <w:r w:rsidRPr="009259FA">
              <w:rPr>
                <w:rFonts w:eastAsia="Times New Roman"/>
                <w:color w:val="000000"/>
                <w:sz w:val="20"/>
                <w:szCs w:val="20"/>
              </w:rPr>
              <w:t> </w:t>
            </w:r>
          </w:p>
        </w:tc>
        <w:tc>
          <w:tcPr>
            <w:tcW w:w="75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2890</w:t>
            </w:r>
          </w:p>
        </w:tc>
        <w:tc>
          <w:tcPr>
            <w:tcW w:w="990" w:type="dxa"/>
            <w:tcBorders>
              <w:top w:val="nil"/>
              <w:left w:val="nil"/>
              <w:bottom w:val="single" w:sz="4" w:space="0" w:color="auto"/>
              <w:right w:val="single" w:sz="4" w:space="0" w:color="auto"/>
            </w:tcBorders>
            <w:shd w:val="clear" w:color="auto" w:fill="auto"/>
            <w:noWrap/>
            <w:vAlign w:val="bottom"/>
            <w:hideMark/>
          </w:tcPr>
          <w:p w:rsidR="009259FA" w:rsidRPr="009259FA" w:rsidRDefault="009259FA" w:rsidP="009259FA">
            <w:pPr>
              <w:jc w:val="right"/>
              <w:rPr>
                <w:rFonts w:eastAsia="Times New Roman"/>
                <w:color w:val="000000"/>
                <w:sz w:val="20"/>
                <w:szCs w:val="20"/>
              </w:rPr>
            </w:pPr>
            <w:r w:rsidRPr="009259FA">
              <w:rPr>
                <w:rFonts w:eastAsia="Times New Roman"/>
                <w:color w:val="000000"/>
                <w:sz w:val="20"/>
                <w:szCs w:val="20"/>
              </w:rPr>
              <w:t>100.0</w:t>
            </w:r>
          </w:p>
        </w:tc>
      </w:tr>
    </w:tbl>
    <w:p w:rsidR="008203A5" w:rsidRDefault="008203A5" w:rsidP="009259FA">
      <w:pPr>
        <w:ind w:firstLine="720"/>
        <w:rPr>
          <w:bCs/>
        </w:rPr>
      </w:pPr>
    </w:p>
    <w:p w:rsidR="008203A5" w:rsidRDefault="008203A5" w:rsidP="009259FA">
      <w:pPr>
        <w:ind w:firstLine="720"/>
        <w:rPr>
          <w:bCs/>
        </w:rPr>
      </w:pPr>
    </w:p>
    <w:p w:rsidR="009259FA" w:rsidRDefault="009259FA" w:rsidP="009259FA">
      <w:pPr>
        <w:ind w:firstLine="720"/>
        <w:rPr>
          <w:bCs/>
        </w:rPr>
      </w:pPr>
    </w:p>
    <w:p w:rsidR="008203A5" w:rsidRDefault="008203A5" w:rsidP="008203A5">
      <w:pPr>
        <w:spacing w:line="480" w:lineRule="auto"/>
        <w:ind w:firstLine="720"/>
      </w:pPr>
      <w:r>
        <w:rPr>
          <w:bCs/>
        </w:rPr>
        <w:t xml:space="preserve">Another way </w:t>
      </w:r>
      <w:r w:rsidR="00CA3DEE">
        <w:rPr>
          <w:bCs/>
        </w:rPr>
        <w:t xml:space="preserve">to view these data is by cost. </w:t>
      </w:r>
      <w:r>
        <w:t>Isolating individual items invoiced or charged by year (n=2</w:t>
      </w:r>
      <w:r w:rsidR="0053435E">
        <w:t>,</w:t>
      </w:r>
      <w:r>
        <w:t xml:space="preserve">890) into categories shows that those items most frequently ordered </w:t>
      </w:r>
      <w:r w:rsidR="00CA3DEE">
        <w:t xml:space="preserve">correspondingly cost the most. </w:t>
      </w:r>
      <w:r>
        <w:t>Washington invested the most on textiles (£1</w:t>
      </w:r>
      <w:r w:rsidR="0053435E">
        <w:t>,</w:t>
      </w:r>
      <w:r>
        <w:t>507), hardware (£565), household stores (£498), and clothing (£492), with the first two categories comprising half of</w:t>
      </w:r>
      <w:r w:rsidR="00CA3DEE">
        <w:t xml:space="preserve"> all the money spent on goods. </w:t>
      </w:r>
      <w:r>
        <w:t xml:space="preserve">Within these categories, Washington spent over half the total on fabrics, miscellaneous hardware items, foodstuffs, footwear, and tools. </w:t>
      </w:r>
    </w:p>
    <w:p w:rsidR="008203A5" w:rsidRDefault="008203A5" w:rsidP="008203A5">
      <w:pPr>
        <w:spacing w:line="480" w:lineRule="auto"/>
        <w:ind w:firstLine="720"/>
      </w:pPr>
      <w:r>
        <w:t>Nearly all of these categories and subcategories encompass items that represent plantation consumption and production (Smith 1998; Nash 2009) or what Bell (2000) describes as items for conspicuous consumpti</w:t>
      </w:r>
      <w:r w:rsidR="00CA3DEE">
        <w:t xml:space="preserve">on and conspicuous production. </w:t>
      </w:r>
      <w:r>
        <w:t>Textiles are a good example.  Washington’s expenditures on the subcategory of fabric outpaced</w:t>
      </w:r>
      <w:r w:rsidR="00CA3DEE">
        <w:t xml:space="preserve"> all other subcategories. </w:t>
      </w:r>
      <w:r>
        <w:t>This finding is unsurprising as textiles were the single most frequently imported good to the colonies – through the consignment and the direct trade systems (Smith 1998; Baumgarten 2002; Breen 2004; Reber 2005; Martin 2008;</w:t>
      </w:r>
      <w:r w:rsidRPr="00E8357F">
        <w:t xml:space="preserve"> </w:t>
      </w:r>
      <w:r>
        <w:t>Nash</w:t>
      </w:r>
      <w:r w:rsidR="00CA3DEE">
        <w:t xml:space="preserve"> 2009). </w:t>
      </w:r>
      <w:r>
        <w:t>Recurring orders of hundreds of ells (measuring just over a yard) of oznabrig (a coarse linen fabric) costing dozens of pounds served as a stap</w:t>
      </w:r>
      <w:r w:rsidR="00CA3DEE">
        <w:t xml:space="preserve">le textile for slave clothing. </w:t>
      </w:r>
      <w:r>
        <w:t xml:space="preserve">A single order for 21 ½ yards of salmon colored and flowered tabby (silk taffeta) to be made into a coat and gown for Martha Washington cost over £12.  </w:t>
      </w:r>
    </w:p>
    <w:p w:rsidR="008203A5" w:rsidRPr="000151FD" w:rsidRDefault="008203A5" w:rsidP="008203A5">
      <w:pPr>
        <w:spacing w:line="480" w:lineRule="auto"/>
        <w:ind w:firstLine="720"/>
        <w:rPr>
          <w:bCs/>
        </w:rPr>
      </w:pPr>
      <w:r>
        <w:t xml:space="preserve">The only item for which Washington was charged over £30 was a pair of French burr millstones, </w:t>
      </w:r>
      <w:r w:rsidR="00CA3DEE">
        <w:t xml:space="preserve">for which he paid £38 in 1771. </w:t>
      </w:r>
      <w:r>
        <w:t>Therefore, his single most expensive imported good was intended for p</w:t>
      </w:r>
      <w:r w:rsidR="00CA3DEE">
        <w:t xml:space="preserve">lantation production purposes. </w:t>
      </w:r>
      <w:r>
        <w:t xml:space="preserve">Of the dozen items invoiced in the £20-£30 </w:t>
      </w:r>
      <w:r>
        <w:lastRenderedPageBreak/>
        <w:t>range, all except one were textiles primari</w:t>
      </w:r>
      <w:r w:rsidR="00CA3DEE">
        <w:t>ly intended for slave clothing.</w:t>
      </w:r>
      <w:r>
        <w:t xml:space="preserve"> Only one item invoiced for over £20 could be considered a luxury – a £25.10.0 carved and upholstered mahogany bedstead bought at an auction </w:t>
      </w:r>
      <w:r w:rsidR="00CA3DEE">
        <w:t xml:space="preserve">by Richard Washington in 1757. </w:t>
      </w:r>
      <w:r>
        <w:t xml:space="preserve">The nature of the types of goods that Washington purchased detail an ambitious planter seeking to outfit a family and a plantation for a genteel lifestyle afforded by an industrious labor force. </w:t>
      </w:r>
    </w:p>
    <w:p w:rsidR="008203A5" w:rsidRPr="00E13595" w:rsidRDefault="008203A5" w:rsidP="008203A5">
      <w:pPr>
        <w:spacing w:line="480" w:lineRule="auto"/>
        <w:rPr>
          <w:b/>
        </w:rPr>
      </w:pPr>
      <w:r>
        <w:rPr>
          <w:b/>
        </w:rPr>
        <w:t xml:space="preserve">George Washington’s </w:t>
      </w:r>
      <w:r w:rsidRPr="00E13595">
        <w:rPr>
          <w:b/>
        </w:rPr>
        <w:t>Factors</w:t>
      </w:r>
      <w:r>
        <w:rPr>
          <w:b/>
        </w:rPr>
        <w:t xml:space="preserve"> and Vendors</w:t>
      </w:r>
    </w:p>
    <w:p w:rsidR="008203A5" w:rsidRDefault="008203A5" w:rsidP="008203A5">
      <w:pPr>
        <w:spacing w:line="480" w:lineRule="auto"/>
        <w:ind w:firstLine="720"/>
      </w:pPr>
      <w:r>
        <w:t>The relationship between planters and their factors can best be described as tumultuo</w:t>
      </w:r>
      <w:r w:rsidR="00CA3DEE">
        <w:t xml:space="preserve">us, as discussed in chapter 3. </w:t>
      </w:r>
      <w:r>
        <w:t>Planters and factors quarreled over quality and debated over debt, and yet these relations</w:t>
      </w:r>
      <w:r w:rsidR="00CA3DEE">
        <w:t xml:space="preserve">hips often lasted for decades. </w:t>
      </w:r>
      <w:r>
        <w:t>The invoices and orders dataset allows a systematic look int</w:t>
      </w:r>
      <w:r w:rsidR="00CA3DEE">
        <w:t xml:space="preserve">o these business partnerships. </w:t>
      </w:r>
      <w:r>
        <w:t>Less can be said about the vendors who manufactured or procured the items requested by George Washington for the v</w:t>
      </w:r>
      <w:r w:rsidR="00CA3DEE">
        <w:t xml:space="preserve">arious factors. </w:t>
      </w:r>
      <w:r>
        <w:t>Their role in the consignment system was viewed with suspicion by Washington and his peers because they were alleged to provide inferior goods with as much as a 20 percent markup specifically for colonia</w:t>
      </w:r>
      <w:r w:rsidR="00CA3DEE">
        <w:t xml:space="preserve">l markets (Ragsdale 1989:148). </w:t>
      </w:r>
      <w:r>
        <w:t>Washington on at least one occasion resorted to subterfuge when ord</w:t>
      </w:r>
      <w:r w:rsidR="00CA3DEE">
        <w:t xml:space="preserve">ering a carriage for a friend. </w:t>
      </w:r>
      <w:r>
        <w:t xml:space="preserve">He directed the merchant not to inform the carriage maker that the customer was a colonist in order to avoid overcharges (Ragsdale 1996:35).  </w:t>
      </w:r>
    </w:p>
    <w:p w:rsidR="008203A5" w:rsidRDefault="008203A5" w:rsidP="008203A5">
      <w:pPr>
        <w:spacing w:line="480" w:lineRule="auto"/>
        <w:ind w:firstLine="720"/>
      </w:pPr>
      <w:r>
        <w:t>Seven factors procured goods for George Washington: Anthony Bacon; Crosbies &amp; Trafford; James Gildart; Richard Washington; Robert Cary &amp; Company; Thomas Knox; and</w:t>
      </w:r>
      <w:r w:rsidR="00CA3DEE">
        <w:t xml:space="preserve"> William McGachen (Table 5-6). </w:t>
      </w:r>
      <w:r>
        <w:t xml:space="preserve">These companies transported goods on 25 ships with names like </w:t>
      </w:r>
      <w:r w:rsidRPr="009C138B">
        <w:rPr>
          <w:i/>
        </w:rPr>
        <w:t>Nelly John</w:t>
      </w:r>
      <w:r>
        <w:t xml:space="preserve">, </w:t>
      </w:r>
      <w:r w:rsidRPr="009C138B">
        <w:rPr>
          <w:i/>
        </w:rPr>
        <w:t>Ruby</w:t>
      </w:r>
      <w:r>
        <w:t xml:space="preserve">, and </w:t>
      </w:r>
      <w:r w:rsidRPr="009C138B">
        <w:rPr>
          <w:i/>
        </w:rPr>
        <w:t>William &amp; Mary</w:t>
      </w:r>
      <w:r w:rsidR="00CA3DEE">
        <w:t xml:space="preserve">. </w:t>
      </w:r>
      <w:r>
        <w:t>These 7 factors worked closely with a total of 157 individual English vendors (tradesmen</w:t>
      </w:r>
      <w:r w:rsidR="00CA3DEE">
        <w:t xml:space="preserve">, artisans, and warehousemen). </w:t>
      </w:r>
      <w:r>
        <w:t xml:space="preserve">The largest and most diverse of the orders required the work of 45 vendors (Ragsdale 1989:142).  </w:t>
      </w:r>
    </w:p>
    <w:p w:rsidR="008203A5" w:rsidRPr="0034760A" w:rsidRDefault="008203A5" w:rsidP="008203A5">
      <w:pPr>
        <w:spacing w:line="480" w:lineRule="auto"/>
        <w:rPr>
          <w:b/>
        </w:rPr>
      </w:pPr>
      <w:r>
        <w:rPr>
          <w:b/>
        </w:rPr>
        <w:lastRenderedPageBreak/>
        <w:t>Table 5-6</w:t>
      </w:r>
      <w:r w:rsidRPr="00910875">
        <w:rPr>
          <w:b/>
        </w:rPr>
        <w:t xml:space="preserve">. </w:t>
      </w:r>
      <w:r w:rsidRPr="0034760A">
        <w:t>List of George Washington’s agents by year.</w:t>
      </w:r>
    </w:p>
    <w:tbl>
      <w:tblPr>
        <w:tblW w:w="6945" w:type="dxa"/>
        <w:tblInd w:w="93" w:type="dxa"/>
        <w:tblLook w:val="04A0"/>
      </w:tblPr>
      <w:tblGrid>
        <w:gridCol w:w="2355"/>
        <w:gridCol w:w="2790"/>
        <w:gridCol w:w="1800"/>
      </w:tblGrid>
      <w:tr w:rsidR="008203A5" w:rsidRPr="002A3B31" w:rsidTr="00E91746">
        <w:trPr>
          <w:trHeight w:val="255"/>
        </w:trPr>
        <w:tc>
          <w:tcPr>
            <w:tcW w:w="2355"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203A5" w:rsidRPr="002A3B31" w:rsidRDefault="008203A5" w:rsidP="00E91746">
            <w:pPr>
              <w:jc w:val="center"/>
              <w:rPr>
                <w:rFonts w:eastAsia="Times New Roman"/>
                <w:b/>
                <w:bCs/>
                <w:color w:val="000000"/>
                <w:sz w:val="20"/>
              </w:rPr>
            </w:pPr>
            <w:r w:rsidRPr="002A3B31">
              <w:rPr>
                <w:rFonts w:eastAsia="Times New Roman"/>
                <w:b/>
                <w:bCs/>
                <w:color w:val="000000"/>
                <w:sz w:val="20"/>
              </w:rPr>
              <w:t>Order or Invoice Date</w:t>
            </w:r>
          </w:p>
        </w:tc>
        <w:tc>
          <w:tcPr>
            <w:tcW w:w="2790" w:type="dxa"/>
            <w:tcBorders>
              <w:top w:val="single" w:sz="4" w:space="0" w:color="auto"/>
              <w:left w:val="nil"/>
              <w:bottom w:val="single" w:sz="4" w:space="0" w:color="auto"/>
              <w:right w:val="single" w:sz="4" w:space="0" w:color="auto"/>
            </w:tcBorders>
            <w:shd w:val="clear" w:color="000000" w:fill="C0C0C0"/>
            <w:noWrap/>
            <w:vAlign w:val="bottom"/>
            <w:hideMark/>
          </w:tcPr>
          <w:p w:rsidR="008203A5" w:rsidRPr="002A3B31" w:rsidRDefault="008203A5" w:rsidP="00E91746">
            <w:pPr>
              <w:jc w:val="center"/>
              <w:rPr>
                <w:rFonts w:eastAsia="Times New Roman"/>
                <w:b/>
                <w:bCs/>
                <w:color w:val="000000"/>
                <w:sz w:val="20"/>
              </w:rPr>
            </w:pPr>
            <w:r w:rsidRPr="002A3B31">
              <w:rPr>
                <w:rFonts w:eastAsia="Times New Roman"/>
                <w:b/>
                <w:bCs/>
                <w:color w:val="000000"/>
                <w:sz w:val="20"/>
              </w:rPr>
              <w:t>Agent</w:t>
            </w:r>
          </w:p>
        </w:tc>
        <w:tc>
          <w:tcPr>
            <w:tcW w:w="1800" w:type="dxa"/>
            <w:tcBorders>
              <w:top w:val="single" w:sz="4" w:space="0" w:color="auto"/>
              <w:left w:val="nil"/>
              <w:bottom w:val="single" w:sz="4" w:space="0" w:color="auto"/>
              <w:right w:val="single" w:sz="4" w:space="0" w:color="auto"/>
            </w:tcBorders>
            <w:shd w:val="clear" w:color="000000" w:fill="BFBFBF"/>
            <w:noWrap/>
            <w:vAlign w:val="bottom"/>
            <w:hideMark/>
          </w:tcPr>
          <w:p w:rsidR="008203A5" w:rsidRPr="002A3B31" w:rsidRDefault="008203A5" w:rsidP="00E91746">
            <w:pPr>
              <w:rPr>
                <w:rFonts w:eastAsia="Times New Roman"/>
                <w:b/>
                <w:bCs/>
                <w:color w:val="000000"/>
                <w:sz w:val="20"/>
              </w:rPr>
            </w:pPr>
            <w:r w:rsidRPr="002A3B31">
              <w:rPr>
                <w:rFonts w:eastAsia="Times New Roman"/>
                <w:b/>
                <w:bCs/>
                <w:color w:val="000000"/>
                <w:sz w:val="20"/>
              </w:rPr>
              <w:t>Location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1754</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Anthony Bacon</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1756</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Richard Washington</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1757</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Richard Washington</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1757</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Thomas Knox</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Bristol</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1758</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Thomas Knox</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Bristol</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1759</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Richard Washington</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1759</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1760</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1761</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1762</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1763</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1764</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1764</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William McGachen</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1765</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Crosbies &amp; Trafford</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Liverpool</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1765</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James Gildart</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Liverpool</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1765</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1766</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1767</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1768</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1769</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1770</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1771</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1772</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r w:rsidR="008203A5" w:rsidRPr="002A3B31" w:rsidTr="00E91746">
        <w:trPr>
          <w:trHeight w:val="255"/>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jc w:val="center"/>
              <w:rPr>
                <w:rFonts w:eastAsia="Times New Roman"/>
                <w:color w:val="000000"/>
                <w:sz w:val="20"/>
              </w:rPr>
            </w:pPr>
            <w:r w:rsidRPr="002A3B31">
              <w:rPr>
                <w:rFonts w:eastAsia="Times New Roman"/>
                <w:color w:val="000000"/>
                <w:sz w:val="20"/>
              </w:rPr>
              <w:t>1773</w:t>
            </w:r>
          </w:p>
        </w:tc>
        <w:tc>
          <w:tcPr>
            <w:tcW w:w="279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London</w:t>
            </w:r>
          </w:p>
        </w:tc>
      </w:tr>
    </w:tbl>
    <w:p w:rsidR="008203A5" w:rsidRDefault="008203A5" w:rsidP="008203A5">
      <w:pPr>
        <w:ind w:firstLine="720"/>
      </w:pPr>
    </w:p>
    <w:p w:rsidR="008203A5" w:rsidRDefault="008203A5" w:rsidP="008203A5">
      <w:pPr>
        <w:spacing w:line="480" w:lineRule="auto"/>
      </w:pPr>
    </w:p>
    <w:p w:rsidR="008203A5" w:rsidRDefault="008203A5" w:rsidP="008203A5">
      <w:pPr>
        <w:spacing w:line="480" w:lineRule="auto"/>
        <w:ind w:firstLine="720"/>
      </w:pPr>
      <w:r>
        <w:t>Before Washington’s relationship with Robert Cary &amp; Company was solidified in 1759, he experimented with three different individuals to ascertain who could get him the best prices for tobacco a</w:t>
      </w:r>
      <w:r w:rsidR="00CA3DEE">
        <w:t xml:space="preserve">nd the most efficient service. </w:t>
      </w:r>
      <w:r>
        <w:t>Washington began a brief business relationship with Anthony Bacon, a merchant in London who began his career as a storekeeper in</w:t>
      </w:r>
      <w:r w:rsidR="00CA3DEE">
        <w:t xml:space="preserve"> Maryland (Abbot 1983[1]:218). </w:t>
      </w:r>
      <w:r>
        <w:t xml:space="preserve">Documents provide evidence that Washington shipped Bacon tobacco on at least two occasions before their relationship soured because of the “exceedingly low price” Bacon was able to obtain for the tobacco (Abbot 1984[4]:400-401).  </w:t>
      </w:r>
    </w:p>
    <w:p w:rsidR="008203A5" w:rsidRDefault="008203A5" w:rsidP="008203A5">
      <w:pPr>
        <w:spacing w:line="480" w:lineRule="auto"/>
        <w:ind w:firstLine="720"/>
      </w:pPr>
      <w:r>
        <w:t xml:space="preserve">Around the same time that Washington was exploring a partnership with Bacon, he initiated correspondence with Londoner Richard Washington (no relation) whom he hoped </w:t>
      </w:r>
      <w:r w:rsidR="00CA3DEE">
        <w:lastRenderedPageBreak/>
        <w:t>would be his primary factor.</w:t>
      </w:r>
      <w:r>
        <w:t xml:space="preserve"> George Washington offered him three hogsheads, an</w:t>
      </w:r>
      <w:r w:rsidR="00CA3DEE">
        <w:t xml:space="preserve">ticipating more in the future. </w:t>
      </w:r>
      <w:r>
        <w:t>Washington probably knew Richard Washington because he served as an agent for his neighbor George Fairfax o</w:t>
      </w:r>
      <w:r w:rsidR="00CA3DEE">
        <w:t xml:space="preserve">f Belvoir (Ragsdale 1989:136). </w:t>
      </w:r>
      <w:r>
        <w:t>Unfortunately for Washington, Richard Washington concentrated his business along the York and James Rivers and rarely made trips up the Potomac, making this relat</w:t>
      </w:r>
      <w:r w:rsidR="00CA3DEE">
        <w:t xml:space="preserve">ionship difficult to maintain. </w:t>
      </w:r>
      <w:r>
        <w:t xml:space="preserve">Washington eventually terminated his relationship with Richard Washington in 1765, after decreasing shipments of tobacco to him after 1759 (Ragsdale 1989:138).  </w:t>
      </w:r>
    </w:p>
    <w:p w:rsidR="008203A5" w:rsidRDefault="008203A5" w:rsidP="008203A5">
      <w:pPr>
        <w:spacing w:line="480" w:lineRule="auto"/>
        <w:ind w:firstLine="720"/>
      </w:pPr>
      <w:r>
        <w:t>Finally, the prominent local merchant and friend of Washington’s, John Carlyle, introduced him to a third factor, Thomas Knox of Bristol, and Washington placed an order for goods with him at least as early as 1755, though the order does no</w:t>
      </w:r>
      <w:r w:rsidR="00CA3DEE">
        <w:t xml:space="preserve">t survive (Abbot 1988[5]:402). </w:t>
      </w:r>
      <w:r>
        <w:t xml:space="preserve">By establishing this (short-lived) partnership, Washington expected to compare sales between Bristol and London houses, but he was soon sorely disappointed by both the service and the </w:t>
      </w:r>
      <w:r w:rsidR="00CA3DEE">
        <w:t xml:space="preserve">sales (Abbot 1988[5]:87). </w:t>
      </w:r>
      <w:r>
        <w:t xml:space="preserve">In January of 1758, Washington remonstrated with Knox over the goods sent, presenting evidence on three counts: half of the order was left unfulfilled (the most important half, according to Washington); pieces contained in the crate of white salt-glazed stoneware arrived broken; and the prices charged for all the items was </w:t>
      </w:r>
      <w:r w:rsidR="00CA3DEE">
        <w:t>“very high” (Abbot 1988[5]:87).</w:t>
      </w:r>
      <w:r>
        <w:t xml:space="preserve"> In May of 1759, Washington complained to Richard Washington that Knox sold his tobacco on the Bristol market for a third of its value (Abbot 1988[6]:319).          </w:t>
      </w:r>
    </w:p>
    <w:p w:rsidR="008203A5" w:rsidRPr="003113E3" w:rsidRDefault="008203A5" w:rsidP="008203A5">
      <w:pPr>
        <w:spacing w:line="480" w:lineRule="auto"/>
        <w:ind w:firstLine="720"/>
      </w:pPr>
      <w:r w:rsidRPr="003113E3">
        <w:t xml:space="preserve">After his marriage, </w:t>
      </w:r>
      <w:r>
        <w:t xml:space="preserve">George </w:t>
      </w:r>
      <w:r w:rsidRPr="003113E3">
        <w:t>Washington’s principal agent became the one used by Daniel Parke Custis and the one Martha Washington promised to continue to do business with – the pres</w:t>
      </w:r>
      <w:r w:rsidR="00CA3DEE">
        <w:t xml:space="preserve">tigious Robert Cary &amp; Company. </w:t>
      </w:r>
      <w:r w:rsidRPr="003113E3">
        <w:t>This newly forged alliance raised Washington’s expectations for better prices on his tobacco, which would meet his growing demands for impor</w:t>
      </w:r>
      <w:r w:rsidR="00CA3DEE">
        <w:t xml:space="preserve">ted goods (Ragsdale 1989:139). </w:t>
      </w:r>
      <w:r>
        <w:t xml:space="preserve">Washington occasionally used other factors in Bristol and </w:t>
      </w:r>
      <w:r>
        <w:lastRenderedPageBreak/>
        <w:t>Liverpool including James Gildart, William McGa</w:t>
      </w:r>
      <w:r w:rsidR="00CA3DEE">
        <w:t xml:space="preserve">chen, and Crosbies &amp; Trafford. </w:t>
      </w:r>
      <w:r>
        <w:t xml:space="preserve">Business with these agents “offered Washington a means of paying off debts or purchasing special goods in the </w:t>
      </w:r>
      <w:r w:rsidR="00CA3DEE">
        <w:t xml:space="preserve">outports” (Ragsdale 1989:141). </w:t>
      </w:r>
      <w:r>
        <w:t>William McGachen was not a factor in the traditional sense, but instead was a ship captain based in London who appears to have served once as the middle man betwe</w:t>
      </w:r>
      <w:r w:rsidR="00CA3DEE">
        <w:t xml:space="preserve">en Washington and Robert Cary. </w:t>
      </w:r>
      <w:r>
        <w:t xml:space="preserve">His ship, the </w:t>
      </w:r>
      <w:r w:rsidRPr="002E4438">
        <w:rPr>
          <w:i/>
        </w:rPr>
        <w:t>Tryal</w:t>
      </w:r>
      <w:r>
        <w:t>, carried jewelry, pistols, cruets, and seeds bound for Mount Vernon (</w:t>
      </w:r>
      <w:r w:rsidR="00CA3DEE">
        <w:t xml:space="preserve">Abbot and Twohig 1990[7]:312). </w:t>
      </w:r>
      <w:r>
        <w:t xml:space="preserve">James Gildart, like Robert Cary &amp; Company, was a tobacco merchant with whom the Custises and then Washington did business </w:t>
      </w:r>
      <w:r w:rsidR="00CA3DEE">
        <w:t xml:space="preserve">(Abbot and Twohig 1990[7]:32). </w:t>
      </w:r>
      <w:r>
        <w:t>Gildart procured ale and porter, broad hoes, and ten mahogany chairs for Washington (Abbot and Twohig 1990[7]:</w:t>
      </w:r>
      <w:r w:rsidR="00CA3DEE">
        <w:t xml:space="preserve">372). </w:t>
      </w:r>
      <w:r>
        <w:t xml:space="preserve">Another Liverpool firm, Crosbies &amp; Trafford, sent Washington fabric, a plow, and 100 bushels of salt (Abbot and Twohig 1990[7]:387-388).  </w:t>
      </w:r>
    </w:p>
    <w:p w:rsidR="008203A5" w:rsidRDefault="008203A5" w:rsidP="008203A5">
      <w:pPr>
        <w:spacing w:line="480" w:lineRule="auto"/>
        <w:ind w:firstLine="720"/>
      </w:pPr>
      <w:r>
        <w:t xml:space="preserve">As discussed in chapter 3, the relationship between a planter and his factor was a complicated and unbalanced </w:t>
      </w:r>
      <w:r w:rsidR="00CA3DEE">
        <w:t xml:space="preserve">one. </w:t>
      </w:r>
      <w:r>
        <w:t>Planters depended on and w</w:t>
      </w:r>
      <w:r w:rsidR="00CA3DEE">
        <w:t xml:space="preserve">ere indebted to their factors. </w:t>
      </w:r>
      <w:r>
        <w:t>Part of this imbalance was due to the fact that planters were at the mercy of their factors for the goods necessary to operate a productive plantation and to maintain a level of taste and adherence to fashion that underpin</w:t>
      </w:r>
      <w:r w:rsidR="00CA3DEE">
        <w:t xml:space="preserve">ned their claims of gentility. </w:t>
      </w:r>
      <w:r>
        <w:t xml:space="preserve">Excessive wait times for these important tools of economic and social advancement are often cited as </w:t>
      </w:r>
      <w:r w:rsidR="00CA3DEE">
        <w:t xml:space="preserve">an example of this dependence. </w:t>
      </w:r>
      <w:r>
        <w:t xml:space="preserve">When the goods eventually arrived on the shores of the Potomac, planters like George Washington were also dependent upon their factors to accurately fulfill the quantities and qualities of </w:t>
      </w:r>
      <w:r w:rsidR="00CA3DEE">
        <w:t xml:space="preserve">the orders (Ragsdale 1996:35). </w:t>
      </w:r>
      <w:r>
        <w:t xml:space="preserve">The invoices and orders dataset allows us to systematically explore just how reliable these factors were from the standpoints of wait times and accuracy.  </w:t>
      </w:r>
    </w:p>
    <w:p w:rsidR="008203A5" w:rsidRDefault="008203A5" w:rsidP="008203A5">
      <w:pPr>
        <w:spacing w:line="480" w:lineRule="auto"/>
        <w:ind w:firstLine="720"/>
      </w:pPr>
      <w:r>
        <w:t>Wait times do appear to have been an issue, primarily because of th</w:t>
      </w:r>
      <w:r w:rsidR="00CA3DEE">
        <w:t xml:space="preserve">eir inconsistency (Table 5-7). </w:t>
      </w:r>
      <w:r>
        <w:t xml:space="preserve">Durations between the time the order was sent and the time the goods were shipped </w:t>
      </w:r>
      <w:r>
        <w:lastRenderedPageBreak/>
        <w:t>could be calcul</w:t>
      </w:r>
      <w:r w:rsidR="00CA3DEE">
        <w:t xml:space="preserve">ated for 25 instances. </w:t>
      </w:r>
      <w:r>
        <w:t>Washington was forced to wait anywhere from 2 to 12 months for a shipment of goods, with the average wait time of just over 5 months (163 days) between date of order and date of invoice, the median 5 months (149 days),</w:t>
      </w:r>
      <w:r w:rsidRPr="00EF0BF0">
        <w:t xml:space="preserve"> and the mode 3 months (</w:t>
      </w:r>
      <w:r>
        <w:t>none</w:t>
      </w:r>
      <w:r w:rsidR="00CA3DEE">
        <w:t xml:space="preserve"> for days). </w:t>
      </w:r>
      <w:r>
        <w:t xml:space="preserve">These data do not include the 2 to 3 months that it took to sail from </w:t>
      </w:r>
      <w:r w:rsidRPr="00EF0BF0">
        <w:t>London to Virginia (Ragsdale 1989:143).</w:t>
      </w:r>
      <w:r w:rsidR="00CA3DEE">
        <w:t xml:space="preserve"> </w:t>
      </w:r>
      <w:r>
        <w:t>When we overlay the agents responsible for the excessive wait times, we see why Washington remained a loyal customer of Robe</w:t>
      </w:r>
      <w:r w:rsidR="00CA3DEE">
        <w:t xml:space="preserve">rt Cary &amp; Company for so long. </w:t>
      </w:r>
      <w:r>
        <w:t>Richard Washington shipped goods in excess of the average five mon</w:t>
      </w:r>
      <w:r w:rsidR="00CA3DEE">
        <w:t xml:space="preserve">ths on two of three occasions. </w:t>
      </w:r>
      <w:r>
        <w:t>Thomas Knox’s shipment was sent after eight months.</w:t>
      </w:r>
    </w:p>
    <w:p w:rsidR="008203A5" w:rsidRDefault="008203A5" w:rsidP="009259FA">
      <w:pPr>
        <w:rPr>
          <w:b/>
        </w:rPr>
      </w:pPr>
    </w:p>
    <w:p w:rsidR="009259FA" w:rsidRDefault="009259FA" w:rsidP="009259FA">
      <w:pPr>
        <w:rPr>
          <w:b/>
        </w:rPr>
      </w:pPr>
    </w:p>
    <w:p w:rsidR="008203A5" w:rsidRDefault="008203A5" w:rsidP="008203A5">
      <w:pPr>
        <w:spacing w:line="480" w:lineRule="auto"/>
      </w:pPr>
      <w:r>
        <w:rPr>
          <w:b/>
        </w:rPr>
        <w:t>Table 5-7</w:t>
      </w:r>
      <w:r w:rsidRPr="009835AC">
        <w:rPr>
          <w:b/>
        </w:rPr>
        <w:t xml:space="preserve">. </w:t>
      </w:r>
      <w:r w:rsidRPr="0034760A">
        <w:t xml:space="preserve">Documented wait times experienced by George Washington. </w:t>
      </w:r>
    </w:p>
    <w:tbl>
      <w:tblPr>
        <w:tblW w:w="9465" w:type="dxa"/>
        <w:tblInd w:w="93" w:type="dxa"/>
        <w:tblLook w:val="04A0"/>
      </w:tblPr>
      <w:tblGrid>
        <w:gridCol w:w="1815"/>
        <w:gridCol w:w="1620"/>
        <w:gridCol w:w="1800"/>
        <w:gridCol w:w="1620"/>
        <w:gridCol w:w="2610"/>
      </w:tblGrid>
      <w:tr w:rsidR="008203A5" w:rsidRPr="002A3B31" w:rsidTr="00E91746">
        <w:trPr>
          <w:trHeight w:val="255"/>
        </w:trPr>
        <w:tc>
          <w:tcPr>
            <w:tcW w:w="1815"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8203A5" w:rsidRPr="002A3B31" w:rsidRDefault="008203A5" w:rsidP="00E91746">
            <w:pPr>
              <w:jc w:val="center"/>
              <w:rPr>
                <w:rFonts w:eastAsia="Times New Roman"/>
                <w:b/>
                <w:bCs/>
                <w:color w:val="000000"/>
                <w:sz w:val="20"/>
              </w:rPr>
            </w:pPr>
            <w:r w:rsidRPr="002A3B31">
              <w:rPr>
                <w:rFonts w:eastAsia="Times New Roman"/>
                <w:b/>
                <w:bCs/>
                <w:color w:val="000000"/>
                <w:sz w:val="20"/>
              </w:rPr>
              <w:t>Order Date</w:t>
            </w:r>
          </w:p>
        </w:tc>
        <w:tc>
          <w:tcPr>
            <w:tcW w:w="1620" w:type="dxa"/>
            <w:tcBorders>
              <w:top w:val="single" w:sz="4" w:space="0" w:color="auto"/>
              <w:left w:val="nil"/>
              <w:bottom w:val="single" w:sz="4" w:space="0" w:color="auto"/>
              <w:right w:val="single" w:sz="4" w:space="0" w:color="auto"/>
            </w:tcBorders>
            <w:shd w:val="clear" w:color="000000" w:fill="BFBFBF"/>
            <w:noWrap/>
            <w:vAlign w:val="bottom"/>
            <w:hideMark/>
          </w:tcPr>
          <w:p w:rsidR="008203A5" w:rsidRPr="002A3B31" w:rsidRDefault="008203A5" w:rsidP="00E91746">
            <w:pPr>
              <w:jc w:val="center"/>
              <w:rPr>
                <w:rFonts w:eastAsia="Times New Roman"/>
                <w:b/>
                <w:bCs/>
                <w:color w:val="000000"/>
                <w:sz w:val="20"/>
              </w:rPr>
            </w:pPr>
            <w:r w:rsidRPr="002A3B31">
              <w:rPr>
                <w:rFonts w:eastAsia="Times New Roman"/>
                <w:b/>
                <w:bCs/>
                <w:color w:val="000000"/>
                <w:sz w:val="20"/>
              </w:rPr>
              <w:t>Invoice Date</w:t>
            </w:r>
          </w:p>
        </w:tc>
        <w:tc>
          <w:tcPr>
            <w:tcW w:w="1800" w:type="dxa"/>
            <w:tcBorders>
              <w:top w:val="single" w:sz="4" w:space="0" w:color="auto"/>
              <w:left w:val="nil"/>
              <w:bottom w:val="single" w:sz="4" w:space="0" w:color="auto"/>
              <w:right w:val="single" w:sz="4" w:space="0" w:color="auto"/>
            </w:tcBorders>
            <w:shd w:val="clear" w:color="000000" w:fill="BFBFBF"/>
            <w:noWrap/>
            <w:vAlign w:val="bottom"/>
            <w:hideMark/>
          </w:tcPr>
          <w:p w:rsidR="008203A5" w:rsidRPr="002A3B31" w:rsidRDefault="008203A5" w:rsidP="00E91746">
            <w:pPr>
              <w:jc w:val="center"/>
              <w:rPr>
                <w:rFonts w:eastAsia="Times New Roman"/>
                <w:b/>
                <w:bCs/>
                <w:color w:val="000000"/>
                <w:sz w:val="20"/>
              </w:rPr>
            </w:pPr>
            <w:r w:rsidRPr="002A3B31">
              <w:rPr>
                <w:rFonts w:eastAsia="Times New Roman"/>
                <w:b/>
                <w:bCs/>
                <w:color w:val="000000"/>
                <w:sz w:val="20"/>
              </w:rPr>
              <w:t>Wait Time (months)</w:t>
            </w:r>
          </w:p>
        </w:tc>
        <w:tc>
          <w:tcPr>
            <w:tcW w:w="1620" w:type="dxa"/>
            <w:tcBorders>
              <w:top w:val="single" w:sz="4" w:space="0" w:color="auto"/>
              <w:left w:val="nil"/>
              <w:bottom w:val="single" w:sz="4" w:space="0" w:color="auto"/>
              <w:right w:val="single" w:sz="4" w:space="0" w:color="auto"/>
            </w:tcBorders>
            <w:shd w:val="clear" w:color="000000" w:fill="BFBFBF"/>
            <w:noWrap/>
            <w:vAlign w:val="bottom"/>
            <w:hideMark/>
          </w:tcPr>
          <w:p w:rsidR="008203A5" w:rsidRPr="002A3B31" w:rsidRDefault="008203A5" w:rsidP="00E91746">
            <w:pPr>
              <w:jc w:val="center"/>
              <w:rPr>
                <w:rFonts w:eastAsia="Times New Roman"/>
                <w:b/>
                <w:bCs/>
                <w:color w:val="000000"/>
                <w:sz w:val="20"/>
              </w:rPr>
            </w:pPr>
            <w:r w:rsidRPr="002A3B31">
              <w:rPr>
                <w:rFonts w:eastAsia="Times New Roman"/>
                <w:b/>
                <w:bCs/>
                <w:color w:val="000000"/>
                <w:sz w:val="20"/>
              </w:rPr>
              <w:t>Wait Time (days)</w:t>
            </w:r>
          </w:p>
        </w:tc>
        <w:tc>
          <w:tcPr>
            <w:tcW w:w="2610" w:type="dxa"/>
            <w:tcBorders>
              <w:top w:val="single" w:sz="4" w:space="0" w:color="auto"/>
              <w:left w:val="nil"/>
              <w:bottom w:val="single" w:sz="4" w:space="0" w:color="auto"/>
              <w:right w:val="single" w:sz="4" w:space="0" w:color="auto"/>
            </w:tcBorders>
            <w:shd w:val="clear" w:color="000000" w:fill="BFBFBF"/>
            <w:noWrap/>
            <w:vAlign w:val="bottom"/>
            <w:hideMark/>
          </w:tcPr>
          <w:p w:rsidR="008203A5" w:rsidRPr="002A3B31" w:rsidRDefault="008203A5" w:rsidP="00E91746">
            <w:pPr>
              <w:jc w:val="center"/>
              <w:rPr>
                <w:rFonts w:eastAsia="Times New Roman"/>
                <w:b/>
                <w:bCs/>
                <w:color w:val="000000"/>
                <w:sz w:val="20"/>
              </w:rPr>
            </w:pPr>
            <w:r w:rsidRPr="002A3B31">
              <w:rPr>
                <w:rFonts w:eastAsia="Times New Roman"/>
                <w:b/>
                <w:bCs/>
                <w:color w:val="000000"/>
                <w:sz w:val="20"/>
              </w:rPr>
              <w:t>Agent</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1764, Jan 22</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1764, April 2</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2</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70</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1772, July 15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1772, Sept 29</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3</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76</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1770, Aug 20</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1770, Nov 13</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3</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85</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1765, Sept 20</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1765, Dec 20</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3</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91</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1759, May 1</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1759, Aug 6</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3</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98</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1768, June 20</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1768, Sept 28</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3</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100</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1767, July 20</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1767, Oct 29</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3</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101</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1765, Nov 6</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1766, Feb 28</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4</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114</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1755, Dec 6</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1756, April 6</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4</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121</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Richard Washington</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1765, March 6</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1765, July</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4</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131</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Crosbies &amp; Trafford</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1771, July 18</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1771, Dec 3</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138</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1766, June 23</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1766, Nov 17</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147</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1762, Nov 15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1763, April 13</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149</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1765, Oct 25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1766, March 27</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153</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1762, Nov 15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1763, April 23</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159</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1759, Sept 20</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1760, March 15</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6</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167</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1761, Oct 12</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1762, April 10</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6</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180</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1769,  July 25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1770, Jan 23</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6</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182</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1760, Sept 28</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1761, March 31</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6</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184</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1764, Aug 10</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1765, Feb 13</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6</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187</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1757, April 15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1757, Nov 10</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7</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209</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Richard Washington</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1757, Dec 26</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1758, Aug 18</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8</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235</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Thomas Knox</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1763, April 26</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1764, Feb 13</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10</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293</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Robert Cary &amp; Company</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1764, June 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1765, May 15</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11</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344</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James Gildart</w:t>
            </w:r>
          </w:p>
        </w:tc>
      </w:tr>
      <w:tr w:rsidR="008203A5" w:rsidRPr="002A3B31" w:rsidTr="00E91746">
        <w:trPr>
          <w:trHeight w:val="255"/>
        </w:trPr>
        <w:tc>
          <w:tcPr>
            <w:tcW w:w="1815" w:type="dxa"/>
            <w:tcBorders>
              <w:top w:val="nil"/>
              <w:left w:val="single" w:sz="4" w:space="0" w:color="auto"/>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1758, April 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1759, March 20</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12</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jc w:val="right"/>
              <w:rPr>
                <w:rFonts w:eastAsia="Times New Roman"/>
                <w:color w:val="000000"/>
                <w:sz w:val="20"/>
              </w:rPr>
            </w:pPr>
            <w:r w:rsidRPr="002A3B31">
              <w:rPr>
                <w:rFonts w:eastAsia="Times New Roman"/>
                <w:color w:val="000000"/>
                <w:sz w:val="20"/>
              </w:rPr>
              <w:t>349</w:t>
            </w:r>
          </w:p>
        </w:tc>
        <w:tc>
          <w:tcPr>
            <w:tcW w:w="2610" w:type="dxa"/>
            <w:tcBorders>
              <w:top w:val="nil"/>
              <w:left w:val="nil"/>
              <w:bottom w:val="single" w:sz="4" w:space="0" w:color="auto"/>
              <w:right w:val="single" w:sz="4" w:space="0" w:color="auto"/>
            </w:tcBorders>
            <w:shd w:val="clear" w:color="auto" w:fill="auto"/>
            <w:noWrap/>
            <w:vAlign w:val="bottom"/>
            <w:hideMark/>
          </w:tcPr>
          <w:p w:rsidR="008203A5" w:rsidRPr="002A3B31" w:rsidRDefault="008203A5" w:rsidP="00E91746">
            <w:pPr>
              <w:rPr>
                <w:rFonts w:eastAsia="Times New Roman"/>
                <w:color w:val="000000"/>
                <w:sz w:val="20"/>
              </w:rPr>
            </w:pPr>
            <w:r w:rsidRPr="002A3B31">
              <w:rPr>
                <w:rFonts w:eastAsia="Times New Roman"/>
                <w:color w:val="000000"/>
                <w:sz w:val="20"/>
              </w:rPr>
              <w:t>Richard Washington</w:t>
            </w:r>
          </w:p>
        </w:tc>
      </w:tr>
    </w:tbl>
    <w:p w:rsidR="008203A5" w:rsidRDefault="008203A5" w:rsidP="008203A5">
      <w:pPr>
        <w:ind w:firstLine="720"/>
      </w:pPr>
    </w:p>
    <w:p w:rsidR="008203A5" w:rsidRDefault="008203A5" w:rsidP="008203A5">
      <w:pPr>
        <w:spacing w:line="480" w:lineRule="auto"/>
        <w:ind w:firstLine="720"/>
      </w:pPr>
      <w:r>
        <w:lastRenderedPageBreak/>
        <w:t>Although the sample is smaller than ideal and therefore may contain some level of bias, a brief discussion on the standard deviation or measure of variance around the mean puts the issue of inconsistency an</w:t>
      </w:r>
      <w:r w:rsidR="00CA3DEE">
        <w:t xml:space="preserve">d unpredictability in context. </w:t>
      </w:r>
      <w:r>
        <w:t xml:space="preserve">Based on this small sample, the standard deviation is +/- 2.5 months, meaning that 84 percent of the time, the shipment left within </w:t>
      </w:r>
      <w:r w:rsidR="00CA3DEE">
        <w:t xml:space="preserve">a span from 2.5 to 7.5 months. </w:t>
      </w:r>
      <w:r>
        <w:t>These data are more tightly clustered than, but not too dissimilar to, the results produced by a normal distribution (where +/- one standard deviation contains 68</w:t>
      </w:r>
      <w:r w:rsidR="00CA3DEE">
        <w:t xml:space="preserve"> percent of the observations). </w:t>
      </w:r>
      <w:r>
        <w:t xml:space="preserve">However, the issue of variation around the mean of 5 months becomes particularly problematic when we hone in on one example </w:t>
      </w:r>
      <w:r w:rsidR="00CA3DEE">
        <w:t xml:space="preserve">of the types of goods ordered. </w:t>
      </w:r>
      <w:r>
        <w:t>One of the largest categories of goods shipped to Mount Vernon consisted of hardware: miscella</w:t>
      </w:r>
      <w:r w:rsidR="00CA3DEE">
        <w:t xml:space="preserve">neous items, paint, and tools. </w:t>
      </w:r>
      <w:r>
        <w:t>It is the latter subcategory that was</w:t>
      </w:r>
      <w:r w:rsidR="002B0980">
        <w:t xml:space="preserve"> particularly times sensitive. </w:t>
      </w:r>
      <w:r>
        <w:t>When we look at the individual items, we see that Washington was invoiced for all sorts of hoes, scythes, plows, sickles, hay knives, reap hooks, wheat sieves, and spades ne</w:t>
      </w:r>
      <w:r w:rsidR="002B0980">
        <w:t xml:space="preserve">cessary for cultivating crops. </w:t>
      </w:r>
      <w:r>
        <w:t>Receiving a shipment of tools necessary to grow, harvest, and process staple crops 2.5 months later than anticipated might have ramifications for a successful agr</w:t>
      </w:r>
      <w:r w:rsidR="002B0980">
        <w:t xml:space="preserve">icultural season. </w:t>
      </w:r>
      <w:r>
        <w:t>The wait times were compounded by an addition</w:t>
      </w:r>
      <w:r w:rsidR="002B0980">
        <w:t xml:space="preserve">al factor not calculated here. </w:t>
      </w:r>
      <w:r>
        <w:t xml:space="preserve">On occasion, the goods arrived at entry ports in the lower tidewater without Washington’s knowledge, where they would sit for months before he was informed of their arrival (Ragsdale 1989:154).      </w:t>
      </w:r>
    </w:p>
    <w:p w:rsidR="008203A5" w:rsidRPr="00393107" w:rsidRDefault="008203A5" w:rsidP="008203A5">
      <w:pPr>
        <w:spacing w:line="480" w:lineRule="auto"/>
        <w:ind w:firstLine="720"/>
      </w:pPr>
      <w:r>
        <w:t>Accuracy, however, does not appear to have b</w:t>
      </w:r>
      <w:r w:rsidR="002B0980">
        <w:t xml:space="preserve">een a complaint-worthy factor. </w:t>
      </w:r>
      <w:r>
        <w:t>Out of 2</w:t>
      </w:r>
      <w:r w:rsidR="0053435E">
        <w:t>,</w:t>
      </w:r>
      <w:r>
        <w:t>668 items ordered by George Washington for which the return invoice is documented, his factors were able to procure the goods he req</w:t>
      </w:r>
      <w:r w:rsidR="002B0980">
        <w:t xml:space="preserve">uested 97 percent of the time. </w:t>
      </w:r>
      <w:r>
        <w:t>Requests for goods went unanswered only 74 out of 2</w:t>
      </w:r>
      <w:r w:rsidR="0053435E">
        <w:t>,</w:t>
      </w:r>
      <w:r w:rsidR="002B0980">
        <w:t xml:space="preserve">668 times. </w:t>
      </w:r>
      <w:r>
        <w:t>For any given year, the orders that went unfulfilled never ro</w:t>
      </w:r>
      <w:r w:rsidR="002B0980">
        <w:t xml:space="preserve">se higher than half a percent. </w:t>
      </w:r>
      <w:r>
        <w:t xml:space="preserve">This rate of accuracy is particularly astounding considering the fact that the factors had to communicate with myriad vendors and ship the goods across the </w:t>
      </w:r>
      <w:r>
        <w:lastRenderedPageBreak/>
        <w:t>ocean without modern</w:t>
      </w:r>
      <w:r w:rsidR="002B0980">
        <w:t xml:space="preserve"> inventory and tracking tools. </w:t>
      </w:r>
      <w:r>
        <w:t>These data support Ragsdale’s (1989:148) conclusion that “Robert Cary &amp; Co. displayed remarkable efficiency and accuracy in filling Washington’s order despite complicated instructions and the necessity of dealing</w:t>
      </w:r>
      <w:r w:rsidR="002B0980">
        <w:t xml:space="preserve"> with a variety of tradesmen.” </w:t>
      </w:r>
      <w:r>
        <w:t>However, the calculations here do not take into account the less quantifiable issue of the quality or fashionableness of the goods send to Mount Vernon, about which Wa</w:t>
      </w:r>
      <w:r w:rsidR="002B0980">
        <w:t xml:space="preserve">shington repeatedly protested. </w:t>
      </w:r>
      <w:r>
        <w:t xml:space="preserve">Neither do these calculations assess the accuracy of factors like quantity of goods requested </w:t>
      </w:r>
      <w:r w:rsidR="002B0980">
        <w:t xml:space="preserve">versus quantity of goods sent. </w:t>
      </w:r>
      <w:r>
        <w:t xml:space="preserve">While the former may always reside in the realm of impression or anecdote, the latter remains an area for future research.    </w:t>
      </w:r>
    </w:p>
    <w:p w:rsidR="008203A5" w:rsidRPr="00E95427" w:rsidRDefault="008203A5" w:rsidP="008203A5">
      <w:pPr>
        <w:spacing w:line="480" w:lineRule="auto"/>
        <w:rPr>
          <w:b/>
        </w:rPr>
      </w:pPr>
      <w:r>
        <w:rPr>
          <w:b/>
        </w:rPr>
        <w:t>Fee Analysis</w:t>
      </w:r>
    </w:p>
    <w:p w:rsidR="008203A5" w:rsidRDefault="008203A5" w:rsidP="008203A5">
      <w:pPr>
        <w:spacing w:line="480" w:lineRule="auto"/>
        <w:ind w:firstLine="720"/>
      </w:pPr>
      <w:r>
        <w:t>Up to this point, we seem to have developed a fairly rosy picture of the consignment system, with the exceptions of Richa</w:t>
      </w:r>
      <w:r w:rsidR="002B0980">
        <w:t xml:space="preserve">rd Washington and Thomas Knox. </w:t>
      </w:r>
      <w:r>
        <w:t>However, the burden of a steadfast commitment to selling tobacco to and obtaining goods from middlemen in the motherland becomes painfully clear when we undertake an analysis of the fees associated wi</w:t>
      </w:r>
      <w:r w:rsidR="002B0980">
        <w:t xml:space="preserve">th this method of transaction. </w:t>
      </w:r>
      <w:r>
        <w:t>The invoices and orders dataset breaks shipping-related expenses down into the cost of containers and packing materials for certain items and the fees assoc</w:t>
      </w:r>
      <w:r w:rsidR="002B0980">
        <w:t xml:space="preserve">iated with shipping the order. </w:t>
      </w:r>
      <w:r>
        <w:t>For example, when vendor Francis Nalder procured fine Cheshire cheese on behalf of Robert Cary &amp; Company in 1760 for £2.16.10, he added a £0.2.6 fee for th</w:t>
      </w:r>
      <w:r w:rsidR="002B0980">
        <w:t xml:space="preserve">e cask that it was shipped in. </w:t>
      </w:r>
      <w:r>
        <w:t>When Jason Shipley provided groceries including sugar, almonds, and ginger in 1763, he charged an additional £0.8.2 for a barrel, a box, a jar, a bag, and a carting fee to transport</w:t>
      </w:r>
      <w:r w:rsidR="002B0980">
        <w:t xml:space="preserve"> the items to the ship. </w:t>
      </w:r>
      <w:r>
        <w:t>Certainly, some of these packaging materials could have been used for storage or recycled for</w:t>
      </w:r>
      <w:r w:rsidR="002B0980">
        <w:t xml:space="preserve"> other uses on the plantation. </w:t>
      </w:r>
      <w:r>
        <w:t>However, these materials were not ordered and the prices unkn</w:t>
      </w:r>
      <w:r w:rsidR="002B0980">
        <w:t xml:space="preserve">own until the invoice arrived. </w:t>
      </w:r>
      <w:r>
        <w:t xml:space="preserve">On an invoice by invoice basis, shipping containers and packing materials ranged from as </w:t>
      </w:r>
      <w:r w:rsidR="002B0980">
        <w:t xml:space="preserve">low as a shilling to over £12. </w:t>
      </w:r>
      <w:r>
        <w:t xml:space="preserve">The </w:t>
      </w:r>
      <w:r>
        <w:lastRenderedPageBreak/>
        <w:t>invoices and orders dataset represents the first attempt to capture the previously hidden charges associated with containing and protecting consumer goods on their trans-Atlantic trip.</w:t>
      </w:r>
    </w:p>
    <w:p w:rsidR="008203A5" w:rsidRPr="00393107" w:rsidRDefault="008203A5" w:rsidP="008203A5">
      <w:pPr>
        <w:spacing w:line="480" w:lineRule="auto"/>
        <w:ind w:firstLine="720"/>
      </w:pPr>
      <w:r>
        <w:t>Shipping fees, on the other hand, have been a topic of discussion during the period a</w:t>
      </w:r>
      <w:r w:rsidR="002B0980">
        <w:t xml:space="preserve">nd study in secondary sources. </w:t>
      </w:r>
      <w:r>
        <w:t>These charges are found at the end of the invoice, just before the total, and were far from hidden</w:t>
      </w:r>
      <w:r w:rsidR="002B0980">
        <w:t xml:space="preserve">. </w:t>
      </w:r>
      <w:r>
        <w:t>This study only considers fees and expenses on the return end of the consignment trade, and not the duties and insurance that Washington paid for the shipping and marketing of hi</w:t>
      </w:r>
      <w:r w:rsidR="002B0980">
        <w:t xml:space="preserve">s tobacco (Ragsdale 1989:140). </w:t>
      </w:r>
      <w:r>
        <w:t>Ragsdale (1989:143) summarizes the fee structure documented in the invoices: “Washington’s costs for the goods also included fees for primage (loading the cargo), clearing the ship out of London [</w:t>
      </w:r>
      <w:r w:rsidRPr="00393107">
        <w:t>entry</w:t>
      </w:r>
      <w:r>
        <w:t xml:space="preserve"> out, searchers, and customs fees], freight to Virginia, insurance, and Robert Cary &amp; Co.’s commission of 2 ½ </w:t>
      </w:r>
      <w:r w:rsidR="002B0980">
        <w:t xml:space="preserve">percent on the total charges.” </w:t>
      </w:r>
      <w:r>
        <w:t>There is one final category of fees not calculated through the datas</w:t>
      </w:r>
      <w:r w:rsidR="002B0980">
        <w:t xml:space="preserve">et, but that deserves mention. </w:t>
      </w:r>
      <w:r>
        <w:t>Because of Washington’s inconvenient location away from the main ports of the York, James, or even Rappahannock Rivers, he often had to pay an additional fee to have the goods shipped fro</w:t>
      </w:r>
      <w:r w:rsidR="002B0980">
        <w:t xml:space="preserve">m these ports to Mount Vernon. </w:t>
      </w:r>
      <w:r>
        <w:t xml:space="preserve">Ragsdale (1989:154) writes, “the cost of recovering [the shipments] was almost as great as the freight charges from England.”  </w:t>
      </w:r>
    </w:p>
    <w:p w:rsidR="008203A5" w:rsidRDefault="008203A5" w:rsidP="008203A5">
      <w:pPr>
        <w:spacing w:line="480" w:lineRule="auto"/>
        <w:ind w:firstLine="720"/>
      </w:pPr>
      <w:r>
        <w:t>As mentioned at the beginning of the chapter, of the total £4</w:t>
      </w:r>
      <w:r w:rsidR="0053435E">
        <w:t>,</w:t>
      </w:r>
      <w:r>
        <w:t>694 paid out by George Washington, £593 (13 percent) was spent on shipping related charges (fees and materials) and £4</w:t>
      </w:r>
      <w:r w:rsidR="0053435E">
        <w:t>,</w:t>
      </w:r>
      <w:r>
        <w:t>101 (8</w:t>
      </w:r>
      <w:r w:rsidR="002B0980">
        <w:t xml:space="preserve">7 percent) was spent on goods. </w:t>
      </w:r>
      <w:r>
        <w:t>To put this ratio in perspective, these fees are more than twice Virginia’s current state sales tax of 5 percent and very close to the current average annual percentage rate for fixed-</w:t>
      </w:r>
      <w:r w:rsidR="002B0980">
        <w:t xml:space="preserve">rate credit cards (Bell 2013). </w:t>
      </w:r>
      <w:r>
        <w:t xml:space="preserve">This calculation alone supports the hypothesis that the consignment system was excessively costly to its participants.  </w:t>
      </w:r>
    </w:p>
    <w:p w:rsidR="008203A5" w:rsidRPr="00393107" w:rsidRDefault="008203A5" w:rsidP="008203A5">
      <w:pPr>
        <w:spacing w:line="480" w:lineRule="auto"/>
        <w:ind w:firstLine="720"/>
      </w:pPr>
      <w:r w:rsidRPr="00393107">
        <w:t>In order to determine if George Washington was holding onto not only an archaic method</w:t>
      </w:r>
      <w:r>
        <w:t xml:space="preserve"> of procuring goods, but also an economically disadvantageous </w:t>
      </w:r>
      <w:r w:rsidRPr="00393107">
        <w:t xml:space="preserve">one, I </w:t>
      </w:r>
      <w:r>
        <w:t>began by calculating</w:t>
      </w:r>
      <w:r w:rsidRPr="00393107">
        <w:t xml:space="preserve"> the </w:t>
      </w:r>
      <w:r w:rsidRPr="00393107">
        <w:lastRenderedPageBreak/>
        <w:t>percent of the total invoice charged to Washington comprised</w:t>
      </w:r>
      <w:r w:rsidR="002B0980">
        <w:t xml:space="preserve"> of shipping-related expenses. </w:t>
      </w:r>
      <w:r w:rsidRPr="00393107">
        <w:t>These expense</w:t>
      </w:r>
      <w:r>
        <w:t>s</w:t>
      </w:r>
      <w:r w:rsidRPr="00393107">
        <w:t xml:space="preserve"> break down into three subcat</w:t>
      </w:r>
      <w:r>
        <w:t>egories in the in</w:t>
      </w:r>
      <w:r w:rsidRPr="00393107">
        <w:t xml:space="preserve">voices </w:t>
      </w:r>
      <w:r>
        <w:t xml:space="preserve">and orders dataset: containers; </w:t>
      </w:r>
      <w:r w:rsidRPr="00393107">
        <w:t>materials</w:t>
      </w:r>
      <w:r>
        <w:t>;</w:t>
      </w:r>
      <w:r w:rsidR="002B0980">
        <w:t xml:space="preserve"> and fees. </w:t>
      </w:r>
      <w:r w:rsidRPr="00393107">
        <w:t xml:space="preserve">The former </w:t>
      </w:r>
      <w:r>
        <w:t xml:space="preserve">two </w:t>
      </w:r>
      <w:r w:rsidRPr="00393107">
        <w:t>were grouped for ease of analysis and because they represent a similar charge – those items listed on the invoice not found in the order because they were meant to secu</w:t>
      </w:r>
      <w:r w:rsidR="002B0980">
        <w:t xml:space="preserve">re the items during transport. </w:t>
      </w:r>
      <w:r w:rsidRPr="00393107">
        <w:t xml:space="preserve">These items include things like bags for seeds and shot, bottles for medicine and spices, casks for nails, hogsheads for dishes and table glass, and canvas and cord or trunks for textiles.  </w:t>
      </w:r>
    </w:p>
    <w:p w:rsidR="008203A5" w:rsidRDefault="008203A5" w:rsidP="008203A5">
      <w:pPr>
        <w:spacing w:line="480" w:lineRule="auto"/>
      </w:pPr>
      <w:r w:rsidRPr="00393107">
        <w:tab/>
        <w:t>In order to</w:t>
      </w:r>
      <w:r>
        <w:t xml:space="preserve"> make the shipping charges comparable from invoice to invoice</w:t>
      </w:r>
      <w:r w:rsidRPr="00393107">
        <w:t>, the percent of shipping-related costs of the total i</w:t>
      </w:r>
      <w:r w:rsidR="002B0980">
        <w:t xml:space="preserve">nvoice by year was calculated. </w:t>
      </w:r>
      <w:r w:rsidRPr="00393107">
        <w:t xml:space="preserve">For the 29 invoices with recorded charges for shipping containers and materials, the percent of the total cost paid by George Washington for shipping containers and materials </w:t>
      </w:r>
      <w:r>
        <w:t>was fairly steady over time, with a tight range between</w:t>
      </w:r>
      <w:r w:rsidRPr="00393107">
        <w:t xml:space="preserve"> 0.5 to 3.9 percent</w:t>
      </w:r>
      <w:r>
        <w:t xml:space="preserve"> (Figure 5-6)</w:t>
      </w:r>
      <w:r w:rsidR="002B0980">
        <w:t xml:space="preserve">. The mean is 2.1. </w:t>
      </w:r>
      <w:r w:rsidRPr="00393107">
        <w:t>The median is 2.</w:t>
      </w:r>
      <w:r w:rsidR="002B0980">
        <w:t xml:space="preserve">2. </w:t>
      </w:r>
      <w:r w:rsidRPr="00393107">
        <w:t>The mode is 2.2.</w:t>
      </w:r>
      <w:r w:rsidR="002B0980">
        <w:t xml:space="preserve"> </w:t>
      </w:r>
      <w:r>
        <w:t xml:space="preserve">The 3.9 percent outlier from the 1765 invoice is explained </w:t>
      </w:r>
      <w:r w:rsidR="002B0980">
        <w:t xml:space="preserve">by the types of items shipped. </w:t>
      </w:r>
      <w:r>
        <w:t xml:space="preserve">James Gildart sent a dozen fine mahogany chairs secured in mats, 60 hoes in a cask, and almost 300 bottles of porter that had to be packaged carefully in casks.  </w:t>
      </w:r>
    </w:p>
    <w:p w:rsidR="008203A5" w:rsidRDefault="008203A5" w:rsidP="008203A5">
      <w:pPr>
        <w:spacing w:line="480" w:lineRule="auto"/>
      </w:pPr>
    </w:p>
    <w:p w:rsidR="008203A5" w:rsidRDefault="008203A5" w:rsidP="008203A5">
      <w:r w:rsidRPr="009F5BF1">
        <w:rPr>
          <w:noProof/>
        </w:rPr>
        <w:lastRenderedPageBreak/>
        <w:drawing>
          <wp:inline distT="0" distB="0" distL="0" distR="0">
            <wp:extent cx="5895976" cy="3390900"/>
            <wp:effectExtent l="0" t="0" r="0" b="0"/>
            <wp:docPr id="2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203A5" w:rsidRDefault="008203A5" w:rsidP="008203A5">
      <w:pPr>
        <w:spacing w:line="480" w:lineRule="auto"/>
      </w:pPr>
      <w:r>
        <w:rPr>
          <w:b/>
        </w:rPr>
        <w:t>Figure 5-6</w:t>
      </w:r>
      <w:r w:rsidRPr="009F5BF1">
        <w:rPr>
          <w:b/>
        </w:rPr>
        <w:t xml:space="preserve">. </w:t>
      </w:r>
      <w:r w:rsidRPr="00BC7531">
        <w:t xml:space="preserve">Portion of the total invoice made up of packaging fees.   </w:t>
      </w:r>
    </w:p>
    <w:p w:rsidR="008203A5" w:rsidRPr="00BC7531" w:rsidRDefault="008203A5" w:rsidP="008203A5">
      <w:pPr>
        <w:spacing w:line="480" w:lineRule="auto"/>
      </w:pPr>
    </w:p>
    <w:p w:rsidR="009259FA" w:rsidRDefault="008203A5" w:rsidP="008203A5">
      <w:pPr>
        <w:spacing w:line="480" w:lineRule="auto"/>
      </w:pPr>
      <w:r w:rsidRPr="00393107">
        <w:tab/>
      </w:r>
      <w:r>
        <w:t>Fees, on the other hand, comprised more of the total invoice and ha</w:t>
      </w:r>
      <w:r w:rsidR="002B0980">
        <w:t xml:space="preserve">d a higher range (Figure 5-7). </w:t>
      </w:r>
      <w:r>
        <w:t xml:space="preserve">There were </w:t>
      </w:r>
      <w:r w:rsidRPr="00393107">
        <w:t xml:space="preserve">28 invoices with accompanying fees.  The June 6, 1764 invoice for watch parts, pistols, cruets, and seeds was </w:t>
      </w:r>
      <w:r>
        <w:t>obtained</w:t>
      </w:r>
      <w:r w:rsidRPr="00393107">
        <w:t xml:space="preserve"> by Captain William McGachin for Georg</w:t>
      </w:r>
      <w:r>
        <w:t>e Washington and shipped by him;</w:t>
      </w:r>
      <w:r w:rsidRPr="00393107">
        <w:t xml:space="preserve"> therefore </w:t>
      </w:r>
      <w:r>
        <w:t xml:space="preserve">there </w:t>
      </w:r>
      <w:r w:rsidRPr="00393107">
        <w:t>were no associated com</w:t>
      </w:r>
      <w:r w:rsidR="002B0980">
        <w:t xml:space="preserve">mission charges or other fees. </w:t>
      </w:r>
      <w:r w:rsidRPr="00393107">
        <w:t>Fees ranged between 5.5 and 21.7 percent of the total invoice</w:t>
      </w:r>
      <w:r w:rsidR="002B0980">
        <w:t xml:space="preserve">, with 10 percent as the mean. </w:t>
      </w:r>
      <w:r w:rsidRPr="00393107">
        <w:t>The medi</w:t>
      </w:r>
      <w:r w:rsidR="002B0980">
        <w:t xml:space="preserve">an is 9.2 and the mode is 8.1. </w:t>
      </w:r>
      <w:r w:rsidRPr="00393107">
        <w:t xml:space="preserve">The </w:t>
      </w:r>
      <w:r>
        <w:t xml:space="preserve">highest shipping fees, found in the </w:t>
      </w:r>
      <w:r w:rsidRPr="00393107">
        <w:t>August 20, 1757 invoice</w:t>
      </w:r>
      <w:r>
        <w:t>, were charged by</w:t>
      </w:r>
      <w:r w:rsidRPr="00393107">
        <w:t xml:space="preserve"> Richard Washington</w:t>
      </w:r>
      <w:r w:rsidR="002B0980">
        <w:t>.</w:t>
      </w:r>
      <w:r>
        <w:t xml:space="preserve"> Of the itemized charges that made up the 22 percent of the total </w:t>
      </w:r>
      <w:r w:rsidRPr="00393107">
        <w:t xml:space="preserve">£270 </w:t>
      </w:r>
      <w:r>
        <w:t>invoice, Richard Washington’s 15 pe</w:t>
      </w:r>
      <w:r w:rsidR="002B0980">
        <w:t xml:space="preserve">rcent insurance fee dominated. </w:t>
      </w:r>
      <w:r>
        <w:t>He was not the only factor to dema</w:t>
      </w:r>
      <w:r w:rsidR="002B0980">
        <w:t xml:space="preserve">nd such a high insurance rate. </w:t>
      </w:r>
      <w:r w:rsidRPr="00393107">
        <w:t>Thomas Knox charged 15 percent on £50, resu</w:t>
      </w:r>
      <w:r>
        <w:t>lting in the second highest fee</w:t>
      </w:r>
      <w:r w:rsidRPr="00393107">
        <w:t xml:space="preserve"> </w:t>
      </w:r>
      <w:r>
        <w:t xml:space="preserve">(19 percent) </w:t>
      </w:r>
      <w:r w:rsidRPr="00393107">
        <w:t>as a portion of the total bill. Insurance, when</w:t>
      </w:r>
      <w:r>
        <w:t xml:space="preserve"> charged, ranged from 2 to 15</w:t>
      </w:r>
      <w:r w:rsidRPr="00393107">
        <w:t xml:space="preserve"> percent of the invoice, with the </w:t>
      </w:r>
      <w:r>
        <w:t xml:space="preserve">average of 5 percent skewed by the Richard Washington and Thomas Knox invoices (the median and </w:t>
      </w:r>
      <w:r w:rsidRPr="00393107">
        <w:t>mode</w:t>
      </w:r>
      <w:r>
        <w:t>s are</w:t>
      </w:r>
      <w:r w:rsidRPr="00393107">
        <w:t xml:space="preserve"> 2.5 percent</w:t>
      </w:r>
      <w:r>
        <w:t>)</w:t>
      </w:r>
      <w:r w:rsidRPr="00393107">
        <w:t>.</w:t>
      </w:r>
      <w:r w:rsidR="002B0980">
        <w:t xml:space="preserve"> </w:t>
      </w:r>
      <w:r>
        <w:lastRenderedPageBreak/>
        <w:t>Insurance rates usually correlated to shipping conditions and were particularly sensitive to</w:t>
      </w:r>
      <w:r w:rsidR="002B0980">
        <w:t xml:space="preserve"> wartimes (Ragsdale 1989:143). </w:t>
      </w:r>
      <w:r>
        <w:t xml:space="preserve">After 1762, insurance never rose higher than 4 percent, coinciding with the end of the French and Indian War.   </w:t>
      </w:r>
    </w:p>
    <w:p w:rsidR="008203A5" w:rsidRDefault="008203A5" w:rsidP="008203A5">
      <w:pPr>
        <w:spacing w:line="480" w:lineRule="auto"/>
      </w:pPr>
      <w:r w:rsidRPr="00393107">
        <w:t xml:space="preserve"> </w:t>
      </w:r>
    </w:p>
    <w:p w:rsidR="008203A5" w:rsidRDefault="008203A5" w:rsidP="008203A5">
      <w:r w:rsidRPr="008C48C0">
        <w:rPr>
          <w:noProof/>
        </w:rPr>
        <w:drawing>
          <wp:inline distT="0" distB="0" distL="0" distR="0">
            <wp:extent cx="5562600" cy="3524250"/>
            <wp:effectExtent l="0" t="0" r="0" b="0"/>
            <wp:docPr id="2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393107">
        <w:t xml:space="preserve">    </w:t>
      </w:r>
    </w:p>
    <w:p w:rsidR="008203A5" w:rsidRDefault="008203A5" w:rsidP="008203A5">
      <w:pPr>
        <w:rPr>
          <w:b/>
        </w:rPr>
      </w:pPr>
      <w:r>
        <w:rPr>
          <w:b/>
        </w:rPr>
        <w:t>Figure 5-7</w:t>
      </w:r>
      <w:r w:rsidRPr="009F5BF1">
        <w:rPr>
          <w:b/>
        </w:rPr>
        <w:t>.</w:t>
      </w:r>
      <w:r w:rsidR="002B0980">
        <w:t xml:space="preserve"> </w:t>
      </w:r>
      <w:r w:rsidRPr="00BC7531">
        <w:t xml:space="preserve">Portion of the total invoice made up of shipping charges. </w:t>
      </w:r>
      <w:r w:rsidRPr="009F5BF1">
        <w:rPr>
          <w:b/>
        </w:rPr>
        <w:t xml:space="preserve">  </w:t>
      </w:r>
    </w:p>
    <w:p w:rsidR="00C01CE8" w:rsidRDefault="00C01CE8" w:rsidP="008203A5">
      <w:pPr>
        <w:spacing w:line="480" w:lineRule="auto"/>
        <w:ind w:firstLine="720"/>
        <w:rPr>
          <w:b/>
        </w:rPr>
      </w:pPr>
    </w:p>
    <w:p w:rsidR="00C01CE8" w:rsidRPr="00C01CE8" w:rsidRDefault="00C01CE8" w:rsidP="00C01CE8">
      <w:pPr>
        <w:spacing w:line="480" w:lineRule="auto"/>
        <w:rPr>
          <w:b/>
        </w:rPr>
      </w:pPr>
      <w:r w:rsidRPr="00C01CE8">
        <w:rPr>
          <w:b/>
        </w:rPr>
        <w:t>Conclusion</w:t>
      </w:r>
    </w:p>
    <w:p w:rsidR="008203A5" w:rsidRPr="00B56893" w:rsidRDefault="008203A5" w:rsidP="00C01CE8">
      <w:pPr>
        <w:spacing w:line="480" w:lineRule="auto"/>
        <w:ind w:firstLine="720"/>
        <w:rPr>
          <w:i/>
        </w:rPr>
      </w:pPr>
      <w:r>
        <w:t xml:space="preserve">If we draw up a list of the pros and cons of participating in the consignment system based on this study, the model makes little business sense.  </w:t>
      </w:r>
    </w:p>
    <w:p w:rsidR="008203A5" w:rsidRPr="00515835" w:rsidRDefault="008203A5" w:rsidP="008203A5">
      <w:pPr>
        <w:spacing w:line="480" w:lineRule="auto"/>
        <w:rPr>
          <w:i/>
        </w:rPr>
      </w:pPr>
      <w:r w:rsidRPr="00515835">
        <w:rPr>
          <w:i/>
        </w:rPr>
        <w:t>Pros:</w:t>
      </w:r>
    </w:p>
    <w:p w:rsidR="008203A5" w:rsidRPr="00515835" w:rsidRDefault="008203A5" w:rsidP="008203A5">
      <w:pPr>
        <w:pStyle w:val="ListParagraph"/>
        <w:numPr>
          <w:ilvl w:val="0"/>
          <w:numId w:val="2"/>
        </w:numPr>
        <w:spacing w:after="0" w:line="480" w:lineRule="auto"/>
        <w:rPr>
          <w:rFonts w:ascii="Times New Roman" w:hAnsi="Times New Roman" w:cs="Times New Roman"/>
          <w:sz w:val="24"/>
          <w:szCs w:val="24"/>
        </w:rPr>
      </w:pPr>
      <w:r w:rsidRPr="00515835">
        <w:rPr>
          <w:rFonts w:ascii="Times New Roman" w:hAnsi="Times New Roman" w:cs="Times New Roman"/>
          <w:sz w:val="24"/>
          <w:szCs w:val="24"/>
        </w:rPr>
        <w:t>Accuracy in fulfilling orders</w:t>
      </w:r>
    </w:p>
    <w:p w:rsidR="008203A5" w:rsidRPr="00515835" w:rsidRDefault="008203A5" w:rsidP="008203A5">
      <w:pPr>
        <w:spacing w:line="480" w:lineRule="auto"/>
        <w:rPr>
          <w:i/>
        </w:rPr>
      </w:pPr>
      <w:r w:rsidRPr="00515835">
        <w:rPr>
          <w:i/>
        </w:rPr>
        <w:t>Cons:</w:t>
      </w:r>
    </w:p>
    <w:p w:rsidR="008203A5" w:rsidRPr="00515835" w:rsidRDefault="008203A5" w:rsidP="008203A5">
      <w:pPr>
        <w:pStyle w:val="ListParagraph"/>
        <w:numPr>
          <w:ilvl w:val="0"/>
          <w:numId w:val="2"/>
        </w:numPr>
        <w:spacing w:after="0" w:line="480" w:lineRule="auto"/>
        <w:rPr>
          <w:rFonts w:ascii="Times New Roman" w:hAnsi="Times New Roman" w:cs="Times New Roman"/>
          <w:sz w:val="24"/>
          <w:szCs w:val="24"/>
        </w:rPr>
      </w:pPr>
      <w:r w:rsidRPr="00515835">
        <w:rPr>
          <w:rFonts w:ascii="Times New Roman" w:hAnsi="Times New Roman" w:cs="Times New Roman"/>
          <w:sz w:val="24"/>
          <w:szCs w:val="24"/>
        </w:rPr>
        <w:t>13 percent spent in additional fees for shipping-related expenses</w:t>
      </w:r>
    </w:p>
    <w:p w:rsidR="008203A5" w:rsidRPr="00515835" w:rsidRDefault="008203A5" w:rsidP="008203A5">
      <w:pPr>
        <w:pStyle w:val="ListParagraph"/>
        <w:numPr>
          <w:ilvl w:val="0"/>
          <w:numId w:val="2"/>
        </w:numPr>
        <w:spacing w:after="0" w:line="480" w:lineRule="auto"/>
        <w:rPr>
          <w:rFonts w:ascii="Times New Roman" w:hAnsi="Times New Roman" w:cs="Times New Roman"/>
          <w:sz w:val="24"/>
          <w:szCs w:val="24"/>
        </w:rPr>
      </w:pPr>
      <w:r w:rsidRPr="00515835">
        <w:rPr>
          <w:rFonts w:ascii="Times New Roman" w:hAnsi="Times New Roman" w:cs="Times New Roman"/>
          <w:sz w:val="24"/>
          <w:szCs w:val="24"/>
        </w:rPr>
        <w:t>Perceived unfair pricing on tobacco</w:t>
      </w:r>
    </w:p>
    <w:p w:rsidR="008203A5" w:rsidRPr="00515835" w:rsidRDefault="008203A5" w:rsidP="008203A5">
      <w:pPr>
        <w:pStyle w:val="ListParagraph"/>
        <w:numPr>
          <w:ilvl w:val="0"/>
          <w:numId w:val="2"/>
        </w:numPr>
        <w:spacing w:after="0" w:line="480" w:lineRule="auto"/>
        <w:rPr>
          <w:rFonts w:ascii="Times New Roman" w:hAnsi="Times New Roman" w:cs="Times New Roman"/>
          <w:sz w:val="24"/>
          <w:szCs w:val="24"/>
        </w:rPr>
      </w:pPr>
      <w:r w:rsidRPr="00515835">
        <w:rPr>
          <w:rFonts w:ascii="Times New Roman" w:hAnsi="Times New Roman" w:cs="Times New Roman"/>
          <w:sz w:val="24"/>
          <w:szCs w:val="24"/>
        </w:rPr>
        <w:lastRenderedPageBreak/>
        <w:t>Debt as high as £1800</w:t>
      </w:r>
    </w:p>
    <w:p w:rsidR="008203A5" w:rsidRPr="00515835" w:rsidRDefault="008203A5" w:rsidP="008203A5">
      <w:pPr>
        <w:pStyle w:val="ListParagraph"/>
        <w:numPr>
          <w:ilvl w:val="0"/>
          <w:numId w:val="2"/>
        </w:numPr>
        <w:spacing w:after="0" w:line="480" w:lineRule="auto"/>
        <w:rPr>
          <w:rFonts w:ascii="Times New Roman" w:hAnsi="Times New Roman" w:cs="Times New Roman"/>
          <w:sz w:val="24"/>
          <w:szCs w:val="24"/>
        </w:rPr>
      </w:pPr>
      <w:r w:rsidRPr="00515835">
        <w:rPr>
          <w:rFonts w:ascii="Times New Roman" w:hAnsi="Times New Roman" w:cs="Times New Roman"/>
          <w:sz w:val="24"/>
          <w:szCs w:val="24"/>
        </w:rPr>
        <w:t>Disruptions caused by external forces</w:t>
      </w:r>
    </w:p>
    <w:p w:rsidR="008203A5" w:rsidRPr="00515835" w:rsidRDefault="008203A5" w:rsidP="008203A5">
      <w:pPr>
        <w:pStyle w:val="ListParagraph"/>
        <w:numPr>
          <w:ilvl w:val="0"/>
          <w:numId w:val="2"/>
        </w:numPr>
        <w:spacing w:after="0" w:line="480" w:lineRule="auto"/>
        <w:rPr>
          <w:rFonts w:ascii="Times New Roman" w:hAnsi="Times New Roman" w:cs="Times New Roman"/>
          <w:sz w:val="24"/>
          <w:szCs w:val="24"/>
        </w:rPr>
      </w:pPr>
      <w:r w:rsidRPr="00515835">
        <w:rPr>
          <w:rFonts w:ascii="Times New Roman" w:hAnsi="Times New Roman" w:cs="Times New Roman"/>
          <w:sz w:val="24"/>
          <w:szCs w:val="24"/>
        </w:rPr>
        <w:t>Inconsistent wait times for time-sensitive goods</w:t>
      </w:r>
    </w:p>
    <w:p w:rsidR="008203A5" w:rsidRPr="00515835" w:rsidRDefault="008203A5" w:rsidP="008203A5">
      <w:pPr>
        <w:pStyle w:val="ListParagraph"/>
        <w:numPr>
          <w:ilvl w:val="0"/>
          <w:numId w:val="2"/>
        </w:numPr>
        <w:spacing w:after="0" w:line="480" w:lineRule="auto"/>
        <w:rPr>
          <w:rFonts w:ascii="Times New Roman" w:hAnsi="Times New Roman" w:cs="Times New Roman"/>
          <w:sz w:val="24"/>
          <w:szCs w:val="24"/>
        </w:rPr>
      </w:pPr>
      <w:r w:rsidRPr="00515835">
        <w:rPr>
          <w:rFonts w:ascii="Times New Roman" w:hAnsi="Times New Roman" w:cs="Times New Roman"/>
          <w:sz w:val="24"/>
          <w:szCs w:val="24"/>
        </w:rPr>
        <w:t>Vendor markup and associated packaging expenses</w:t>
      </w:r>
    </w:p>
    <w:p w:rsidR="008203A5" w:rsidRPr="00515835" w:rsidRDefault="008203A5" w:rsidP="008203A5">
      <w:pPr>
        <w:pStyle w:val="ListParagraph"/>
        <w:numPr>
          <w:ilvl w:val="0"/>
          <w:numId w:val="2"/>
        </w:numPr>
        <w:spacing w:after="0" w:line="480" w:lineRule="auto"/>
        <w:rPr>
          <w:rFonts w:ascii="Times New Roman" w:hAnsi="Times New Roman" w:cs="Times New Roman"/>
          <w:sz w:val="24"/>
          <w:szCs w:val="24"/>
        </w:rPr>
      </w:pPr>
      <w:r w:rsidRPr="00515835">
        <w:rPr>
          <w:rFonts w:ascii="Times New Roman" w:hAnsi="Times New Roman" w:cs="Times New Roman"/>
          <w:sz w:val="24"/>
          <w:szCs w:val="24"/>
        </w:rPr>
        <w:t>Inconvenience of upper Potomac location</w:t>
      </w:r>
    </w:p>
    <w:p w:rsidR="008203A5" w:rsidRPr="00515835" w:rsidRDefault="008203A5" w:rsidP="008203A5">
      <w:pPr>
        <w:pStyle w:val="ListParagraph"/>
        <w:numPr>
          <w:ilvl w:val="0"/>
          <w:numId w:val="2"/>
        </w:numPr>
        <w:spacing w:after="0" w:line="480" w:lineRule="auto"/>
        <w:rPr>
          <w:rFonts w:ascii="Times New Roman" w:hAnsi="Times New Roman" w:cs="Times New Roman"/>
          <w:sz w:val="24"/>
          <w:szCs w:val="24"/>
        </w:rPr>
      </w:pPr>
      <w:r w:rsidRPr="00515835">
        <w:rPr>
          <w:rFonts w:ascii="Times New Roman" w:hAnsi="Times New Roman" w:cs="Times New Roman"/>
          <w:sz w:val="24"/>
          <w:szCs w:val="24"/>
        </w:rPr>
        <w:t>Delivery of broken, old-fashioned, or over-priced items</w:t>
      </w:r>
    </w:p>
    <w:p w:rsidR="008203A5" w:rsidRPr="00C872B4" w:rsidRDefault="008203A5" w:rsidP="008203A5">
      <w:pPr>
        <w:spacing w:line="480" w:lineRule="auto"/>
      </w:pPr>
      <w:r w:rsidRPr="00515835">
        <w:t>Some perceived benefit, some priceless advantage, some deciding factor, then, must have existed to compel George Washington to continue his relationship with Robert</w:t>
      </w:r>
      <w:r>
        <w:t xml:space="preserve"> Cary &amp; Company, his commitment to tobacco production on his tidewater lands, and </w:t>
      </w:r>
      <w:r w:rsidR="002B0980">
        <w:t xml:space="preserve">his pursuit of imported goods. </w:t>
      </w:r>
      <w:r>
        <w:t>This</w:t>
      </w:r>
      <w:r w:rsidR="0053435E">
        <w:t xml:space="preserve"> strategy</w:t>
      </w:r>
      <w:r>
        <w:t xml:space="preserve"> can partly be attributed, as discussed in Chapter 3, to the belief that despite the perceived low prices Washington’s tobacco garnered, it was still higher than what he</w:t>
      </w:r>
      <w:r w:rsidR="002B0980">
        <w:t xml:space="preserve"> could get at the local store. </w:t>
      </w:r>
      <w:r>
        <w:t>The significance of th</w:t>
      </w:r>
      <w:r w:rsidR="002B0980">
        <w:t xml:space="preserve">is difference is incalculable. </w:t>
      </w:r>
      <w:r>
        <w:t xml:space="preserve">In the subsequent chapters, we explore more deeply the items available locally versus those ordered through consignment to raise the contention that Washington and his peers maintained this direct line to England because it gave them access to a world of goods not sold in local stores, which bolstered their claims to gentility, and that this discrepancy is tangible in the archaeological record.        </w:t>
      </w:r>
    </w:p>
    <w:p w:rsidR="008203A5" w:rsidRPr="00393107" w:rsidRDefault="008203A5" w:rsidP="008203A5">
      <w:pPr>
        <w:spacing w:line="480" w:lineRule="auto"/>
      </w:pPr>
    </w:p>
    <w:p w:rsidR="008203A5" w:rsidRDefault="008203A5" w:rsidP="008203A5">
      <w:pPr>
        <w:spacing w:after="200" w:line="276" w:lineRule="auto"/>
      </w:pPr>
      <w:r>
        <w:br w:type="page"/>
      </w:r>
    </w:p>
    <w:p w:rsidR="008203A5" w:rsidRPr="00AD6D70" w:rsidRDefault="008203A5" w:rsidP="00BE6873">
      <w:pPr>
        <w:spacing w:line="480" w:lineRule="auto"/>
        <w:jc w:val="center"/>
        <w:rPr>
          <w:b/>
        </w:rPr>
      </w:pPr>
      <w:r w:rsidRPr="00AD6D70">
        <w:rPr>
          <w:b/>
        </w:rPr>
        <w:lastRenderedPageBreak/>
        <w:t>Chapter 6: Alexander Henderson’s Colchester Schemes of Goods</w:t>
      </w:r>
    </w:p>
    <w:p w:rsidR="008203A5" w:rsidRDefault="008203A5" w:rsidP="008203A5">
      <w:pPr>
        <w:spacing w:line="480" w:lineRule="auto"/>
        <w:ind w:firstLine="720"/>
      </w:pPr>
      <w:r w:rsidRPr="00AD6D70">
        <w:t>The eighteenth century was a period of marked increase in the consumption of an increasingly wider array of goods</w:t>
      </w:r>
      <w:r>
        <w:t xml:space="preserve"> from which</w:t>
      </w:r>
      <w:r w:rsidRPr="00AD6D70">
        <w:t xml:space="preserve"> to choose</w:t>
      </w:r>
      <w:r>
        <w:t xml:space="preserve">, </w:t>
      </w:r>
      <w:r w:rsidRPr="00AD6D70">
        <w:t xml:space="preserve">made revolutionary by the fact that the consumer base was becoming larger and </w:t>
      </w:r>
      <w:r w:rsidR="002B0980">
        <w:t xml:space="preserve">more diverse. </w:t>
      </w:r>
      <w:r>
        <w:t>What made the 40-</w:t>
      </w:r>
      <w:r w:rsidRPr="00AD6D70">
        <w:t>year period before the American Revolution unique was that access to consumer goods appears to have opened up for larger segments of the colonial population through a more sophisticated and far-reaching system of distribu</w:t>
      </w:r>
      <w:r w:rsidR="002B0980">
        <w:t xml:space="preserve">tion for imported items. </w:t>
      </w:r>
      <w:r>
        <w:t>In Northern Virginia, d</w:t>
      </w:r>
      <w:r w:rsidRPr="00AD6D70">
        <w:t>iverse classes and races entered the consumer arena</w:t>
      </w:r>
      <w:r w:rsidR="002B0980">
        <w:t xml:space="preserve">. </w:t>
      </w:r>
      <w:r>
        <w:t>Wealthy, large-scale planters continued to engage</w:t>
      </w:r>
      <w:r w:rsidRPr="00AD6D70">
        <w:t xml:space="preserve"> the older method of participation in the consignment system</w:t>
      </w:r>
      <w:r w:rsidR="002B0980">
        <w:t xml:space="preserve">. </w:t>
      </w:r>
      <w:r>
        <w:t xml:space="preserve">Laborers, </w:t>
      </w:r>
      <w:r w:rsidR="0053435E">
        <w:t xml:space="preserve">both free and enslaved and </w:t>
      </w:r>
      <w:r>
        <w:t xml:space="preserve">yeoman planters began to patronize </w:t>
      </w:r>
      <w:r w:rsidRPr="00AD6D70">
        <w:t>the newly established stores that sprang up on th</w:t>
      </w:r>
      <w:r w:rsidR="002B0980">
        <w:t xml:space="preserve">e shores of the Potomac River. </w:t>
      </w:r>
      <w:r w:rsidRPr="00AD6D70">
        <w:t>Small scale planters grew tobacco, which they sold to local merchants like Alexander Henderson who operated a chain of stores in the upper Potomac region for John Glassford and Company</w:t>
      </w:r>
      <w:r>
        <w:t>.  In return, they received</w:t>
      </w:r>
      <w:r w:rsidR="002B0980">
        <w:t xml:space="preserve"> credit to purchase goods. </w:t>
      </w:r>
      <w:r w:rsidRPr="00AD6D70">
        <w:t>Store merchants also accepted cash and barter, facilitating the entry of enslaved individuals and others to this revolution in the world of goods.</w:t>
      </w:r>
      <w:r>
        <w:t xml:space="preserve">  </w:t>
      </w:r>
    </w:p>
    <w:p w:rsidR="008203A5" w:rsidRPr="00DE3DDA" w:rsidRDefault="008203A5" w:rsidP="008203A5">
      <w:pPr>
        <w:spacing w:line="480" w:lineRule="auto"/>
        <w:ind w:firstLine="720"/>
      </w:pPr>
      <w:r>
        <w:t>This chapter explores surviving documentation on the retail side of this bifurcated system of trade.</w:t>
      </w:r>
      <w:r w:rsidRPr="00AD6D70">
        <w:t xml:space="preserve"> </w:t>
      </w:r>
      <w:r w:rsidR="002B0980">
        <w:t xml:space="preserve"> </w:t>
      </w:r>
      <w:r w:rsidRPr="00AD6D70">
        <w:t>By cataloguing each item requested by the merchant Alexander Henderson as inventory</w:t>
      </w:r>
      <w:r w:rsidRPr="00DE3DDA">
        <w:t xml:space="preserve"> for the shelves of his store in Colchester (a few miles south of Mount Vernon), the goal is to </w:t>
      </w:r>
      <w:r>
        <w:t>illuminate the similarities and differences</w:t>
      </w:r>
      <w:r w:rsidRPr="00DE3DDA">
        <w:t xml:space="preserve"> </w:t>
      </w:r>
      <w:r>
        <w:t>in</w:t>
      </w:r>
      <w:r w:rsidRPr="00DE3DDA">
        <w:t xml:space="preserve"> the material world afforded through the consignment system (accessed via the Invoices and Orders Project) </w:t>
      </w:r>
      <w:r>
        <w:t>and</w:t>
      </w:r>
      <w:r w:rsidRPr="00DE3DDA">
        <w:t xml:space="preserve"> that available through the direct trade system (evidenced in the Scheme of Goods Project) in this upper Potomac region</w:t>
      </w:r>
      <w:r w:rsidR="002B0980">
        <w:t xml:space="preserve">. </w:t>
      </w:r>
      <w:r>
        <w:t>This chapter begins by situating the scheme of goods analysis within the body of previous work on Glassfo</w:t>
      </w:r>
      <w:r w:rsidR="002B0980">
        <w:t>rd and Company store documents.</w:t>
      </w:r>
      <w:r>
        <w:t xml:space="preserve"> Following a discussion of data collection, entry, </w:t>
      </w:r>
      <w:r>
        <w:lastRenderedPageBreak/>
        <w:t>and cataloguing protocols, I perform a macro-analysis of the dataset following the structure used for the invoices and orders to facili</w:t>
      </w:r>
      <w:r w:rsidR="002B0980">
        <w:t xml:space="preserve">tate comparison when possible. </w:t>
      </w:r>
      <w:r>
        <w:t>Despite the fact that the consignment system and retail trades catered to a different customer base, this macro-analysis reveals striking similarities between categories of merchandise available and a shared sentiment of dissatisfaction with the conditions inherent in a trans-Atlantic, colonial economic system.</w:t>
      </w:r>
    </w:p>
    <w:p w:rsidR="008203A5" w:rsidRPr="00DE3DDA" w:rsidRDefault="008203A5" w:rsidP="008203A5">
      <w:pPr>
        <w:spacing w:line="480" w:lineRule="auto"/>
        <w:rPr>
          <w:b/>
          <w:bCs/>
        </w:rPr>
      </w:pPr>
      <w:r w:rsidRPr="00DE3DDA">
        <w:rPr>
          <w:b/>
          <w:bCs/>
        </w:rPr>
        <w:t>Compiling the Dataset</w:t>
      </w:r>
    </w:p>
    <w:p w:rsidR="008203A5" w:rsidRDefault="008203A5" w:rsidP="008203A5">
      <w:pPr>
        <w:spacing w:line="480" w:lineRule="auto"/>
        <w:ind w:firstLine="720"/>
      </w:pPr>
      <w:r w:rsidRPr="003D32EC">
        <w:rPr>
          <w:rStyle w:val="normal0"/>
          <w:i/>
        </w:rPr>
        <w:t>Background</w:t>
      </w:r>
      <w:r w:rsidRPr="00DE3DDA">
        <w:rPr>
          <w:rStyle w:val="normal0"/>
        </w:rPr>
        <w:t xml:space="preserve">. </w:t>
      </w:r>
      <w:r w:rsidRPr="00DE3DDA">
        <w:t>The co</w:t>
      </w:r>
      <w:r>
        <w:t>mplete dataset encompasses 15 schemes of g</w:t>
      </w:r>
      <w:r w:rsidRPr="00DE3DDA">
        <w:t>oods, includ</w:t>
      </w:r>
      <w:r>
        <w:t>ing supplements and additions (T</w:t>
      </w:r>
      <w:r w:rsidRPr="00DE3DDA">
        <w:t xml:space="preserve">able </w:t>
      </w:r>
      <w:r>
        <w:t>6-1</w:t>
      </w:r>
      <w:r w:rsidRPr="00DE3DDA">
        <w:t>)</w:t>
      </w:r>
      <w:r>
        <w:t>,</w:t>
      </w:r>
      <w:r w:rsidRPr="00DE3DDA">
        <w:t xml:space="preserve"> recorded in the years 1758 through 1764 and </w:t>
      </w:r>
      <w:r>
        <w:t xml:space="preserve">meant to be stocked in the store </w:t>
      </w:r>
      <w:r w:rsidRPr="00DE3DDA">
        <w:t>for the years 1759 through 1765</w:t>
      </w:r>
      <w:r w:rsidR="002B0980">
        <w:t xml:space="preserve">. </w:t>
      </w:r>
      <w:r>
        <w:t>These data were taken from the published transcription</w:t>
      </w:r>
      <w:r w:rsidRPr="00DE3DDA">
        <w:t xml:space="preserve"> </w:t>
      </w:r>
      <w:r>
        <w:t>of Alexander Henderson’s letterbook dating from 1758 to 1765 (</w:t>
      </w:r>
      <w:r w:rsidRPr="00DE3DDA">
        <w:t>Hamrick and Hamrick</w:t>
      </w:r>
      <w:r>
        <w:t xml:space="preserve"> </w:t>
      </w:r>
      <w:r w:rsidRPr="00DE3DDA">
        <w:t>1999</w:t>
      </w:r>
      <w:r>
        <w:t>)</w:t>
      </w:r>
      <w:r w:rsidRPr="00DE3DDA">
        <w:t>.</w:t>
      </w:r>
      <w:r w:rsidR="002B0980">
        <w:t xml:space="preserve"> </w:t>
      </w:r>
      <w:r>
        <w:t xml:space="preserve">The authors and editors of this transcription are amateur historians who have produced an entire </w:t>
      </w:r>
      <w:r w:rsidRPr="00093847">
        <w:rPr>
          <w:i/>
        </w:rPr>
        <w:t>Virginia Merchants</w:t>
      </w:r>
      <w:r>
        <w:t xml:space="preserve"> series – faithfully decoding and presenting the letterbooks, daybooks, and ledgers of merchants like Daniel Payne of Dumfries (Hamrick and Hamrick 2007) and William Hodgson (Hamrick 2011) and Alexander Smith &amp; Son of Alexandria (Hamrick and Hamrick 2004).</w:t>
      </w:r>
    </w:p>
    <w:p w:rsidR="008203A5" w:rsidRDefault="008203A5" w:rsidP="008203A5">
      <w:pPr>
        <w:spacing w:line="480" w:lineRule="auto"/>
      </w:pPr>
    </w:p>
    <w:p w:rsidR="008203A5" w:rsidRDefault="008203A5" w:rsidP="008203A5">
      <w:pPr>
        <w:rPr>
          <w:b/>
        </w:rPr>
      </w:pPr>
      <w:r>
        <w:rPr>
          <w:b/>
        </w:rPr>
        <w:br w:type="page"/>
      </w:r>
    </w:p>
    <w:p w:rsidR="008203A5" w:rsidRDefault="008203A5" w:rsidP="008203A5">
      <w:r>
        <w:rPr>
          <w:b/>
        </w:rPr>
        <w:lastRenderedPageBreak/>
        <w:t xml:space="preserve">Table 6-1. </w:t>
      </w:r>
      <w:r w:rsidRPr="006E48B7">
        <w:t>List of the schemes of goods entered into the catalogue, the date they were recorded in the letterbook, and the year Henderson intended to have the inventory stocked in his Colchester store (also the designation in the dataset).</w:t>
      </w:r>
    </w:p>
    <w:p w:rsidR="008203A5" w:rsidRPr="00704A9D" w:rsidRDefault="008203A5" w:rsidP="008203A5">
      <w:r>
        <w:t xml:space="preserve">  </w:t>
      </w:r>
    </w:p>
    <w:tbl>
      <w:tblPr>
        <w:tblW w:w="9375" w:type="dxa"/>
        <w:tblInd w:w="93" w:type="dxa"/>
        <w:tblLook w:val="04A0"/>
      </w:tblPr>
      <w:tblGrid>
        <w:gridCol w:w="5595"/>
        <w:gridCol w:w="1980"/>
        <w:gridCol w:w="1800"/>
      </w:tblGrid>
      <w:tr w:rsidR="008203A5" w:rsidRPr="006E48B7" w:rsidTr="00E91746">
        <w:trPr>
          <w:trHeight w:val="255"/>
        </w:trPr>
        <w:tc>
          <w:tcPr>
            <w:tcW w:w="5595"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8203A5" w:rsidRPr="006E48B7" w:rsidRDefault="008203A5" w:rsidP="00E91746">
            <w:pPr>
              <w:jc w:val="center"/>
              <w:rPr>
                <w:rFonts w:eastAsia="Times New Roman"/>
                <w:b/>
                <w:sz w:val="20"/>
              </w:rPr>
            </w:pPr>
            <w:r w:rsidRPr="006E48B7">
              <w:rPr>
                <w:rFonts w:eastAsia="Times New Roman"/>
                <w:b/>
                <w:sz w:val="20"/>
              </w:rPr>
              <w:t>Scheme (Title from Hamrick and Hamrick (1999) when given)</w:t>
            </w:r>
          </w:p>
        </w:tc>
        <w:tc>
          <w:tcPr>
            <w:tcW w:w="198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jc w:val="center"/>
              <w:rPr>
                <w:rFonts w:eastAsia="Times New Roman"/>
                <w:b/>
                <w:sz w:val="20"/>
              </w:rPr>
            </w:pPr>
            <w:r w:rsidRPr="006E48B7">
              <w:rPr>
                <w:rFonts w:eastAsia="Times New Roman"/>
                <w:b/>
                <w:sz w:val="20"/>
              </w:rPr>
              <w:t>Date Recorded</w:t>
            </w:r>
          </w:p>
        </w:tc>
        <w:tc>
          <w:tcPr>
            <w:tcW w:w="180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jc w:val="center"/>
              <w:rPr>
                <w:rFonts w:eastAsia="Times New Roman"/>
                <w:b/>
                <w:sz w:val="20"/>
              </w:rPr>
            </w:pPr>
            <w:r w:rsidRPr="006E48B7">
              <w:rPr>
                <w:rFonts w:eastAsia="Times New Roman"/>
                <w:b/>
                <w:sz w:val="20"/>
              </w:rPr>
              <w:t>Year</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Scheme of Goods for Occoquan Store [for] 1759</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August 7, 1758</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1759</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Scheme of Goods for Occoquan Store 1760</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July 27, 1759</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1760</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Scheme of goods for Occoquan Store for Fall 1760</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December 17, 1759</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1760, fall</w:t>
            </w:r>
          </w:p>
        </w:tc>
      </w:tr>
      <w:tr w:rsidR="008203A5" w:rsidRPr="006E48B7" w:rsidTr="00E91746">
        <w:trPr>
          <w:trHeight w:val="450"/>
        </w:trPr>
        <w:tc>
          <w:tcPr>
            <w:tcW w:w="55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A Scheme of Goods for Mr. JOHN GLASSFORD's Store at Colchester Virginia for 1761</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July 12, 1760</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1761</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Articles to be added to the Scheme "Diamond G" for Occoquan Store in 1761</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August 21, 1760</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1761, addition</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Scheme of Goods [mark] "G" for Colchester Store 1762</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July 17, 1761</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1762</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List of Fall Articles [mark] "G" wanted for Colch'r Store in Fall 1762</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December 2, 1761</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1762, addition</w:t>
            </w:r>
          </w:p>
        </w:tc>
      </w:tr>
      <w:tr w:rsidR="008203A5" w:rsidRPr="006E48B7" w:rsidTr="00E91746">
        <w:trPr>
          <w:trHeight w:val="450"/>
        </w:trPr>
        <w:tc>
          <w:tcPr>
            <w:tcW w:w="55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List of Goods to be shipped from Bristol in the Snow Jeanie for Colchester Store for 1763</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January 18, 1762</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1763, a</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[contained within a letter]</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February 8, 1762</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1763, addition 1</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A Scheme of Goods for Colchester Store [for] 1763 [Mark] "G"</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July 6, 1762</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1763, b</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[addition to Scheme for 1763]</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October 12, 1762</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1763, addition 2</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A Scheme of Goods for Colchester Store 1764 [mark] "G"</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September 2, 1763</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1764</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Scheme "G" for Goods for 1765</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September 17, 1764</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1765</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Supplement to Scheme "G" for Goods for 1765</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[September 17, 1764]</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1765, supplement</w:t>
            </w:r>
          </w:p>
        </w:tc>
      </w:tr>
      <w:tr w:rsidR="008203A5" w:rsidRPr="006E48B7" w:rsidTr="00E91746">
        <w:trPr>
          <w:trHeight w:val="255"/>
        </w:trPr>
        <w:tc>
          <w:tcPr>
            <w:tcW w:w="55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[addition to Scheme for 1765]</w:t>
            </w:r>
          </w:p>
        </w:tc>
        <w:tc>
          <w:tcPr>
            <w:tcW w:w="19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December 17, 1764</w:t>
            </w:r>
          </w:p>
        </w:tc>
        <w:tc>
          <w:tcPr>
            <w:tcW w:w="18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1765, addition</w:t>
            </w:r>
          </w:p>
        </w:tc>
      </w:tr>
    </w:tbl>
    <w:p w:rsidR="008203A5" w:rsidRPr="00DE3DDA" w:rsidRDefault="008203A5" w:rsidP="008203A5"/>
    <w:p w:rsidR="008203A5" w:rsidRDefault="008203A5" w:rsidP="008203A5">
      <w:pPr>
        <w:spacing w:line="480" w:lineRule="auto"/>
        <w:ind w:firstLine="720"/>
      </w:pPr>
    </w:p>
    <w:p w:rsidR="008203A5" w:rsidRDefault="008203A5" w:rsidP="008203A5">
      <w:pPr>
        <w:spacing w:line="480" w:lineRule="auto"/>
        <w:ind w:firstLine="720"/>
      </w:pPr>
      <w:r>
        <w:t xml:space="preserve">In order to fill the shelves of his store every year with consumer goods, Alexander Henderson had to request them though an itemized </w:t>
      </w:r>
      <w:r w:rsidR="002B0980">
        <w:t xml:space="preserve">list called a scheme of goods. </w:t>
      </w:r>
      <w:r>
        <w:t>In essence, Henderson’s projected store inventories were not very different than George Washington’s orders to his factors in England in terms of the nature and structur</w:t>
      </w:r>
      <w:r w:rsidR="002B0980">
        <w:t xml:space="preserve">e of the documents. </w:t>
      </w:r>
      <w:r>
        <w:t>Like the orders, the schemes were long lists of mercha</w:t>
      </w:r>
      <w:r w:rsidR="002B0980">
        <w:t xml:space="preserve">ndise loosely grouped by type. </w:t>
      </w:r>
      <w:r>
        <w:t>However, while we have the itemized bills for the goods that Washington received, these documents do not su</w:t>
      </w:r>
      <w:r w:rsidR="002B0980">
        <w:t xml:space="preserve">rvive for the Colchester store. </w:t>
      </w:r>
      <w:r>
        <w:t>This means that we know what Henderson desired to sell, the quantities ordered, and the anticipated value of the goods, but there is no documentation reporting th</w:t>
      </w:r>
      <w:r w:rsidR="002B0980">
        <w:t xml:space="preserve">e fulfillment of these orders. </w:t>
      </w:r>
      <w:r>
        <w:t xml:space="preserve">A more complete picture of daily store activities, customer demographics, prices for goods, cash and barter transactions, the subsidiary function of local stores as banks, among other information, is contained in the store ledgers housed at the Library </w:t>
      </w:r>
      <w:r>
        <w:lastRenderedPageBreak/>
        <w:t xml:space="preserve">of Congress </w:t>
      </w:r>
      <w:r w:rsidRPr="00BA365E">
        <w:t>(</w:t>
      </w:r>
      <w:r>
        <w:t>John Glassford and Company Records 1758-1769</w:t>
      </w:r>
      <w:r w:rsidRPr="00BA365E">
        <w:t>)</w:t>
      </w:r>
      <w:r w:rsidR="002B0980">
        <w:t>.</w:t>
      </w:r>
      <w:r>
        <w:t xml:space="preserve"> Mount Vernon’s Archaeology Department is currently undertaking a crowd-sourced, citizen-historian project to transcribe Henderson’s ledgers from his Col</w:t>
      </w:r>
      <w:r w:rsidR="002B0980">
        <w:t xml:space="preserve">chester and Alexandria stores. </w:t>
      </w:r>
      <w:r>
        <w:t>At the time of this writing, the Alexandria documents are almost completely transcribed, while the voluminous Colchester ledgers may take years</w:t>
      </w:r>
      <w:r w:rsidR="002B0980">
        <w:t xml:space="preserve"> to fully transcribe and edit. </w:t>
      </w:r>
      <w:r>
        <w:t>The transcription to date has been accomplishe</w:t>
      </w:r>
      <w:r w:rsidR="002B0980">
        <w:t xml:space="preserve">d almost completely virtually. </w:t>
      </w:r>
      <w:r>
        <w:t>Staff, interns, and volunteers have been digitizing the microfilm by creating high quality jpeg files than can then be emailed out to individuals interested in participating</w:t>
      </w:r>
      <w:r w:rsidR="002B0980">
        <w:t xml:space="preserve"> in the transcription process. </w:t>
      </w:r>
      <w:r>
        <w:t>Those participants, using a manual (Mount Vernon Glassford and Henderson Transcription Project 2012), transcribe the information into an exc</w:t>
      </w:r>
      <w:r w:rsidR="002B0980">
        <w:t xml:space="preserve">el template. </w:t>
      </w:r>
      <w:r>
        <w:t>This template then goes throu</w:t>
      </w:r>
      <w:r w:rsidR="002B0980">
        <w:t xml:space="preserve">gh multiple stages of editing. </w:t>
      </w:r>
      <w:r>
        <w:t xml:space="preserve">The schemes of goods fall somewhere between the dynamic portrayals of consumerism captured in store ledgers and the static snapshot of store merchandise recorded in merchants’ probate inventories.  </w:t>
      </w:r>
    </w:p>
    <w:p w:rsidR="008203A5" w:rsidRDefault="008203A5" w:rsidP="008203A5">
      <w:pPr>
        <w:spacing w:line="480" w:lineRule="auto"/>
        <w:ind w:firstLine="720"/>
      </w:pPr>
      <w:r>
        <w:rPr>
          <w:i/>
        </w:rPr>
        <w:t>Previous Research.</w:t>
      </w:r>
      <w:r w:rsidR="002B0980">
        <w:t xml:space="preserve"> </w:t>
      </w:r>
      <w:r>
        <w:t>In addition to the transcription work accomplished by Hamrick and Hamrick (1999), documentation relating to Henderson specifically and Glassford’s upper Potomac retail outlets more broadly has been utilized in a growing body of work on eighteenth-century consumerism (</w:t>
      </w:r>
      <w:r w:rsidRPr="00D958FE">
        <w:t>Walsh et al. 1997</w:t>
      </w:r>
      <w:r>
        <w:t xml:space="preserve">; Veech 1998; Reber 2003; Furgerson et al. </w:t>
      </w:r>
      <w:r w:rsidRPr="004944D8">
        <w:t>2</w:t>
      </w:r>
      <w:r>
        <w:t xml:space="preserve">005; Cuddy </w:t>
      </w:r>
      <w:r w:rsidRPr="004944D8">
        <w:t>2008)</w:t>
      </w:r>
      <w:r w:rsidR="002B0980">
        <w:t xml:space="preserve">. </w:t>
      </w:r>
      <w:r>
        <w:t xml:space="preserve">This dissertation is the first effort to systematically catalogue and analyze the annual inventory data to enable comparisons with findings on Washington’s consignment purchases and integrate the archaeological </w:t>
      </w:r>
      <w:r w:rsidR="002B0980">
        <w:t xml:space="preserve">record. </w:t>
      </w:r>
      <w:r>
        <w:t xml:space="preserve">The first study to pursue research on the Colchester ledger was </w:t>
      </w:r>
      <w:r w:rsidRPr="00D958FE">
        <w:t>the N</w:t>
      </w:r>
      <w:r>
        <w:t xml:space="preserve">ational </w:t>
      </w:r>
      <w:r w:rsidRPr="00D958FE">
        <w:t>E</w:t>
      </w:r>
      <w:r>
        <w:t xml:space="preserve">ndowment for the </w:t>
      </w:r>
      <w:r w:rsidRPr="00D958FE">
        <w:t>H</w:t>
      </w:r>
      <w:r>
        <w:t>umanities-</w:t>
      </w:r>
      <w:r w:rsidRPr="00D958FE">
        <w:t>funded project entitled, “Provisioning Early America Towns” (Walsh et al. 1997), undertaken by historians and archaeologists from the Co</w:t>
      </w:r>
      <w:r w:rsidR="002B0980">
        <w:t>lonial Williamsburg Foundation.</w:t>
      </w:r>
      <w:r w:rsidRPr="00D958FE">
        <w:t xml:space="preserve"> The project offers a comprehensive examination of probate inventories, store, household, and plantation accounts, and zooarchaeological remains (from 53 </w:t>
      </w:r>
      <w:r w:rsidRPr="00D958FE">
        <w:lastRenderedPageBreak/>
        <w:t>assemblages) to explore the urban provisioning systems in operation in the Chesapeake region from the seventeenth through</w:t>
      </w:r>
      <w:r w:rsidR="002B0980">
        <w:t xml:space="preserve"> the early nineteenth century. </w:t>
      </w:r>
      <w:r w:rsidRPr="00D958FE">
        <w:t>The prominent cities of Williamsburg and Annapolis form</w:t>
      </w:r>
      <w:r>
        <w:t xml:space="preserve"> the basis for this study, which also draws</w:t>
      </w:r>
      <w:r w:rsidRPr="00D958FE">
        <w:t xml:space="preserve"> on data from outlying rural sites to complete their understanding of foodways </w:t>
      </w:r>
      <w:r>
        <w:t>and househ</w:t>
      </w:r>
      <w:r w:rsidRPr="004944D8">
        <w:t>old provisioning from farmer’s f</w:t>
      </w:r>
      <w:r w:rsidR="002B0980">
        <w:t xml:space="preserve">ield to urban dweller’s table. </w:t>
      </w:r>
      <w:r w:rsidRPr="004944D8">
        <w:t xml:space="preserve">Walsh et al. (1997:106) analyzed account books from seven merchants “to uncover how their businesses supplied foods to their towns” by recording in a database foodstuffs, beverages, fuel, fodder, and related food services.  </w:t>
      </w:r>
    </w:p>
    <w:p w:rsidR="008203A5" w:rsidRDefault="008203A5" w:rsidP="008203A5">
      <w:pPr>
        <w:spacing w:line="480" w:lineRule="auto"/>
        <w:ind w:firstLine="720"/>
      </w:pPr>
      <w:r w:rsidRPr="004944D8">
        <w:t>Glassford’s Colchester town store, analyzed from 1766 throug</w:t>
      </w:r>
      <w:r w:rsidR="002B0980">
        <w:t xml:space="preserve">h 1768, was among these seven. </w:t>
      </w:r>
      <w:r w:rsidRPr="004944D8">
        <w:t xml:space="preserve">The other six stores </w:t>
      </w:r>
      <w:r>
        <w:t>were located</w:t>
      </w:r>
      <w:r w:rsidRPr="004944D8">
        <w:t xml:space="preserve"> in Yorktown, Williamsburg, and Annapolis and spanned the period 1747 through 1799.</w:t>
      </w:r>
      <w:r>
        <w:t xml:space="preserve">  Walsh et al. (1997:109) note the repeated barter-type transactions (i.e., poultry for textiles) recorded in the ledger, some of the proceeds of which, they suggest, might have ended up on Henderson’s own dinner table and were the result of slave participation in the local economy, as many of t</w:t>
      </w:r>
      <w:r w:rsidR="002B0980">
        <w:t xml:space="preserve">hese individuals went unnamed. </w:t>
      </w:r>
      <w:r>
        <w:t xml:space="preserve">The data derived from the ledger amounted to 428 records associated with foodways – both commodities being sold and goods accepted as payment, but </w:t>
      </w:r>
      <w:r w:rsidR="002B0980">
        <w:t xml:space="preserve">amassed into a single dataset. </w:t>
      </w:r>
      <w:r>
        <w:t xml:space="preserve">Poultry, sweeteners, and meat were the foodstuffs most often transacted at the Colchester store in the late 1760s, with </w:t>
      </w:r>
      <w:r w:rsidRPr="00E5628C">
        <w:t>meat</w:t>
      </w:r>
      <w:r>
        <w:t xml:space="preserve"> (beef, pork, and mutton), general foods, and grains garnering t</w:t>
      </w:r>
      <w:r w:rsidR="002B0980">
        <w:t xml:space="preserve">he highest values (Table 6-2). </w:t>
      </w:r>
      <w:r>
        <w:t xml:space="preserve">Those foodways-related items that do not appear in the schemes of goods were either received as payment or commodities for sale that may have been procured locally.  </w:t>
      </w:r>
    </w:p>
    <w:p w:rsidR="008203A5" w:rsidRDefault="008203A5" w:rsidP="008203A5">
      <w:pPr>
        <w:spacing w:line="480" w:lineRule="auto"/>
      </w:pPr>
    </w:p>
    <w:p w:rsidR="008203A5" w:rsidRDefault="008203A5" w:rsidP="008203A5">
      <w:pPr>
        <w:rPr>
          <w:b/>
        </w:rPr>
      </w:pPr>
      <w:r>
        <w:rPr>
          <w:b/>
        </w:rPr>
        <w:br w:type="page"/>
      </w:r>
    </w:p>
    <w:p w:rsidR="008203A5" w:rsidRDefault="008203A5" w:rsidP="008203A5">
      <w:pPr>
        <w:rPr>
          <w:b/>
        </w:rPr>
      </w:pPr>
      <w:r>
        <w:rPr>
          <w:b/>
        </w:rPr>
        <w:lastRenderedPageBreak/>
        <w:t>Table 6-2</w:t>
      </w:r>
      <w:r w:rsidR="002B0980">
        <w:rPr>
          <w:b/>
        </w:rPr>
        <w:t>.</w:t>
      </w:r>
      <w:r w:rsidRPr="00F078BC">
        <w:rPr>
          <w:b/>
        </w:rPr>
        <w:t xml:space="preserve"> </w:t>
      </w:r>
      <w:r w:rsidRPr="006E48B7">
        <w:t xml:space="preserve">Foodways-related items transacted at Henderson’s Colchester store from 1766 to 1768 (from Walsh et al. 1997:291) and their presence in the schemes of goods. </w:t>
      </w:r>
    </w:p>
    <w:p w:rsidR="008203A5" w:rsidRPr="006E48B7" w:rsidRDefault="008203A5" w:rsidP="008203A5">
      <w:pPr>
        <w:rPr>
          <w:b/>
        </w:rPr>
      </w:pPr>
    </w:p>
    <w:tbl>
      <w:tblPr>
        <w:tblW w:w="8569" w:type="dxa"/>
        <w:tblInd w:w="89" w:type="dxa"/>
        <w:tblLook w:val="04A0"/>
      </w:tblPr>
      <w:tblGrid>
        <w:gridCol w:w="1940"/>
        <w:gridCol w:w="794"/>
        <w:gridCol w:w="950"/>
        <w:gridCol w:w="1735"/>
        <w:gridCol w:w="950"/>
        <w:gridCol w:w="2200"/>
      </w:tblGrid>
      <w:tr w:rsidR="008203A5" w:rsidRPr="006E48B7" w:rsidTr="00E91746">
        <w:trPr>
          <w:trHeight w:val="255"/>
        </w:trPr>
        <w:tc>
          <w:tcPr>
            <w:tcW w:w="1940"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8203A5" w:rsidRPr="006E48B7" w:rsidRDefault="008203A5" w:rsidP="00E91746">
            <w:pPr>
              <w:rPr>
                <w:rFonts w:eastAsia="Times New Roman"/>
                <w:b/>
                <w:bCs/>
                <w:color w:val="000000"/>
                <w:sz w:val="20"/>
              </w:rPr>
            </w:pPr>
            <w:r w:rsidRPr="006E48B7">
              <w:rPr>
                <w:rFonts w:eastAsia="Times New Roman"/>
                <w:b/>
                <w:bCs/>
                <w:color w:val="000000"/>
                <w:sz w:val="20"/>
              </w:rPr>
              <w:t>Category</w:t>
            </w:r>
          </w:p>
        </w:tc>
        <w:tc>
          <w:tcPr>
            <w:tcW w:w="794"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rPr>
                <w:rFonts w:eastAsia="Times New Roman"/>
                <w:b/>
                <w:bCs/>
                <w:color w:val="000000"/>
                <w:sz w:val="20"/>
              </w:rPr>
            </w:pPr>
            <w:r w:rsidRPr="006E48B7">
              <w:rPr>
                <w:rFonts w:eastAsia="Times New Roman"/>
                <w:b/>
                <w:bCs/>
                <w:color w:val="000000"/>
                <w:sz w:val="20"/>
              </w:rPr>
              <w:t>Count</w:t>
            </w:r>
          </w:p>
        </w:tc>
        <w:tc>
          <w:tcPr>
            <w:tcW w:w="95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rPr>
                <w:rFonts w:eastAsia="Times New Roman"/>
                <w:b/>
                <w:bCs/>
                <w:color w:val="000000"/>
                <w:sz w:val="20"/>
              </w:rPr>
            </w:pPr>
            <w:r w:rsidRPr="006E48B7">
              <w:rPr>
                <w:rFonts w:eastAsia="Times New Roman"/>
                <w:b/>
                <w:bCs/>
                <w:color w:val="000000"/>
                <w:sz w:val="20"/>
              </w:rPr>
              <w:t>Percent</w:t>
            </w:r>
          </w:p>
        </w:tc>
        <w:tc>
          <w:tcPr>
            <w:tcW w:w="1735"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rPr>
                <w:rFonts w:eastAsia="Times New Roman"/>
                <w:b/>
                <w:bCs/>
                <w:color w:val="000000"/>
                <w:sz w:val="20"/>
              </w:rPr>
            </w:pPr>
            <w:r w:rsidRPr="006E48B7">
              <w:rPr>
                <w:rFonts w:eastAsia="Times New Roman"/>
                <w:b/>
                <w:bCs/>
                <w:color w:val="000000"/>
                <w:sz w:val="20"/>
              </w:rPr>
              <w:t>Total Value (£)</w:t>
            </w:r>
          </w:p>
        </w:tc>
        <w:tc>
          <w:tcPr>
            <w:tcW w:w="95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rPr>
                <w:rFonts w:eastAsia="Times New Roman"/>
                <w:b/>
                <w:bCs/>
                <w:color w:val="000000"/>
                <w:sz w:val="20"/>
              </w:rPr>
            </w:pPr>
            <w:r w:rsidRPr="006E48B7">
              <w:rPr>
                <w:rFonts w:eastAsia="Times New Roman"/>
                <w:b/>
                <w:bCs/>
                <w:color w:val="000000"/>
                <w:sz w:val="20"/>
              </w:rPr>
              <w:t>Percent</w:t>
            </w:r>
          </w:p>
        </w:tc>
        <w:tc>
          <w:tcPr>
            <w:tcW w:w="220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rPr>
                <w:rFonts w:eastAsia="Times New Roman"/>
                <w:b/>
                <w:bCs/>
                <w:color w:val="000000"/>
                <w:sz w:val="20"/>
              </w:rPr>
            </w:pPr>
            <w:r w:rsidRPr="006E48B7">
              <w:rPr>
                <w:rFonts w:eastAsia="Times New Roman"/>
                <w:b/>
                <w:bCs/>
                <w:color w:val="000000"/>
                <w:sz w:val="20"/>
              </w:rPr>
              <w:t>Scheme of Goods?</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Meat</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64</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14.95</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63.62</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35.29</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Foodstuffs</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3</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0.7</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27.5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15.25</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Food, grains</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52</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12.15</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19.83</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11</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Yes</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Livestock</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11</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2.57</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17.65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9.79</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Alcohol</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3.5</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15.19</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8.43</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Yes</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Fuel</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1.17</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14.13</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7.83</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Dairy</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7</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1.64</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5.63</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3.12</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Yes</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Fish</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5.84</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3.78</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2.1</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Poultry</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79</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18.46</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2.47</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1.37</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Bakery/Bread</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3</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0.7</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2.34</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1.3</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Sweeteners</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68</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15.89</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2.14</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1.19</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Yes</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Tea/Coffee</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17</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3.97</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1.39</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0.77</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Yes</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Spices/Condiments</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23</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5.37</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1.26</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0.7</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Yes</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Fruits/Nuts</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13</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3.04</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1.14</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0.63</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Seafood</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10</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2.34</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0.79</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0.44</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Wild meat</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4</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0.93</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0.59</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0.33</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Storage</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3</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0.7</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0.34</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0.19</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Yes</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Legumes</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1.17</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0.19</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0.1</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Vegetables</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9</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2.1</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0.18</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0.1</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Wild bird</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1.17</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0.12</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0.07</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No</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Unknown</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4</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0.93</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0.03</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0.02</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n/a</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Drinking</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0.47</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Yes</w:t>
            </w:r>
          </w:p>
        </w:tc>
      </w:tr>
      <w:tr w:rsidR="008203A5" w:rsidRPr="006E48B7" w:rsidTr="00E91746">
        <w:trPr>
          <w:trHeight w:val="255"/>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Food serving</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0.23</w:t>
            </w:r>
          </w:p>
        </w:tc>
        <w:tc>
          <w:tcPr>
            <w:tcW w:w="173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w:t>
            </w:r>
          </w:p>
        </w:tc>
        <w:tc>
          <w:tcPr>
            <w:tcW w:w="220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Yes</w:t>
            </w:r>
          </w:p>
        </w:tc>
      </w:tr>
    </w:tbl>
    <w:p w:rsidR="008203A5" w:rsidRDefault="008203A5" w:rsidP="008203A5">
      <w:pPr>
        <w:ind w:firstLine="720"/>
        <w:rPr>
          <w:b/>
        </w:rPr>
      </w:pPr>
    </w:p>
    <w:p w:rsidR="008203A5" w:rsidRDefault="008203A5" w:rsidP="008203A5">
      <w:pPr>
        <w:ind w:firstLine="720"/>
        <w:rPr>
          <w:i/>
        </w:rPr>
      </w:pPr>
    </w:p>
    <w:p w:rsidR="008203A5" w:rsidRDefault="008203A5" w:rsidP="008203A5">
      <w:pPr>
        <w:ind w:firstLine="720"/>
        <w:rPr>
          <w:i/>
        </w:rPr>
      </w:pPr>
    </w:p>
    <w:p w:rsidR="008203A5" w:rsidRPr="008B73A7" w:rsidRDefault="008203A5" w:rsidP="008203A5">
      <w:pPr>
        <w:spacing w:line="480" w:lineRule="auto"/>
        <w:ind w:firstLine="720"/>
      </w:pPr>
      <w:r w:rsidRPr="008B73A7">
        <w:t>Veech’s (1998) dissertation, exploring gentility and status in the mid-eighteenth century upper Potomac region, specifically traces the consumer habits of Abraham Barnes</w:t>
      </w:r>
      <w:r>
        <w:t>, a Fairfax County resident,</w:t>
      </w:r>
      <w:r w:rsidRPr="008B73A7">
        <w:t xml:space="preserve"> recorded in Col</w:t>
      </w:r>
      <w:r>
        <w:t>chester and Alexandria accounts</w:t>
      </w:r>
      <w:r w:rsidRPr="008B73A7">
        <w:t xml:space="preserve"> with Glassford &amp; </w:t>
      </w:r>
      <w:r>
        <w:t>Company</w:t>
      </w:r>
      <w:r w:rsidRPr="008B73A7">
        <w:t xml:space="preserve">, Ramsay &amp; Dixon, and William Carlin, </w:t>
      </w:r>
      <w:r>
        <w:t>in conjunction with findings from the archaeological record (44FX1326) to develop a material picture of this social aspirant</w:t>
      </w:r>
      <w:r w:rsidR="002B0980">
        <w:t xml:space="preserve">. </w:t>
      </w:r>
      <w:r w:rsidRPr="008B73A7">
        <w:t xml:space="preserve">Veech borrows Carr and Walsh’s (1994) amenities index to </w:t>
      </w:r>
      <w:r>
        <w:t>categorize</w:t>
      </w:r>
      <w:r w:rsidRPr="008B73A7">
        <w:t xml:space="preserve"> Barnes</w:t>
      </w:r>
      <w:r>
        <w:t>’</w:t>
      </w:r>
      <w:r w:rsidRPr="008B73A7">
        <w:t xml:space="preserve"> purchased </w:t>
      </w:r>
      <w:r>
        <w:t>by time and type from Henderson’s Colchester and Alexandria stores during</w:t>
      </w:r>
      <w:r w:rsidRPr="008B73A7">
        <w:t xml:space="preserve"> the approximately </w:t>
      </w:r>
      <w:r>
        <w:t>20-</w:t>
      </w:r>
      <w:r w:rsidRPr="008B73A7">
        <w:t>year period from 1</w:t>
      </w:r>
      <w:r w:rsidR="002B0980">
        <w:t xml:space="preserve">753 through 1772. </w:t>
      </w:r>
      <w:r w:rsidRPr="008B73A7">
        <w:t>His (</w:t>
      </w:r>
      <w:r>
        <w:t xml:space="preserve">Veech </w:t>
      </w:r>
      <w:r w:rsidRPr="008B73A7">
        <w:t>1998:</w:t>
      </w:r>
      <w:r>
        <w:t>145, 167) conclusion from this method of analysis</w:t>
      </w:r>
      <w:r w:rsidRPr="008B73A7">
        <w:t xml:space="preserve"> is that despite Barnes’ growing indebtedness </w:t>
      </w:r>
      <w:r>
        <w:t xml:space="preserve">(which accumulated to £1285.4.2) </w:t>
      </w:r>
      <w:r w:rsidRPr="008B73A7">
        <w:t xml:space="preserve">and subsequent </w:t>
      </w:r>
      <w:r w:rsidRPr="008B73A7">
        <w:lastRenderedPageBreak/>
        <w:t xml:space="preserve">decrease in perceived social status over time, he was “buying </w:t>
      </w:r>
      <w:r w:rsidRPr="008B73A7">
        <w:rPr>
          <w:i/>
        </w:rPr>
        <w:t>like a gentleman</w:t>
      </w:r>
      <w:r w:rsidRPr="008B73A7">
        <w:t xml:space="preserve"> </w:t>
      </w:r>
      <w:r>
        <w:t xml:space="preserve">[in the form of amenities] </w:t>
      </w:r>
      <w:r w:rsidRPr="008B73A7">
        <w:t xml:space="preserve">long after his community ceased regarding him as one.”  </w:t>
      </w:r>
    </w:p>
    <w:p w:rsidR="008203A5" w:rsidRDefault="008203A5" w:rsidP="008203A5">
      <w:pPr>
        <w:spacing w:line="480" w:lineRule="auto"/>
        <w:ind w:firstLine="720"/>
      </w:pPr>
      <w:r>
        <w:t>Reber’s (2003) dissertation represents the most extensive and systematic use of Alexander Henderson’s store ledger in his stu</w:t>
      </w:r>
      <w:r w:rsidR="002B0980">
        <w:t xml:space="preserve">dy of Virginia’s retail trade. </w:t>
      </w:r>
      <w:r>
        <w:t>Insights discovered in his research are particularly relevant for an understanding of Henderson’s clientel</w:t>
      </w:r>
      <w:r w:rsidR="002B0980">
        <w:t xml:space="preserve">e and their purchasing habits. </w:t>
      </w:r>
      <w:r>
        <w:t>Reber (2003:23-24) finds, “it is the tenant farmers and smaller planters who were the store’s pri</w:t>
      </w:r>
      <w:r w:rsidR="002B0980">
        <w:t xml:space="preserve">nciple customers” (Table 6-3). </w:t>
      </w:r>
      <w:r>
        <w:t xml:space="preserve">Lawrence and George Washington fell into the category of landowners possessing more than 1000 acres, a group who </w:t>
      </w:r>
      <w:r w:rsidR="002B0980">
        <w:t xml:space="preserve">rarely frequented this store. </w:t>
      </w:r>
      <w:r>
        <w:t>This breakdown is based on Reber’s research into Fairfax County documents including the 1760 tithables list to identify the customer’s place of</w:t>
      </w:r>
      <w:r w:rsidR="002B0980">
        <w:t xml:space="preserve"> residence and land ownership. </w:t>
      </w:r>
      <w:r>
        <w:t xml:space="preserve">Because Reber focuses on only named account holders, we do not know what portion of the business </w:t>
      </w:r>
      <w:r w:rsidR="002B0980">
        <w:t xml:space="preserve">was represented by this group. </w:t>
      </w:r>
      <w:r>
        <w:t>Additionally, Reber chose to exclude those customers who resided outside of Fairfax County, though a significant number did live in Loudon County and places further west.</w:t>
      </w:r>
    </w:p>
    <w:p w:rsidR="008203A5" w:rsidRDefault="008203A5" w:rsidP="008203A5">
      <w:pPr>
        <w:spacing w:line="480" w:lineRule="auto"/>
      </w:pPr>
    </w:p>
    <w:p w:rsidR="008203A5" w:rsidRDefault="008203A5" w:rsidP="008203A5">
      <w:pPr>
        <w:rPr>
          <w:b/>
        </w:rPr>
      </w:pPr>
      <w:r w:rsidRPr="00F078BC">
        <w:rPr>
          <w:b/>
        </w:rPr>
        <w:t>Table</w:t>
      </w:r>
      <w:r>
        <w:rPr>
          <w:b/>
        </w:rPr>
        <w:t xml:space="preserve"> 6-3</w:t>
      </w:r>
      <w:r w:rsidRPr="00F078BC">
        <w:rPr>
          <w:b/>
        </w:rPr>
        <w:t xml:space="preserve">. </w:t>
      </w:r>
      <w:r w:rsidRPr="006E48B7">
        <w:t>Land ownership distribution for Henderson’s Fairfax County clients from 1760 to 1761 (from Reber 2003:23, table 1).</w:t>
      </w:r>
      <w:r w:rsidRPr="00F078BC">
        <w:rPr>
          <w:b/>
        </w:rPr>
        <w:t xml:space="preserve">  </w:t>
      </w:r>
    </w:p>
    <w:p w:rsidR="008203A5" w:rsidRPr="006E48B7" w:rsidRDefault="008203A5" w:rsidP="008203A5">
      <w:pPr>
        <w:rPr>
          <w:b/>
        </w:rPr>
      </w:pPr>
    </w:p>
    <w:tbl>
      <w:tblPr>
        <w:tblW w:w="5505" w:type="dxa"/>
        <w:tblInd w:w="93" w:type="dxa"/>
        <w:tblLook w:val="04A0"/>
      </w:tblPr>
      <w:tblGrid>
        <w:gridCol w:w="960"/>
        <w:gridCol w:w="3465"/>
        <w:gridCol w:w="1080"/>
      </w:tblGrid>
      <w:tr w:rsidR="008203A5" w:rsidRPr="006E48B7" w:rsidTr="00E91746">
        <w:trPr>
          <w:trHeight w:val="255"/>
        </w:trPr>
        <w:tc>
          <w:tcPr>
            <w:tcW w:w="960"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8203A5" w:rsidRPr="006E48B7" w:rsidRDefault="008203A5" w:rsidP="00E91746">
            <w:pPr>
              <w:rPr>
                <w:rFonts w:eastAsia="Times New Roman"/>
                <w:b/>
                <w:bCs/>
                <w:color w:val="000000"/>
                <w:sz w:val="20"/>
              </w:rPr>
            </w:pPr>
            <w:r w:rsidRPr="006E48B7">
              <w:rPr>
                <w:rFonts w:eastAsia="Times New Roman"/>
                <w:b/>
                <w:bCs/>
                <w:color w:val="000000"/>
                <w:sz w:val="20"/>
              </w:rPr>
              <w:t>Acres</w:t>
            </w:r>
          </w:p>
        </w:tc>
        <w:tc>
          <w:tcPr>
            <w:tcW w:w="3465"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rPr>
                <w:rFonts w:eastAsia="Times New Roman"/>
                <w:b/>
                <w:bCs/>
                <w:color w:val="000000"/>
                <w:sz w:val="20"/>
              </w:rPr>
            </w:pPr>
            <w:r w:rsidRPr="006E48B7">
              <w:rPr>
                <w:rFonts w:eastAsia="Times New Roman"/>
                <w:b/>
                <w:bCs/>
                <w:color w:val="000000"/>
                <w:sz w:val="20"/>
              </w:rPr>
              <w:t>Count of Henderson Customers</w:t>
            </w:r>
          </w:p>
        </w:tc>
        <w:tc>
          <w:tcPr>
            <w:tcW w:w="108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rPr>
                <w:rFonts w:eastAsia="Times New Roman"/>
                <w:b/>
                <w:bCs/>
                <w:color w:val="000000"/>
                <w:sz w:val="20"/>
              </w:rPr>
            </w:pPr>
            <w:r w:rsidRPr="006E48B7">
              <w:rPr>
                <w:rFonts w:eastAsia="Times New Roman"/>
                <w:b/>
                <w:bCs/>
                <w:color w:val="000000"/>
                <w:sz w:val="20"/>
              </w:rPr>
              <w:t>Percent</w:t>
            </w:r>
          </w:p>
        </w:tc>
      </w:tr>
      <w:tr w:rsidR="008203A5" w:rsidRPr="006E48B7" w:rsidTr="00E91746">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0</w:t>
            </w:r>
          </w:p>
        </w:tc>
        <w:tc>
          <w:tcPr>
            <w:tcW w:w="346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98</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46</w:t>
            </w:r>
          </w:p>
        </w:tc>
      </w:tr>
      <w:tr w:rsidR="008203A5" w:rsidRPr="006E48B7" w:rsidTr="00E91746">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1-99</w:t>
            </w:r>
          </w:p>
        </w:tc>
        <w:tc>
          <w:tcPr>
            <w:tcW w:w="346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5</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w:t>
            </w:r>
          </w:p>
        </w:tc>
      </w:tr>
      <w:tr w:rsidR="008203A5" w:rsidRPr="006E48B7" w:rsidTr="00E91746">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100-199</w:t>
            </w:r>
          </w:p>
        </w:tc>
        <w:tc>
          <w:tcPr>
            <w:tcW w:w="346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31</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14</w:t>
            </w:r>
          </w:p>
        </w:tc>
      </w:tr>
      <w:tr w:rsidR="008203A5" w:rsidRPr="006E48B7" w:rsidTr="00E91746">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200-499</w:t>
            </w:r>
          </w:p>
        </w:tc>
        <w:tc>
          <w:tcPr>
            <w:tcW w:w="346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40</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18</w:t>
            </w:r>
          </w:p>
        </w:tc>
      </w:tr>
      <w:tr w:rsidR="008203A5" w:rsidRPr="006E48B7" w:rsidTr="00E91746">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500-999</w:t>
            </w:r>
          </w:p>
        </w:tc>
        <w:tc>
          <w:tcPr>
            <w:tcW w:w="346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24</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12</w:t>
            </w:r>
          </w:p>
        </w:tc>
      </w:tr>
      <w:tr w:rsidR="008203A5" w:rsidRPr="006E48B7" w:rsidTr="00E91746">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1000+</w:t>
            </w:r>
          </w:p>
        </w:tc>
        <w:tc>
          <w:tcPr>
            <w:tcW w:w="346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15</w:t>
            </w: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7</w:t>
            </w:r>
          </w:p>
        </w:tc>
      </w:tr>
      <w:tr w:rsidR="008203A5" w:rsidRPr="006E48B7" w:rsidTr="00E91746">
        <w:trPr>
          <w:trHeight w:val="255"/>
        </w:trPr>
        <w:tc>
          <w:tcPr>
            <w:tcW w:w="960" w:type="dxa"/>
            <w:tcBorders>
              <w:top w:val="nil"/>
              <w:left w:val="single" w:sz="4" w:space="0" w:color="auto"/>
              <w:bottom w:val="nil"/>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Totals</w:t>
            </w:r>
          </w:p>
        </w:tc>
        <w:tc>
          <w:tcPr>
            <w:tcW w:w="3465" w:type="dxa"/>
            <w:tcBorders>
              <w:top w:val="nil"/>
              <w:left w:val="nil"/>
              <w:bottom w:val="nil"/>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213</w:t>
            </w:r>
          </w:p>
        </w:tc>
        <w:tc>
          <w:tcPr>
            <w:tcW w:w="1080" w:type="dxa"/>
            <w:tcBorders>
              <w:top w:val="nil"/>
              <w:left w:val="nil"/>
              <w:bottom w:val="nil"/>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r w:rsidRPr="006E48B7">
              <w:rPr>
                <w:rFonts w:eastAsia="Times New Roman"/>
                <w:color w:val="000000"/>
                <w:sz w:val="20"/>
              </w:rPr>
              <w:t>100</w:t>
            </w:r>
          </w:p>
        </w:tc>
      </w:tr>
      <w:tr w:rsidR="008203A5" w:rsidRPr="006E48B7" w:rsidTr="00E91746">
        <w:trPr>
          <w:trHeight w:val="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p>
        </w:tc>
        <w:tc>
          <w:tcPr>
            <w:tcW w:w="3465"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p>
        </w:tc>
        <w:tc>
          <w:tcPr>
            <w:tcW w:w="108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color w:val="000000"/>
                <w:sz w:val="20"/>
              </w:rPr>
            </w:pPr>
          </w:p>
        </w:tc>
      </w:tr>
    </w:tbl>
    <w:p w:rsidR="008203A5" w:rsidRDefault="008203A5" w:rsidP="008203A5">
      <w:pPr>
        <w:ind w:firstLine="720"/>
      </w:pPr>
    </w:p>
    <w:p w:rsidR="008203A5" w:rsidRDefault="008203A5" w:rsidP="008203A5">
      <w:pPr>
        <w:ind w:firstLine="720"/>
      </w:pPr>
    </w:p>
    <w:p w:rsidR="008203A5" w:rsidRDefault="008203A5" w:rsidP="008203A5">
      <w:pPr>
        <w:ind w:firstLine="720"/>
      </w:pPr>
    </w:p>
    <w:p w:rsidR="008203A5" w:rsidRDefault="008203A5" w:rsidP="008203A5">
      <w:pPr>
        <w:spacing w:line="480" w:lineRule="auto"/>
        <w:ind w:firstLine="720"/>
      </w:pPr>
      <w:r>
        <w:lastRenderedPageBreak/>
        <w:t>While much of Reber’s study is focused on the tobacco side of the retail trade – documenting pricing stra</w:t>
      </w:r>
      <w:r w:rsidR="0053435E">
        <w:t>tegies to entice consumers in H</w:t>
      </w:r>
      <w:r>
        <w:t>e</w:t>
      </w:r>
      <w:r w:rsidR="0053435E">
        <w:t>n</w:t>
      </w:r>
      <w:r>
        <w:t xml:space="preserve">derson’s first year of business, average quarterly tobacco quantities and prices, average consumer debt levels – he does delve into the types of goods purchased and </w:t>
      </w:r>
      <w:r w:rsidR="002B0980">
        <w:t xml:space="preserve">recorded in the store ledgers. </w:t>
      </w:r>
      <w:r>
        <w:t>He selects six types of consumer goods (teaware, utensils, ceramics, wine glasses, pewter, and books) to determine the level of elite emulation represented by the purchases of these goods.  Reber (2003:86-88) suggests that teaware has a strong correlation to gentility and elite consumption, but finds that only 123 teaware vessels for the small sum of £6.9 were purchased from 1759 through 1765 amounting to less than one percen</w:t>
      </w:r>
      <w:r w:rsidR="002B0980">
        <w:t xml:space="preserve">t of total consumer purchases. </w:t>
      </w:r>
      <w:r>
        <w:t>This provides evidence, Reber contends, that middling and small planters did not model their consumer behav</w:t>
      </w:r>
      <w:r w:rsidR="002B0980">
        <w:t xml:space="preserve">iors on their elite neighbors. </w:t>
      </w:r>
      <w:r>
        <w:t xml:space="preserve">However, his approach may not be the most effective method for analyzing elite versus </w:t>
      </w:r>
      <w:r w:rsidR="002B0980">
        <w:t xml:space="preserve">non-elite consumer strategies. </w:t>
      </w:r>
      <w:r>
        <w:t>Over the nearly 20-year period that Washington participated in the consignment system, his purchases in the beverage, tea subcategory were similarly small (less than one perce</w:t>
      </w:r>
      <w:r w:rsidR="002B0980">
        <w:t xml:space="preserve">nt by count and expenditures). </w:t>
      </w:r>
      <w:r>
        <w:t xml:space="preserve">Reber’s more extensive treatment of textiles finds that consumer decisions were influenced by a range of factors – price, practicality, availability, gender, fashion – and not simply attempts at emulating elite consumption (Reber 2003:144-145).     </w:t>
      </w:r>
    </w:p>
    <w:p w:rsidR="008203A5" w:rsidRPr="004944D8" w:rsidRDefault="008203A5" w:rsidP="008203A5">
      <w:pPr>
        <w:spacing w:line="480" w:lineRule="auto"/>
        <w:ind w:firstLine="720"/>
      </w:pPr>
      <w:r w:rsidRPr="004944D8">
        <w:t xml:space="preserve">The Glassford store accounts </w:t>
      </w:r>
      <w:r>
        <w:t>were</w:t>
      </w:r>
      <w:r w:rsidRPr="004944D8">
        <w:t xml:space="preserve"> also utilized by Furgerson et al. (2</w:t>
      </w:r>
      <w:r>
        <w:t>005</w:t>
      </w:r>
      <w:r w:rsidRPr="004944D8">
        <w:t>)</w:t>
      </w:r>
      <w:r>
        <w:t xml:space="preserve"> and expanded upon by </w:t>
      </w:r>
      <w:r w:rsidRPr="004944D8">
        <w:t>Cuddy (2008)</w:t>
      </w:r>
      <w:r>
        <w:t xml:space="preserve"> in his exploration of the development of capitalism in America</w:t>
      </w:r>
      <w:r w:rsidR="002B0980">
        <w:t xml:space="preserve">. </w:t>
      </w:r>
      <w:r>
        <w:t>Cuddy (2008) traces the purchases of the members of one family, the Edelens, recorded in the ledgers of Glassford’s Piscataway store whose plantation called Edelen’s Mount</w:t>
      </w:r>
      <w:r w:rsidRPr="004944D8">
        <w:t xml:space="preserve"> </w:t>
      </w:r>
      <w:r>
        <w:t xml:space="preserve">(18PR478) was excavated in 2003 and 2004 (Furgerson et al. </w:t>
      </w:r>
      <w:r w:rsidRPr="004944D8">
        <w:t>2</w:t>
      </w:r>
      <w:r>
        <w:t>005</w:t>
      </w:r>
      <w:r w:rsidRPr="004944D8">
        <w:t>)</w:t>
      </w:r>
      <w:r w:rsidR="002B0980">
        <w:t xml:space="preserve">. </w:t>
      </w:r>
      <w:r w:rsidRPr="004944D8">
        <w:t>The store ledgers document the purchases of James Edelen (d. 1768)</w:t>
      </w:r>
      <w:r>
        <w:t xml:space="preserve"> </w:t>
      </w:r>
      <w:r w:rsidR="002B0980">
        <w:t>in the 1760s.</w:t>
      </w:r>
      <w:r w:rsidRPr="004944D8">
        <w:t xml:space="preserve"> </w:t>
      </w:r>
      <w:r>
        <w:t xml:space="preserve">James Edelen was an aspiring elite plantation owner in Maryland </w:t>
      </w:r>
      <w:r>
        <w:lastRenderedPageBreak/>
        <w:t>in the mid-eighteenth century (Farner and Farner 2000; Center f</w:t>
      </w:r>
      <w:r w:rsidR="002B0980">
        <w:t>or History and New Media 2006).</w:t>
      </w:r>
      <w:r>
        <w:t xml:space="preserve"> </w:t>
      </w:r>
      <w:r w:rsidRPr="004944D8">
        <w:t xml:space="preserve">He purchased consumables “like cloth, but also boy’s fine shoes, jacket buttons, a necklace, blankets, gun screw, cinnamon, nutmeg, 1 box Anderson’s Pills (patent medicine), and bottled drinks including wine, Madeira, claret, rum, and India Passion” </w:t>
      </w:r>
      <w:r>
        <w:t xml:space="preserve">using tobacco notes </w:t>
      </w:r>
      <w:r w:rsidRPr="004944D8">
        <w:t>(</w:t>
      </w:r>
      <w:r w:rsidR="002B0980">
        <w:t xml:space="preserve">Cuddy 2008:66). </w:t>
      </w:r>
      <w:r>
        <w:t>Located just across the river, George Mason was also a regular customer at the Piscataway store during this period (Cuddy 2008:65</w:t>
      </w:r>
      <w:r w:rsidRPr="004944D8">
        <w:t>)</w:t>
      </w:r>
      <w:r w:rsidR="002B0980">
        <w:t xml:space="preserve">. </w:t>
      </w:r>
      <w:r>
        <w:t>The family continued to reside on the plantation through the 1790s when James’ son Edward began to upgrade the old dwelling and build a new one with b</w:t>
      </w:r>
      <w:r w:rsidR="002B0980">
        <w:t xml:space="preserve">etter access to the main road. </w:t>
      </w:r>
      <w:r>
        <w:t>These construction efforts are seen archaeologically and also through the hardware-related purchases re</w:t>
      </w:r>
      <w:r w:rsidR="002B0980">
        <w:t>corded at the Piscataway store.</w:t>
      </w:r>
      <w:r>
        <w:t xml:space="preserve"> Cuddy (2008:13, 69), then, uses the Edelen example to embody the “typical interaction[s] of Chesapeake planters and Scottish merchants in the Market economy” and the transition to what he calls proto-capitalism at the t</w:t>
      </w:r>
      <w:r w:rsidR="002B0980">
        <w:t xml:space="preserve">urn of the nineteenth century. </w:t>
      </w:r>
      <w:r>
        <w:t xml:space="preserve">In summary, Veech’s (1998) and Cuddy’s (2008) studies focus on the purchasing habits of a single individual or family as microcosms embodying larger </w:t>
      </w:r>
      <w:r w:rsidR="002B0980">
        <w:t xml:space="preserve">cultural and economic changes. </w:t>
      </w:r>
      <w:r>
        <w:t>Walsh et al. (1997) and Reber (2003) utilize the ledgers more broadly and in doing so reveal important details about the sto</w:t>
      </w:r>
      <w:r w:rsidR="002B0980">
        <w:t xml:space="preserve">re’s clientele. </w:t>
      </w:r>
      <w:r>
        <w:t xml:space="preserve">Their focus on broad groupings of material culture, foodways, and textiles leaves room for a comparative, systematic study of the Colchester store documents.  </w:t>
      </w:r>
    </w:p>
    <w:p w:rsidR="002B5A7B" w:rsidRPr="002B5A7B" w:rsidRDefault="002B5A7B" w:rsidP="008203A5">
      <w:pPr>
        <w:spacing w:line="480" w:lineRule="auto"/>
        <w:ind w:firstLine="720"/>
      </w:pPr>
      <w:r>
        <w:rPr>
          <w:i/>
        </w:rPr>
        <w:t xml:space="preserve">Clientele. </w:t>
      </w:r>
      <w:r>
        <w:t>While the full-scale transcription of the Colchester store le</w:t>
      </w:r>
      <w:r w:rsidR="00EB7F38">
        <w:t>d</w:t>
      </w:r>
      <w:r>
        <w:t>gers is currently in progress, we can at least tentatively estimate the p</w:t>
      </w:r>
      <w:r w:rsidR="002B0980">
        <w:t xml:space="preserve">opulation served by Henderson. </w:t>
      </w:r>
      <w:r>
        <w:t>After each ledger, the merchant compiled an index that lists account holders (individual customers and entities such as Colchester Tavern) and relevant page</w:t>
      </w:r>
      <w:r w:rsidR="002B0980">
        <w:t xml:space="preserve">s. </w:t>
      </w:r>
      <w:r>
        <w:t>From the 1760 ledger, spanning 15 months from October of 1760 through December of 1761, 401 individuals or entities held an account with</w:t>
      </w:r>
      <w:r w:rsidR="002B0980">
        <w:t xml:space="preserve"> Henderson’s Colchester store. </w:t>
      </w:r>
      <w:r w:rsidR="00503964">
        <w:t xml:space="preserve">Some of these individuals frequently purchased </w:t>
      </w:r>
      <w:r w:rsidR="00503964">
        <w:lastRenderedPageBreak/>
        <w:t xml:space="preserve">items; others appear in the ledger because they are indebted to Henderson </w:t>
      </w:r>
      <w:r w:rsidR="00853EF1">
        <w:t>for</w:t>
      </w:r>
      <w:r w:rsidR="00503964">
        <w:t xml:space="preserve"> transa</w:t>
      </w:r>
      <w:r w:rsidR="002B0980">
        <w:t xml:space="preserve">ctions made in previous years. </w:t>
      </w:r>
      <w:r w:rsidR="00503964">
        <w:t xml:space="preserve">A complete transcription and additional analysis will be required to </w:t>
      </w:r>
      <w:r w:rsidR="00853EF1">
        <w:t>determine how many o</w:t>
      </w:r>
      <w:r w:rsidR="00503964">
        <w:t xml:space="preserve">f the 401 individuals </w:t>
      </w:r>
      <w:r w:rsidR="00853EF1">
        <w:t xml:space="preserve">were </w:t>
      </w:r>
      <w:r w:rsidR="00503964">
        <w:t>actively buying co</w:t>
      </w:r>
      <w:r w:rsidR="00853EF1">
        <w:t>ns</w:t>
      </w:r>
      <w:r w:rsidR="002B0980">
        <w:t xml:space="preserve">umer goods during this period. </w:t>
      </w:r>
      <w:r w:rsidR="00853EF1">
        <w:t>The resulting</w:t>
      </w:r>
      <w:r w:rsidR="00503964">
        <w:t xml:space="preserve"> </w:t>
      </w:r>
      <w:r>
        <w:t xml:space="preserve">estimate </w:t>
      </w:r>
      <w:r w:rsidR="00503964">
        <w:t xml:space="preserve">would </w:t>
      </w:r>
      <w:r w:rsidR="00853EF1">
        <w:t xml:space="preserve">still </w:t>
      </w:r>
      <w:r>
        <w:t>most</w:t>
      </w:r>
      <w:r w:rsidR="00503964">
        <w:t xml:space="preserve"> likely under represent</w:t>
      </w:r>
      <w:r>
        <w:t xml:space="preserve"> the number of </w:t>
      </w:r>
      <w:r w:rsidR="00EB7F38">
        <w:t>customers</w:t>
      </w:r>
      <w:r w:rsidR="002B0980">
        <w:t xml:space="preserve"> whom Henderson served. </w:t>
      </w:r>
      <w:r>
        <w:t>Extensive lists of goods sold for ready money and exchanged in barter are contained in the 1760 ledger, representing individuals who did not hold accounts with the store and whose numbers are difficult to estimate</w:t>
      </w:r>
      <w:r w:rsidR="00EB7F38">
        <w:t xml:space="preserve"> (John Glassford and Company Records 1760)</w:t>
      </w:r>
      <w:r>
        <w:t xml:space="preserve">.      </w:t>
      </w:r>
    </w:p>
    <w:p w:rsidR="008203A5" w:rsidRDefault="008203A5" w:rsidP="008203A5">
      <w:pPr>
        <w:spacing w:line="480" w:lineRule="auto"/>
        <w:ind w:firstLine="720"/>
      </w:pPr>
      <w:r w:rsidRPr="00DE3DDA">
        <w:rPr>
          <w:i/>
        </w:rPr>
        <w:t>Data Entry.</w:t>
      </w:r>
      <w:r>
        <w:rPr>
          <w:i/>
        </w:rPr>
        <w:t xml:space="preserve"> </w:t>
      </w:r>
      <w:r>
        <w:t>The first stage of the Scheme of Goods Project began by entering each individual item ordered in an Excel spreadsheet to create a digital transcription of the published versi</w:t>
      </w:r>
      <w:r w:rsidR="002B0980">
        <w:t xml:space="preserve">on (Hamrick and Hamrick 1999). </w:t>
      </w:r>
      <w:r>
        <w:t xml:space="preserve">I began the second phase, cataloguing these entries, following the completion of the Invoices and Orders Project </w:t>
      </w:r>
      <w:r w:rsidRPr="008F7BE7">
        <w:t>(</w:t>
      </w:r>
      <w:r>
        <w:t xml:space="preserve">Mount Vernon </w:t>
      </w:r>
      <w:r w:rsidRPr="008F7BE7">
        <w:t>Archaeology Department 2012a)</w:t>
      </w:r>
      <w:r w:rsidR="002B0980">
        <w:t xml:space="preserve">. </w:t>
      </w:r>
      <w:r w:rsidRPr="00DE3DDA">
        <w:t xml:space="preserve">The </w:t>
      </w:r>
      <w:r>
        <w:t xml:space="preserve">data entry </w:t>
      </w:r>
      <w:r w:rsidRPr="00DE3DDA">
        <w:t xml:space="preserve">fields </w:t>
      </w:r>
      <w:r>
        <w:t>are described in Table 6-4</w:t>
      </w:r>
      <w:r w:rsidRPr="00DE3DDA">
        <w:t>.</w:t>
      </w:r>
      <w:r w:rsidR="002B0980">
        <w:t xml:space="preserve"> </w:t>
      </w:r>
      <w:r w:rsidRPr="00DE3DDA">
        <w:t>Every effort was made t</w:t>
      </w:r>
      <w:r>
        <w:t>o standardize the format of the scheme of goods</w:t>
      </w:r>
      <w:r w:rsidRPr="00DE3DDA">
        <w:t xml:space="preserve"> spreadsheet with the Invoices and Orders Pro</w:t>
      </w:r>
      <w:r w:rsidRPr="008F7BE7">
        <w:t>ject, including fields like qualifiers, items, categories, and subcategories, to facilitate comparison where possib</w:t>
      </w:r>
      <w:r w:rsidR="002B0980">
        <w:t xml:space="preserve">le. </w:t>
      </w:r>
      <w:r>
        <w:t>There are some exceptions, based on th</w:t>
      </w:r>
      <w:r w:rsidR="002B0980">
        <w:t xml:space="preserve">e nature of the documentation. </w:t>
      </w:r>
      <w:r>
        <w:t xml:space="preserve">Referring back to Table 5-2, shipping, vendor, and invoice details are not captured in the Colchester store dataset because these details </w:t>
      </w:r>
      <w:r w:rsidR="002B0980">
        <w:t>were not recorded historically.</w:t>
      </w:r>
      <w:r>
        <w:t xml:space="preserve"> The unit price and cost fields record what Henderson believed those items were worth, not what he paid Glassford for them or what he charged his customers, whereas these fields in the invoices and orders dataset record the prices that George Washington was charged. </w:t>
      </w:r>
      <w:r w:rsidRPr="00DE3DDA">
        <w:t xml:space="preserve">There is also a category of data captured in the scheme of goods </w:t>
      </w:r>
      <w:r>
        <w:t>catalogue that is unique to this</w:t>
      </w:r>
      <w:r w:rsidRPr="00DE3DDA">
        <w:t xml:space="preserve"> dataset – these are the comments interspersed into the inventories that sometimes pertain to </w:t>
      </w:r>
      <w:r>
        <w:t>specific items and other times we</w:t>
      </w:r>
      <w:r w:rsidR="008B3760">
        <w:t xml:space="preserve">re general comments. </w:t>
      </w:r>
      <w:r w:rsidRPr="00DE3DDA">
        <w:t xml:space="preserve">For example, in the 1759 scheme, Henderson writes, “The Earthen Ware from </w:t>
      </w:r>
      <w:r w:rsidRPr="00DE3DDA">
        <w:lastRenderedPageBreak/>
        <w:t>Glasgow is intolerably bad and 50% dearer than from Liverpool,” hinting to Glassford that he should provide the store with ceramics from Liverpool and not Glasgow in the future</w:t>
      </w:r>
      <w:r>
        <w:t xml:space="preserve"> (Hamrick and Ha</w:t>
      </w:r>
      <w:r w:rsidRPr="004A3BB4">
        <w:t>mrick 1999:4</w:t>
      </w:r>
      <w:r>
        <w:t>)</w:t>
      </w:r>
      <w:r w:rsidR="008B3760">
        <w:t xml:space="preserve">. </w:t>
      </w:r>
      <w:r w:rsidRPr="00DE3DDA">
        <w:t xml:space="preserve">This comment, and others </w:t>
      </w:r>
      <w:r>
        <w:t>pertaining to specific items</w:t>
      </w:r>
      <w:r w:rsidRPr="00DE3DDA">
        <w:t xml:space="preserve">, </w:t>
      </w:r>
      <w:r>
        <w:t>was recorded in the</w:t>
      </w:r>
      <w:r w:rsidRPr="00DE3DDA">
        <w:t xml:space="preserve"> </w:t>
      </w:r>
      <w:r>
        <w:t>description field</w:t>
      </w:r>
      <w:r w:rsidRPr="00DE3DDA">
        <w:t xml:space="preserve"> for the </w:t>
      </w:r>
      <w:r>
        <w:t xml:space="preserve">relevant </w:t>
      </w:r>
      <w:r w:rsidR="008B3760">
        <w:t xml:space="preserve">earthenwares. </w:t>
      </w:r>
      <w:r w:rsidRPr="00DE3DDA">
        <w:t xml:space="preserve">Additionally, it was separated out </w:t>
      </w:r>
      <w:r>
        <w:t xml:space="preserve">and recorded </w:t>
      </w:r>
      <w:r w:rsidRPr="00DE3DDA">
        <w:t xml:space="preserve">as </w:t>
      </w:r>
      <w:r>
        <w:t>“</w:t>
      </w:r>
      <w:r w:rsidRPr="00DE3DDA">
        <w:t>comment</w:t>
      </w:r>
      <w:r>
        <w:t>” in the item field</w:t>
      </w:r>
      <w:r w:rsidRPr="00DE3DDA">
        <w:t xml:space="preserve"> with the thought that it provides important information on material culture and the direct trade system that might w</w:t>
      </w:r>
      <w:r w:rsidR="008B3760">
        <w:t xml:space="preserve">arrant study in its own right. </w:t>
      </w:r>
      <w:r w:rsidRPr="008F7BE7">
        <w:t>The manual, search tips, frequently asked questions, an online searchable database</w:t>
      </w:r>
      <w:r>
        <w:t>,</w:t>
      </w:r>
      <w:r w:rsidRPr="008F7BE7">
        <w:t xml:space="preserve"> and the downloadable dataset are available to researchers through the Mount Vernon Midden website (</w:t>
      </w:r>
      <w:r w:rsidRPr="008F7BE7">
        <w:rPr>
          <w:rFonts w:eastAsia="Calibri"/>
        </w:rPr>
        <w:t>Mount Vernon Archaeology Department 2012</w:t>
      </w:r>
      <w:r>
        <w:rPr>
          <w:rFonts w:eastAsia="Calibri"/>
        </w:rPr>
        <w:t>b</w:t>
      </w:r>
      <w:r w:rsidRPr="008F7BE7">
        <w:t>).</w:t>
      </w:r>
    </w:p>
    <w:p w:rsidR="008203A5" w:rsidRDefault="008203A5" w:rsidP="008203A5">
      <w:pPr>
        <w:spacing w:line="480" w:lineRule="auto"/>
      </w:pPr>
    </w:p>
    <w:p w:rsidR="008203A5" w:rsidRDefault="008203A5" w:rsidP="008203A5">
      <w:pPr>
        <w:rPr>
          <w:b/>
        </w:rPr>
      </w:pPr>
      <w:r>
        <w:rPr>
          <w:b/>
        </w:rPr>
        <w:t>Table 6-4</w:t>
      </w:r>
      <w:r w:rsidRPr="00960C64">
        <w:rPr>
          <w:b/>
        </w:rPr>
        <w:t>.</w:t>
      </w:r>
      <w:r w:rsidRPr="006E48B7">
        <w:t xml:space="preserve"> Data entry fields for the Scheme of Goods Project.</w:t>
      </w:r>
    </w:p>
    <w:p w:rsidR="008203A5" w:rsidRPr="006E48B7" w:rsidRDefault="008203A5" w:rsidP="008203A5">
      <w:pPr>
        <w:rPr>
          <w:b/>
        </w:rPr>
      </w:pPr>
      <w:r w:rsidRPr="008F7BE7">
        <w:t xml:space="preserve">  </w:t>
      </w:r>
    </w:p>
    <w:tbl>
      <w:tblPr>
        <w:tblW w:w="9285" w:type="dxa"/>
        <w:tblInd w:w="93" w:type="dxa"/>
        <w:tblLook w:val="04A0"/>
      </w:tblPr>
      <w:tblGrid>
        <w:gridCol w:w="1995"/>
        <w:gridCol w:w="7290"/>
      </w:tblGrid>
      <w:tr w:rsidR="008203A5" w:rsidRPr="006E48B7" w:rsidTr="00E91746">
        <w:trPr>
          <w:trHeight w:val="255"/>
        </w:trPr>
        <w:tc>
          <w:tcPr>
            <w:tcW w:w="1995" w:type="dxa"/>
            <w:tcBorders>
              <w:top w:val="single" w:sz="4" w:space="0" w:color="auto"/>
              <w:left w:val="single" w:sz="4" w:space="0" w:color="auto"/>
              <w:bottom w:val="single" w:sz="4" w:space="0" w:color="auto"/>
              <w:right w:val="single" w:sz="4" w:space="0" w:color="auto"/>
            </w:tcBorders>
            <w:shd w:val="clear" w:color="000000" w:fill="BFBFBF"/>
            <w:vAlign w:val="bottom"/>
            <w:hideMark/>
          </w:tcPr>
          <w:p w:rsidR="008203A5" w:rsidRPr="006E48B7" w:rsidRDefault="008203A5" w:rsidP="00E91746">
            <w:pPr>
              <w:rPr>
                <w:rFonts w:eastAsia="Times New Roman"/>
                <w:b/>
                <w:color w:val="000000"/>
                <w:sz w:val="20"/>
              </w:rPr>
            </w:pPr>
            <w:r w:rsidRPr="006E48B7">
              <w:rPr>
                <w:rFonts w:eastAsia="Times New Roman"/>
                <w:b/>
                <w:color w:val="000000"/>
                <w:sz w:val="20"/>
              </w:rPr>
              <w:t xml:space="preserve">Field </w:t>
            </w:r>
          </w:p>
        </w:tc>
        <w:tc>
          <w:tcPr>
            <w:tcW w:w="7290" w:type="dxa"/>
            <w:tcBorders>
              <w:top w:val="single" w:sz="4" w:space="0" w:color="auto"/>
              <w:left w:val="nil"/>
              <w:bottom w:val="single" w:sz="4" w:space="0" w:color="auto"/>
              <w:right w:val="single" w:sz="4" w:space="0" w:color="auto"/>
            </w:tcBorders>
            <w:shd w:val="clear" w:color="000000" w:fill="BFBFBF"/>
            <w:vAlign w:val="bottom"/>
            <w:hideMark/>
          </w:tcPr>
          <w:p w:rsidR="008203A5" w:rsidRPr="006E48B7" w:rsidRDefault="008203A5" w:rsidP="00E91746">
            <w:pPr>
              <w:rPr>
                <w:rFonts w:eastAsia="Times New Roman"/>
                <w:b/>
                <w:color w:val="000000"/>
                <w:sz w:val="20"/>
              </w:rPr>
            </w:pPr>
            <w:r w:rsidRPr="006E48B7">
              <w:rPr>
                <w:rFonts w:eastAsia="Times New Roman"/>
                <w:b/>
                <w:color w:val="000000"/>
                <w:sz w:val="20"/>
              </w:rPr>
              <w:t>Description</w:t>
            </w:r>
          </w:p>
        </w:tc>
      </w:tr>
      <w:tr w:rsidR="008203A5" w:rsidRPr="006E48B7" w:rsidTr="00E91746">
        <w:trPr>
          <w:trHeight w:val="255"/>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Year</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Year item would have appeared in the store.</w:t>
            </w:r>
          </w:p>
        </w:tc>
      </w:tr>
      <w:tr w:rsidR="008203A5" w:rsidRPr="006E48B7" w:rsidTr="00E91746">
        <w:trPr>
          <w:trHeight w:val="510"/>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Folio Page</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 xml:space="preserve">The folio page is the reference to where the item can be found in the original document.  </w:t>
            </w:r>
          </w:p>
        </w:tc>
      </w:tr>
      <w:tr w:rsidR="008203A5" w:rsidRPr="006E48B7" w:rsidTr="00E91746">
        <w:trPr>
          <w:trHeight w:val="305"/>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Reference</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The reference is to the corresponding page in Hamrick and Hamrick (1999).</w:t>
            </w:r>
          </w:p>
        </w:tc>
      </w:tr>
      <w:tr w:rsidR="008203A5" w:rsidRPr="006E48B7" w:rsidTr="00E91746">
        <w:trPr>
          <w:trHeight w:val="255"/>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Item number</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Sequential number in the order the item appears in the inventory.</w:t>
            </w:r>
          </w:p>
        </w:tc>
      </w:tr>
      <w:tr w:rsidR="008203A5" w:rsidRPr="006E48B7" w:rsidTr="00E91746">
        <w:trPr>
          <w:trHeight w:val="255"/>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Quantity</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The count of the item ordered.</w:t>
            </w:r>
          </w:p>
        </w:tc>
      </w:tr>
      <w:tr w:rsidR="008203A5" w:rsidRPr="006E48B7" w:rsidTr="00E91746">
        <w:trPr>
          <w:trHeight w:val="278"/>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Qualifier</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Used if the quantity recorded is not per piece (i.e., pair, yard, pound).</w:t>
            </w:r>
          </w:p>
        </w:tc>
      </w:tr>
      <w:tr w:rsidR="008203A5" w:rsidRPr="006E48B7" w:rsidTr="00E91746">
        <w:trPr>
          <w:trHeight w:val="255"/>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Item</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A one or two word name for the good received.</w:t>
            </w:r>
          </w:p>
        </w:tc>
      </w:tr>
      <w:tr w:rsidR="008203A5" w:rsidRPr="006E48B7" w:rsidTr="00E91746">
        <w:trPr>
          <w:trHeight w:val="510"/>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Category</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The broad grouping into which the item falls (i.e., weapons, furniture, textiles) to facilitate macro-analyses.</w:t>
            </w:r>
          </w:p>
        </w:tc>
      </w:tr>
      <w:tr w:rsidR="008203A5" w:rsidRPr="006E48B7" w:rsidTr="00E91746">
        <w:trPr>
          <w:trHeight w:val="510"/>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Subcategory</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The sub-grouping into which the item falls (for textiles, i.e., bedding, fabric, alcohol).</w:t>
            </w:r>
          </w:p>
        </w:tc>
      </w:tr>
      <w:tr w:rsidR="008203A5" w:rsidRPr="006E48B7" w:rsidTr="00E91746">
        <w:trPr>
          <w:trHeight w:val="510"/>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Inventory Description</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A record of the description of the item exactly as it appears in the Scheme of Goods.</w:t>
            </w:r>
          </w:p>
        </w:tc>
      </w:tr>
      <w:tr w:rsidR="008203A5" w:rsidRPr="006E48B7" w:rsidTr="00E91746">
        <w:trPr>
          <w:trHeight w:val="510"/>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Unit Price</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Not always recorded, but the cost of a unit of the item, as opposed to the total cost.</w:t>
            </w:r>
          </w:p>
        </w:tc>
      </w:tr>
      <w:tr w:rsidR="008203A5" w:rsidRPr="006E48B7" w:rsidTr="00E91746">
        <w:trPr>
          <w:trHeight w:val="255"/>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 xml:space="preserve">Pound </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The total cost of the item.</w:t>
            </w:r>
          </w:p>
        </w:tc>
      </w:tr>
      <w:tr w:rsidR="008203A5" w:rsidRPr="006E48B7" w:rsidTr="00E91746">
        <w:trPr>
          <w:trHeight w:val="255"/>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 xml:space="preserve">Shilling </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The total cost of the item.</w:t>
            </w:r>
          </w:p>
        </w:tc>
      </w:tr>
      <w:tr w:rsidR="008203A5" w:rsidRPr="006E48B7" w:rsidTr="00E91746">
        <w:trPr>
          <w:trHeight w:val="255"/>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Pence</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The total cost of the item.</w:t>
            </w:r>
          </w:p>
        </w:tc>
      </w:tr>
      <w:tr w:rsidR="008203A5" w:rsidRPr="006E48B7" w:rsidTr="00E91746">
        <w:trPr>
          <w:trHeight w:val="260"/>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List</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Used to denote if multiple items are recorded as a list with only one total cost.</w:t>
            </w:r>
          </w:p>
        </w:tc>
      </w:tr>
      <w:tr w:rsidR="008203A5" w:rsidRPr="006E48B7" w:rsidTr="00E91746">
        <w:trPr>
          <w:trHeight w:val="510"/>
        </w:trPr>
        <w:tc>
          <w:tcPr>
            <w:tcW w:w="199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Note</w:t>
            </w:r>
          </w:p>
        </w:tc>
        <w:tc>
          <w:tcPr>
            <w:tcW w:w="7290" w:type="dxa"/>
            <w:tcBorders>
              <w:top w:val="nil"/>
              <w:left w:val="nil"/>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Records individual items that were part of a list of items with one cost or for any other comments.</w:t>
            </w:r>
          </w:p>
        </w:tc>
      </w:tr>
    </w:tbl>
    <w:p w:rsidR="008203A5" w:rsidRDefault="008203A5" w:rsidP="008203A5">
      <w:pPr>
        <w:rPr>
          <w:b/>
        </w:rPr>
      </w:pPr>
    </w:p>
    <w:p w:rsidR="008203A5" w:rsidRDefault="008203A5" w:rsidP="008203A5">
      <w:pPr>
        <w:rPr>
          <w:b/>
        </w:rPr>
      </w:pPr>
    </w:p>
    <w:p w:rsidR="008203A5" w:rsidRDefault="008203A5" w:rsidP="008203A5">
      <w:pPr>
        <w:spacing w:line="480" w:lineRule="auto"/>
        <w:ind w:firstLine="720"/>
      </w:pPr>
      <w:r w:rsidRPr="005323C1">
        <w:rPr>
          <w:i/>
        </w:rPr>
        <w:lastRenderedPageBreak/>
        <w:t>Strengths and Weaknesses.</w:t>
      </w:r>
      <w:r w:rsidR="008B3760">
        <w:t xml:space="preserve"> </w:t>
      </w:r>
      <w:r>
        <w:t xml:space="preserve">The schemes of goods fall short on two accounts – they are not an exact representation of everything that was stocked and sold, and their ability to contribute towards an understanding of </w:t>
      </w:r>
      <w:r w:rsidR="008B3760">
        <w:t xml:space="preserve">pricing structures is limited. </w:t>
      </w:r>
      <w:r>
        <w:t>The schemes are contained in a larger book of one-way correspondences from Alexander Henderson primarily to his boss in Scotland, John Gl</w:t>
      </w:r>
      <w:r w:rsidR="008B3760">
        <w:t xml:space="preserve">assford. </w:t>
      </w:r>
      <w:r>
        <w:t xml:space="preserve">Keeping copies of letters and schemes of goods was essential to a well-managed store.  Much of the correspondence was dominated by discussions of the tobacco trade, </w:t>
      </w:r>
      <w:r w:rsidR="008B3760">
        <w:t>quantities and prices received.</w:t>
      </w:r>
      <w:r>
        <w:t xml:space="preserve"> Some of the discussions pertain to store merchandise and procurement, and suggest that Henderson received his rum and sugar from other merchants and occasionally from</w:t>
      </w:r>
      <w:r w:rsidR="008B3760">
        <w:t xml:space="preserve"> other Glassford-owned stores. </w:t>
      </w:r>
      <w:r>
        <w:t>The latter occasionally applies to other types of good</w:t>
      </w:r>
      <w:r w:rsidR="008B3760">
        <w:t xml:space="preserve">s in small quantities as well. </w:t>
      </w:r>
      <w:r>
        <w:t>For example, in 1761, Henderson wrote, “Inclos’d is a Scheme of Goods for this Store next year which amounts to about £750 exclusive of my West India articles…” (</w:t>
      </w:r>
      <w:r w:rsidR="008B3760">
        <w:t xml:space="preserve">Hamrick and Hamrick 1999:130). </w:t>
      </w:r>
      <w:r>
        <w:t>Previous research on store ledgers provides evidence time and time again that the staples of the retail trade were products of the West Indies – rum and loaf sugar (Walsh et al. 1</w:t>
      </w:r>
      <w:r w:rsidR="008B3760">
        <w:t xml:space="preserve">997; Heath 2004; Martin 2008). </w:t>
      </w:r>
      <w:r>
        <w:t xml:space="preserve">Henderson did order 10 hogsheads of rum in 1762, but presumably sold the liquor before and </w:t>
      </w:r>
      <w:r w:rsidR="008B3760">
        <w:t xml:space="preserve">after the 1762 supply ran out. </w:t>
      </w:r>
      <w:r>
        <w:t>The supply of sugar was more frequently replenished every year, except 1761, but in 1764 Henderson noted that he did not want the order for 620 pounds of sugar filled unless the price Glassford could get was significantly less than purchasing it from the town of Norfolk, Virginia (</w:t>
      </w:r>
      <w:r w:rsidR="008B3760">
        <w:t xml:space="preserve">Hamrick and Hamrick 1999:220). </w:t>
      </w:r>
      <w:r>
        <w:t xml:space="preserve">The foodways study also sheds light on the fact that some foodstuffs (meat and poultry, for example) may have been procured locally for sale </w:t>
      </w:r>
      <w:r w:rsidR="008B3760">
        <w:t xml:space="preserve">or resale (Walsh et al. 1997). </w:t>
      </w:r>
      <w:r>
        <w:t xml:space="preserve">Therefore the schemes of goods may not offer an accurate reflection of the stock or sale of certain food-related staples.  </w:t>
      </w:r>
    </w:p>
    <w:p w:rsidR="008203A5" w:rsidRDefault="008203A5" w:rsidP="008203A5">
      <w:pPr>
        <w:spacing w:line="480" w:lineRule="auto"/>
        <w:ind w:firstLine="720"/>
      </w:pPr>
      <w:r>
        <w:lastRenderedPageBreak/>
        <w:t xml:space="preserve">Additionally, the value for the goods recorded </w:t>
      </w:r>
      <w:r w:rsidR="008B3760">
        <w:t xml:space="preserve">in the orders is inconsistent. </w:t>
      </w:r>
      <w:r>
        <w:t>For example, nearly every item was individually assigned a value in the 1759 scheme, while one of the schemes for 1763 (1763, a) has n</w:t>
      </w:r>
      <w:r w:rsidR="008B3760">
        <w:t xml:space="preserve">o cost information whatsoever. </w:t>
      </w:r>
      <w:r>
        <w:t xml:space="preserve">Without the matching invoice of items shipped by Glassford and until the completion of the transcription of the ledgers, we do not know the prices that Alexander Henderson </w:t>
      </w:r>
      <w:r w:rsidR="008B3760">
        <w:t>set for his merchandise.</w:t>
      </w:r>
      <w:r>
        <w:t xml:space="preserve"> When he recorded 4 double dozen pins at £1.0.0, 1 dozen fashionable fans at £0.12.0, 1 gross black mourning sleeve buttons for £0.4.6, we do not know if he sold the items for the pr</w:t>
      </w:r>
      <w:r w:rsidR="008B3760">
        <w:t xml:space="preserve">ices listed or marked them up. </w:t>
      </w:r>
      <w:r>
        <w:t>Four factors dictated the “advance,” the term used to represent the difference between the purchase cost and the sale price: the purchase cost; the exchange rate; the profit margin; and ot</w:t>
      </w:r>
      <w:r w:rsidR="008B3760">
        <w:t xml:space="preserve">her less quantifiable factors. </w:t>
      </w:r>
      <w:r>
        <w:t>To the latter, the price of the same fashionable fan could vary depending upon the customer’s status and reputation, on their method of payment (cash or credit, sterling or currency, tobacco or barter), on the type of good being sold, on the prices offered by competitors, on the month or year, and/or on the demand for</w:t>
      </w:r>
      <w:r w:rsidR="008B3760">
        <w:t xml:space="preserve"> the item (Reber 2003:37, 80). </w:t>
      </w:r>
      <w:r>
        <w:t>In fact, it appears that individuals who purchased goods with cash got a better deal than those</w:t>
      </w:r>
      <w:r w:rsidR="008B3760">
        <w:t xml:space="preserve"> using credit (Reber 2003:81). </w:t>
      </w:r>
      <w:r>
        <w:t>George Washington and his peers believed strongly that they were paying more for goods through consignment than their counterp</w:t>
      </w:r>
      <w:r w:rsidR="008B3760">
        <w:t xml:space="preserve">arts shopping at local stores. </w:t>
      </w:r>
      <w:r>
        <w:t>Certainly the cost of associated consignment fees (packaging and commission, for exa</w:t>
      </w:r>
      <w:r w:rsidR="008B3760">
        <w:t xml:space="preserve">mple) supports their concerns. </w:t>
      </w:r>
      <w:r>
        <w:t xml:space="preserve">However, without a large-scale study of the store ledger that tracks prices for goods over time sold to different types of customers paying by different methods, this question remains intriguing yet unanswered.    </w:t>
      </w:r>
    </w:p>
    <w:p w:rsidR="008203A5" w:rsidRDefault="008203A5" w:rsidP="008203A5">
      <w:pPr>
        <w:spacing w:line="480" w:lineRule="auto"/>
        <w:ind w:firstLine="720"/>
      </w:pPr>
      <w:r w:rsidRPr="005934E7">
        <w:t>Despite these issues, this robust dataset offers important</w:t>
      </w:r>
      <w:r>
        <w:t xml:space="preserve"> evidence </w:t>
      </w:r>
      <w:r w:rsidR="005934E7">
        <w:t>about</w:t>
      </w:r>
      <w:r>
        <w:t xml:space="preserve"> local consumer practices, richer in material culture detail than wha</w:t>
      </w:r>
      <w:r w:rsidR="008B3760">
        <w:t xml:space="preserve">t is contained in the ledgers. </w:t>
      </w:r>
      <w:r>
        <w:t xml:space="preserve">For example, Reber (2003:122, table 7) calculated that customers purchased 5,546 buttons of an unspecified </w:t>
      </w:r>
      <w:r>
        <w:lastRenderedPageBreak/>
        <w:t xml:space="preserve">variety, or half of all buttons </w:t>
      </w:r>
      <w:r w:rsidR="008B3760">
        <w:t xml:space="preserve">sold over a period of 7 years. </w:t>
      </w:r>
      <w:r>
        <w:t>He contends that they were plain pewter buttons and therefore did not w</w:t>
      </w:r>
      <w:r w:rsidR="008B3760">
        <w:t xml:space="preserve">arrant qualifying information. </w:t>
      </w:r>
      <w:r>
        <w:t xml:space="preserve">More likely, however, Henderson or his employees simply did not have the time or need to record exactly what type of buttons </w:t>
      </w:r>
      <w:r w:rsidR="008B3760">
        <w:t xml:space="preserve">these were beyond their price. </w:t>
      </w:r>
      <w:r>
        <w:t>Yet from the schemes, we know that Henderson intended 19 specific varieties be sent for the</w:t>
      </w:r>
      <w:r w:rsidR="008B3760">
        <w:t xml:space="preserve"> store in 1759 and 29 in 1760. </w:t>
      </w:r>
      <w:r>
        <w:t xml:space="preserve">This pattern extends beyond buttons </w:t>
      </w:r>
      <w:r w:rsidR="008B3760">
        <w:t xml:space="preserve">to other types of merchandise. </w:t>
      </w:r>
      <w:r>
        <w:t>For example, although Henderson offered certain types of ceramic vessels in different sizes, he usually recorded only the sale of a punch bowl or a mug, followed by the price, omitting the specific capacity and other details suc</w:t>
      </w:r>
      <w:r w:rsidR="008B3760">
        <w:t xml:space="preserve">h as ware type and decoration. </w:t>
      </w:r>
      <w:r>
        <w:t>Finally, the schemes afford a picture not just of what was purchased, but most of what was for sale (with exc</w:t>
      </w:r>
      <w:r w:rsidR="008B3760">
        <w:t xml:space="preserve">eptions previously mentioned). </w:t>
      </w:r>
      <w:r>
        <w:t>Reber (2003:33) writes, “These schemes, and the correspondence that accompanies them, are revealing since they help us understand what the factor determined were the most important goods needed to at</w:t>
      </w:r>
      <w:r w:rsidR="008B3760">
        <w:t xml:space="preserve">tract customers to his store.” </w:t>
      </w:r>
      <w:r>
        <w:t xml:space="preserve">Studies utilizing annual inventories are sparse, but their contributions when undertaken have proven significant (Patrick 1990, for example) and deserve future comparative study.           </w:t>
      </w:r>
      <w:r w:rsidRPr="00DE3DDA">
        <w:t xml:space="preserve"> </w:t>
      </w:r>
    </w:p>
    <w:p w:rsidR="008203A5" w:rsidRPr="00AA2E28" w:rsidRDefault="008203A5" w:rsidP="008203A5">
      <w:pPr>
        <w:spacing w:line="480" w:lineRule="auto"/>
      </w:pPr>
      <w:r w:rsidRPr="00506A4E">
        <w:rPr>
          <w:b/>
          <w:bCs/>
        </w:rPr>
        <w:t>Summary of the Dataset</w:t>
      </w:r>
    </w:p>
    <w:p w:rsidR="008203A5" w:rsidRDefault="008203A5" w:rsidP="008203A5">
      <w:pPr>
        <w:spacing w:line="480" w:lineRule="auto"/>
        <w:ind w:firstLine="720"/>
      </w:pPr>
      <w:r w:rsidRPr="00073E97">
        <w:rPr>
          <w:i/>
        </w:rPr>
        <w:t>Chronology.</w:t>
      </w:r>
      <w:r w:rsidR="008B3760">
        <w:t xml:space="preserve"> </w:t>
      </w:r>
      <w:r>
        <w:t>Alexander Henderson came into the retail trade as a young Scottish immigrant via his older brother, Archibald, who mana</w:t>
      </w:r>
      <w:r w:rsidR="008B3760">
        <w:t xml:space="preserve">ged a store on Quantico Creek. </w:t>
      </w:r>
      <w:r>
        <w:t>When Archibald established a store in Colchester in 1758, he hired Henderson to oversee the star</w:t>
      </w:r>
      <w:r w:rsidR="008B3760">
        <w:t>tup and operation.</w:t>
      </w:r>
      <w:r>
        <w:t xml:space="preserve"> Initially, Henderson rented a storehouse, which sold goods every month</w:t>
      </w:r>
      <w:r w:rsidR="008B3760">
        <w:t xml:space="preserve"> for £20 to £50 (Spouse 1975). </w:t>
      </w:r>
      <w:r>
        <w:t>He recorded his first scheme of goods in the summer of 1758 for a total of £</w:t>
      </w:r>
      <w:r w:rsidR="008B3760">
        <w:t xml:space="preserve">1239.9.0 worth of merchandise. </w:t>
      </w:r>
      <w:r>
        <w:t xml:space="preserve">Except for the schemes of goods recorded in 1758 and 1763, Henderson often had to follow up large orders for goods with supplements representing goods </w:t>
      </w:r>
      <w:r>
        <w:lastRenderedPageBreak/>
        <w:t>that he had forgotten, not anticipated, or not ordered enough of initially, or occasion</w:t>
      </w:r>
      <w:r w:rsidR="008B3760">
        <w:t xml:space="preserve">ally goods that never arrived. </w:t>
      </w:r>
      <w:r>
        <w:t>The last scheme entry was recorded in</w:t>
      </w:r>
      <w:r w:rsidR="008B3760">
        <w:t xml:space="preserve"> 1764 for the subsequent year. </w:t>
      </w:r>
      <w:r>
        <w:t>Though Henderson’s store continued to operate at least through 1770, when documentation ends, there exist no schemes o</w:t>
      </w:r>
      <w:r w:rsidR="008B3760">
        <w:t xml:space="preserve">f goods for the late 1760s on. </w:t>
      </w:r>
      <w:r>
        <w:t>The end of the scheme of goods documentation coincided with Henderson’s purchase of a lot for a store in Alexandria in 1767, perhaps relinquishing some managerial control of the Colchester store</w:t>
      </w:r>
      <w:r w:rsidR="008B3760">
        <w:t xml:space="preserve"> at this time (Cuddy 2008:62). </w:t>
      </w:r>
      <w:r>
        <w:t>This dataset, unlike George Washington’s invoices and orders, was probably not affected by the political events of the Stamp Act and reactionary non-importation agreements, n</w:t>
      </w:r>
      <w:r w:rsidR="008B3760">
        <w:t xml:space="preserve">one of which began until 1765. </w:t>
      </w:r>
      <w:r>
        <w:t xml:space="preserve">Henderson was mostly likely concerned by these larger issues, as reflected in his purchase of a copy of the Stamp Act in the summer of 1765, but not until at least a year after the last documented scheme of goods was recorded (Sprouse 1975:48).   </w:t>
      </w:r>
      <w:r w:rsidRPr="00073E97">
        <w:rPr>
          <w:i/>
        </w:rPr>
        <w:t xml:space="preserve">  </w:t>
      </w:r>
    </w:p>
    <w:p w:rsidR="008203A5" w:rsidRDefault="008203A5" w:rsidP="008203A5">
      <w:pPr>
        <w:spacing w:line="480" w:lineRule="auto"/>
        <w:ind w:firstLine="720"/>
      </w:pPr>
      <w:r w:rsidRPr="00073E97">
        <w:rPr>
          <w:i/>
        </w:rPr>
        <w:t xml:space="preserve">Sum Totals. </w:t>
      </w:r>
      <w:r>
        <w:t>The dataset contains 2</w:t>
      </w:r>
      <w:r w:rsidR="00A32BB6">
        <w:t>,</w:t>
      </w:r>
      <w:r w:rsidR="008B3760">
        <w:t xml:space="preserve">329 total entries. </w:t>
      </w:r>
      <w:r>
        <w:t>These entries break</w:t>
      </w:r>
      <w:r w:rsidR="00A32BB6">
        <w:t xml:space="preserve"> </w:t>
      </w:r>
      <w:r>
        <w:t>down in</w:t>
      </w:r>
      <w:r w:rsidR="008B3760">
        <w:t xml:space="preserve">to 52 comments and 2277 items. </w:t>
      </w:r>
      <w:r>
        <w:t xml:space="preserve">Over the span of 6 years, Henderson ordered merchandise totaling at least £7000.  </w:t>
      </w:r>
    </w:p>
    <w:p w:rsidR="008203A5" w:rsidRDefault="008203A5" w:rsidP="008203A5">
      <w:pPr>
        <w:spacing w:line="480" w:lineRule="auto"/>
        <w:ind w:firstLine="720"/>
      </w:pPr>
      <w:r>
        <w:rPr>
          <w:i/>
        </w:rPr>
        <w:t>Chronology of Consumerism by Count</w:t>
      </w:r>
      <w:r w:rsidRPr="00073E97">
        <w:rPr>
          <w:i/>
        </w:rPr>
        <w:t xml:space="preserve">. </w:t>
      </w:r>
      <w:r>
        <w:t>The years in which Henderson ordered the most goods were 1759 and 1760, attributable to the fact that he was just starting the Colchester store at this time</w:t>
      </w:r>
      <w:r w:rsidR="008B3760">
        <w:t xml:space="preserve"> (Figure 6-1). </w:t>
      </w:r>
      <w:r>
        <w:t>This is not a calculation of the total quantity of individual items stocked in the Colchester store on a yearly basis, for this m</w:t>
      </w:r>
      <w:r w:rsidR="008B3760">
        <w:t xml:space="preserve">etric is impossible to assess. </w:t>
      </w:r>
      <w:r>
        <w:t>Instead, it is the total number of different items and different types of the sa</w:t>
      </w:r>
      <w:r w:rsidR="008B3760">
        <w:t xml:space="preserve">me item, ordered by Henderson. </w:t>
      </w:r>
      <w:r>
        <w:t xml:space="preserve">In addition, these are goods that Henderson hoped to offer for sale, but as seen in the comments and elsewhere in his correspondence with John Glassford, these orders were not always met (Hamrick and Hamrick 1999; Mount Vernon </w:t>
      </w:r>
      <w:r w:rsidR="008B3760">
        <w:t xml:space="preserve">Archaeology Department 2012b). </w:t>
      </w:r>
      <w:r>
        <w:t xml:space="preserve">The metric being </w:t>
      </w:r>
      <w:r>
        <w:lastRenderedPageBreak/>
        <w:t xml:space="preserve">recorded in this graph are the counts of individual orders listed in the schemes of goods on a yearly basis.    </w:t>
      </w:r>
    </w:p>
    <w:p w:rsidR="00CC35DE" w:rsidRDefault="00CC35DE" w:rsidP="00CC35DE">
      <w:pPr>
        <w:spacing w:line="480" w:lineRule="auto"/>
        <w:ind w:firstLine="720"/>
      </w:pPr>
      <w:r>
        <w:rPr>
          <w:i/>
        </w:rPr>
        <w:t>Chronology of Consumerism by Cost</w:t>
      </w:r>
      <w:r w:rsidRPr="00073E97">
        <w:rPr>
          <w:i/>
        </w:rPr>
        <w:t xml:space="preserve">. </w:t>
      </w:r>
      <w:r>
        <w:t>Cost calculations cannot be estimated for some of the 1763 (1763, a; 1763, addition 1; 1763, addition 2) and 1765 (1765, addition) orders (Table 6-5). Despite the fact that this documentation is missing, we can estimate the total value of the goods listed in the yearly schemes (Figure 6-2). These values most likely underestimate what was on hand in the store at any given point, since unsold merchandise from previous years undoubtedly still lined the shelves. Henderson reported that on December 31</w:t>
      </w:r>
      <w:r w:rsidRPr="00AA2E28">
        <w:rPr>
          <w:vertAlign w:val="superscript"/>
        </w:rPr>
        <w:t>st</w:t>
      </w:r>
      <w:r>
        <w:t xml:space="preserve">, 1761, the inventory of the merchandise on hand amounted to £1476.14.4 ¼, about £1000 more than the value of goods ordered for that year </w:t>
      </w:r>
      <w:r w:rsidRPr="00E5628C">
        <w:t>(Hamrick and Hamrick 1999:146)</w:t>
      </w:r>
      <w:r>
        <w:t xml:space="preserve">. Just as the number of items ordered for the store dipped in 1761, so too did anticipated expenditures – to less than £500. As expected, store inventory valuations mirror the counts of items ordered for each year, especially when we consider that 1763 and 1765 are underestimates. Over the course of the 6 years, Henderson’s minimum anticipated inventory value was £6941.9.5. The value of the merchandise stocked in the Colchester store over 6 years far exceeded what Washington spent on imported consumer goods (£4694) over nearly two decades. </w:t>
      </w:r>
    </w:p>
    <w:p w:rsidR="008203A5" w:rsidRDefault="008203A5" w:rsidP="008203A5">
      <w:pPr>
        <w:spacing w:line="480" w:lineRule="auto"/>
        <w:ind w:firstLine="720"/>
      </w:pPr>
    </w:p>
    <w:p w:rsidR="008203A5" w:rsidRDefault="008203A5" w:rsidP="008203A5">
      <w:r w:rsidRPr="00656670">
        <w:rPr>
          <w:noProof/>
        </w:rPr>
        <w:lastRenderedPageBreak/>
        <w:drawing>
          <wp:inline distT="0" distB="0" distL="0" distR="0">
            <wp:extent cx="4572000" cy="2743200"/>
            <wp:effectExtent l="0" t="0" r="0" b="0"/>
            <wp:docPr id="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203A5" w:rsidRPr="006E48B7" w:rsidRDefault="008203A5" w:rsidP="008203A5">
      <w:r>
        <w:rPr>
          <w:b/>
        </w:rPr>
        <w:t>Figure 6-1</w:t>
      </w:r>
      <w:r w:rsidRPr="00237E26">
        <w:rPr>
          <w:b/>
        </w:rPr>
        <w:t>.</w:t>
      </w:r>
      <w:r w:rsidR="008B3760">
        <w:t xml:space="preserve"> </w:t>
      </w:r>
      <w:r w:rsidRPr="006E48B7">
        <w:t>Number of items ordered per year.</w:t>
      </w:r>
    </w:p>
    <w:p w:rsidR="008203A5" w:rsidRDefault="008203A5" w:rsidP="008203A5"/>
    <w:p w:rsidR="00CC35DE" w:rsidRDefault="00CC35DE" w:rsidP="008203A5"/>
    <w:p w:rsidR="00CC35DE" w:rsidRPr="00CC35DE" w:rsidRDefault="00CC35DE" w:rsidP="008203A5"/>
    <w:p w:rsidR="008203A5" w:rsidRDefault="008203A5" w:rsidP="008203A5">
      <w:pPr>
        <w:spacing w:line="480" w:lineRule="auto"/>
      </w:pPr>
      <w:r>
        <w:rPr>
          <w:b/>
        </w:rPr>
        <w:t>Table 6-5</w:t>
      </w:r>
      <w:r w:rsidRPr="003145DB">
        <w:rPr>
          <w:b/>
        </w:rPr>
        <w:t xml:space="preserve">. </w:t>
      </w:r>
      <w:r w:rsidRPr="006E48B7">
        <w:t>Value of merchandise ordered by Henderson.</w:t>
      </w:r>
      <w:r>
        <w:t xml:space="preserve"> </w:t>
      </w:r>
    </w:p>
    <w:tbl>
      <w:tblPr>
        <w:tblW w:w="6485" w:type="dxa"/>
        <w:tblInd w:w="103" w:type="dxa"/>
        <w:tblLook w:val="04A0"/>
      </w:tblPr>
      <w:tblGrid>
        <w:gridCol w:w="2795"/>
        <w:gridCol w:w="2070"/>
        <w:gridCol w:w="1620"/>
      </w:tblGrid>
      <w:tr w:rsidR="008203A5" w:rsidRPr="00CC35DE" w:rsidTr="00CC35DE">
        <w:trPr>
          <w:trHeight w:val="255"/>
        </w:trPr>
        <w:tc>
          <w:tcPr>
            <w:tcW w:w="2795"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8203A5" w:rsidRPr="00CC35DE" w:rsidRDefault="008203A5" w:rsidP="00E91746">
            <w:pPr>
              <w:rPr>
                <w:rFonts w:eastAsia="Times New Roman"/>
                <w:b/>
              </w:rPr>
            </w:pPr>
            <w:r w:rsidRPr="00CC35DE">
              <w:rPr>
                <w:rFonts w:eastAsia="Times New Roman"/>
                <w:b/>
              </w:rPr>
              <w:t>Date Recorded</w:t>
            </w:r>
          </w:p>
        </w:tc>
        <w:tc>
          <w:tcPr>
            <w:tcW w:w="207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CC35DE" w:rsidRDefault="008203A5" w:rsidP="00E91746">
            <w:pPr>
              <w:jc w:val="center"/>
              <w:rPr>
                <w:rFonts w:eastAsia="Times New Roman"/>
                <w:b/>
              </w:rPr>
            </w:pPr>
            <w:r w:rsidRPr="00CC35DE">
              <w:rPr>
                <w:rFonts w:eastAsia="Times New Roman"/>
                <w:b/>
              </w:rPr>
              <w:t>Year</w:t>
            </w:r>
          </w:p>
        </w:tc>
        <w:tc>
          <w:tcPr>
            <w:tcW w:w="162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CC35DE" w:rsidRDefault="008203A5" w:rsidP="00E91746">
            <w:pPr>
              <w:jc w:val="center"/>
              <w:rPr>
                <w:rFonts w:eastAsia="Times New Roman"/>
                <w:b/>
              </w:rPr>
            </w:pPr>
            <w:r w:rsidRPr="00CC35DE">
              <w:rPr>
                <w:rFonts w:eastAsia="Times New Roman"/>
                <w:b/>
              </w:rPr>
              <w:t>Order Value</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August 7, 1758</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1759</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1240</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July 27, 1759</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1760</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1079</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December 17, 1759</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1760, fall</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150</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July 12, 1760</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1761</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420</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August 21, 1760</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1761, addition</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77</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July 17, 1761</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1762</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750</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December 2, 1761</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1762, addition</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41</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January 18, 1762</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1763, a</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unknown</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February 8, 1762</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1763, addition 1</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unknown</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July 6, 1762</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1763, b</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1097</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October 12, 1762</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1763, addition 2</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unknown</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September 2, 1763</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1764</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1090</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September 17, 1764</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1765</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900</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[September 17, 1764]</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1765, supplement</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100</w:t>
            </w:r>
          </w:p>
        </w:tc>
      </w:tr>
      <w:tr w:rsidR="008203A5" w:rsidRPr="00CC35DE" w:rsidTr="00CC35DE">
        <w:trPr>
          <w:trHeight w:val="255"/>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rsidR="008203A5" w:rsidRPr="00CC35DE" w:rsidRDefault="008203A5" w:rsidP="00E91746">
            <w:pPr>
              <w:rPr>
                <w:rFonts w:eastAsia="Times New Roman"/>
              </w:rPr>
            </w:pPr>
            <w:r w:rsidRPr="00CC35DE">
              <w:rPr>
                <w:rFonts w:eastAsia="Times New Roman"/>
              </w:rPr>
              <w:t>December 17, 1764</w:t>
            </w:r>
          </w:p>
        </w:tc>
        <w:tc>
          <w:tcPr>
            <w:tcW w:w="207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1765, addition</w:t>
            </w:r>
          </w:p>
        </w:tc>
        <w:tc>
          <w:tcPr>
            <w:tcW w:w="1620" w:type="dxa"/>
            <w:tcBorders>
              <w:top w:val="nil"/>
              <w:left w:val="nil"/>
              <w:bottom w:val="single" w:sz="4" w:space="0" w:color="auto"/>
              <w:right w:val="single" w:sz="4" w:space="0" w:color="auto"/>
            </w:tcBorders>
            <w:shd w:val="clear" w:color="auto" w:fill="auto"/>
            <w:noWrap/>
            <w:vAlign w:val="bottom"/>
            <w:hideMark/>
          </w:tcPr>
          <w:p w:rsidR="008203A5" w:rsidRPr="00CC35DE" w:rsidRDefault="008203A5" w:rsidP="00E91746">
            <w:pPr>
              <w:jc w:val="right"/>
              <w:rPr>
                <w:rFonts w:eastAsia="Times New Roman"/>
              </w:rPr>
            </w:pPr>
            <w:r w:rsidRPr="00CC35DE">
              <w:rPr>
                <w:rFonts w:eastAsia="Times New Roman"/>
              </w:rPr>
              <w:t>unknown</w:t>
            </w:r>
          </w:p>
        </w:tc>
      </w:tr>
    </w:tbl>
    <w:p w:rsidR="008203A5" w:rsidRDefault="008203A5" w:rsidP="008203A5"/>
    <w:p w:rsidR="008203A5" w:rsidRDefault="008203A5" w:rsidP="008203A5"/>
    <w:p w:rsidR="008203A5" w:rsidRDefault="008203A5" w:rsidP="008203A5"/>
    <w:p w:rsidR="008203A5" w:rsidRDefault="008203A5" w:rsidP="008203A5">
      <w:r w:rsidRPr="003145DB">
        <w:rPr>
          <w:noProof/>
        </w:rPr>
        <w:lastRenderedPageBreak/>
        <w:drawing>
          <wp:inline distT="0" distB="0" distL="0" distR="0">
            <wp:extent cx="4572000" cy="2743200"/>
            <wp:effectExtent l="0" t="0" r="0" b="0"/>
            <wp:docPr id="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DE3DDA">
        <w:t xml:space="preserve"> </w:t>
      </w:r>
    </w:p>
    <w:p w:rsidR="008203A5" w:rsidRDefault="008203A5" w:rsidP="008203A5">
      <w:r>
        <w:rPr>
          <w:b/>
        </w:rPr>
        <w:t xml:space="preserve">Figure 6-2. </w:t>
      </w:r>
      <w:r w:rsidRPr="006E48B7">
        <w:t xml:space="preserve">Minimum value of merchandise ordered by the year Henderson intended to have the inventory stocked with estimates for 1763 and 1765.   </w:t>
      </w:r>
      <w:r>
        <w:t xml:space="preserve"> </w:t>
      </w:r>
    </w:p>
    <w:p w:rsidR="008203A5" w:rsidRPr="00CE1886" w:rsidRDefault="008203A5" w:rsidP="00CC35DE"/>
    <w:p w:rsidR="008203A5" w:rsidRDefault="008203A5" w:rsidP="00CC35DE">
      <w:pPr>
        <w:rPr>
          <w:b/>
          <w:bCs/>
        </w:rPr>
      </w:pPr>
    </w:p>
    <w:p w:rsidR="00CC35DE" w:rsidRDefault="00CC35DE" w:rsidP="00CC35DE">
      <w:pPr>
        <w:rPr>
          <w:b/>
          <w:bCs/>
        </w:rPr>
      </w:pPr>
    </w:p>
    <w:p w:rsidR="008203A5" w:rsidRPr="00393107" w:rsidRDefault="008203A5" w:rsidP="008203A5">
      <w:pPr>
        <w:spacing w:line="480" w:lineRule="auto"/>
        <w:rPr>
          <w:b/>
          <w:bCs/>
        </w:rPr>
      </w:pPr>
      <w:r w:rsidRPr="00393107">
        <w:rPr>
          <w:b/>
          <w:bCs/>
        </w:rPr>
        <w:t xml:space="preserve">Category </w:t>
      </w:r>
      <w:r w:rsidR="00C01CE8">
        <w:rPr>
          <w:b/>
          <w:bCs/>
        </w:rPr>
        <w:t xml:space="preserve">and </w:t>
      </w:r>
      <w:r w:rsidRPr="00393107">
        <w:rPr>
          <w:b/>
          <w:bCs/>
        </w:rPr>
        <w:t>Subcategory Analysis</w:t>
      </w:r>
    </w:p>
    <w:p w:rsidR="008203A5" w:rsidRDefault="008203A5" w:rsidP="008203A5">
      <w:pPr>
        <w:spacing w:line="480" w:lineRule="auto"/>
        <w:ind w:firstLine="720"/>
      </w:pPr>
      <w:r>
        <w:t>As with the invoices and orders dataset, we can delve into the broad groupings of merchandise</w:t>
      </w:r>
      <w:r w:rsidR="004D218D">
        <w:t xml:space="preserve"> stocked in Henderson’s store. </w:t>
      </w:r>
      <w:r>
        <w:t>Of the 2</w:t>
      </w:r>
      <w:r w:rsidR="00A32BB6">
        <w:t>,</w:t>
      </w:r>
      <w:r>
        <w:t>277 total entries in the scheme of goods datase</w:t>
      </w:r>
      <w:r w:rsidR="004D218D">
        <w:t xml:space="preserve">t, there are 349 unique items. </w:t>
      </w:r>
      <w:r>
        <w:t>These items fall into 20 categories or types, including groups like hardware, textiles, and weapons, and 53 subcategories, including accessories, alcohol, footwear, a</w:t>
      </w:r>
      <w:r w:rsidR="004D218D">
        <w:t xml:space="preserve">nd wall coverings (Table A-3). </w:t>
      </w:r>
      <w:r>
        <w:t>Table A-3 in the Appendix shows which items fall into which</w:t>
      </w:r>
      <w:r w:rsidR="004D218D">
        <w:t xml:space="preserve"> categories and subcategories. </w:t>
      </w:r>
      <w:r w:rsidRPr="00E04AF7">
        <w:t>Nearly three</w:t>
      </w:r>
      <w:r>
        <w:t xml:space="preserve"> quarters of the 2</w:t>
      </w:r>
      <w:r w:rsidR="00A32BB6">
        <w:t>,</w:t>
      </w:r>
      <w:r>
        <w:t>277 items fell into one of three categories: tex</w:t>
      </w:r>
      <w:r w:rsidR="004D218D">
        <w:t xml:space="preserve">tiles; clothing; and hardware. </w:t>
      </w:r>
      <w:r>
        <w:t>Each of the individual remaining categories never comprised higher than six per</w:t>
      </w:r>
      <w:r w:rsidR="004D218D">
        <w:t xml:space="preserve">cent of the total (Table 6-6). </w:t>
      </w:r>
      <w:r>
        <w:t>Reber’s (2003) study similarly found that textiles, by quantity and value, were the most signifi</w:t>
      </w:r>
      <w:r w:rsidR="00A32BB6">
        <w:t xml:space="preserve">cant category of merchandise </w:t>
      </w:r>
      <w:r>
        <w:t xml:space="preserve">recorded in the day-to-day ledger transactions </w:t>
      </w:r>
      <w:r w:rsidRPr="00E5628C">
        <w:t>(</w:t>
      </w:r>
      <w:r>
        <w:t>see also Breen 2004</w:t>
      </w:r>
      <w:r w:rsidRPr="00E5628C">
        <w:t>)</w:t>
      </w:r>
      <w:r>
        <w:t xml:space="preserve">.  </w:t>
      </w:r>
    </w:p>
    <w:p w:rsidR="008203A5" w:rsidRDefault="008203A5" w:rsidP="008203A5">
      <w:pPr>
        <w:spacing w:line="480" w:lineRule="auto"/>
      </w:pPr>
      <w:r>
        <w:tab/>
        <w:t xml:space="preserve">When calculated as a percent of the total items ordered in any given year, textiles afford us an even clearer image of their dominance as compared to other items imported from England </w:t>
      </w:r>
      <w:r>
        <w:lastRenderedPageBreak/>
        <w:t>or Scotland, as opposed to the West</w:t>
      </w:r>
      <w:r w:rsidR="004D218D">
        <w:t xml:space="preserve"> Indian staples (Figure 6-3).  </w:t>
      </w:r>
      <w:r>
        <w:t xml:space="preserve">Additionally, fluctuations within categories of merchandise ordered portray a picture of a store owner attempting to respond </w:t>
      </w:r>
      <w:r w:rsidR="004D218D">
        <w:t xml:space="preserve">to the needs of his clientele. </w:t>
      </w:r>
      <w:r>
        <w:t>From year to year, sometimes Henderson only had to make slight adjustments (reflected by an increase or decrease only one or two percent from the previous year) in the amounts of textiles, clothing, and hardware ordered</w:t>
      </w:r>
      <w:r w:rsidR="004D218D">
        <w:t xml:space="preserve"> as a percentage of the whole. </w:t>
      </w:r>
      <w:r>
        <w:t>In other years, Henderson either was running drastically low on supplies of these three major categories</w:t>
      </w:r>
      <w:r w:rsidR="004D218D">
        <w:t xml:space="preserve"> or had on hand an oversupply. </w:t>
      </w:r>
      <w:r>
        <w:t xml:space="preserve">Here, adjustments from the previous year were more extreme, reflected in increases or decreases in orders for these categories of up to 13 to 14 percent.    </w:t>
      </w:r>
    </w:p>
    <w:p w:rsidR="008203A5" w:rsidRDefault="008203A5" w:rsidP="008203A5">
      <w:pPr>
        <w:spacing w:line="480" w:lineRule="auto"/>
      </w:pPr>
    </w:p>
    <w:p w:rsidR="008203A5" w:rsidRPr="006E48B7" w:rsidRDefault="008203A5" w:rsidP="008203A5">
      <w:pPr>
        <w:spacing w:line="480" w:lineRule="auto"/>
        <w:rPr>
          <w:b/>
        </w:rPr>
      </w:pPr>
      <w:r>
        <w:rPr>
          <w:b/>
        </w:rPr>
        <w:t>Table 6-6</w:t>
      </w:r>
      <w:r w:rsidRPr="0051209D">
        <w:rPr>
          <w:b/>
        </w:rPr>
        <w:t xml:space="preserve">. </w:t>
      </w:r>
      <w:r w:rsidRPr="006E48B7">
        <w:t>Frequency of categories of goods.</w:t>
      </w:r>
    </w:p>
    <w:tbl>
      <w:tblPr>
        <w:tblW w:w="3649" w:type="dxa"/>
        <w:tblInd w:w="93" w:type="dxa"/>
        <w:tblLook w:val="04A0"/>
      </w:tblPr>
      <w:tblGrid>
        <w:gridCol w:w="1905"/>
        <w:gridCol w:w="794"/>
        <w:gridCol w:w="950"/>
      </w:tblGrid>
      <w:tr w:rsidR="008203A5" w:rsidRPr="006E48B7" w:rsidTr="00E91746">
        <w:trPr>
          <w:trHeight w:val="255"/>
        </w:trPr>
        <w:tc>
          <w:tcPr>
            <w:tcW w:w="1905"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8203A5" w:rsidRPr="006E48B7" w:rsidRDefault="008203A5" w:rsidP="00E91746">
            <w:pPr>
              <w:jc w:val="center"/>
              <w:rPr>
                <w:rFonts w:eastAsia="Times New Roman"/>
                <w:b/>
                <w:bCs/>
                <w:sz w:val="20"/>
              </w:rPr>
            </w:pPr>
            <w:r w:rsidRPr="006E48B7">
              <w:rPr>
                <w:rFonts w:eastAsia="Times New Roman"/>
                <w:b/>
                <w:bCs/>
                <w:sz w:val="20"/>
              </w:rPr>
              <w:t>Category</w:t>
            </w:r>
          </w:p>
        </w:tc>
        <w:tc>
          <w:tcPr>
            <w:tcW w:w="794"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jc w:val="center"/>
              <w:rPr>
                <w:rFonts w:eastAsia="Times New Roman"/>
                <w:b/>
                <w:bCs/>
                <w:sz w:val="20"/>
              </w:rPr>
            </w:pPr>
            <w:r w:rsidRPr="006E48B7">
              <w:rPr>
                <w:rFonts w:eastAsia="Times New Roman"/>
                <w:b/>
                <w:bCs/>
                <w:sz w:val="20"/>
              </w:rPr>
              <w:t>Count</w:t>
            </w:r>
          </w:p>
        </w:tc>
        <w:tc>
          <w:tcPr>
            <w:tcW w:w="950" w:type="dxa"/>
            <w:tcBorders>
              <w:top w:val="single" w:sz="4" w:space="0" w:color="auto"/>
              <w:left w:val="nil"/>
              <w:bottom w:val="single" w:sz="4" w:space="0" w:color="auto"/>
              <w:right w:val="single" w:sz="4" w:space="0" w:color="auto"/>
            </w:tcBorders>
            <w:shd w:val="clear" w:color="000000" w:fill="D8D8D8"/>
            <w:noWrap/>
            <w:vAlign w:val="bottom"/>
            <w:hideMark/>
          </w:tcPr>
          <w:p w:rsidR="008203A5" w:rsidRPr="006E48B7" w:rsidRDefault="008203A5" w:rsidP="00E91746">
            <w:pPr>
              <w:jc w:val="center"/>
              <w:rPr>
                <w:rFonts w:eastAsia="Times New Roman"/>
                <w:b/>
                <w:bCs/>
                <w:sz w:val="20"/>
              </w:rPr>
            </w:pPr>
            <w:r w:rsidRPr="006E48B7">
              <w:rPr>
                <w:rFonts w:eastAsia="Times New Roman"/>
                <w:b/>
                <w:bCs/>
                <w:sz w:val="20"/>
              </w:rPr>
              <w:t>Percent</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Heating</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0.0</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Unidentified</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0.0</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Recreation</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0.2</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Travel</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0.2</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Lighting</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8</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0.4</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Furniture</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9</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0.4</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Household Décor</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11</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0.5</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Tobacco</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13</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0.6</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Instrument</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21</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0.9</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Weapons</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34</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1.5</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vAlign w:val="bottom"/>
            <w:hideMark/>
          </w:tcPr>
          <w:p w:rsidR="008203A5" w:rsidRPr="006E48B7" w:rsidRDefault="008203A5" w:rsidP="00E91746">
            <w:pPr>
              <w:rPr>
                <w:rFonts w:eastAsia="Times New Roman"/>
                <w:sz w:val="20"/>
              </w:rPr>
            </w:pPr>
            <w:r w:rsidRPr="006E48B7">
              <w:rPr>
                <w:rFonts w:eastAsia="Times New Roman"/>
                <w:sz w:val="20"/>
              </w:rPr>
              <w:t>Food Preparation</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51</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2.2</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Food Service</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60</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2.6</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Stable</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65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2.9</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Writing</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81</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3.6</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Beverage</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88</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3.9</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Household Stores</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105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4.6</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Household Utensil</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135</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5.9</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Hardware</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298</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13.1</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color w:val="000000"/>
                <w:sz w:val="20"/>
              </w:rPr>
            </w:pPr>
            <w:r w:rsidRPr="006E48B7">
              <w:rPr>
                <w:rFonts w:eastAsia="Times New Roman"/>
                <w:color w:val="000000"/>
                <w:sz w:val="20"/>
              </w:rPr>
              <w:t>Clothing</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399</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17.5</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Textiles</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887</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39.0</w:t>
            </w:r>
          </w:p>
        </w:tc>
      </w:tr>
      <w:tr w:rsidR="008203A5" w:rsidRPr="006E48B7" w:rsidTr="00E91746">
        <w:trPr>
          <w:trHeight w:val="25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8203A5" w:rsidRPr="006E48B7" w:rsidRDefault="008203A5" w:rsidP="00E91746">
            <w:pPr>
              <w:rPr>
                <w:rFonts w:eastAsia="Times New Roman"/>
                <w:sz w:val="20"/>
              </w:rPr>
            </w:pPr>
            <w:r w:rsidRPr="006E48B7">
              <w:rPr>
                <w:rFonts w:eastAsia="Times New Roman"/>
                <w:sz w:val="20"/>
              </w:rPr>
              <w:t>TOTAL</w:t>
            </w:r>
          </w:p>
        </w:tc>
        <w:tc>
          <w:tcPr>
            <w:tcW w:w="794"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2277</w:t>
            </w:r>
          </w:p>
        </w:tc>
        <w:tc>
          <w:tcPr>
            <w:tcW w:w="950" w:type="dxa"/>
            <w:tcBorders>
              <w:top w:val="nil"/>
              <w:left w:val="nil"/>
              <w:bottom w:val="single" w:sz="4" w:space="0" w:color="auto"/>
              <w:right w:val="single" w:sz="4" w:space="0" w:color="auto"/>
            </w:tcBorders>
            <w:shd w:val="clear" w:color="auto" w:fill="auto"/>
            <w:noWrap/>
            <w:vAlign w:val="bottom"/>
            <w:hideMark/>
          </w:tcPr>
          <w:p w:rsidR="008203A5" w:rsidRPr="006E48B7" w:rsidRDefault="008203A5" w:rsidP="00E91746">
            <w:pPr>
              <w:jc w:val="right"/>
              <w:rPr>
                <w:rFonts w:eastAsia="Times New Roman"/>
                <w:sz w:val="20"/>
              </w:rPr>
            </w:pPr>
            <w:r w:rsidRPr="006E48B7">
              <w:rPr>
                <w:rFonts w:eastAsia="Times New Roman"/>
                <w:sz w:val="20"/>
              </w:rPr>
              <w:t>100.0</w:t>
            </w:r>
          </w:p>
        </w:tc>
      </w:tr>
    </w:tbl>
    <w:p w:rsidR="008203A5" w:rsidRDefault="008203A5" w:rsidP="008203A5">
      <w:pPr>
        <w:ind w:firstLine="720"/>
      </w:pPr>
    </w:p>
    <w:p w:rsidR="008203A5" w:rsidRDefault="008203A5" w:rsidP="008203A5">
      <w:pPr>
        <w:ind w:firstLine="720"/>
      </w:pPr>
    </w:p>
    <w:p w:rsidR="008203A5" w:rsidRDefault="008203A5" w:rsidP="008203A5">
      <w:pPr>
        <w:ind w:firstLine="720"/>
      </w:pPr>
    </w:p>
    <w:p w:rsidR="008203A5" w:rsidRDefault="008203A5" w:rsidP="008203A5">
      <w:r w:rsidRPr="00EF0C24">
        <w:rPr>
          <w:noProof/>
        </w:rPr>
        <w:lastRenderedPageBreak/>
        <w:drawing>
          <wp:inline distT="0" distB="0" distL="0" distR="0">
            <wp:extent cx="4572000" cy="2743200"/>
            <wp:effectExtent l="0" t="0" r="0" b="0"/>
            <wp:docPr id="3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203A5" w:rsidRPr="00D2685A" w:rsidRDefault="008203A5" w:rsidP="008203A5">
      <w:pPr>
        <w:spacing w:line="480" w:lineRule="auto"/>
      </w:pPr>
      <w:r>
        <w:rPr>
          <w:b/>
        </w:rPr>
        <w:t>Figure 6-3</w:t>
      </w:r>
      <w:r w:rsidRPr="0051209D">
        <w:rPr>
          <w:b/>
        </w:rPr>
        <w:t xml:space="preserve">. </w:t>
      </w:r>
      <w:r w:rsidRPr="00D2685A">
        <w:t>Top most frequently ordered categories by year.</w:t>
      </w:r>
    </w:p>
    <w:p w:rsidR="008203A5" w:rsidRDefault="008203A5" w:rsidP="008203A5"/>
    <w:p w:rsidR="00CC35DE" w:rsidRDefault="00CC35DE" w:rsidP="008203A5"/>
    <w:p w:rsidR="008203A5" w:rsidRDefault="008203A5" w:rsidP="008203A5">
      <w:pPr>
        <w:spacing w:line="480" w:lineRule="auto"/>
        <w:ind w:firstLine="720"/>
      </w:pPr>
      <w:r>
        <w:t>The subcategory breakdown allows a more specific view of the popular categories within textiles, cloth</w:t>
      </w:r>
      <w:r w:rsidR="004D218D">
        <w:t xml:space="preserve">ing, and hardware (Table 6-7). </w:t>
      </w:r>
      <w:r>
        <w:t xml:space="preserve">The most frequently ordered include: textiles, fabric (n=577); textiles, notions (n=239); hardware, tools (n=181); hardware, miscellaneous (n=116); clothing, apparel (n=106); and </w:t>
      </w:r>
      <w:r w:rsidR="004D218D">
        <w:t xml:space="preserve">clothing, accessories (n=102). </w:t>
      </w:r>
      <w:r>
        <w:t>Together, these 6 subcategories make up nearly 6</w:t>
      </w:r>
      <w:r w:rsidR="004D218D">
        <w:t>0 percent of all items ordered.</w:t>
      </w:r>
      <w:r>
        <w:t xml:space="preserve"> </w:t>
      </w:r>
      <w:r>
        <w:rPr>
          <w:bCs/>
        </w:rPr>
        <w:t>Another way to view these data</w:t>
      </w:r>
      <w:r w:rsidR="004D218D">
        <w:rPr>
          <w:bCs/>
        </w:rPr>
        <w:t xml:space="preserve"> is by cost. </w:t>
      </w:r>
      <w:r>
        <w:rPr>
          <w:bCs/>
        </w:rPr>
        <w:t>Unfortunately, price data are missing for 14 percent of the items envisioned for Henderson’s store making it impossible analyze the values of categories and subcategories of data.</w:t>
      </w:r>
      <w:r>
        <w:t xml:space="preserve">     </w:t>
      </w:r>
    </w:p>
    <w:p w:rsidR="008203A5" w:rsidRDefault="008203A5" w:rsidP="008203A5">
      <w:pPr>
        <w:spacing w:line="480" w:lineRule="auto"/>
        <w:ind w:firstLine="720"/>
      </w:pPr>
      <w:r w:rsidRPr="007D3E50">
        <w:t>Because the two documentary datasets</w:t>
      </w:r>
      <w:r>
        <w:t>, George Washington’s invoices and orders and Alexander Henderson’s schemes of goods,</w:t>
      </w:r>
      <w:r w:rsidRPr="007D3E50">
        <w:t xml:space="preserve"> were catalogued in a standardized manner, we can begin </w:t>
      </w:r>
      <w:r>
        <w:t>a direct comparison of the broad categories and subcategories of consumer goods available through consignment and through the retail tra</w:t>
      </w:r>
      <w:r w:rsidR="004D218D">
        <w:t>de (Figure 6-4).</w:t>
      </w:r>
      <w:r>
        <w:t xml:space="preserve"> </w:t>
      </w:r>
      <w:r w:rsidRPr="007D3E50">
        <w:t>Washington most frequently consumed textiles, hardware, and household stores</w:t>
      </w:r>
      <w:r>
        <w:t xml:space="preserve"> for a total of 59 percent of all items purchased when broken down by count</w:t>
      </w:r>
      <w:r w:rsidR="004D218D">
        <w:t xml:space="preserve">. </w:t>
      </w:r>
      <w:r w:rsidRPr="007D3E50">
        <w:t xml:space="preserve">Henderson stocked his store similarly with textiles and hardware, but more often offered clothing </w:t>
      </w:r>
      <w:r>
        <w:t xml:space="preserve">items </w:t>
      </w:r>
      <w:r w:rsidRPr="007D3E50">
        <w:t>as opposed to household stores</w:t>
      </w:r>
      <w:r>
        <w:t xml:space="preserve">, for a total of 61 </w:t>
      </w:r>
      <w:r>
        <w:lastRenderedPageBreak/>
        <w:t>percent of all items ordered</w:t>
      </w:r>
      <w:r w:rsidR="004D218D">
        <w:t xml:space="preserve">. </w:t>
      </w:r>
      <w:r>
        <w:t>Both datasets show a heavy reliance on imported texti</w:t>
      </w:r>
      <w:r w:rsidR="004D218D">
        <w:t xml:space="preserve">les and textile-related items. </w:t>
      </w:r>
      <w:r>
        <w:t>Hardware ranks high for both, at 18 percent for Washington and 13 perc</w:t>
      </w:r>
      <w:r w:rsidR="004D218D">
        <w:t>ent for Henderson.</w:t>
      </w:r>
      <w:r>
        <w:t xml:space="preserve"> Clothing constituted a significant proportion of all goods ordered, at 1</w:t>
      </w:r>
      <w:r w:rsidR="004D218D">
        <w:t xml:space="preserve">5 and 18 percent respectively. </w:t>
      </w:r>
      <w:r>
        <w:t xml:space="preserve">Household stores ranked in the top three amongst Washington’s consumer choices (at 18 percent), but only made up 5 percent of all goods ordered for Henderson’s store.   </w:t>
      </w:r>
    </w:p>
    <w:p w:rsidR="008203A5" w:rsidRDefault="008203A5" w:rsidP="008203A5">
      <w:pPr>
        <w:spacing w:line="480" w:lineRule="auto"/>
        <w:ind w:firstLine="720"/>
      </w:pPr>
      <w:r w:rsidRPr="007D3E50">
        <w:t xml:space="preserve">When we look more closely at subcategories of items, fabric and notions in the textile category and tools in the hardware category were </w:t>
      </w:r>
      <w:r>
        <w:t xml:space="preserve">among </w:t>
      </w:r>
      <w:r w:rsidRPr="007D3E50">
        <w:t xml:space="preserve">the most commonly ordered by </w:t>
      </w:r>
      <w:r>
        <w:t xml:space="preserve">George </w:t>
      </w:r>
      <w:r w:rsidRPr="007D3E50">
        <w:t xml:space="preserve">Washington and stocked by </w:t>
      </w:r>
      <w:r>
        <w:t xml:space="preserve">Alexander </w:t>
      </w:r>
      <w:r w:rsidRPr="007D3E50">
        <w:t>Henderson</w:t>
      </w:r>
      <w:r w:rsidR="004D218D">
        <w:t xml:space="preserve"> (Figure 6-5).  </w:t>
      </w:r>
      <w:r>
        <w:t>Taken with the category analysis, the overall similarities in the broad patterns of consumer goods outweigh the slight differences and suggest that at the macro-level, consumer behaviors were comparable for consignment and store shopp</w:t>
      </w:r>
      <w:r w:rsidR="004D218D">
        <w:t xml:space="preserve">ers. </w:t>
      </w:r>
      <w:r>
        <w:t xml:space="preserve">These data do not support the contention that George Washington made up for </w:t>
      </w:r>
      <w:r w:rsidRPr="00BF503C">
        <w:t xml:space="preserve">losses in economic capital </w:t>
      </w:r>
      <w:r>
        <w:t xml:space="preserve">incurred through an outdated and economically </w:t>
      </w:r>
      <w:r w:rsidRPr="00BF503C">
        <w:t>irrational system with gains in the symbolic capital offered by goods available</w:t>
      </w:r>
      <w:r>
        <w:t xml:space="preserve"> </w:t>
      </w:r>
      <w:r w:rsidRPr="00BF503C">
        <w:t>only through the consignment system.</w:t>
      </w:r>
    </w:p>
    <w:p w:rsidR="008203A5" w:rsidRDefault="008203A5" w:rsidP="008203A5">
      <w:pPr>
        <w:rPr>
          <w:b/>
        </w:rPr>
      </w:pPr>
    </w:p>
    <w:p w:rsidR="008203A5" w:rsidRDefault="008203A5" w:rsidP="008203A5">
      <w:pPr>
        <w:rPr>
          <w:b/>
        </w:rPr>
      </w:pPr>
    </w:p>
    <w:p w:rsidR="008203A5" w:rsidRPr="00D2685A" w:rsidRDefault="008203A5" w:rsidP="008203A5">
      <w:pPr>
        <w:spacing w:line="480" w:lineRule="auto"/>
        <w:rPr>
          <w:b/>
        </w:rPr>
      </w:pPr>
      <w:r>
        <w:rPr>
          <w:b/>
        </w:rPr>
        <w:t>Table 6-7</w:t>
      </w:r>
      <w:r w:rsidRPr="0051209D">
        <w:rPr>
          <w:b/>
        </w:rPr>
        <w:t xml:space="preserve">. </w:t>
      </w:r>
      <w:r w:rsidRPr="00D2685A">
        <w:t>Frequency of subcategories of goods.</w:t>
      </w:r>
    </w:p>
    <w:tbl>
      <w:tblPr>
        <w:tblW w:w="5419" w:type="dxa"/>
        <w:tblInd w:w="91" w:type="dxa"/>
        <w:tblLook w:val="04A0"/>
      </w:tblPr>
      <w:tblGrid>
        <w:gridCol w:w="2177"/>
        <w:gridCol w:w="1620"/>
        <w:gridCol w:w="750"/>
        <w:gridCol w:w="872"/>
      </w:tblGrid>
      <w:tr w:rsidR="006E412F" w:rsidRPr="006E412F" w:rsidTr="006E412F">
        <w:trPr>
          <w:trHeight w:val="255"/>
        </w:trPr>
        <w:tc>
          <w:tcPr>
            <w:tcW w:w="2177"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6E412F" w:rsidRPr="006E412F" w:rsidRDefault="006E412F" w:rsidP="006E412F">
            <w:pPr>
              <w:rPr>
                <w:rFonts w:eastAsia="Times New Roman"/>
                <w:b/>
                <w:bCs/>
                <w:sz w:val="20"/>
                <w:szCs w:val="20"/>
              </w:rPr>
            </w:pPr>
            <w:r w:rsidRPr="006E412F">
              <w:rPr>
                <w:rFonts w:eastAsia="Times New Roman"/>
                <w:b/>
                <w:bCs/>
                <w:sz w:val="20"/>
                <w:szCs w:val="20"/>
              </w:rPr>
              <w:t>Category</w:t>
            </w:r>
          </w:p>
        </w:tc>
        <w:tc>
          <w:tcPr>
            <w:tcW w:w="1620" w:type="dxa"/>
            <w:tcBorders>
              <w:top w:val="single" w:sz="4" w:space="0" w:color="auto"/>
              <w:left w:val="nil"/>
              <w:bottom w:val="single" w:sz="4" w:space="0" w:color="auto"/>
              <w:right w:val="single" w:sz="4" w:space="0" w:color="auto"/>
            </w:tcBorders>
            <w:shd w:val="clear" w:color="000000" w:fill="D8D8D8"/>
            <w:noWrap/>
            <w:vAlign w:val="bottom"/>
            <w:hideMark/>
          </w:tcPr>
          <w:p w:rsidR="006E412F" w:rsidRPr="006E412F" w:rsidRDefault="006E412F" w:rsidP="006E412F">
            <w:pPr>
              <w:rPr>
                <w:rFonts w:eastAsia="Times New Roman"/>
                <w:b/>
                <w:bCs/>
                <w:sz w:val="20"/>
                <w:szCs w:val="20"/>
              </w:rPr>
            </w:pPr>
            <w:r w:rsidRPr="006E412F">
              <w:rPr>
                <w:rFonts w:eastAsia="Times New Roman"/>
                <w:b/>
                <w:bCs/>
                <w:sz w:val="20"/>
                <w:szCs w:val="20"/>
              </w:rPr>
              <w:t>Subcategory</w:t>
            </w:r>
          </w:p>
        </w:tc>
        <w:tc>
          <w:tcPr>
            <w:tcW w:w="750" w:type="dxa"/>
            <w:tcBorders>
              <w:top w:val="single" w:sz="4" w:space="0" w:color="auto"/>
              <w:left w:val="nil"/>
              <w:bottom w:val="single" w:sz="4" w:space="0" w:color="auto"/>
              <w:right w:val="single" w:sz="4" w:space="0" w:color="auto"/>
            </w:tcBorders>
            <w:shd w:val="clear" w:color="000000" w:fill="D8D8D8"/>
            <w:noWrap/>
            <w:vAlign w:val="bottom"/>
            <w:hideMark/>
          </w:tcPr>
          <w:p w:rsidR="006E412F" w:rsidRPr="006E412F" w:rsidRDefault="006E412F" w:rsidP="006E412F">
            <w:pPr>
              <w:rPr>
                <w:rFonts w:eastAsia="Times New Roman"/>
                <w:b/>
                <w:bCs/>
                <w:sz w:val="20"/>
                <w:szCs w:val="20"/>
              </w:rPr>
            </w:pPr>
            <w:r w:rsidRPr="006E412F">
              <w:rPr>
                <w:rFonts w:eastAsia="Times New Roman"/>
                <w:b/>
                <w:bCs/>
                <w:sz w:val="20"/>
                <w:szCs w:val="20"/>
              </w:rPr>
              <w:t>Count</w:t>
            </w:r>
          </w:p>
        </w:tc>
        <w:tc>
          <w:tcPr>
            <w:tcW w:w="872" w:type="dxa"/>
            <w:tcBorders>
              <w:top w:val="single" w:sz="4" w:space="0" w:color="auto"/>
              <w:left w:val="nil"/>
              <w:bottom w:val="single" w:sz="4" w:space="0" w:color="auto"/>
              <w:right w:val="single" w:sz="4" w:space="0" w:color="auto"/>
            </w:tcBorders>
            <w:shd w:val="clear" w:color="000000" w:fill="D8D8D8"/>
            <w:noWrap/>
            <w:vAlign w:val="bottom"/>
            <w:hideMark/>
          </w:tcPr>
          <w:p w:rsidR="006E412F" w:rsidRPr="006E412F" w:rsidRDefault="006E412F" w:rsidP="006E412F">
            <w:pPr>
              <w:rPr>
                <w:rFonts w:eastAsia="Times New Roman"/>
                <w:b/>
                <w:bCs/>
                <w:sz w:val="20"/>
                <w:szCs w:val="20"/>
              </w:rPr>
            </w:pPr>
            <w:r w:rsidRPr="006E412F">
              <w:rPr>
                <w:rFonts w:eastAsia="Times New Roman"/>
                <w:b/>
                <w:bCs/>
                <w:sz w:val="20"/>
                <w:szCs w:val="20"/>
              </w:rPr>
              <w:t>Percent</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Bedding Over</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0.0</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Weapons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Edge</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0.0</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Hardware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Furniture</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0.0</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Recreation</w:t>
            </w:r>
          </w:p>
        </w:tc>
        <w:tc>
          <w:tcPr>
            <w:tcW w:w="1620" w:type="dxa"/>
            <w:tcBorders>
              <w:top w:val="nil"/>
              <w:left w:val="nil"/>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Games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0.0</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Recreation</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0.0</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Décor</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Painting</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0.0</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Lighting</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Snuffer</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0.0</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Heating</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Tools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0.0</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Unidentified</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Unidentified</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0.0</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Lighting</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0.1</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Recreation</w:t>
            </w:r>
          </w:p>
        </w:tc>
        <w:tc>
          <w:tcPr>
            <w:tcW w:w="1620" w:type="dxa"/>
            <w:tcBorders>
              <w:top w:val="nil"/>
              <w:left w:val="nil"/>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Fishing</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3</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0.1</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3</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0.1</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Furniture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Sleeping</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3</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0.1</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Beverage</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4</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0.2</w:t>
            </w:r>
          </w:p>
        </w:tc>
      </w:tr>
      <w:tr w:rsidR="006E412F" w:rsidRPr="006E412F" w:rsidTr="006E412F">
        <w:trPr>
          <w:trHeight w:val="315"/>
        </w:trPr>
        <w:tc>
          <w:tcPr>
            <w:tcW w:w="3797" w:type="dxa"/>
            <w:gridSpan w:val="2"/>
            <w:tcBorders>
              <w:top w:val="nil"/>
              <w:left w:val="nil"/>
              <w:bottom w:val="nil"/>
              <w:right w:val="nil"/>
            </w:tcBorders>
            <w:shd w:val="clear" w:color="auto" w:fill="auto"/>
            <w:noWrap/>
            <w:vAlign w:val="bottom"/>
            <w:hideMark/>
          </w:tcPr>
          <w:p w:rsidR="006E412F" w:rsidRPr="006E412F" w:rsidRDefault="006E412F" w:rsidP="006E412F">
            <w:pPr>
              <w:rPr>
                <w:rFonts w:eastAsia="Times New Roman"/>
                <w:b/>
                <w:bCs/>
              </w:rPr>
            </w:pPr>
            <w:r w:rsidRPr="006E412F">
              <w:rPr>
                <w:rFonts w:eastAsia="Times New Roman"/>
                <w:b/>
                <w:bCs/>
              </w:rPr>
              <w:lastRenderedPageBreak/>
              <w:t>Table 6-7 (continued).</w:t>
            </w:r>
          </w:p>
        </w:tc>
        <w:tc>
          <w:tcPr>
            <w:tcW w:w="750" w:type="dxa"/>
            <w:tcBorders>
              <w:top w:val="nil"/>
              <w:left w:val="nil"/>
              <w:bottom w:val="nil"/>
              <w:right w:val="nil"/>
            </w:tcBorders>
            <w:shd w:val="clear" w:color="auto" w:fill="auto"/>
            <w:noWrap/>
            <w:vAlign w:val="bottom"/>
            <w:hideMark/>
          </w:tcPr>
          <w:p w:rsidR="006E412F" w:rsidRPr="006E412F" w:rsidRDefault="006E412F" w:rsidP="006E412F">
            <w:pPr>
              <w:rPr>
                <w:rFonts w:eastAsia="Times New Roman"/>
                <w:sz w:val="20"/>
                <w:szCs w:val="20"/>
              </w:rPr>
            </w:pPr>
          </w:p>
        </w:tc>
        <w:tc>
          <w:tcPr>
            <w:tcW w:w="872" w:type="dxa"/>
            <w:tcBorders>
              <w:top w:val="nil"/>
              <w:left w:val="nil"/>
              <w:bottom w:val="nil"/>
              <w:right w:val="nil"/>
            </w:tcBorders>
            <w:shd w:val="clear" w:color="auto" w:fill="auto"/>
            <w:noWrap/>
            <w:vAlign w:val="bottom"/>
            <w:hideMark/>
          </w:tcPr>
          <w:p w:rsidR="006E412F" w:rsidRPr="006E412F" w:rsidRDefault="006E412F" w:rsidP="006E412F">
            <w:pPr>
              <w:rPr>
                <w:rFonts w:eastAsia="Times New Roman"/>
                <w:sz w:val="20"/>
                <w:szCs w:val="20"/>
              </w:rPr>
            </w:pPr>
          </w:p>
        </w:tc>
      </w:tr>
      <w:tr w:rsidR="006E412F" w:rsidRPr="006E412F" w:rsidTr="006E412F">
        <w:trPr>
          <w:trHeight w:val="255"/>
        </w:trPr>
        <w:tc>
          <w:tcPr>
            <w:tcW w:w="2177" w:type="dxa"/>
            <w:tcBorders>
              <w:top w:val="nil"/>
              <w:left w:val="nil"/>
              <w:bottom w:val="nil"/>
              <w:right w:val="nil"/>
            </w:tcBorders>
            <w:shd w:val="clear" w:color="auto" w:fill="auto"/>
            <w:noWrap/>
            <w:vAlign w:val="bottom"/>
            <w:hideMark/>
          </w:tcPr>
          <w:p w:rsidR="006E412F" w:rsidRPr="006E412F" w:rsidRDefault="006E412F" w:rsidP="006E412F">
            <w:pPr>
              <w:rPr>
                <w:rFonts w:eastAsia="Times New Roman"/>
                <w:sz w:val="20"/>
                <w:szCs w:val="20"/>
              </w:rPr>
            </w:pPr>
          </w:p>
        </w:tc>
        <w:tc>
          <w:tcPr>
            <w:tcW w:w="1620" w:type="dxa"/>
            <w:tcBorders>
              <w:top w:val="nil"/>
              <w:left w:val="nil"/>
              <w:bottom w:val="nil"/>
              <w:right w:val="nil"/>
            </w:tcBorders>
            <w:shd w:val="clear" w:color="auto" w:fill="auto"/>
            <w:noWrap/>
            <w:vAlign w:val="bottom"/>
            <w:hideMark/>
          </w:tcPr>
          <w:p w:rsidR="006E412F" w:rsidRPr="006E412F" w:rsidRDefault="006E412F" w:rsidP="006E412F">
            <w:pPr>
              <w:rPr>
                <w:rFonts w:eastAsia="Times New Roman"/>
                <w:sz w:val="20"/>
                <w:szCs w:val="20"/>
              </w:rPr>
            </w:pPr>
          </w:p>
        </w:tc>
        <w:tc>
          <w:tcPr>
            <w:tcW w:w="750" w:type="dxa"/>
            <w:tcBorders>
              <w:top w:val="nil"/>
              <w:left w:val="nil"/>
              <w:bottom w:val="nil"/>
              <w:right w:val="nil"/>
            </w:tcBorders>
            <w:shd w:val="clear" w:color="auto" w:fill="auto"/>
            <w:noWrap/>
            <w:vAlign w:val="bottom"/>
            <w:hideMark/>
          </w:tcPr>
          <w:p w:rsidR="006E412F" w:rsidRPr="006E412F" w:rsidRDefault="006E412F" w:rsidP="006E412F">
            <w:pPr>
              <w:rPr>
                <w:rFonts w:eastAsia="Times New Roman"/>
                <w:sz w:val="20"/>
                <w:szCs w:val="20"/>
              </w:rPr>
            </w:pPr>
          </w:p>
        </w:tc>
        <w:tc>
          <w:tcPr>
            <w:tcW w:w="872" w:type="dxa"/>
            <w:tcBorders>
              <w:top w:val="nil"/>
              <w:left w:val="nil"/>
              <w:bottom w:val="nil"/>
              <w:right w:val="nil"/>
            </w:tcBorders>
            <w:shd w:val="clear" w:color="auto" w:fill="auto"/>
            <w:noWrap/>
            <w:vAlign w:val="bottom"/>
            <w:hideMark/>
          </w:tcPr>
          <w:p w:rsidR="006E412F" w:rsidRPr="006E412F" w:rsidRDefault="006E412F" w:rsidP="006E412F">
            <w:pPr>
              <w:rPr>
                <w:rFonts w:eastAsia="Times New Roman"/>
                <w:sz w:val="20"/>
                <w:szCs w:val="20"/>
              </w:rPr>
            </w:pPr>
          </w:p>
        </w:tc>
      </w:tr>
      <w:tr w:rsidR="006E412F" w:rsidRPr="006E412F" w:rsidTr="006E412F">
        <w:trPr>
          <w:trHeight w:val="255"/>
        </w:trPr>
        <w:tc>
          <w:tcPr>
            <w:tcW w:w="2177"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6E412F" w:rsidRPr="006E412F" w:rsidRDefault="006E412F" w:rsidP="006E412F">
            <w:pPr>
              <w:rPr>
                <w:rFonts w:eastAsia="Times New Roman"/>
                <w:b/>
                <w:bCs/>
                <w:sz w:val="20"/>
                <w:szCs w:val="20"/>
              </w:rPr>
            </w:pPr>
            <w:r w:rsidRPr="006E412F">
              <w:rPr>
                <w:rFonts w:eastAsia="Times New Roman"/>
                <w:b/>
                <w:bCs/>
                <w:sz w:val="20"/>
                <w:szCs w:val="20"/>
              </w:rPr>
              <w:t>Category</w:t>
            </w:r>
          </w:p>
        </w:tc>
        <w:tc>
          <w:tcPr>
            <w:tcW w:w="1620" w:type="dxa"/>
            <w:tcBorders>
              <w:top w:val="single" w:sz="4" w:space="0" w:color="auto"/>
              <w:left w:val="nil"/>
              <w:bottom w:val="single" w:sz="4" w:space="0" w:color="auto"/>
              <w:right w:val="single" w:sz="4" w:space="0" w:color="auto"/>
            </w:tcBorders>
            <w:shd w:val="clear" w:color="000000" w:fill="D8D8D8"/>
            <w:noWrap/>
            <w:vAlign w:val="bottom"/>
            <w:hideMark/>
          </w:tcPr>
          <w:p w:rsidR="006E412F" w:rsidRPr="006E412F" w:rsidRDefault="006E412F" w:rsidP="006E412F">
            <w:pPr>
              <w:rPr>
                <w:rFonts w:eastAsia="Times New Roman"/>
                <w:b/>
                <w:bCs/>
                <w:sz w:val="20"/>
                <w:szCs w:val="20"/>
              </w:rPr>
            </w:pPr>
            <w:r w:rsidRPr="006E412F">
              <w:rPr>
                <w:rFonts w:eastAsia="Times New Roman"/>
                <w:b/>
                <w:bCs/>
                <w:sz w:val="20"/>
                <w:szCs w:val="20"/>
              </w:rPr>
              <w:t>Subcategory</w:t>
            </w:r>
          </w:p>
        </w:tc>
        <w:tc>
          <w:tcPr>
            <w:tcW w:w="750" w:type="dxa"/>
            <w:tcBorders>
              <w:top w:val="single" w:sz="4" w:space="0" w:color="auto"/>
              <w:left w:val="nil"/>
              <w:bottom w:val="single" w:sz="4" w:space="0" w:color="auto"/>
              <w:right w:val="single" w:sz="4" w:space="0" w:color="auto"/>
            </w:tcBorders>
            <w:shd w:val="clear" w:color="000000" w:fill="D8D8D8"/>
            <w:noWrap/>
            <w:vAlign w:val="bottom"/>
            <w:hideMark/>
          </w:tcPr>
          <w:p w:rsidR="006E412F" w:rsidRPr="006E412F" w:rsidRDefault="006E412F" w:rsidP="006E412F">
            <w:pPr>
              <w:rPr>
                <w:rFonts w:eastAsia="Times New Roman"/>
                <w:b/>
                <w:bCs/>
                <w:sz w:val="20"/>
                <w:szCs w:val="20"/>
              </w:rPr>
            </w:pPr>
            <w:r w:rsidRPr="006E412F">
              <w:rPr>
                <w:rFonts w:eastAsia="Times New Roman"/>
                <w:b/>
                <w:bCs/>
                <w:sz w:val="20"/>
                <w:szCs w:val="20"/>
              </w:rPr>
              <w:t>Count</w:t>
            </w:r>
          </w:p>
        </w:tc>
        <w:tc>
          <w:tcPr>
            <w:tcW w:w="872" w:type="dxa"/>
            <w:tcBorders>
              <w:top w:val="single" w:sz="4" w:space="0" w:color="auto"/>
              <w:left w:val="nil"/>
              <w:bottom w:val="single" w:sz="4" w:space="0" w:color="auto"/>
              <w:right w:val="single" w:sz="4" w:space="0" w:color="auto"/>
            </w:tcBorders>
            <w:shd w:val="clear" w:color="000000" w:fill="D8D8D8"/>
            <w:noWrap/>
            <w:vAlign w:val="bottom"/>
            <w:hideMark/>
          </w:tcPr>
          <w:p w:rsidR="006E412F" w:rsidRPr="006E412F" w:rsidRDefault="006E412F" w:rsidP="006E412F">
            <w:pPr>
              <w:rPr>
                <w:rFonts w:eastAsia="Times New Roman"/>
                <w:b/>
                <w:bCs/>
                <w:sz w:val="20"/>
                <w:szCs w:val="20"/>
              </w:rPr>
            </w:pPr>
            <w:r w:rsidRPr="006E412F">
              <w:rPr>
                <w:rFonts w:eastAsia="Times New Roman"/>
                <w:b/>
                <w:bCs/>
                <w:sz w:val="20"/>
                <w:szCs w:val="20"/>
              </w:rPr>
              <w:t>Percent</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Travel</w:t>
            </w:r>
          </w:p>
        </w:tc>
        <w:tc>
          <w:tcPr>
            <w:tcW w:w="1620" w:type="dxa"/>
            <w:tcBorders>
              <w:top w:val="nil"/>
              <w:left w:val="nil"/>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Storage</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5</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0.2</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Furniture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Desk</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6</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0.3</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Lighting</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Candle</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7</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0.3</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Utensil</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Cleaning</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7</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0.3</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Coffee</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8</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0.4</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Stable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8</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0.4</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Tea</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8</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0.4</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Food Service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10</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0.4</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Décor</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10</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0.4</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Food Preparation</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Processing</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12</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0.5</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Production</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13</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0.6</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Tobacco</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Tobacco</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13</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0.6</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Tea</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16</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0.7</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17</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0.7</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Food Service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Dishes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0.9</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Instrument</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Measure</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0.9</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Bedding</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24</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1.1</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General</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25</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1.1</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Stores</w:t>
            </w:r>
          </w:p>
        </w:tc>
        <w:tc>
          <w:tcPr>
            <w:tcW w:w="1620" w:type="dxa"/>
            <w:tcBorders>
              <w:top w:val="nil"/>
              <w:left w:val="nil"/>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Medicine</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25</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1.1</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Food Service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Cutlery</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29</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1.3</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Clothing</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Gloves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29</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1.3</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Weapons</w:t>
            </w:r>
          </w:p>
        </w:tc>
        <w:tc>
          <w:tcPr>
            <w:tcW w:w="1620" w:type="dxa"/>
            <w:tcBorders>
              <w:top w:val="nil"/>
              <w:left w:val="nil"/>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Fire</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33</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1.4</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Floor</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33</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1.4</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Beverage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Alcohol</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36</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1.6</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Writing</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Book</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37</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1.6</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Food Preparation</w:t>
            </w:r>
          </w:p>
        </w:tc>
        <w:tc>
          <w:tcPr>
            <w:tcW w:w="1620" w:type="dxa"/>
            <w:tcBorders>
              <w:top w:val="nil"/>
              <w:left w:val="nil"/>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Cooking</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39</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1.7</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Writing</w:t>
            </w:r>
          </w:p>
        </w:tc>
        <w:tc>
          <w:tcPr>
            <w:tcW w:w="1620" w:type="dxa"/>
            <w:tcBorders>
              <w:top w:val="nil"/>
              <w:left w:val="nil"/>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Material</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44</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1.9</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Stores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Food</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49</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2.2</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Stable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Tack</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57</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2.5</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Utensil</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61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2.7</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Household Utensil</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Hygiene</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67</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2.9</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Clothing</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Footwear</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70</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3.1</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Clothing</w:t>
            </w:r>
          </w:p>
        </w:tc>
        <w:tc>
          <w:tcPr>
            <w:tcW w:w="1620" w:type="dxa"/>
            <w:tcBorders>
              <w:top w:val="nil"/>
              <w:left w:val="nil"/>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Headgear</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92</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4.0</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Clothing</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Accessories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102</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4.5</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color w:val="000000"/>
                <w:sz w:val="20"/>
                <w:szCs w:val="20"/>
              </w:rPr>
            </w:pPr>
            <w:r w:rsidRPr="006E412F">
              <w:rPr>
                <w:rFonts w:eastAsia="Times New Roman"/>
                <w:color w:val="000000"/>
                <w:sz w:val="20"/>
                <w:szCs w:val="20"/>
              </w:rPr>
              <w:t>Clothing</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Apparel</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106</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4.7</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Hardware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Miscellaneous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116</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5.1</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Hardware</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Tools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181</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7.9</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Textiles</w:t>
            </w:r>
          </w:p>
        </w:tc>
        <w:tc>
          <w:tcPr>
            <w:tcW w:w="1620" w:type="dxa"/>
            <w:tcBorders>
              <w:top w:val="nil"/>
              <w:left w:val="nil"/>
              <w:bottom w:val="single" w:sz="4" w:space="0" w:color="auto"/>
              <w:right w:val="single" w:sz="4" w:space="0" w:color="auto"/>
            </w:tcBorders>
            <w:shd w:val="clear" w:color="auto" w:fill="auto"/>
            <w:vAlign w:val="bottom"/>
            <w:hideMark/>
          </w:tcPr>
          <w:p w:rsidR="006E412F" w:rsidRPr="006E412F" w:rsidRDefault="006E412F" w:rsidP="006E412F">
            <w:pPr>
              <w:rPr>
                <w:rFonts w:eastAsia="Times New Roman"/>
                <w:sz w:val="20"/>
                <w:szCs w:val="20"/>
              </w:rPr>
            </w:pPr>
            <w:r w:rsidRPr="006E412F">
              <w:rPr>
                <w:rFonts w:eastAsia="Times New Roman"/>
                <w:sz w:val="20"/>
                <w:szCs w:val="20"/>
              </w:rPr>
              <w:t>Notions</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239</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10.5</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Textiles</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Fabric</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577</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25.3</w:t>
            </w:r>
          </w:p>
        </w:tc>
      </w:tr>
      <w:tr w:rsidR="006E412F" w:rsidRPr="006E412F" w:rsidTr="006E412F">
        <w:trPr>
          <w:trHeight w:val="255"/>
        </w:trPr>
        <w:tc>
          <w:tcPr>
            <w:tcW w:w="2177" w:type="dxa"/>
            <w:tcBorders>
              <w:top w:val="nil"/>
              <w:left w:val="single" w:sz="4" w:space="0" w:color="auto"/>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TOTAL</w:t>
            </w:r>
          </w:p>
        </w:tc>
        <w:tc>
          <w:tcPr>
            <w:tcW w:w="162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rPr>
                <w:rFonts w:eastAsia="Times New Roman"/>
                <w:sz w:val="20"/>
                <w:szCs w:val="20"/>
              </w:rPr>
            </w:pPr>
            <w:r w:rsidRPr="006E412F">
              <w:rPr>
                <w:rFonts w:eastAsia="Times New Roman"/>
                <w:sz w:val="20"/>
                <w:szCs w:val="20"/>
              </w:rPr>
              <w:t> </w:t>
            </w:r>
          </w:p>
        </w:tc>
        <w:tc>
          <w:tcPr>
            <w:tcW w:w="750"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2277</w:t>
            </w:r>
          </w:p>
        </w:tc>
        <w:tc>
          <w:tcPr>
            <w:tcW w:w="872" w:type="dxa"/>
            <w:tcBorders>
              <w:top w:val="nil"/>
              <w:left w:val="nil"/>
              <w:bottom w:val="single" w:sz="4" w:space="0" w:color="auto"/>
              <w:right w:val="single" w:sz="4" w:space="0" w:color="auto"/>
            </w:tcBorders>
            <w:shd w:val="clear" w:color="auto" w:fill="auto"/>
            <w:noWrap/>
            <w:vAlign w:val="bottom"/>
            <w:hideMark/>
          </w:tcPr>
          <w:p w:rsidR="006E412F" w:rsidRPr="006E412F" w:rsidRDefault="006E412F" w:rsidP="006E412F">
            <w:pPr>
              <w:jc w:val="right"/>
              <w:rPr>
                <w:rFonts w:eastAsia="Times New Roman"/>
                <w:sz w:val="20"/>
                <w:szCs w:val="20"/>
              </w:rPr>
            </w:pPr>
            <w:r w:rsidRPr="006E412F">
              <w:rPr>
                <w:rFonts w:eastAsia="Times New Roman"/>
                <w:sz w:val="20"/>
                <w:szCs w:val="20"/>
              </w:rPr>
              <w:t>100.0</w:t>
            </w:r>
          </w:p>
        </w:tc>
      </w:tr>
    </w:tbl>
    <w:p w:rsidR="008203A5" w:rsidRDefault="008203A5" w:rsidP="008203A5">
      <w:pPr>
        <w:spacing w:line="480" w:lineRule="auto"/>
        <w:ind w:firstLine="720"/>
        <w:rPr>
          <w:b/>
        </w:rPr>
      </w:pPr>
    </w:p>
    <w:p w:rsidR="008203A5" w:rsidRDefault="008203A5" w:rsidP="008203A5">
      <w:pPr>
        <w:spacing w:line="480" w:lineRule="auto"/>
        <w:ind w:firstLine="720"/>
        <w:rPr>
          <w:b/>
        </w:rPr>
      </w:pPr>
    </w:p>
    <w:p w:rsidR="008203A5" w:rsidRDefault="008203A5" w:rsidP="008203A5">
      <w:r w:rsidRPr="00D364CC">
        <w:rPr>
          <w:noProof/>
        </w:rPr>
        <w:lastRenderedPageBreak/>
        <w:drawing>
          <wp:inline distT="0" distB="0" distL="0" distR="0">
            <wp:extent cx="2619375" cy="1676400"/>
            <wp:effectExtent l="0" t="0" r="0" b="0"/>
            <wp:docPr id="3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D364CC">
        <w:rPr>
          <w:noProof/>
        </w:rPr>
        <w:drawing>
          <wp:inline distT="0" distB="0" distL="0" distR="0">
            <wp:extent cx="3238500" cy="1743075"/>
            <wp:effectExtent l="0" t="0" r="0" b="0"/>
            <wp:docPr id="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8203A5" w:rsidRDefault="008203A5" w:rsidP="008203A5">
      <w:pPr>
        <w:rPr>
          <w:b/>
        </w:rPr>
      </w:pPr>
      <w:r>
        <w:rPr>
          <w:b/>
        </w:rPr>
        <w:t>Figure 6-4</w:t>
      </w:r>
      <w:r w:rsidRPr="007D3E50">
        <w:rPr>
          <w:b/>
        </w:rPr>
        <w:t xml:space="preserve">. </w:t>
      </w:r>
      <w:r w:rsidRPr="00D2685A">
        <w:t>Side by side top category comparison of George Washington’s invoices and orders (left) and Henderson’s schemes of goods (right).</w:t>
      </w:r>
      <w:r w:rsidRPr="007D3E50">
        <w:rPr>
          <w:b/>
        </w:rPr>
        <w:t xml:space="preserve"> </w:t>
      </w:r>
    </w:p>
    <w:p w:rsidR="006E412F" w:rsidRDefault="006E412F" w:rsidP="008203A5">
      <w:pPr>
        <w:rPr>
          <w:b/>
        </w:rPr>
      </w:pPr>
    </w:p>
    <w:p w:rsidR="006E412F" w:rsidRDefault="006E412F" w:rsidP="008203A5">
      <w:pPr>
        <w:rPr>
          <w:b/>
        </w:rPr>
      </w:pPr>
    </w:p>
    <w:p w:rsidR="008203A5" w:rsidRDefault="008203A5" w:rsidP="008203A5">
      <w:r>
        <w:t xml:space="preserve">  </w:t>
      </w:r>
    </w:p>
    <w:p w:rsidR="008203A5" w:rsidRDefault="008203A5" w:rsidP="008203A5">
      <w:r w:rsidRPr="007D3E50">
        <w:rPr>
          <w:noProof/>
        </w:rPr>
        <w:drawing>
          <wp:inline distT="0" distB="0" distL="0" distR="0">
            <wp:extent cx="2905125" cy="1838325"/>
            <wp:effectExtent l="0" t="0" r="0" b="0"/>
            <wp:docPr id="4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7D3E50">
        <w:rPr>
          <w:noProof/>
        </w:rPr>
        <w:drawing>
          <wp:inline distT="0" distB="0" distL="0" distR="0">
            <wp:extent cx="2952750" cy="1838325"/>
            <wp:effectExtent l="0" t="0" r="0" b="0"/>
            <wp:docPr id="4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Pr>
          <w:b/>
        </w:rPr>
        <w:t>Figure 6-5</w:t>
      </w:r>
      <w:r w:rsidRPr="007D3E50">
        <w:rPr>
          <w:b/>
        </w:rPr>
        <w:t>.</w:t>
      </w:r>
      <w:r w:rsidRPr="00D2685A">
        <w:t xml:space="preserve"> Side by side top subcategory comparison of George Washington’s invoices and orders (left) and Henderson’s schemes of goods (right). </w:t>
      </w:r>
    </w:p>
    <w:p w:rsidR="008203A5" w:rsidRDefault="008203A5" w:rsidP="008203A5"/>
    <w:p w:rsidR="008203A5" w:rsidRDefault="008203A5" w:rsidP="008203A5"/>
    <w:p w:rsidR="008203A5" w:rsidRDefault="008203A5" w:rsidP="008203A5"/>
    <w:p w:rsidR="008203A5" w:rsidRDefault="008203A5" w:rsidP="008203A5">
      <w:pPr>
        <w:spacing w:line="480" w:lineRule="auto"/>
        <w:ind w:firstLine="720"/>
      </w:pPr>
      <w:r w:rsidRPr="00200E52">
        <w:t xml:space="preserve">Our inkling that something might be amiss </w:t>
      </w:r>
      <w:r>
        <w:t>or that some discrepancy exists between the two data sets</w:t>
      </w:r>
      <w:r w:rsidRPr="00400AF3">
        <w:t xml:space="preserve"> </w:t>
      </w:r>
      <w:r w:rsidRPr="00200E52">
        <w:t>arises</w:t>
      </w:r>
      <w:r>
        <w:t xml:space="preserve"> </w:t>
      </w:r>
      <w:r w:rsidRPr="00200E52">
        <w:t>when we look at the richness of unique items, categories, and subcategories</w:t>
      </w:r>
      <w:r>
        <w:t xml:space="preserve"> available in this bifurcated system of trade</w:t>
      </w:r>
      <w:r w:rsidR="004D218D">
        <w:t xml:space="preserve">. </w:t>
      </w:r>
      <w:r w:rsidRPr="00200E52">
        <w:t>Out of the 2</w:t>
      </w:r>
      <w:r w:rsidR="00A32BB6">
        <w:t>,</w:t>
      </w:r>
      <w:r w:rsidRPr="00200E52">
        <w:t>890 items for which Washington was charged, there were 683 unique items – a richer array of choices than that available at a local store.  Out of 2</w:t>
      </w:r>
      <w:r w:rsidR="00A32BB6">
        <w:t>,</w:t>
      </w:r>
      <w:r w:rsidRPr="00200E52">
        <w:t>277 items ordered by Henderson</w:t>
      </w:r>
      <w:r w:rsidR="004D218D">
        <w:t xml:space="preserve">, 349 were unique. </w:t>
      </w:r>
      <w:r>
        <w:t>That is</w:t>
      </w:r>
      <w:r w:rsidRPr="00200E52">
        <w:t xml:space="preserve"> a richness index</w:t>
      </w:r>
      <w:r w:rsidR="004D218D">
        <w:t xml:space="preserve"> of 24 versus 15, respectively.</w:t>
      </w:r>
      <w:r w:rsidRPr="00200E52">
        <w:t xml:space="preserve"> Fewer categories and subcategories of items</w:t>
      </w:r>
      <w:r w:rsidR="004D218D">
        <w:t xml:space="preserve"> were offered locally as well. </w:t>
      </w:r>
      <w:r>
        <w:t>Only one fewer category was available locally, for a total of 20 versus 21 through Washingt</w:t>
      </w:r>
      <w:r w:rsidR="004D218D">
        <w:t xml:space="preserve">on’s invoices and orders. </w:t>
      </w:r>
      <w:r>
        <w:t xml:space="preserve">However, when we break these broad groupings of goods down into </w:t>
      </w:r>
      <w:r>
        <w:lastRenderedPageBreak/>
        <w:t xml:space="preserve">subcategories and assess richness, Washington’s orders again rank higher at 94 (or 78 out of </w:t>
      </w:r>
      <w:r w:rsidR="00A32BB6">
        <w:t xml:space="preserve">a total of </w:t>
      </w:r>
      <w:r>
        <w:t>83</w:t>
      </w:r>
      <w:r w:rsidR="00A32BB6">
        <w:t xml:space="preserve"> subcategories</w:t>
      </w:r>
      <w:r>
        <w:t xml:space="preserve">) versus 64 (or 53 out of 83) for Henderson.    </w:t>
      </w:r>
    </w:p>
    <w:p w:rsidR="008203A5" w:rsidRDefault="008203A5" w:rsidP="008203A5">
      <w:pPr>
        <w:spacing w:line="480" w:lineRule="auto"/>
        <w:rPr>
          <w:b/>
          <w:bCs/>
        </w:rPr>
      </w:pPr>
      <w:r w:rsidRPr="00023B9A">
        <w:rPr>
          <w:b/>
          <w:bCs/>
        </w:rPr>
        <w:t xml:space="preserve">Comments  </w:t>
      </w:r>
    </w:p>
    <w:p w:rsidR="008203A5" w:rsidRDefault="008203A5" w:rsidP="008203A5">
      <w:pPr>
        <w:spacing w:line="480" w:lineRule="auto"/>
        <w:rPr>
          <w:bCs/>
        </w:rPr>
      </w:pPr>
      <w:r>
        <w:rPr>
          <w:bCs/>
        </w:rPr>
        <w:tab/>
        <w:t>Many of George Washington’s comments to his factors back in England relate to inferior, broken, or old-fashioned goods, high prices for goods and low prices for tobacco,</w:t>
      </w:r>
      <w:r w:rsidR="004D218D">
        <w:rPr>
          <w:bCs/>
        </w:rPr>
        <w:t xml:space="preserve"> and slow, unreliable service. </w:t>
      </w:r>
      <w:r>
        <w:rPr>
          <w:bCs/>
        </w:rPr>
        <w:t xml:space="preserve">Alexander Henderson’s running commentary to John Glassford was embedded in the inventories themselves, </w:t>
      </w:r>
      <w:r w:rsidR="004D218D">
        <w:rPr>
          <w:bCs/>
        </w:rPr>
        <w:t xml:space="preserve">and is therefore quantifiable. </w:t>
      </w:r>
      <w:r>
        <w:rPr>
          <w:bCs/>
        </w:rPr>
        <w:t>Of the 52 comments, the</w:t>
      </w:r>
      <w:r w:rsidR="004D218D">
        <w:rPr>
          <w:bCs/>
        </w:rPr>
        <w:t xml:space="preserve">y break down into seven types. </w:t>
      </w:r>
      <w:r>
        <w:rPr>
          <w:bCs/>
        </w:rPr>
        <w:t>Comments pertain to fashion, inaccuracy in filling the order, price, quality, ship time, shipping issues, and a general category of speci</w:t>
      </w:r>
      <w:r w:rsidR="004D218D">
        <w:rPr>
          <w:bCs/>
        </w:rPr>
        <w:t xml:space="preserve">fying or clarifying the order. </w:t>
      </w:r>
      <w:r>
        <w:rPr>
          <w:bCs/>
        </w:rPr>
        <w:t>As an example of the latter, Henderson noted that the goods previously listed in one scheme entry for blank books, sealing wax, a letter folder, and best wafers were for the store’s use and not for sale (Ha</w:t>
      </w:r>
      <w:r w:rsidRPr="00D303A1">
        <w:rPr>
          <w:bCs/>
        </w:rPr>
        <w:t>mrick and Hamrick 1999:218</w:t>
      </w:r>
      <w:r w:rsidR="004D218D">
        <w:rPr>
          <w:bCs/>
        </w:rPr>
        <w:t xml:space="preserve">). </w:t>
      </w:r>
      <w:r>
        <w:rPr>
          <w:bCs/>
        </w:rPr>
        <w:t>In another instance, Henderson reminded Glassford of the sun cap</w:t>
      </w:r>
      <w:r w:rsidR="003D32EC">
        <w:rPr>
          <w:bCs/>
        </w:rPr>
        <w:t>e</w:t>
      </w:r>
      <w:r>
        <w:rPr>
          <w:bCs/>
        </w:rPr>
        <w:t>s from three years prior and hoped Glassford would find and send the same ones again (</w:t>
      </w:r>
      <w:r w:rsidRPr="00D303A1">
        <w:rPr>
          <w:bCs/>
        </w:rPr>
        <w:t>Hamrick and Hamrick 1999:218</w:t>
      </w:r>
      <w:r w:rsidR="004D218D">
        <w:rPr>
          <w:bCs/>
        </w:rPr>
        <w:t xml:space="preserve">). </w:t>
      </w:r>
      <w:r>
        <w:rPr>
          <w:bCs/>
        </w:rPr>
        <w:t>These comments cannot be characterized as complaints or issues that Henderson brought to Glassford’s attention, but instead general correspondence.</w:t>
      </w:r>
    </w:p>
    <w:p w:rsidR="008203A5" w:rsidRDefault="008203A5" w:rsidP="008203A5">
      <w:pPr>
        <w:spacing w:line="480" w:lineRule="auto"/>
        <w:rPr>
          <w:bCs/>
        </w:rPr>
      </w:pPr>
      <w:r>
        <w:rPr>
          <w:bCs/>
        </w:rPr>
        <w:tab/>
        <w:t>Two of the general comments that Henderson made to Glassford remind us of the fluidity of the eighte</w:t>
      </w:r>
      <w:r w:rsidR="004D218D">
        <w:rPr>
          <w:bCs/>
        </w:rPr>
        <w:t xml:space="preserve">enth-century consumer economy. </w:t>
      </w:r>
      <w:r>
        <w:rPr>
          <w:bCs/>
        </w:rPr>
        <w:t>In this dissertation, I have discussed the bifurcated system of trade wherein elite consumers tended to purchase most of their goods through the consignment system whereas non-elites fr</w:t>
      </w:r>
      <w:r w:rsidR="004D218D">
        <w:rPr>
          <w:bCs/>
        </w:rPr>
        <w:t xml:space="preserve">equented local retail outlets. </w:t>
      </w:r>
      <w:r>
        <w:rPr>
          <w:bCs/>
        </w:rPr>
        <w:t>While this describes the consumer experience of the majority of the consumer population, el</w:t>
      </w:r>
      <w:r w:rsidR="004D218D">
        <w:rPr>
          <w:bCs/>
        </w:rPr>
        <w:t xml:space="preserve">ites sometimes bought locally. </w:t>
      </w:r>
      <w:r>
        <w:rPr>
          <w:bCs/>
        </w:rPr>
        <w:t>In 1760, Henderson placed an order for a “</w:t>
      </w:r>
      <w:r w:rsidRPr="00D303A1">
        <w:rPr>
          <w:bCs/>
        </w:rPr>
        <w:t>Folio Bible with Apachrypha good large print &amp; good Paper</w:t>
      </w:r>
      <w:r>
        <w:rPr>
          <w:bCs/>
        </w:rPr>
        <w:t>” and “Josephees’</w:t>
      </w:r>
      <w:r w:rsidRPr="0036626A">
        <w:rPr>
          <w:bCs/>
        </w:rPr>
        <w:t>s History in Folio good print</w:t>
      </w:r>
      <w:r>
        <w:rPr>
          <w:bCs/>
        </w:rPr>
        <w:t>” (</w:t>
      </w:r>
      <w:r w:rsidRPr="0036626A">
        <w:rPr>
          <w:bCs/>
        </w:rPr>
        <w:t>Hamrick and Hamrick 1999:48</w:t>
      </w:r>
      <w:r>
        <w:rPr>
          <w:bCs/>
        </w:rPr>
        <w:t>)</w:t>
      </w:r>
      <w:r w:rsidR="004D218D">
        <w:rPr>
          <w:bCs/>
        </w:rPr>
        <w:t xml:space="preserve">. </w:t>
      </w:r>
      <w:r>
        <w:rPr>
          <w:bCs/>
        </w:rPr>
        <w:lastRenderedPageBreak/>
        <w:t>The comment next to these two books reads, “</w:t>
      </w:r>
      <w:r w:rsidRPr="0036626A">
        <w:rPr>
          <w:bCs/>
        </w:rPr>
        <w:t>I am desired to order these for a customer</w:t>
      </w:r>
      <w:r w:rsidR="004D218D">
        <w:rPr>
          <w:bCs/>
        </w:rPr>
        <w:t xml:space="preserve">.” </w:t>
      </w:r>
      <w:r>
        <w:rPr>
          <w:bCs/>
        </w:rPr>
        <w:t xml:space="preserve">While we do not know the identity of the consumer, presumably they were wealthy enough to afford the most costly books (at nearly £2.0.0 each) that Henderson ever </w:t>
      </w:r>
      <w:r w:rsidR="004D218D">
        <w:rPr>
          <w:bCs/>
        </w:rPr>
        <w:t xml:space="preserve">ordered. </w:t>
      </w:r>
      <w:r>
        <w:rPr>
          <w:bCs/>
        </w:rPr>
        <w:t>The other specific customer order captured in the comme</w:t>
      </w:r>
      <w:r w:rsidR="004D218D">
        <w:rPr>
          <w:bCs/>
        </w:rPr>
        <w:t xml:space="preserve">nts category pertains to guns. </w:t>
      </w:r>
      <w:r>
        <w:rPr>
          <w:bCs/>
        </w:rPr>
        <w:t>He ordered three guns with specifications as to size, type and quality “at the Request of two of my very good Customers” (</w:t>
      </w:r>
      <w:r w:rsidRPr="0036626A">
        <w:rPr>
          <w:bCs/>
        </w:rPr>
        <w:t>Hamrick and Hamrick 1999:166</w:t>
      </w:r>
      <w:r w:rsidR="004D218D">
        <w:rPr>
          <w:bCs/>
        </w:rPr>
        <w:t xml:space="preserve">). </w:t>
      </w:r>
      <w:r>
        <w:rPr>
          <w:bCs/>
        </w:rPr>
        <w:t xml:space="preserve">These two comments suggest that while Henderson generally catered to small and middling planters, tradesmen, and enslaved individuals, customers of means could use their local merchant as a personal factor on occasion.               </w:t>
      </w:r>
    </w:p>
    <w:p w:rsidR="008203A5" w:rsidRDefault="008203A5" w:rsidP="008203A5">
      <w:pPr>
        <w:spacing w:line="480" w:lineRule="auto"/>
        <w:ind w:firstLine="720"/>
        <w:rPr>
          <w:bCs/>
        </w:rPr>
      </w:pPr>
      <w:r>
        <w:rPr>
          <w:bCs/>
        </w:rPr>
        <w:t xml:space="preserve">The rest of the comments fall into the category of complaints or </w:t>
      </w:r>
      <w:r w:rsidR="004D218D">
        <w:rPr>
          <w:bCs/>
        </w:rPr>
        <w:t xml:space="preserve">problems with the merchandise. </w:t>
      </w:r>
      <w:r>
        <w:rPr>
          <w:bCs/>
        </w:rPr>
        <w:t>Most often, Henderson commented on issues of fashionability, accuracy, and shipping time – themes all</w:t>
      </w:r>
      <w:r w:rsidR="004D218D">
        <w:rPr>
          <w:bCs/>
        </w:rPr>
        <w:t xml:space="preserve"> too familiar with Washington. </w:t>
      </w:r>
      <w:r>
        <w:rPr>
          <w:bCs/>
        </w:rPr>
        <w:t>In terms of fashion, Henderson noted that the ribbons were ill-chosen, too wide, and decorat</w:t>
      </w:r>
      <w:r w:rsidR="004D218D">
        <w:rPr>
          <w:bCs/>
        </w:rPr>
        <w:t xml:space="preserve">ed with “despicable patterns.” </w:t>
      </w:r>
      <w:r>
        <w:rPr>
          <w:bCs/>
        </w:rPr>
        <w:t>He repeatedly wrote about the patterns on the printed cottons, praying that Glassford “be carefull to have the Printed Cottons of good lively colours &amp; good Patterns” (</w:t>
      </w:r>
      <w:r w:rsidRPr="00634581">
        <w:rPr>
          <w:bCs/>
        </w:rPr>
        <w:t>Hamrick and Hamrick 1999:218</w:t>
      </w:r>
      <w:r w:rsidR="004D218D">
        <w:rPr>
          <w:bCs/>
        </w:rPr>
        <w:t xml:space="preserve">). </w:t>
      </w:r>
      <w:r>
        <w:rPr>
          <w:bCs/>
        </w:rPr>
        <w:t>The success or failure of a store was based in part on the ability of a merchant to stock enough variety and range of choices to suit the tastes of a dive</w:t>
      </w:r>
      <w:r w:rsidR="004D218D">
        <w:rPr>
          <w:bCs/>
        </w:rPr>
        <w:t xml:space="preserve">rse clientele (Reber 2003:33). </w:t>
      </w:r>
      <w:r>
        <w:rPr>
          <w:bCs/>
        </w:rPr>
        <w:t>At one point, Henderson appealed to Glassford’s softer side when he wrote about disappointing his customers’ desire for certain merchandise, rendering him “little in the Eyes of his Customers” (</w:t>
      </w:r>
      <w:r w:rsidRPr="00634581">
        <w:rPr>
          <w:bCs/>
        </w:rPr>
        <w:t>Hamrick and Hamrick 1999:94</w:t>
      </w:r>
      <w:r>
        <w:rPr>
          <w:bCs/>
        </w:rPr>
        <w:t xml:space="preserve">).  </w:t>
      </w:r>
    </w:p>
    <w:p w:rsidR="008203A5" w:rsidRDefault="008203A5" w:rsidP="008203A5">
      <w:pPr>
        <w:spacing w:line="480" w:lineRule="auto"/>
        <w:ind w:firstLine="720"/>
        <w:rPr>
          <w:bCs/>
        </w:rPr>
      </w:pPr>
      <w:r>
        <w:rPr>
          <w:bCs/>
        </w:rPr>
        <w:t>As to accuracy, it appears that the system of stocking a store operated similarly to t</w:t>
      </w:r>
      <w:r w:rsidR="004D218D">
        <w:rPr>
          <w:bCs/>
        </w:rPr>
        <w:t xml:space="preserve">hat of the consignment system. </w:t>
      </w:r>
      <w:r>
        <w:rPr>
          <w:bCs/>
        </w:rPr>
        <w:t xml:space="preserve">For example, on at least four occasions Henderson blamed the inaccurate fulfillment of orders on middle men who sent silk instead of worsted rugs, who took the liberty of choosing the colors of thread instead of following the list, who sent too many large </w:t>
      </w:r>
      <w:r>
        <w:rPr>
          <w:bCs/>
        </w:rPr>
        <w:lastRenderedPageBreak/>
        <w:t>saddles and not enough small ones, and who filled empty space in boxes with extra merchandise (and cha</w:t>
      </w:r>
      <w:r w:rsidR="004D218D">
        <w:rPr>
          <w:bCs/>
        </w:rPr>
        <w:t xml:space="preserve">rged for it) instead of straw. </w:t>
      </w:r>
      <w:r>
        <w:rPr>
          <w:bCs/>
        </w:rPr>
        <w:t xml:space="preserve">Many of the problems associated with shipping time fell into the same pattern – Henderson ordering certain goods while not knowing if Glassford </w:t>
      </w:r>
      <w:r w:rsidR="004D218D">
        <w:rPr>
          <w:bCs/>
        </w:rPr>
        <w:t xml:space="preserve">had already shipped the cargo. </w:t>
      </w:r>
      <w:r>
        <w:rPr>
          <w:bCs/>
        </w:rPr>
        <w:t xml:space="preserve">Additionally, some things he needed as soon as possible, probably </w:t>
      </w:r>
      <w:r w:rsidR="004D218D">
        <w:rPr>
          <w:bCs/>
        </w:rPr>
        <w:t xml:space="preserve">because stock was running low. </w:t>
      </w:r>
      <w:r>
        <w:rPr>
          <w:bCs/>
        </w:rPr>
        <w:t xml:space="preserve">In one comment, Henderson pleaded, “Let the </w:t>
      </w:r>
      <w:r w:rsidRPr="003D64B0">
        <w:rPr>
          <w:bCs/>
        </w:rPr>
        <w:t>Ozenb'gs, Nails, felt Hats, shoes, &amp; Hardware be Ship'd in such time as to be here in March or the very first of April, if this is to be done</w:t>
      </w:r>
      <w:r>
        <w:rPr>
          <w:bCs/>
        </w:rPr>
        <w:t>” (</w:t>
      </w:r>
      <w:r w:rsidRPr="00634581">
        <w:rPr>
          <w:bCs/>
        </w:rPr>
        <w:t>Hamrick and Hamrick 1999:222</w:t>
      </w:r>
      <w:r w:rsidR="004D218D">
        <w:rPr>
          <w:bCs/>
        </w:rPr>
        <w:t xml:space="preserve">). </w:t>
      </w:r>
      <w:r>
        <w:rPr>
          <w:bCs/>
        </w:rPr>
        <w:t xml:space="preserve">Defective merchandise was also a problem, including the arrival of </w:t>
      </w:r>
      <w:r w:rsidR="004D218D">
        <w:rPr>
          <w:bCs/>
        </w:rPr>
        <w:t xml:space="preserve">a shipment of moldy felt hats. </w:t>
      </w:r>
      <w:r>
        <w:rPr>
          <w:bCs/>
        </w:rPr>
        <w:t xml:space="preserve">Environmental factors may not have been the </w:t>
      </w:r>
      <w:r w:rsidR="004D218D">
        <w:rPr>
          <w:bCs/>
        </w:rPr>
        <w:t xml:space="preserve">only causes for damaged goods. </w:t>
      </w:r>
      <w:r>
        <w:rPr>
          <w:bCs/>
        </w:rPr>
        <w:t>Past experience must have prompted this comment from Henderson, “Pray direct your correspondents in London not by any means to Ship the Goods in any Vessel with Convicts on Board” (</w:t>
      </w:r>
      <w:r w:rsidRPr="00634581">
        <w:rPr>
          <w:bCs/>
        </w:rPr>
        <w:t>Hamrick and Hamrick 1999:262</w:t>
      </w:r>
      <w:r>
        <w:rPr>
          <w:bCs/>
        </w:rPr>
        <w:t xml:space="preserve">).  </w:t>
      </w:r>
    </w:p>
    <w:p w:rsidR="008203A5" w:rsidRDefault="008203A5" w:rsidP="008203A5">
      <w:pPr>
        <w:spacing w:line="480" w:lineRule="auto"/>
        <w:ind w:firstLine="720"/>
        <w:rPr>
          <w:bCs/>
        </w:rPr>
      </w:pPr>
      <w:r>
        <w:rPr>
          <w:bCs/>
        </w:rPr>
        <w:t>The fact that Alexander Henderson was one of a chorus of merchant professionals complaining to their f</w:t>
      </w:r>
      <w:r w:rsidR="003D32EC">
        <w:rPr>
          <w:bCs/>
        </w:rPr>
        <w:t>actors about the incoming cargo and</w:t>
      </w:r>
      <w:r>
        <w:rPr>
          <w:bCs/>
        </w:rPr>
        <w:t xml:space="preserve"> about their ability to meet the needs of the local customer, hints at the broader nature of colonization and the demand for a world of goods equal to that available in England (Breen 2004).  The striking s</w:t>
      </w:r>
      <w:r w:rsidRPr="00634581">
        <w:rPr>
          <w:bCs/>
        </w:rPr>
        <w:t xml:space="preserve">imilarity </w:t>
      </w:r>
      <w:r>
        <w:rPr>
          <w:bCs/>
        </w:rPr>
        <w:t xml:space="preserve">between the problems experienced by Alexander Henderson in stocking a Virginia store and George Washington in stocking a Virginia plantation speaks to the eighteenth century </w:t>
      </w:r>
      <w:r w:rsidRPr="00634581">
        <w:rPr>
          <w:bCs/>
        </w:rPr>
        <w:t>colonial condition</w:t>
      </w:r>
      <w:r>
        <w:rPr>
          <w:bCs/>
        </w:rPr>
        <w:t xml:space="preserve"> that would ultimately end in revolution</w:t>
      </w:r>
      <w:r w:rsidRPr="00634581">
        <w:rPr>
          <w:bCs/>
        </w:rPr>
        <w:t>.</w:t>
      </w:r>
      <w:r>
        <w:rPr>
          <w:bCs/>
        </w:rPr>
        <w:t xml:space="preserve">  It also speaks to the savvy of the local shopper and their active participation in forming their material worlds.       </w:t>
      </w:r>
    </w:p>
    <w:p w:rsidR="008203A5" w:rsidRPr="00CF0816" w:rsidRDefault="008203A5" w:rsidP="008203A5">
      <w:pPr>
        <w:spacing w:line="480" w:lineRule="auto"/>
        <w:rPr>
          <w:b/>
          <w:bCs/>
        </w:rPr>
      </w:pPr>
      <w:r>
        <w:rPr>
          <w:bCs/>
        </w:rPr>
        <w:t xml:space="preserve"> </w:t>
      </w:r>
      <w:r w:rsidRPr="00CF0816">
        <w:rPr>
          <w:b/>
          <w:bCs/>
        </w:rPr>
        <w:t>Conclusion</w:t>
      </w:r>
    </w:p>
    <w:p w:rsidR="008203A5" w:rsidRPr="00B8246D" w:rsidRDefault="008203A5" w:rsidP="008203A5">
      <w:pPr>
        <w:spacing w:line="480" w:lineRule="auto"/>
        <w:rPr>
          <w:bCs/>
        </w:rPr>
      </w:pPr>
      <w:r>
        <w:rPr>
          <w:bCs/>
        </w:rPr>
        <w:tab/>
        <w:t>Alexander Henderson’s mid-eighteenth-century Colchester store catered to Fairfax County’s tenant farmers and small planters whose tobacco yields were not large or valuable enough to sustain long-term relat</w:t>
      </w:r>
      <w:r w:rsidR="004D218D">
        <w:rPr>
          <w:bCs/>
        </w:rPr>
        <w:t xml:space="preserve">ionships with English factors. </w:t>
      </w:r>
      <w:r>
        <w:rPr>
          <w:bCs/>
        </w:rPr>
        <w:t xml:space="preserve">Local consumers, then, did not </w:t>
      </w:r>
      <w:r>
        <w:rPr>
          <w:bCs/>
        </w:rPr>
        <w:lastRenderedPageBreak/>
        <w:t>have a mainline back to a British world of goods, as did Ge</w:t>
      </w:r>
      <w:r w:rsidR="004D218D">
        <w:rPr>
          <w:bCs/>
        </w:rPr>
        <w:t xml:space="preserve">orge Washington and his peers. </w:t>
      </w:r>
      <w:r>
        <w:rPr>
          <w:bCs/>
        </w:rPr>
        <w:t>The trade at Henderson’s store was brisk – the value of the merchandise remained fairly consistent after the first year, with the exception of 1761 – despite the fact that he encountered similar quality and supply issues famili</w:t>
      </w:r>
      <w:r w:rsidR="004D218D">
        <w:rPr>
          <w:bCs/>
        </w:rPr>
        <w:t xml:space="preserve">ar to many colonial consumers. </w:t>
      </w:r>
      <w:r>
        <w:rPr>
          <w:bCs/>
        </w:rPr>
        <w:t xml:space="preserve">Based on the findings of Chapter 5, we might expect that the categories and subcategories of goods stocked by Henderson differed significantly </w:t>
      </w:r>
      <w:r w:rsidR="003D32EC">
        <w:rPr>
          <w:bCs/>
        </w:rPr>
        <w:t>from those</w:t>
      </w:r>
      <w:r>
        <w:rPr>
          <w:bCs/>
        </w:rPr>
        <w:t xml:space="preserve"> ordered by Washington, hence explaining his commitment to the p</w:t>
      </w:r>
      <w:r w:rsidR="004D218D">
        <w:rPr>
          <w:bCs/>
        </w:rPr>
        <w:t xml:space="preserve">roblematic consignment system. </w:t>
      </w:r>
      <w:r>
        <w:rPr>
          <w:bCs/>
        </w:rPr>
        <w:t>This macro-view of the data doe</w:t>
      </w:r>
      <w:r w:rsidR="004D218D">
        <w:rPr>
          <w:bCs/>
        </w:rPr>
        <w:t xml:space="preserve">s not support this assumption. </w:t>
      </w:r>
      <w:r>
        <w:t>The questions remains, could a systematic micro-level object analysis reveal disparities in this bifurcated system of trade not visible at this broad level of analysis and if so, are these differen</w:t>
      </w:r>
      <w:r w:rsidR="004D218D">
        <w:t xml:space="preserve">ces tangible archaeologically? </w:t>
      </w:r>
      <w:r>
        <w:t>Chapter 7 explores systematic object analyses that incorporate the materiality of consumer behaviors in the archaeological record that might more thoroughly address our questions about different consumer strategies and equality of access to goods during this so-called revolution.</w:t>
      </w:r>
      <w:r>
        <w:rPr>
          <w:bCs/>
        </w:rPr>
        <w:t xml:space="preserve">  </w:t>
      </w:r>
    </w:p>
    <w:p w:rsidR="008203A5" w:rsidRPr="00547552" w:rsidRDefault="008203A5" w:rsidP="008203A5">
      <w:pPr>
        <w:spacing w:line="480" w:lineRule="auto"/>
      </w:pPr>
    </w:p>
    <w:p w:rsidR="008203A5" w:rsidRDefault="008203A5">
      <w:pPr>
        <w:rPr>
          <w:b/>
        </w:rPr>
      </w:pPr>
      <w:r>
        <w:rPr>
          <w:b/>
        </w:rPr>
        <w:br w:type="page"/>
      </w:r>
    </w:p>
    <w:p w:rsidR="000F7191" w:rsidRPr="000B1E50" w:rsidRDefault="000F7191" w:rsidP="00BE6873">
      <w:pPr>
        <w:spacing w:line="480" w:lineRule="auto"/>
        <w:jc w:val="center"/>
      </w:pPr>
      <w:r w:rsidRPr="000B1E50">
        <w:rPr>
          <w:b/>
        </w:rPr>
        <w:lastRenderedPageBreak/>
        <w:t xml:space="preserve">Chapter 7: The </w:t>
      </w:r>
      <w:r>
        <w:rPr>
          <w:b/>
        </w:rPr>
        <w:t>Materiality</w:t>
      </w:r>
      <w:r w:rsidRPr="000B1E50">
        <w:rPr>
          <w:b/>
        </w:rPr>
        <w:t xml:space="preserve"> of </w:t>
      </w:r>
      <w:r>
        <w:rPr>
          <w:b/>
        </w:rPr>
        <w:t>Access, The Constraints of Choice</w:t>
      </w:r>
    </w:p>
    <w:p w:rsidR="000F7191" w:rsidRPr="000B1E50" w:rsidRDefault="000F7191" w:rsidP="000F7191">
      <w:pPr>
        <w:spacing w:line="480" w:lineRule="auto"/>
      </w:pPr>
      <w:r w:rsidRPr="000B1E50">
        <w:tab/>
        <w:t xml:space="preserve">Conclusions from the documentary data presented in Chapters 5 and 6 suggest that the persistence of the consignment system during a period of greater local availability of goods might be best </w:t>
      </w:r>
      <w:r>
        <w:t>interrogated</w:t>
      </w:r>
      <w:r w:rsidRPr="000B1E50">
        <w:t xml:space="preserve"> throu</w:t>
      </w:r>
      <w:r w:rsidR="004D218D">
        <w:t xml:space="preserve">gh systematic object analyses. </w:t>
      </w:r>
      <w:r w:rsidRPr="000B1E50">
        <w:t>In other words, when viewed at a macro-level, the availability of goods to a planter through his English factor or to a tradesman through his local merchant do</w:t>
      </w:r>
      <w:r>
        <w:t>es</w:t>
      </w:r>
      <w:r w:rsidR="004D218D">
        <w:t xml:space="preserve"> not appear starkly different. </w:t>
      </w:r>
      <w:r>
        <w:t xml:space="preserve">Even within the archaeological record, archaeologists have had difficulty distinguishing between </w:t>
      </w:r>
      <w:r w:rsidRPr="000B1E50">
        <w:t>the materiality of consumer behaviors</w:t>
      </w:r>
      <w:r>
        <w:t xml:space="preserve"> left behind by diverse colonial groups. </w:t>
      </w:r>
      <w:r w:rsidRPr="000B1E50">
        <w:t xml:space="preserve">Through the triangulation between visible, measurable differences within the artifact assemblage and the </w:t>
      </w:r>
      <w:r>
        <w:t xml:space="preserve">two </w:t>
      </w:r>
      <w:r w:rsidRPr="000B1E50">
        <w:t>documentary sources attesting to the availability of certain goods or the variety of choices within a single type of good, a more fully developed picture of the colonia</w:t>
      </w:r>
      <w:r w:rsidR="004D218D">
        <w:t xml:space="preserve">l world of goods materializes. </w:t>
      </w:r>
      <w:r w:rsidRPr="000B1E50">
        <w:t xml:space="preserve">As Barbara Heath (2000) observes, “The data are in the details.”  </w:t>
      </w:r>
    </w:p>
    <w:p w:rsidR="000F7191" w:rsidRPr="000B1E50" w:rsidRDefault="000F7191" w:rsidP="000F7191">
      <w:pPr>
        <w:spacing w:line="480" w:lineRule="auto"/>
        <w:ind w:firstLine="720"/>
      </w:pPr>
      <w:r w:rsidRPr="000B1E50">
        <w:t xml:space="preserve">This study of data and detail reveals a complex history of consumer behaviors </w:t>
      </w:r>
      <w:r>
        <w:t xml:space="preserve">and the flow of </w:t>
      </w:r>
      <w:r w:rsidRPr="000B1E50">
        <w:t>goods associated with</w:t>
      </w:r>
      <w:r w:rsidR="004D218D">
        <w:t xml:space="preserve"> the pre-Revolutionary period. </w:t>
      </w:r>
      <w:r w:rsidRPr="000B1E50">
        <w:t xml:space="preserve">To delve into these complexities, </w:t>
      </w:r>
      <w:r>
        <w:t>I embrace</w:t>
      </w:r>
      <w:r w:rsidRPr="000B1E50">
        <w:t xml:space="preserve"> a unique material culture approach</w:t>
      </w:r>
      <w:r>
        <w:t xml:space="preserve"> whose</w:t>
      </w:r>
      <w:r w:rsidRPr="000B1E50">
        <w:t xml:space="preserve"> strength </w:t>
      </w:r>
      <w:r>
        <w:t>lies in weaving</w:t>
      </w:r>
      <w:r w:rsidRPr="000B1E50">
        <w:t xml:space="preserve"> together multiple strands of the colonial consumer story to explore differential access to goods, with the burden of evidence continually shifting between archaeology, primary sources</w:t>
      </w:r>
      <w:r w:rsidR="004D218D">
        <w:t xml:space="preserve">, and even museum object data. </w:t>
      </w:r>
      <w:r w:rsidRPr="000B1E50">
        <w:t xml:space="preserve">A systematic, class-by-class, object analysis, as suggested by Mullins (2004), lends fresh insight into the nature of the mid-eighteenth century consumer revolution and </w:t>
      </w:r>
      <w:r>
        <w:t>addresses</w:t>
      </w:r>
      <w:r w:rsidRPr="000B1E50">
        <w:t xml:space="preserve"> questions about elite and non-elite consumer behavior, material inequality, and the implications of access to the colonial social order (Carson 2001</w:t>
      </w:r>
      <w:r>
        <w:t>; Breen 2004</w:t>
      </w:r>
      <w:r w:rsidR="004D218D">
        <w:t xml:space="preserve">). </w:t>
      </w:r>
      <w:r w:rsidRPr="000B1E50">
        <w:t xml:space="preserve">This approach </w:t>
      </w:r>
      <w:r>
        <w:t>also</w:t>
      </w:r>
      <w:r w:rsidRPr="000B1E50">
        <w:t xml:space="preserve"> lends insights into current methodological challenges in the fi</w:t>
      </w:r>
      <w:r w:rsidR="004D218D">
        <w:t xml:space="preserve">eld of historical archaeology. </w:t>
      </w:r>
      <w:r w:rsidRPr="000B1E50">
        <w:t xml:space="preserve">Beyond addressing questions of material inequality or avenues of access to goods, </w:t>
      </w:r>
      <w:r>
        <w:t xml:space="preserve">findings suggest that </w:t>
      </w:r>
      <w:r w:rsidRPr="000B1E50">
        <w:lastRenderedPageBreak/>
        <w:t xml:space="preserve">archaeologists are at present not </w:t>
      </w:r>
      <w:r>
        <w:t xml:space="preserve">fully </w:t>
      </w:r>
      <w:r w:rsidRPr="000B1E50">
        <w:t>armed with</w:t>
      </w:r>
      <w:r>
        <w:t xml:space="preserve"> all</w:t>
      </w:r>
      <w:r w:rsidRPr="000B1E50">
        <w:t xml:space="preserve"> the cataloguing protocols and analytical tools necessary to probe or mine assemblage data for evidence of the meaningful, myriad, and nuanced consumer behaviors that fueled l</w:t>
      </w:r>
      <w:r w:rsidR="004D218D">
        <w:t xml:space="preserve">ife in the eighteenth century. </w:t>
      </w:r>
      <w:r w:rsidRPr="000B1E50">
        <w:t>Through the carefully-crafted, artifact-class dependent archaeometric methods developed during the course of this project, I offer archaeologists a tool box full of concrete approaches to assemblages as we work towards an enhanced picture of elite and non-elite consumer behavior grounded in contributions from our robust and signif</w:t>
      </w:r>
      <w:r w:rsidR="004D218D">
        <w:t xml:space="preserve">icant archaeological datasets. </w:t>
      </w:r>
      <w:r w:rsidRPr="000B1E50">
        <w:t>At its core, this study offers innovative perspectives on and approaches to the archaeometric properties of some types of material culture commonly encountered on historic sites</w:t>
      </w:r>
      <w:r>
        <w:t>,</w:t>
      </w:r>
      <w:r w:rsidRPr="000B1E50">
        <w:t xml:space="preserve"> thereby attempting to close the gap between agency-centered and data-driven approaches (Galle 2010).</w:t>
      </w:r>
    </w:p>
    <w:p w:rsidR="000F7191" w:rsidRPr="008F42ED" w:rsidRDefault="000F7191" w:rsidP="000F7191">
      <w:pPr>
        <w:spacing w:line="480" w:lineRule="auto"/>
        <w:rPr>
          <w:b/>
        </w:rPr>
      </w:pPr>
      <w:r w:rsidRPr="008F42ED">
        <w:rPr>
          <w:b/>
        </w:rPr>
        <w:t>Archaeology at Mount Vernon</w:t>
      </w:r>
    </w:p>
    <w:p w:rsidR="000F7191" w:rsidRDefault="000F7191" w:rsidP="000F7191">
      <w:pPr>
        <w:spacing w:line="480" w:lineRule="auto"/>
        <w:contextualSpacing/>
      </w:pPr>
      <w:r w:rsidRPr="008F42ED">
        <w:tab/>
        <w:t>George Washington’s Mount Vernon established a professional archaeology program in 1987 to enhance the authenticity of the interpretation and restoration of the historic site and to preserve and manage all o</w:t>
      </w:r>
      <w:r w:rsidR="004D218D">
        <w:t>f the archaeological resources.</w:t>
      </w:r>
      <w:r w:rsidRPr="008F42ED">
        <w:t xml:space="preserve"> Mount Vernon’s archaeological holdings are an extremely valuable resource for the study of eighteenth-century plantation life in the </w:t>
      </w:r>
      <w:r>
        <w:t>mid-Atlantic</w:t>
      </w:r>
      <w:r w:rsidRPr="008F42ED">
        <w:t xml:space="preserve"> region of the United States</w:t>
      </w:r>
      <w:r>
        <w:t>, and as with many of Virgi</w:t>
      </w:r>
      <w:r w:rsidR="00236F11">
        <w:t>nia’s prominent plantations, have</w:t>
      </w:r>
      <w:r>
        <w:t xml:space="preserve"> been the subject of investigation dating back to the early twentieth century </w:t>
      </w:r>
      <w:r w:rsidRPr="002D7A4C">
        <w:t>(Mount Vernon Archaeology 1991)</w:t>
      </w:r>
      <w:r w:rsidR="004D218D">
        <w:t>.</w:t>
      </w:r>
      <w:r w:rsidRPr="008F42ED">
        <w:t xml:space="preserve"> Major excavations include the House for Families slave quarter, </w:t>
      </w:r>
      <w:r>
        <w:t>the</w:t>
      </w:r>
      <w:r w:rsidRPr="008F42ED">
        <w:t xml:space="preserve"> Distillery, the South Grove Midden, and the Upper Garden as well as an archaeological survey </w:t>
      </w:r>
      <w:r>
        <w:t>that</w:t>
      </w:r>
      <w:r w:rsidRPr="008F42ED">
        <w:t xml:space="preserve"> identified more than 100 archaeological sites documenting almost 4,000 years of habitat</w:t>
      </w:r>
      <w:r w:rsidR="004D218D">
        <w:t xml:space="preserve">ion on the estate’s 425 acres. </w:t>
      </w:r>
      <w:r w:rsidRPr="008F42ED">
        <w:t xml:space="preserve">Archaeological research has made major contributions </w:t>
      </w:r>
      <w:r w:rsidR="00236F11">
        <w:t>to</w:t>
      </w:r>
      <w:r w:rsidRPr="008F42ED">
        <w:t xml:space="preserve"> understanding the evolution of an English colonial plantation, the lives of the enslaved community, plantation economics,</w:t>
      </w:r>
      <w:r w:rsidR="004D218D">
        <w:t xml:space="preserve"> and material culture studies. </w:t>
      </w:r>
      <w:r>
        <w:t xml:space="preserve">The two most </w:t>
      </w:r>
      <w:r>
        <w:lastRenderedPageBreak/>
        <w:t xml:space="preserve">significant sites excavated to date pertaining to the lives of the Washington households and the enslaved individuals owned by these relatives are the South Grove Midden (44FX762/17) and the House for Families slave quarter (44FX762/40 and /47) </w:t>
      </w:r>
      <w:r w:rsidRPr="009F6EE3">
        <w:t>(</w:t>
      </w:r>
      <w:r>
        <w:t>Figure</w:t>
      </w:r>
      <w:r w:rsidRPr="009F6EE3">
        <w:t xml:space="preserve"> 7-1)</w:t>
      </w:r>
      <w:r>
        <w:t>.</w:t>
      </w:r>
    </w:p>
    <w:p w:rsidR="000F7191" w:rsidRDefault="000F7191" w:rsidP="000F7191">
      <w:pPr>
        <w:autoSpaceDE w:val="0"/>
        <w:autoSpaceDN w:val="0"/>
        <w:adjustRightInd w:val="0"/>
        <w:spacing w:line="480" w:lineRule="auto"/>
        <w:ind w:firstLine="720"/>
        <w:rPr>
          <w:color w:val="231F20"/>
        </w:rPr>
      </w:pPr>
      <w:r w:rsidRPr="008F42ED">
        <w:rPr>
          <w:i/>
        </w:rPr>
        <w:t>South Grove Midden.</w:t>
      </w:r>
      <w:r w:rsidR="004D218D">
        <w:t xml:space="preserve"> </w:t>
      </w:r>
      <w:r w:rsidRPr="008F42ED">
        <w:rPr>
          <w:color w:val="231F20"/>
        </w:rPr>
        <w:t xml:space="preserve">In 1948, members of the Mount Vernon grounds crew excavated a large hole in the area known historically as the </w:t>
      </w:r>
      <w:r>
        <w:rPr>
          <w:color w:val="231F20"/>
        </w:rPr>
        <w:t>South Grove</w:t>
      </w:r>
      <w:r w:rsidRPr="008F42ED">
        <w:rPr>
          <w:color w:val="231F20"/>
        </w:rPr>
        <w:t xml:space="preserve">, located 80 feet south of George Washington’s house, in order to plant a mature holly tree. Numerous artifacts dating to the eighteenth century were </w:t>
      </w:r>
      <w:r>
        <w:rPr>
          <w:color w:val="231F20"/>
        </w:rPr>
        <w:t>recovered, suggesting that the South Grove</w:t>
      </w:r>
      <w:r w:rsidRPr="008F42ED">
        <w:rPr>
          <w:color w:val="231F20"/>
        </w:rPr>
        <w:t xml:space="preserve"> area contained midden deposits formed from the disposal of kitchen and </w:t>
      </w:r>
      <w:r>
        <w:rPr>
          <w:color w:val="231F20"/>
        </w:rPr>
        <w:t>mansion</w:t>
      </w:r>
      <w:r w:rsidRPr="008F42ED">
        <w:rPr>
          <w:color w:val="231F20"/>
        </w:rPr>
        <w:t xml:space="preserve"> refuse during</w:t>
      </w:r>
      <w:r w:rsidR="004D218D">
        <w:rPr>
          <w:color w:val="231F20"/>
        </w:rPr>
        <w:t xml:space="preserve"> George Washington’s lifetime. </w:t>
      </w:r>
      <w:r w:rsidRPr="008F42ED">
        <w:rPr>
          <w:color w:val="231F20"/>
        </w:rPr>
        <w:t xml:space="preserve">In the spring of 1990 during construction </w:t>
      </w:r>
      <w:r>
        <w:rPr>
          <w:color w:val="231F20"/>
        </w:rPr>
        <w:t>of an irrigation system in the South Grove</w:t>
      </w:r>
      <w:r w:rsidRPr="008F42ED">
        <w:rPr>
          <w:color w:val="231F20"/>
        </w:rPr>
        <w:t>, the grounds crew once again encountered eighteenth-century deposits whil</w:t>
      </w:r>
      <w:r w:rsidR="004D218D">
        <w:rPr>
          <w:color w:val="231F20"/>
        </w:rPr>
        <w:t xml:space="preserve">e installing a sprinkler head. </w:t>
      </w:r>
      <w:r w:rsidRPr="008F42ED">
        <w:rPr>
          <w:color w:val="231F20"/>
        </w:rPr>
        <w:t>Later that summer, a 10x10 foot unit (328) was placed near the hole, beginning sy</w:t>
      </w:r>
      <w:r w:rsidR="004D218D">
        <w:rPr>
          <w:color w:val="231F20"/>
        </w:rPr>
        <w:t xml:space="preserve">stematic study of the feature. </w:t>
      </w:r>
      <w:r w:rsidRPr="008F42ED">
        <w:rPr>
          <w:color w:val="231F20"/>
        </w:rPr>
        <w:t>During the summers of 1991, 1992, 1993, and 1994, excavations expanded to include an additional 8 units (308, 309, 310, 329, 330, 348, 349, and 350), fully exposing the midden and excavating the feature’s strata</w:t>
      </w:r>
      <w:r>
        <w:rPr>
          <w:color w:val="231F20"/>
        </w:rPr>
        <w:t xml:space="preserve"> (Figure 7-2)</w:t>
      </w:r>
      <w:r w:rsidR="004D218D">
        <w:rPr>
          <w:color w:val="231F20"/>
        </w:rPr>
        <w:t xml:space="preserve">. </w:t>
      </w:r>
      <w:r w:rsidRPr="008F42ED">
        <w:rPr>
          <w:color w:val="231F20"/>
        </w:rPr>
        <w:t>Documentary, stratigraphic, and artifact evidence date the midden’s layers from ca. 1735 through the end of the eighteenth century</w:t>
      </w:r>
      <w:r>
        <w:rPr>
          <w:color w:val="231F20"/>
        </w:rPr>
        <w:t xml:space="preserve"> (Breen 2003, 2004)</w:t>
      </w:r>
      <w:r w:rsidRPr="008F42ED">
        <w:rPr>
          <w:color w:val="231F20"/>
        </w:rPr>
        <w:t xml:space="preserve">.  </w:t>
      </w:r>
    </w:p>
    <w:p w:rsidR="000F7191" w:rsidRDefault="000F7191" w:rsidP="000F7191">
      <w:r>
        <w:br w:type="page"/>
      </w:r>
    </w:p>
    <w:p w:rsidR="000F7191" w:rsidRPr="008F42ED" w:rsidRDefault="00643010" w:rsidP="000F7191">
      <w:pPr>
        <w:contextualSpacing/>
      </w:pPr>
      <w:r>
        <w:rPr>
          <w:noProof/>
        </w:rPr>
        <w:lastRenderedPageBreak/>
        <w:pict>
          <v:shapetype id="_x0000_t202" coordsize="21600,21600" o:spt="202" path="m,l,21600r21600,l21600,xe">
            <v:stroke joinstyle="miter"/>
            <v:path gradientshapeok="t" o:connecttype="rect"/>
          </v:shapetype>
          <v:shape id="_x0000_s1029" type="#_x0000_t202" style="position:absolute;margin-left:268.2pt;margin-top:172.05pt;width:21.5pt;height:27.1pt;z-index:251661312" filled="f" stroked="f">
            <v:textbox>
              <w:txbxContent>
                <w:p w:rsidR="00FD2646" w:rsidRPr="00EF6BE7" w:rsidRDefault="00FD2646" w:rsidP="000F7191">
                  <w:pPr>
                    <w:rPr>
                      <w:b/>
                      <w:color w:val="FF0000"/>
                      <w:sz w:val="32"/>
                      <w:szCs w:val="32"/>
                    </w:rPr>
                  </w:pPr>
                  <w:r w:rsidRPr="00EF6BE7">
                    <w:rPr>
                      <w:b/>
                      <w:color w:val="FF0000"/>
                      <w:sz w:val="32"/>
                      <w:szCs w:val="32"/>
                    </w:rPr>
                    <w:t>X</w:t>
                  </w:r>
                </w:p>
              </w:txbxContent>
            </v:textbox>
          </v:shape>
        </w:pict>
      </w:r>
      <w:r>
        <w:rPr>
          <w:noProof/>
        </w:rPr>
        <w:pict>
          <v:shape id="_x0000_s1028" type="#_x0000_t202" style="position:absolute;margin-left:88.85pt;margin-top:257.15pt;width:21.5pt;height:27.1pt;z-index:251660288" filled="f" stroked="f">
            <v:textbox>
              <w:txbxContent>
                <w:p w:rsidR="00FD2646" w:rsidRPr="00EF6BE7" w:rsidRDefault="00FD2646" w:rsidP="000F7191">
                  <w:pPr>
                    <w:rPr>
                      <w:b/>
                      <w:color w:val="FF0000"/>
                      <w:sz w:val="32"/>
                      <w:szCs w:val="32"/>
                    </w:rPr>
                  </w:pPr>
                  <w:r w:rsidRPr="00EF6BE7">
                    <w:rPr>
                      <w:b/>
                      <w:color w:val="FF0000"/>
                      <w:sz w:val="32"/>
                      <w:szCs w:val="32"/>
                    </w:rPr>
                    <w:t>X</w:t>
                  </w:r>
                </w:p>
              </w:txbxContent>
            </v:textbox>
          </v:shape>
        </w:pict>
      </w:r>
      <w:r w:rsidR="000F7191">
        <w:rPr>
          <w:noProof/>
        </w:rPr>
        <w:drawing>
          <wp:inline distT="0" distB="0" distL="0" distR="0">
            <wp:extent cx="5764143" cy="7406640"/>
            <wp:effectExtent l="19050" t="0" r="8007" b="0"/>
            <wp:docPr id="1" name="Picture 1" descr="CT-5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5560.jpg"/>
                    <pic:cNvPicPr/>
                  </pic:nvPicPr>
                  <pic:blipFill>
                    <a:blip r:embed="rId36" cstate="print"/>
                    <a:srcRect b="32737"/>
                    <a:stretch>
                      <a:fillRect/>
                    </a:stretch>
                  </pic:blipFill>
                  <pic:spPr>
                    <a:xfrm>
                      <a:off x="0" y="0"/>
                      <a:ext cx="5764143" cy="7406640"/>
                    </a:xfrm>
                    <a:prstGeom prst="rect">
                      <a:avLst/>
                    </a:prstGeom>
                  </pic:spPr>
                </pic:pic>
              </a:graphicData>
            </a:graphic>
          </wp:inline>
        </w:drawing>
      </w:r>
    </w:p>
    <w:p w:rsidR="000F7191" w:rsidRPr="003D7A9E" w:rsidRDefault="000F7191" w:rsidP="000F7191">
      <w:pPr>
        <w:contextualSpacing/>
      </w:pPr>
      <w:r w:rsidRPr="00EF6BE7">
        <w:rPr>
          <w:b/>
        </w:rPr>
        <w:t xml:space="preserve">Figure 7-1. </w:t>
      </w:r>
      <w:r w:rsidRPr="00EF6BE7">
        <w:t xml:space="preserve">Locations of the House for Families slave quarter (left red “x”) and the South Grove Midden (right red “x”) on the plan of Mount Vernon </w:t>
      </w:r>
      <w:r w:rsidR="004D218D">
        <w:t xml:space="preserve">drawn by Samuel Vaughan, 1787. </w:t>
      </w:r>
      <w:r w:rsidRPr="00EF6BE7">
        <w:t>(Courtesy of the Mount Vernon Ladies’ Association.)</w:t>
      </w:r>
    </w:p>
    <w:p w:rsidR="000F7191" w:rsidRDefault="000F7191" w:rsidP="000F7191">
      <w:pPr>
        <w:autoSpaceDE w:val="0"/>
        <w:autoSpaceDN w:val="0"/>
        <w:adjustRightInd w:val="0"/>
        <w:spacing w:line="480" w:lineRule="auto"/>
      </w:pPr>
    </w:p>
    <w:p w:rsidR="000F7191" w:rsidRDefault="000F7191" w:rsidP="000F7191">
      <w:pPr>
        <w:autoSpaceDE w:val="0"/>
        <w:autoSpaceDN w:val="0"/>
        <w:adjustRightInd w:val="0"/>
      </w:pPr>
      <w:r>
        <w:rPr>
          <w:noProof/>
        </w:rPr>
        <w:lastRenderedPageBreak/>
        <w:drawing>
          <wp:inline distT="0" distB="0" distL="0" distR="0">
            <wp:extent cx="5943600" cy="7691755"/>
            <wp:effectExtent l="19050" t="0" r="0" b="0"/>
            <wp:docPr id="3" name="Picture 11" descr="South Grove DAACS plan_Q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 Grove DAACS plan_QF.jpg"/>
                    <pic:cNvPicPr/>
                  </pic:nvPicPr>
                  <pic:blipFill>
                    <a:blip r:embed="rId37" cstate="print"/>
                    <a:stretch>
                      <a:fillRect/>
                    </a:stretch>
                  </pic:blipFill>
                  <pic:spPr>
                    <a:xfrm>
                      <a:off x="0" y="0"/>
                      <a:ext cx="5943600" cy="7691755"/>
                    </a:xfrm>
                    <a:prstGeom prst="rect">
                      <a:avLst/>
                    </a:prstGeom>
                  </pic:spPr>
                </pic:pic>
              </a:graphicData>
            </a:graphic>
          </wp:inline>
        </w:drawing>
      </w:r>
    </w:p>
    <w:p w:rsidR="000F7191" w:rsidRPr="00CB6641" w:rsidRDefault="000F7191" w:rsidP="000F7191">
      <w:pPr>
        <w:autoSpaceDE w:val="0"/>
        <w:autoSpaceDN w:val="0"/>
        <w:adjustRightInd w:val="0"/>
        <w:rPr>
          <w:b/>
        </w:rPr>
      </w:pPr>
      <w:r>
        <w:rPr>
          <w:b/>
        </w:rPr>
        <w:t>Figure 7-2</w:t>
      </w:r>
      <w:r w:rsidRPr="00721E66">
        <w:rPr>
          <w:b/>
        </w:rPr>
        <w:t xml:space="preserve">. </w:t>
      </w:r>
      <w:r w:rsidRPr="003D7A9E">
        <w:t>Plan view of the South Grove Midde</w:t>
      </w:r>
      <w:r w:rsidR="00086B73">
        <w:t>n (44FX762/17) post-excavation.</w:t>
      </w:r>
      <w:r w:rsidRPr="003D7A9E">
        <w:t xml:space="preserve"> (Map by Luke Pecoraro, 2011.)</w:t>
      </w:r>
    </w:p>
    <w:p w:rsidR="000F7191" w:rsidRPr="00E928ED" w:rsidRDefault="000F7191" w:rsidP="00E928ED">
      <w:pPr>
        <w:spacing w:line="480" w:lineRule="auto"/>
        <w:ind w:firstLine="720"/>
        <w:rPr>
          <w:color w:val="231F20"/>
        </w:rPr>
      </w:pPr>
      <w:r w:rsidRPr="008F42ED">
        <w:rPr>
          <w:color w:val="231F20"/>
        </w:rPr>
        <w:lastRenderedPageBreak/>
        <w:t xml:space="preserve">While the midden is an undocumented feature, supporting historical documents detail architectural and landscape changes that affected the </w:t>
      </w:r>
      <w:r>
        <w:rPr>
          <w:color w:val="231F20"/>
        </w:rPr>
        <w:t>South Grove</w:t>
      </w:r>
      <w:r w:rsidRPr="008F42ED">
        <w:rPr>
          <w:color w:val="231F20"/>
        </w:rPr>
        <w:t xml:space="preserve"> and vicinity</w:t>
      </w:r>
      <w:r>
        <w:rPr>
          <w:color w:val="231F20"/>
        </w:rPr>
        <w:t xml:space="preserve"> </w:t>
      </w:r>
      <w:r w:rsidR="00236F11">
        <w:rPr>
          <w:color w:val="231F20"/>
        </w:rPr>
        <w:t xml:space="preserve">as discussed in Chapter 4 </w:t>
      </w:r>
      <w:r>
        <w:rPr>
          <w:color w:val="231F20"/>
        </w:rPr>
        <w:t>(Breen 2003, 2004)</w:t>
      </w:r>
      <w:r w:rsidRPr="008F42ED">
        <w:rPr>
          <w:color w:val="231F20"/>
        </w:rPr>
        <w:t>.</w:t>
      </w:r>
      <w:r w:rsidR="00E928ED">
        <w:rPr>
          <w:color w:val="231F20"/>
        </w:rPr>
        <w:t xml:space="preserve"> </w:t>
      </w:r>
      <w:r>
        <w:t>The</w:t>
      </w:r>
      <w:r w:rsidRPr="008F42ED">
        <w:t xml:space="preserve"> multi-year </w:t>
      </w:r>
      <w:r>
        <w:t>study of the South Grove Midden</w:t>
      </w:r>
      <w:r w:rsidRPr="008F42ED">
        <w:t>, led by Dennis Pogue and Esther White, resulted in</w:t>
      </w:r>
      <w:r>
        <w:t xml:space="preserve"> the excavation of 400 contexts including,</w:t>
      </w:r>
      <w:r w:rsidRPr="008F42ED">
        <w:t xml:space="preserve"> 226 midden layers (Feature 1), 7 </w:t>
      </w:r>
      <w:r>
        <w:t xml:space="preserve">layers </w:t>
      </w:r>
      <w:r w:rsidRPr="008F42ED">
        <w:t>associated with the builder’s trench for the brick drain (Feature 2), and 1 associated with the brick drain (Fea</w:t>
      </w:r>
      <w:r w:rsidR="00086B73">
        <w:t xml:space="preserve">ture 3). </w:t>
      </w:r>
      <w:r w:rsidR="00C322A5">
        <w:t>The e</w:t>
      </w:r>
      <w:r w:rsidRPr="008F42ED">
        <w:t>xcavators water-screened midden layers, taking flotation and so</w:t>
      </w:r>
      <w:r w:rsidR="00086B73">
        <w:t xml:space="preserve">il chemical samples from each. </w:t>
      </w:r>
      <w:r w:rsidRPr="008F42ED">
        <w:t>Layers from the builder’s tren</w:t>
      </w:r>
      <w:r>
        <w:t xml:space="preserve">ch were dry-screened through ¼ in. </w:t>
      </w:r>
      <w:r w:rsidRPr="008F42ED">
        <w:t>mesh, with so</w:t>
      </w:r>
      <w:r w:rsidR="00086B73">
        <w:t xml:space="preserve">il chemical samples collected. </w:t>
      </w:r>
      <w:r w:rsidRPr="008F42ED">
        <w:t>Twentieth-century layers and intrusion</w:t>
      </w:r>
      <w:r>
        <w:t>s were dry-screened through 3/8 in.</w:t>
      </w:r>
      <w:r w:rsidRPr="008F42ED">
        <w:t xml:space="preserve"> mesh and nineteenth-century layers were p</w:t>
      </w:r>
      <w:r>
        <w:t>rimarily dry-screened through ¼</w:t>
      </w:r>
      <w:r w:rsidRPr="007500BD">
        <w:t xml:space="preserve"> </w:t>
      </w:r>
      <w:r>
        <w:t>in.</w:t>
      </w:r>
      <w:r w:rsidRPr="008F42ED">
        <w:t xml:space="preserve"> mesh, and both sampled for so</w:t>
      </w:r>
      <w:r w:rsidR="00086B73">
        <w:t xml:space="preserve">il chemicals. </w:t>
      </w:r>
      <w:r w:rsidRPr="008F42ED">
        <w:t>One hundred percent of the heavy fr</w:t>
      </w:r>
      <w:r>
        <w:t>action, fine-screened material wa</w:t>
      </w:r>
      <w:r w:rsidRPr="008F42ED">
        <w:t>s p</w:t>
      </w:r>
      <w:r>
        <w:t>rocessed and is included in the artifact</w:t>
      </w:r>
      <w:r w:rsidR="00086B73">
        <w:t xml:space="preserve"> database. </w:t>
      </w:r>
      <w:r w:rsidRPr="008F42ED">
        <w:t>Soil samples have been analyzed for the presence of 10 chemicals</w:t>
      </w:r>
      <w:r>
        <w:t xml:space="preserve"> (Storer 2007-2012)</w:t>
      </w:r>
      <w:r w:rsidRPr="008F42ED">
        <w:t xml:space="preserve">.    </w:t>
      </w:r>
    </w:p>
    <w:p w:rsidR="000F7191" w:rsidRDefault="000F7191" w:rsidP="000F7191">
      <w:pPr>
        <w:spacing w:line="480" w:lineRule="auto"/>
        <w:ind w:firstLine="720"/>
      </w:pPr>
      <w:r w:rsidRPr="008F42ED">
        <w:t>Extensive work on phasing the complex midden stratigraphy (</w:t>
      </w:r>
      <w:r>
        <w:t>exacerbated by disturbance from</w:t>
      </w:r>
      <w:r w:rsidRPr="008F42ED">
        <w:t xml:space="preserve"> modern and historic intrusions) based on ceramic seriation, dating, and vessel analysis, tobacco pipe dating, and the integration of documentary sources resulted in six phases</w:t>
      </w:r>
      <w:r>
        <w:t xml:space="preserve"> (Table 7-1)</w:t>
      </w:r>
      <w:r w:rsidRPr="008F42ED">
        <w:t>.</w:t>
      </w:r>
      <w:r>
        <w:rPr>
          <w:rStyle w:val="FootnoteReference"/>
        </w:rPr>
        <w:footnoteReference w:id="6"/>
      </w:r>
      <w:r w:rsidR="00086B73">
        <w:t xml:space="preserve"> </w:t>
      </w:r>
      <w:r w:rsidRPr="008F42ED">
        <w:t>Modern intrusions divided the midden into three sec</w:t>
      </w:r>
      <w:r w:rsidR="00086B73">
        <w:t xml:space="preserve">tions: north; west; and south. </w:t>
      </w:r>
      <w:r w:rsidRPr="008F42ED">
        <w:t>This phasing system vertically groups the contexts across the midden while horizontally dividing them into time periods and related household cycles (Breen 2003, 2004).</w:t>
      </w:r>
      <w:r>
        <w:t xml:space="preserve">     </w:t>
      </w:r>
    </w:p>
    <w:p w:rsidR="000F7191" w:rsidRDefault="000F7191" w:rsidP="000F7191">
      <w:pPr>
        <w:spacing w:line="480" w:lineRule="auto"/>
        <w:ind w:firstLine="720"/>
      </w:pPr>
      <w:r>
        <w:t xml:space="preserve">Phases 1 and 2 represent the majority of the midden deposits formed in the decades before the Revolutionary War and prior to George Washington’s renovation of the homelot.  </w:t>
      </w:r>
      <w:r>
        <w:lastRenderedPageBreak/>
        <w:t xml:space="preserve">Phase 1 potentially contains evidence of the Augustine Washington occupation, but because his ownership of the plantation was short-lived, we interpret the bulk of these </w:t>
      </w:r>
      <w:r w:rsidR="00086B73">
        <w:t xml:space="preserve">deposits to Lawrence’s period. </w:t>
      </w:r>
      <w:r>
        <w:t>Ceramic vessels with a high degree of reconstructability in addition to the existence of matched sets suggest that both Phases 1 and 2 represent episodes of household cleaning at the time of Lawrence’s death, and again when George Washington established his household with Martha Custis, interspersed with refuse generated from daily activities such as cooking an</w:t>
      </w:r>
      <w:r w:rsidR="00086B73">
        <w:t xml:space="preserve">d cleaning (Breen 2003, 2004). </w:t>
      </w:r>
      <w:r>
        <w:t>Phase 2 represents the early George an</w:t>
      </w:r>
      <w:r w:rsidR="00086B73">
        <w:t xml:space="preserve">d Martha Washington household. </w:t>
      </w:r>
      <w:r>
        <w:t>Large deposits of plaster provide the TPQ for this phase, which correlates to the initial renovations of the house undertaken by Washington at the end</w:t>
      </w:r>
      <w:r w:rsidR="00086B73">
        <w:t xml:space="preserve"> of the French and Indian War. </w:t>
      </w:r>
      <w:r>
        <w:t>The TAQ for Phase 2 is the construction of the brick drain (Features 2 and 3).  The builder’s trench (Feature 2) intrudes Phases 1 and 2 (Breen 2003, 2004).</w:t>
      </w:r>
    </w:p>
    <w:p w:rsidR="000F7191" w:rsidRDefault="003F5327" w:rsidP="003F5327">
      <w:pPr>
        <w:spacing w:line="480" w:lineRule="auto"/>
        <w:ind w:firstLine="720"/>
      </w:pPr>
      <w:r>
        <w:t xml:space="preserve">Phases 3 through 5 contain material redeposited from Phases 1 and 2 with the addition of post-1775 material. Phase 3 dates to the later George and Martha Washington household. In this phase, there is a significant decrease in artifact and faunal counts, suggesting that not only was Washington planting a formal landscape in the South Grove area, but that refuse disposal moved to a different (and yet undermined) location. Deposition in the midden (Feature 1) ceases at the end of Phase 3. Phases 4 and 5 are groups of contexts that date to the post-George Washington occupations of Mount Vernon and the transition of the estate from a working plantation to a museum.  Ceramic TPQ dates support this interpretation. Phase 6 represents evidence of historic topsoil or ground surface pre-dating the midden’s layers.    </w:t>
      </w:r>
    </w:p>
    <w:p w:rsidR="000F7191" w:rsidRDefault="000F7191" w:rsidP="000F7191">
      <w:pPr>
        <w:rPr>
          <w:b/>
        </w:rPr>
      </w:pPr>
      <w:r>
        <w:rPr>
          <w:b/>
        </w:rPr>
        <w:br w:type="page"/>
      </w:r>
    </w:p>
    <w:p w:rsidR="000F7191" w:rsidRPr="003D7A9E" w:rsidRDefault="000F7191" w:rsidP="000F7191">
      <w:pPr>
        <w:rPr>
          <w:b/>
        </w:rPr>
      </w:pPr>
      <w:r>
        <w:rPr>
          <w:b/>
        </w:rPr>
        <w:lastRenderedPageBreak/>
        <w:t>Table 7-1</w:t>
      </w:r>
      <w:r w:rsidRPr="00CB6641">
        <w:rPr>
          <w:b/>
        </w:rPr>
        <w:t xml:space="preserve">. </w:t>
      </w:r>
      <w:r w:rsidRPr="003D7A9E">
        <w:t>Phasing the South Grove Midden.</w:t>
      </w:r>
      <w:r>
        <w:t xml:space="preserve"> </w:t>
      </w:r>
      <w:r w:rsidRPr="008F42ED">
        <w:t xml:space="preserve">  </w:t>
      </w:r>
    </w:p>
    <w:p w:rsidR="000F7191" w:rsidRDefault="000F7191" w:rsidP="000F7191"/>
    <w:tbl>
      <w:tblPr>
        <w:tblW w:w="9200" w:type="dxa"/>
        <w:tblInd w:w="91" w:type="dxa"/>
        <w:tblLook w:val="04A0"/>
      </w:tblPr>
      <w:tblGrid>
        <w:gridCol w:w="1600"/>
        <w:gridCol w:w="1680"/>
        <w:gridCol w:w="1460"/>
        <w:gridCol w:w="4460"/>
      </w:tblGrid>
      <w:tr w:rsidR="00BF5CB5" w:rsidRPr="00BF5CB5" w:rsidTr="00BF5CB5">
        <w:trPr>
          <w:trHeight w:val="525"/>
        </w:trPr>
        <w:tc>
          <w:tcPr>
            <w:tcW w:w="1600"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BF5CB5" w:rsidRPr="00BF5CB5" w:rsidRDefault="00BF5CB5" w:rsidP="00BF5CB5">
            <w:pPr>
              <w:rPr>
                <w:rFonts w:eastAsia="Times New Roman"/>
                <w:b/>
                <w:bCs/>
                <w:color w:val="000000"/>
                <w:sz w:val="20"/>
                <w:szCs w:val="20"/>
              </w:rPr>
            </w:pPr>
            <w:r w:rsidRPr="00BF5CB5">
              <w:rPr>
                <w:rFonts w:eastAsia="Times New Roman"/>
                <w:b/>
                <w:bCs/>
                <w:color w:val="000000"/>
                <w:sz w:val="20"/>
                <w:szCs w:val="20"/>
              </w:rPr>
              <w:t>Phase</w:t>
            </w:r>
          </w:p>
        </w:tc>
        <w:tc>
          <w:tcPr>
            <w:tcW w:w="1680" w:type="dxa"/>
            <w:tcBorders>
              <w:top w:val="single" w:sz="4" w:space="0" w:color="auto"/>
              <w:left w:val="nil"/>
              <w:bottom w:val="single" w:sz="4" w:space="0" w:color="auto"/>
              <w:right w:val="single" w:sz="4" w:space="0" w:color="auto"/>
            </w:tcBorders>
            <w:shd w:val="clear" w:color="000000" w:fill="D8D8D8"/>
            <w:vAlign w:val="bottom"/>
            <w:hideMark/>
          </w:tcPr>
          <w:p w:rsidR="00BF5CB5" w:rsidRPr="00BF5CB5" w:rsidRDefault="00BF5CB5" w:rsidP="00BF5CB5">
            <w:pPr>
              <w:rPr>
                <w:rFonts w:eastAsia="Times New Roman"/>
                <w:b/>
                <w:bCs/>
                <w:color w:val="000000"/>
                <w:sz w:val="20"/>
                <w:szCs w:val="20"/>
              </w:rPr>
            </w:pPr>
            <w:r w:rsidRPr="00BF5CB5">
              <w:rPr>
                <w:rFonts w:eastAsia="Times New Roman"/>
                <w:b/>
                <w:bCs/>
                <w:color w:val="000000"/>
                <w:sz w:val="20"/>
                <w:szCs w:val="20"/>
              </w:rPr>
              <w:t>Interpretation</w:t>
            </w:r>
          </w:p>
        </w:tc>
        <w:tc>
          <w:tcPr>
            <w:tcW w:w="1460" w:type="dxa"/>
            <w:tcBorders>
              <w:top w:val="single" w:sz="4" w:space="0" w:color="auto"/>
              <w:left w:val="nil"/>
              <w:bottom w:val="single" w:sz="4" w:space="0" w:color="auto"/>
              <w:right w:val="single" w:sz="4" w:space="0" w:color="auto"/>
            </w:tcBorders>
            <w:shd w:val="clear" w:color="000000" w:fill="D8D8D8"/>
            <w:vAlign w:val="bottom"/>
            <w:hideMark/>
          </w:tcPr>
          <w:p w:rsidR="00BF5CB5" w:rsidRPr="00BF5CB5" w:rsidRDefault="00BF5CB5" w:rsidP="00BF5CB5">
            <w:pPr>
              <w:rPr>
                <w:rFonts w:eastAsia="Times New Roman"/>
                <w:b/>
                <w:bCs/>
                <w:color w:val="000000"/>
                <w:sz w:val="20"/>
                <w:szCs w:val="20"/>
              </w:rPr>
            </w:pPr>
            <w:r w:rsidRPr="00BF5CB5">
              <w:rPr>
                <w:rFonts w:eastAsia="Times New Roman"/>
                <w:b/>
                <w:bCs/>
                <w:color w:val="000000"/>
                <w:sz w:val="20"/>
                <w:szCs w:val="20"/>
              </w:rPr>
              <w:t>Feature Assignment</w:t>
            </w:r>
          </w:p>
        </w:tc>
        <w:tc>
          <w:tcPr>
            <w:tcW w:w="4460" w:type="dxa"/>
            <w:tcBorders>
              <w:top w:val="single" w:sz="4" w:space="0" w:color="auto"/>
              <w:left w:val="nil"/>
              <w:bottom w:val="single" w:sz="4" w:space="0" w:color="auto"/>
              <w:right w:val="single" w:sz="4" w:space="0" w:color="auto"/>
            </w:tcBorders>
            <w:shd w:val="clear" w:color="000000" w:fill="D8D8D8"/>
            <w:vAlign w:val="bottom"/>
            <w:hideMark/>
          </w:tcPr>
          <w:p w:rsidR="00BF5CB5" w:rsidRPr="00BF5CB5" w:rsidRDefault="00BF5CB5" w:rsidP="00BF5CB5">
            <w:pPr>
              <w:rPr>
                <w:rFonts w:eastAsia="Times New Roman"/>
                <w:b/>
                <w:bCs/>
                <w:color w:val="000000"/>
                <w:sz w:val="20"/>
                <w:szCs w:val="20"/>
              </w:rPr>
            </w:pPr>
            <w:r w:rsidRPr="00BF5CB5">
              <w:rPr>
                <w:rFonts w:eastAsia="Times New Roman"/>
                <w:b/>
                <w:bCs/>
                <w:color w:val="000000"/>
                <w:sz w:val="20"/>
                <w:szCs w:val="20"/>
              </w:rPr>
              <w:t>Context</w:t>
            </w:r>
          </w:p>
        </w:tc>
      </w:tr>
      <w:tr w:rsidR="00BF5CB5" w:rsidRPr="00BF5CB5" w:rsidTr="00BF5CB5">
        <w:trPr>
          <w:trHeight w:val="5625"/>
        </w:trPr>
        <w:tc>
          <w:tcPr>
            <w:tcW w:w="1600" w:type="dxa"/>
            <w:tcBorders>
              <w:top w:val="nil"/>
              <w:left w:val="single" w:sz="4" w:space="0" w:color="auto"/>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Phase 1: ca. 1735-1758</w:t>
            </w:r>
          </w:p>
        </w:tc>
        <w:tc>
          <w:tcPr>
            <w:tcW w:w="168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Augustine Washington Household; Lawrence Washington Household</w:t>
            </w:r>
          </w:p>
        </w:tc>
        <w:tc>
          <w:tcPr>
            <w:tcW w:w="1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Feature 1 (Pit, Trash)</w:t>
            </w:r>
          </w:p>
        </w:tc>
        <w:tc>
          <w:tcPr>
            <w:tcW w:w="4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 xml:space="preserve">308BB, 308CC, 308DD, 308EE, 309AAA, 309BBB, 309CCC, 309DDD, 309EEE, 309GGG, 309HHH, 309JJ, 309JJJ, 309KK, 309KKK, 309LL, 309LLL, 309MM, 309MMM, 309NN, 309NNN, 309PP, 309PPP, 309RR, 309RRR, 309SSS, 309TT, 309TTT, 309WW, 309WWW, 309XXX, 309YYY, 328AAA, 328BBB, 328CCC, 328DDD, 328FFF, 328GG, 328GGG, 328HH, 328HHH, 328JJ, 328JJJ, 328KK, 328KKK, 328LL, 328LLL, 328MM,  328MMM, 328NN, 328NNN, 328PPP, 328RR, 328RRR, 328SS, 328SSS, 328TTT, 328WWW, 328XX, 328YY, 329AAA, 329BBB, 329CCC, 329DDD, 329EEE, 329FFF, 329GGG, 329HHH, 329JJJ, 329KKK, 329LLL, 329MMM, 329NNN, 329PPP, 329RRR, 329SSS, 329TTT, 329WWW, 329XXX, 329YY, 329YYY, 348AAA, 348BBB, 348CCC, 348HH, 348JJ, 348KK, 348LL, 348MM, 348PP, 348SS, 348TT, 348WW, 348XX, 348YY, 349AAA, 349BBB, 349CCC, 349DDD, 349EEE, 349FFF, 349GGG, 349HHH, 349LL, 349MM, 349NN, 349PP, 349SS, 349TT, 349WW, 349XX, 349YY, 909A, 929A, 929AA, 929B, 929BB, 929BBB, 929C, 929CC, 929CCC, 929D, 929DD, 929E, 929EE, 929F, 929FF, 929FFF, 929G, 929GG, 929GGG, 929H, 929HH, 929J, 929JJ, 929K, 929KK, 929L, 929LL, 929M, 929MM, 929N, 929NN, 929P, 929PP, 929R, 929RR, 929S, 929T, 929TT, 929W, 929X, 929Y </w:t>
            </w:r>
          </w:p>
        </w:tc>
      </w:tr>
      <w:tr w:rsidR="00BF5CB5" w:rsidRPr="00BF5CB5" w:rsidTr="00BF5CB5">
        <w:trPr>
          <w:trHeight w:val="2310"/>
        </w:trPr>
        <w:tc>
          <w:tcPr>
            <w:tcW w:w="1600" w:type="dxa"/>
            <w:tcBorders>
              <w:top w:val="nil"/>
              <w:left w:val="single" w:sz="4" w:space="0" w:color="auto"/>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Phase 2: ca. 1759-1775</w:t>
            </w:r>
          </w:p>
        </w:tc>
        <w:tc>
          <w:tcPr>
            <w:tcW w:w="168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Early George and Martha Washington Household</w:t>
            </w:r>
          </w:p>
        </w:tc>
        <w:tc>
          <w:tcPr>
            <w:tcW w:w="1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Feature 1 (Pit, Trash)</w:t>
            </w:r>
          </w:p>
        </w:tc>
        <w:tc>
          <w:tcPr>
            <w:tcW w:w="4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308AA, 309CC, 309DD, 309EE, 309FF, 309GG, 309HH, 309XX, 309YY, 328AA, 328BB, 328DD, 328EE, 328FF, 328R, 329BB, 329CC, 329DD, 329EE, 329GG, 329HH, 329JJ, 329KK, 329LL, 329MM, 329NN, 329PP, 329R1, 329RR, 329SS, 329TT, 329WW, 329XX, 330W, 330X, 330Y, 348BB, 348CC, 348DD, 348EE, 348FF, 348GG, 348RR, 349AA, 349BB, 349CC, 349DD, 349EE, 349FF, 349GG, 349HH, 349JJ, 349KK, 349RR, 929AAA, 929SS, 929WW, 929XX, 929YY</w:t>
            </w:r>
          </w:p>
        </w:tc>
      </w:tr>
      <w:tr w:rsidR="00BF5CB5" w:rsidRPr="00BF5CB5" w:rsidTr="00BF5CB5">
        <w:trPr>
          <w:trHeight w:val="780"/>
        </w:trPr>
        <w:tc>
          <w:tcPr>
            <w:tcW w:w="1600" w:type="dxa"/>
            <w:tcBorders>
              <w:top w:val="nil"/>
              <w:left w:val="single" w:sz="4" w:space="0" w:color="auto"/>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Phase 2: ca. 1759-1775</w:t>
            </w:r>
          </w:p>
        </w:tc>
        <w:tc>
          <w:tcPr>
            <w:tcW w:w="168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Early George and Martha Washington Household</w:t>
            </w:r>
          </w:p>
        </w:tc>
        <w:tc>
          <w:tcPr>
            <w:tcW w:w="1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Feature 2 (Builder's Trench)</w:t>
            </w:r>
          </w:p>
        </w:tc>
        <w:tc>
          <w:tcPr>
            <w:tcW w:w="4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309AA, 309BB, 329R, 329S, 329W, 349JJJ, 929HHH</w:t>
            </w:r>
          </w:p>
        </w:tc>
      </w:tr>
      <w:tr w:rsidR="00BF5CB5" w:rsidRPr="00BF5CB5" w:rsidTr="00BF5CB5">
        <w:trPr>
          <w:trHeight w:val="525"/>
        </w:trPr>
        <w:tc>
          <w:tcPr>
            <w:tcW w:w="1600" w:type="dxa"/>
            <w:tcBorders>
              <w:top w:val="nil"/>
              <w:left w:val="single" w:sz="4" w:space="0" w:color="auto"/>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Phase 3: ca. 1776-1800</w:t>
            </w:r>
          </w:p>
        </w:tc>
        <w:tc>
          <w:tcPr>
            <w:tcW w:w="168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Late George and Martha Washington Household</w:t>
            </w:r>
          </w:p>
        </w:tc>
        <w:tc>
          <w:tcPr>
            <w:tcW w:w="1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Feature 1 (Pit, Trash)</w:t>
            </w:r>
          </w:p>
        </w:tc>
        <w:tc>
          <w:tcPr>
            <w:tcW w:w="4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308Y, 310K, 328H, 328K, 328Y, 329AA, 329FF, 329X, 329Y, 330T, 348AA, 349W, 349X, 349Y</w:t>
            </w:r>
          </w:p>
        </w:tc>
      </w:tr>
      <w:tr w:rsidR="00BF5CB5" w:rsidRPr="00BF5CB5" w:rsidTr="00BF5CB5">
        <w:trPr>
          <w:trHeight w:val="1035"/>
        </w:trPr>
        <w:tc>
          <w:tcPr>
            <w:tcW w:w="1600" w:type="dxa"/>
            <w:tcBorders>
              <w:top w:val="nil"/>
              <w:left w:val="single" w:sz="4" w:space="0" w:color="auto"/>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Phase 3: ca. 1776-1800</w:t>
            </w:r>
          </w:p>
        </w:tc>
        <w:tc>
          <w:tcPr>
            <w:tcW w:w="168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Late George and Martha Washington Household</w:t>
            </w:r>
          </w:p>
        </w:tc>
        <w:tc>
          <w:tcPr>
            <w:tcW w:w="1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Feature 3 (Brick Drain)</w:t>
            </w:r>
          </w:p>
        </w:tc>
        <w:tc>
          <w:tcPr>
            <w:tcW w:w="4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DELTA</w:t>
            </w:r>
          </w:p>
        </w:tc>
      </w:tr>
      <w:tr w:rsidR="00BF5CB5" w:rsidRPr="00BF5CB5" w:rsidTr="00BF5CB5">
        <w:trPr>
          <w:trHeight w:val="315"/>
        </w:trPr>
        <w:tc>
          <w:tcPr>
            <w:tcW w:w="3280" w:type="dxa"/>
            <w:gridSpan w:val="2"/>
            <w:tcBorders>
              <w:top w:val="nil"/>
              <w:left w:val="nil"/>
              <w:bottom w:val="nil"/>
              <w:right w:val="nil"/>
            </w:tcBorders>
            <w:shd w:val="clear" w:color="auto" w:fill="auto"/>
            <w:noWrap/>
            <w:vAlign w:val="bottom"/>
            <w:hideMark/>
          </w:tcPr>
          <w:p w:rsidR="00BF5CB5" w:rsidRPr="00BF5CB5" w:rsidRDefault="00BF5CB5" w:rsidP="00BF5CB5">
            <w:pPr>
              <w:rPr>
                <w:rFonts w:eastAsia="Times New Roman"/>
                <w:b/>
                <w:bCs/>
                <w:color w:val="000000"/>
              </w:rPr>
            </w:pPr>
            <w:r w:rsidRPr="00BF5CB5">
              <w:rPr>
                <w:rFonts w:eastAsia="Times New Roman"/>
                <w:b/>
                <w:bCs/>
                <w:color w:val="000000"/>
              </w:rPr>
              <w:lastRenderedPageBreak/>
              <w:t xml:space="preserve">Table 7-1 (continued). </w:t>
            </w:r>
          </w:p>
        </w:tc>
        <w:tc>
          <w:tcPr>
            <w:tcW w:w="1460" w:type="dxa"/>
            <w:tcBorders>
              <w:top w:val="nil"/>
              <w:left w:val="nil"/>
              <w:bottom w:val="nil"/>
              <w:right w:val="nil"/>
            </w:tcBorders>
            <w:shd w:val="clear" w:color="auto" w:fill="auto"/>
            <w:vAlign w:val="bottom"/>
            <w:hideMark/>
          </w:tcPr>
          <w:p w:rsidR="00BF5CB5" w:rsidRPr="00BF5CB5" w:rsidRDefault="00BF5CB5" w:rsidP="00BF5CB5">
            <w:pPr>
              <w:rPr>
                <w:rFonts w:eastAsia="Times New Roman"/>
                <w:color w:val="000000"/>
                <w:sz w:val="20"/>
                <w:szCs w:val="20"/>
              </w:rPr>
            </w:pPr>
          </w:p>
        </w:tc>
        <w:tc>
          <w:tcPr>
            <w:tcW w:w="4460" w:type="dxa"/>
            <w:tcBorders>
              <w:top w:val="nil"/>
              <w:left w:val="nil"/>
              <w:bottom w:val="nil"/>
              <w:right w:val="nil"/>
            </w:tcBorders>
            <w:shd w:val="clear" w:color="auto" w:fill="auto"/>
            <w:vAlign w:val="bottom"/>
            <w:hideMark/>
          </w:tcPr>
          <w:p w:rsidR="00BF5CB5" w:rsidRPr="00BF5CB5" w:rsidRDefault="00BF5CB5" w:rsidP="00BF5CB5">
            <w:pPr>
              <w:rPr>
                <w:rFonts w:eastAsia="Times New Roman"/>
                <w:color w:val="000000"/>
                <w:sz w:val="20"/>
                <w:szCs w:val="20"/>
              </w:rPr>
            </w:pPr>
          </w:p>
        </w:tc>
      </w:tr>
      <w:tr w:rsidR="00BF5CB5" w:rsidRPr="00BF5CB5" w:rsidTr="00BF5CB5">
        <w:trPr>
          <w:trHeight w:val="300"/>
        </w:trPr>
        <w:tc>
          <w:tcPr>
            <w:tcW w:w="1600" w:type="dxa"/>
            <w:tcBorders>
              <w:top w:val="nil"/>
              <w:left w:val="nil"/>
              <w:bottom w:val="nil"/>
              <w:right w:val="nil"/>
            </w:tcBorders>
            <w:shd w:val="clear" w:color="auto" w:fill="auto"/>
            <w:vAlign w:val="bottom"/>
            <w:hideMark/>
          </w:tcPr>
          <w:p w:rsidR="00BF5CB5" w:rsidRPr="00BF5CB5" w:rsidRDefault="00BF5CB5" w:rsidP="00BF5CB5">
            <w:pPr>
              <w:rPr>
                <w:rFonts w:eastAsia="Times New Roman"/>
                <w:color w:val="000000"/>
                <w:sz w:val="20"/>
                <w:szCs w:val="20"/>
              </w:rPr>
            </w:pPr>
          </w:p>
        </w:tc>
        <w:tc>
          <w:tcPr>
            <w:tcW w:w="1680" w:type="dxa"/>
            <w:tcBorders>
              <w:top w:val="nil"/>
              <w:left w:val="nil"/>
              <w:bottom w:val="nil"/>
              <w:right w:val="nil"/>
            </w:tcBorders>
            <w:shd w:val="clear" w:color="auto" w:fill="auto"/>
            <w:vAlign w:val="bottom"/>
            <w:hideMark/>
          </w:tcPr>
          <w:p w:rsidR="00BF5CB5" w:rsidRPr="00BF5CB5" w:rsidRDefault="00BF5CB5" w:rsidP="00BF5CB5">
            <w:pPr>
              <w:rPr>
                <w:rFonts w:eastAsia="Times New Roman"/>
                <w:color w:val="000000"/>
                <w:sz w:val="20"/>
                <w:szCs w:val="20"/>
              </w:rPr>
            </w:pPr>
          </w:p>
        </w:tc>
        <w:tc>
          <w:tcPr>
            <w:tcW w:w="1460" w:type="dxa"/>
            <w:tcBorders>
              <w:top w:val="nil"/>
              <w:left w:val="nil"/>
              <w:bottom w:val="nil"/>
              <w:right w:val="nil"/>
            </w:tcBorders>
            <w:shd w:val="clear" w:color="auto" w:fill="auto"/>
            <w:vAlign w:val="bottom"/>
            <w:hideMark/>
          </w:tcPr>
          <w:p w:rsidR="00BF5CB5" w:rsidRPr="00BF5CB5" w:rsidRDefault="00BF5CB5" w:rsidP="00BF5CB5">
            <w:pPr>
              <w:rPr>
                <w:rFonts w:eastAsia="Times New Roman"/>
                <w:color w:val="000000"/>
                <w:sz w:val="20"/>
                <w:szCs w:val="20"/>
              </w:rPr>
            </w:pPr>
          </w:p>
        </w:tc>
        <w:tc>
          <w:tcPr>
            <w:tcW w:w="4460" w:type="dxa"/>
            <w:tcBorders>
              <w:top w:val="nil"/>
              <w:left w:val="nil"/>
              <w:bottom w:val="nil"/>
              <w:right w:val="nil"/>
            </w:tcBorders>
            <w:shd w:val="clear" w:color="auto" w:fill="auto"/>
            <w:vAlign w:val="bottom"/>
            <w:hideMark/>
          </w:tcPr>
          <w:p w:rsidR="00BF5CB5" w:rsidRPr="00BF5CB5" w:rsidRDefault="00BF5CB5" w:rsidP="00BF5CB5">
            <w:pPr>
              <w:rPr>
                <w:rFonts w:eastAsia="Times New Roman"/>
                <w:color w:val="000000"/>
                <w:sz w:val="20"/>
                <w:szCs w:val="20"/>
              </w:rPr>
            </w:pPr>
          </w:p>
        </w:tc>
      </w:tr>
      <w:tr w:rsidR="00BF5CB5" w:rsidRPr="00BF5CB5" w:rsidTr="00BF5CB5">
        <w:trPr>
          <w:trHeight w:val="525"/>
        </w:trPr>
        <w:tc>
          <w:tcPr>
            <w:tcW w:w="1600"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BF5CB5" w:rsidRPr="00BF5CB5" w:rsidRDefault="00BF5CB5" w:rsidP="00BF5CB5">
            <w:pPr>
              <w:rPr>
                <w:rFonts w:eastAsia="Times New Roman"/>
                <w:b/>
                <w:bCs/>
                <w:color w:val="000000"/>
                <w:sz w:val="20"/>
                <w:szCs w:val="20"/>
              </w:rPr>
            </w:pPr>
            <w:r w:rsidRPr="00BF5CB5">
              <w:rPr>
                <w:rFonts w:eastAsia="Times New Roman"/>
                <w:b/>
                <w:bCs/>
                <w:color w:val="000000"/>
                <w:sz w:val="20"/>
                <w:szCs w:val="20"/>
              </w:rPr>
              <w:t>Phase</w:t>
            </w:r>
          </w:p>
        </w:tc>
        <w:tc>
          <w:tcPr>
            <w:tcW w:w="1680" w:type="dxa"/>
            <w:tcBorders>
              <w:top w:val="single" w:sz="4" w:space="0" w:color="auto"/>
              <w:left w:val="nil"/>
              <w:bottom w:val="single" w:sz="4" w:space="0" w:color="auto"/>
              <w:right w:val="single" w:sz="4" w:space="0" w:color="auto"/>
            </w:tcBorders>
            <w:shd w:val="clear" w:color="000000" w:fill="D8D8D8"/>
            <w:vAlign w:val="bottom"/>
            <w:hideMark/>
          </w:tcPr>
          <w:p w:rsidR="00BF5CB5" w:rsidRPr="00BF5CB5" w:rsidRDefault="00BF5CB5" w:rsidP="00BF5CB5">
            <w:pPr>
              <w:rPr>
                <w:rFonts w:eastAsia="Times New Roman"/>
                <w:b/>
                <w:bCs/>
                <w:color w:val="000000"/>
                <w:sz w:val="20"/>
                <w:szCs w:val="20"/>
              </w:rPr>
            </w:pPr>
            <w:r w:rsidRPr="00BF5CB5">
              <w:rPr>
                <w:rFonts w:eastAsia="Times New Roman"/>
                <w:b/>
                <w:bCs/>
                <w:color w:val="000000"/>
                <w:sz w:val="20"/>
                <w:szCs w:val="20"/>
              </w:rPr>
              <w:t>Interpretation</w:t>
            </w:r>
          </w:p>
        </w:tc>
        <w:tc>
          <w:tcPr>
            <w:tcW w:w="1460" w:type="dxa"/>
            <w:tcBorders>
              <w:top w:val="single" w:sz="4" w:space="0" w:color="auto"/>
              <w:left w:val="nil"/>
              <w:bottom w:val="single" w:sz="4" w:space="0" w:color="auto"/>
              <w:right w:val="single" w:sz="4" w:space="0" w:color="auto"/>
            </w:tcBorders>
            <w:shd w:val="clear" w:color="000000" w:fill="D8D8D8"/>
            <w:vAlign w:val="bottom"/>
            <w:hideMark/>
          </w:tcPr>
          <w:p w:rsidR="00BF5CB5" w:rsidRPr="00BF5CB5" w:rsidRDefault="00BF5CB5" w:rsidP="00BF5CB5">
            <w:pPr>
              <w:rPr>
                <w:rFonts w:eastAsia="Times New Roman"/>
                <w:b/>
                <w:bCs/>
                <w:color w:val="000000"/>
                <w:sz w:val="20"/>
                <w:szCs w:val="20"/>
              </w:rPr>
            </w:pPr>
            <w:r w:rsidRPr="00BF5CB5">
              <w:rPr>
                <w:rFonts w:eastAsia="Times New Roman"/>
                <w:b/>
                <w:bCs/>
                <w:color w:val="000000"/>
                <w:sz w:val="20"/>
                <w:szCs w:val="20"/>
              </w:rPr>
              <w:t>Feature Assignment</w:t>
            </w:r>
          </w:p>
        </w:tc>
        <w:tc>
          <w:tcPr>
            <w:tcW w:w="4460" w:type="dxa"/>
            <w:tcBorders>
              <w:top w:val="single" w:sz="4" w:space="0" w:color="auto"/>
              <w:left w:val="nil"/>
              <w:bottom w:val="single" w:sz="4" w:space="0" w:color="auto"/>
              <w:right w:val="single" w:sz="4" w:space="0" w:color="auto"/>
            </w:tcBorders>
            <w:shd w:val="clear" w:color="000000" w:fill="D8D8D8"/>
            <w:vAlign w:val="bottom"/>
            <w:hideMark/>
          </w:tcPr>
          <w:p w:rsidR="00BF5CB5" w:rsidRPr="00BF5CB5" w:rsidRDefault="00BF5CB5" w:rsidP="00BF5CB5">
            <w:pPr>
              <w:rPr>
                <w:rFonts w:eastAsia="Times New Roman"/>
                <w:b/>
                <w:bCs/>
                <w:color w:val="000000"/>
                <w:sz w:val="20"/>
                <w:szCs w:val="20"/>
              </w:rPr>
            </w:pPr>
            <w:r w:rsidRPr="00BF5CB5">
              <w:rPr>
                <w:rFonts w:eastAsia="Times New Roman"/>
                <w:b/>
                <w:bCs/>
                <w:color w:val="000000"/>
                <w:sz w:val="20"/>
                <w:szCs w:val="20"/>
              </w:rPr>
              <w:t>Context</w:t>
            </w:r>
          </w:p>
        </w:tc>
      </w:tr>
      <w:tr w:rsidR="00BF5CB5" w:rsidRPr="00BF5CB5" w:rsidTr="00BF5CB5">
        <w:trPr>
          <w:trHeight w:val="1545"/>
        </w:trPr>
        <w:tc>
          <w:tcPr>
            <w:tcW w:w="1600" w:type="dxa"/>
            <w:tcBorders>
              <w:top w:val="nil"/>
              <w:left w:val="single" w:sz="4" w:space="0" w:color="auto"/>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Phase 4: 19th century</w:t>
            </w:r>
          </w:p>
        </w:tc>
        <w:tc>
          <w:tcPr>
            <w:tcW w:w="168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Bushrod Washington Household; John Augustine Washington II and III Households</w:t>
            </w:r>
          </w:p>
        </w:tc>
        <w:tc>
          <w:tcPr>
            <w:tcW w:w="1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none</w:t>
            </w:r>
          </w:p>
        </w:tc>
        <w:tc>
          <w:tcPr>
            <w:tcW w:w="4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308N, 308P, 308R, 308S, 308T, 308W, 308X, 309M, 309N, 309P, 309R, 309S, 309SS, 309T, 309W, 309X, 309Y, 310J,  328G, 328J, 328L, 328M, 328N, 328P, 328T, 328X, 329L, 329M, 329N, 329P, 329T, 330L, 330M, 330N, 330P, 330R, 330S, 348W, 348X, 348Y, 349T, 350P</w:t>
            </w:r>
          </w:p>
        </w:tc>
      </w:tr>
      <w:tr w:rsidR="00BF5CB5" w:rsidRPr="00BF5CB5" w:rsidTr="00BF5CB5">
        <w:trPr>
          <w:trHeight w:val="3030"/>
        </w:trPr>
        <w:tc>
          <w:tcPr>
            <w:tcW w:w="16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Phase 5: Modern intrusions and layers</w:t>
            </w:r>
          </w:p>
        </w:tc>
        <w:tc>
          <w:tcPr>
            <w:tcW w:w="1680" w:type="dxa"/>
            <w:tcBorders>
              <w:top w:val="single" w:sz="4" w:space="0" w:color="auto"/>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 xml:space="preserve">Mount Vernon Ladies' Association period </w:t>
            </w:r>
          </w:p>
        </w:tc>
        <w:tc>
          <w:tcPr>
            <w:tcW w:w="1460" w:type="dxa"/>
            <w:tcBorders>
              <w:top w:val="single" w:sz="4" w:space="0" w:color="auto"/>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none</w:t>
            </w:r>
          </w:p>
        </w:tc>
        <w:tc>
          <w:tcPr>
            <w:tcW w:w="4460" w:type="dxa"/>
            <w:tcBorders>
              <w:top w:val="single" w:sz="4" w:space="0" w:color="auto"/>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 xml:space="preserve">308A, 308B, 308C, 308D, 308E, 308F, 308G, 308H, 308J, 308K, 308L, 308M, 309A, 309B, 309C, 309D, 309E, 309F, 309G, 309H, 309J, 309K, 309L, 310A, 310B, 310C, 310D, 310E, 310F, 310G, 310H, 328A, 328B, 328C, 328D, 328E, 328F, 328S, 328W, 329A, 329B, 329C, 329D, 329E, 329F, 329G, 329H, 329J, 329K, 330A, 330B, 330C, 330D, 330E, 330F, 330G, 330H, 330J, 330K, 348A, 348B, 348C, 348D, 348E, 348F, 348G, 348H, 348J, 348K, 348L, 348M, 348N, 348P, 348R, 348S, 348T, 349A, 349B, 349C, 349D, 349E, 349F, 349G, 349H, 349J, 349K, 349L, 349M, 349N, 349P, 349R, 349S, 350A, 350B, 350C, 350D, 350E, 350F, 350G, 350H, 350J, 350K, 350L, 350M, 350N </w:t>
            </w:r>
          </w:p>
        </w:tc>
      </w:tr>
      <w:tr w:rsidR="00BF5CB5" w:rsidRPr="00BF5CB5" w:rsidTr="00BF5CB5">
        <w:trPr>
          <w:trHeight w:val="525"/>
        </w:trPr>
        <w:tc>
          <w:tcPr>
            <w:tcW w:w="1600" w:type="dxa"/>
            <w:tcBorders>
              <w:top w:val="nil"/>
              <w:left w:val="single" w:sz="4" w:space="0" w:color="auto"/>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Phase 6: Buried Topsoil</w:t>
            </w:r>
          </w:p>
        </w:tc>
        <w:tc>
          <w:tcPr>
            <w:tcW w:w="168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none</w:t>
            </w:r>
          </w:p>
        </w:tc>
        <w:tc>
          <w:tcPr>
            <w:tcW w:w="1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none</w:t>
            </w:r>
          </w:p>
        </w:tc>
        <w:tc>
          <w:tcPr>
            <w:tcW w:w="4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310L, 310M, 310N, 330AA, 330BB, 330CC, 330DD, 330EE,</w:t>
            </w:r>
          </w:p>
        </w:tc>
      </w:tr>
      <w:tr w:rsidR="00BF5CB5" w:rsidRPr="00BF5CB5" w:rsidTr="00BF5CB5">
        <w:trPr>
          <w:trHeight w:val="300"/>
        </w:trPr>
        <w:tc>
          <w:tcPr>
            <w:tcW w:w="1600" w:type="dxa"/>
            <w:tcBorders>
              <w:top w:val="nil"/>
              <w:left w:val="single" w:sz="4" w:space="0" w:color="auto"/>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Unassigned</w:t>
            </w:r>
          </w:p>
        </w:tc>
        <w:tc>
          <w:tcPr>
            <w:tcW w:w="168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none</w:t>
            </w:r>
          </w:p>
        </w:tc>
        <w:tc>
          <w:tcPr>
            <w:tcW w:w="1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none</w:t>
            </w:r>
          </w:p>
        </w:tc>
        <w:tc>
          <w:tcPr>
            <w:tcW w:w="4460" w:type="dxa"/>
            <w:tcBorders>
              <w:top w:val="nil"/>
              <w:left w:val="nil"/>
              <w:bottom w:val="single" w:sz="4" w:space="0" w:color="auto"/>
              <w:right w:val="single" w:sz="4" w:space="0" w:color="auto"/>
            </w:tcBorders>
            <w:shd w:val="clear" w:color="auto" w:fill="auto"/>
            <w:vAlign w:val="bottom"/>
            <w:hideMark/>
          </w:tcPr>
          <w:p w:rsidR="00BF5CB5" w:rsidRPr="00BF5CB5" w:rsidRDefault="00BF5CB5" w:rsidP="00BF5CB5">
            <w:pPr>
              <w:rPr>
                <w:rFonts w:eastAsia="Times New Roman"/>
                <w:color w:val="000000"/>
                <w:sz w:val="20"/>
                <w:szCs w:val="20"/>
              </w:rPr>
            </w:pPr>
            <w:r w:rsidRPr="00BF5CB5">
              <w:rPr>
                <w:rFonts w:eastAsia="Times New Roman"/>
                <w:color w:val="000000"/>
                <w:sz w:val="20"/>
                <w:szCs w:val="20"/>
              </w:rPr>
              <w:t>1, 23, 125, 328DELTA, 349DELTA, 99/7, UNKNOWN</w:t>
            </w:r>
          </w:p>
        </w:tc>
      </w:tr>
    </w:tbl>
    <w:p w:rsidR="000F7191" w:rsidRDefault="000F7191" w:rsidP="000F7191"/>
    <w:p w:rsidR="000F7191" w:rsidRPr="008F42ED" w:rsidRDefault="000F7191" w:rsidP="000F7191">
      <w:pPr>
        <w:spacing w:line="480" w:lineRule="auto"/>
      </w:pPr>
      <w:r>
        <w:t xml:space="preserve">  </w:t>
      </w:r>
    </w:p>
    <w:p w:rsidR="000F7191" w:rsidRDefault="000F7191" w:rsidP="000F7191">
      <w:pPr>
        <w:spacing w:line="480" w:lineRule="auto"/>
      </w:pPr>
      <w:r w:rsidRPr="008F42ED">
        <w:tab/>
      </w:r>
      <w:r w:rsidRPr="009C07CA">
        <w:rPr>
          <w:i/>
        </w:rPr>
        <w:t>House for Families.</w:t>
      </w:r>
      <w:r w:rsidR="00086B73">
        <w:t xml:space="preserve"> </w:t>
      </w:r>
      <w:r>
        <w:t>Between 1984 and 1986, the Mount Vernon Ladies’ Association contracted with the Virginia Division of Historic Landmarks (VDHL) to conduct an archaeological survey of the estate to asse</w:t>
      </w:r>
      <w:r w:rsidR="00086B73">
        <w:t xml:space="preserve">ss potential buried resources. </w:t>
      </w:r>
      <w:r>
        <w:t>The survey was expanded into limited test excavations of two sites, the blacksmith’s shop and a cellar believed to be associated with the non-extant House for Fami</w:t>
      </w:r>
      <w:r w:rsidR="00086B73">
        <w:t xml:space="preserve">lies slave quarter. </w:t>
      </w:r>
      <w:r>
        <w:t>Mount Vernon archaeological staff completed the excavation of the cellar in 1989 and 1990, revealing multiple fill episodes in an estimated six by six foot brick-lined feature (the north wall and feature fill were intruded by modern construction) approximately four feet deep (Figure</w:t>
      </w:r>
      <w:r w:rsidRPr="009F6EE3">
        <w:t xml:space="preserve"> 7-</w:t>
      </w:r>
      <w:r w:rsidR="00086B73">
        <w:t xml:space="preserve">3). </w:t>
      </w:r>
      <w:r>
        <w:t xml:space="preserve">The TPQ of the feature is 1759 </w:t>
      </w:r>
      <w:r>
        <w:lastRenderedPageBreak/>
        <w:t xml:space="preserve">and the TAQ is 1793, the date that the quarter was demolished (Pogue and White 1991; </w:t>
      </w:r>
      <w:r w:rsidRPr="00B12550">
        <w:t>Pogue 2003</w:t>
      </w:r>
      <w:r>
        <w:t>).</w:t>
      </w:r>
    </w:p>
    <w:p w:rsidR="003F5327" w:rsidRPr="0007020B" w:rsidRDefault="003F5327" w:rsidP="003F5327">
      <w:pPr>
        <w:spacing w:line="480" w:lineRule="auto"/>
        <w:ind w:firstLine="720"/>
        <w:rPr>
          <w:b/>
        </w:rPr>
      </w:pPr>
      <w:r>
        <w:t xml:space="preserve">Little documentary evidence pertains to the domestic space that housed slaves assigned to Mansion House Farm. The absence of documentation pertaining to the construction of the quarters suggests that George Washington initially leased (and later inherited) the structure from Lawrence and was making improvements to it before assuming outright ownership, as he did with other outbuildings constructed by his brother (Toner [1890]).             </w:t>
      </w:r>
    </w:p>
    <w:p w:rsidR="003F5327" w:rsidRDefault="003F5327" w:rsidP="000F7191">
      <w:pPr>
        <w:spacing w:line="480" w:lineRule="auto"/>
      </w:pPr>
    </w:p>
    <w:p w:rsidR="000F7191" w:rsidRDefault="000F7191" w:rsidP="000F7191">
      <w:pPr>
        <w:spacing w:line="480" w:lineRule="auto"/>
      </w:pPr>
      <w:r w:rsidRPr="0063112E">
        <w:rPr>
          <w:noProof/>
        </w:rPr>
        <w:drawing>
          <wp:inline distT="0" distB="0" distL="0" distR="0">
            <wp:extent cx="5804698" cy="4393870"/>
            <wp:effectExtent l="19050" t="0" r="5552"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l="21083" t="18750" r="23192" b="6250"/>
                    <a:stretch>
                      <a:fillRect/>
                    </a:stretch>
                  </pic:blipFill>
                  <pic:spPr bwMode="auto">
                    <a:xfrm>
                      <a:off x="0" y="0"/>
                      <a:ext cx="5804698" cy="4393870"/>
                    </a:xfrm>
                    <a:prstGeom prst="rect">
                      <a:avLst/>
                    </a:prstGeom>
                    <a:noFill/>
                    <a:ln w="9525">
                      <a:noFill/>
                      <a:miter lim="800000"/>
                      <a:headEnd/>
                      <a:tailEnd/>
                    </a:ln>
                  </pic:spPr>
                </pic:pic>
              </a:graphicData>
            </a:graphic>
          </wp:inline>
        </w:drawing>
      </w:r>
    </w:p>
    <w:p w:rsidR="000F7191" w:rsidRDefault="000F7191" w:rsidP="000F7191">
      <w:r>
        <w:rPr>
          <w:b/>
        </w:rPr>
        <w:t>Figure 7-3</w:t>
      </w:r>
      <w:r w:rsidRPr="00CB6641">
        <w:rPr>
          <w:b/>
        </w:rPr>
        <w:t xml:space="preserve">. </w:t>
      </w:r>
      <w:r w:rsidRPr="003D7A9E">
        <w:t>Plan view of the House for Families (44FX762/40&amp;47) cel</w:t>
      </w:r>
      <w:r w:rsidR="00086B73">
        <w:t>lar.</w:t>
      </w:r>
      <w:r w:rsidRPr="003D7A9E">
        <w:t xml:space="preserve"> (Map by Derek Wheeler, 2004.)</w:t>
      </w:r>
    </w:p>
    <w:p w:rsidR="000F7191" w:rsidRDefault="000F7191" w:rsidP="000F7191">
      <w:pPr>
        <w:rPr>
          <w:b/>
        </w:rPr>
      </w:pPr>
    </w:p>
    <w:p w:rsidR="003F5327" w:rsidRDefault="003F5327" w:rsidP="000F7191">
      <w:pPr>
        <w:spacing w:line="480" w:lineRule="auto"/>
      </w:pPr>
    </w:p>
    <w:p w:rsidR="000F7191" w:rsidRDefault="000F7191" w:rsidP="000F7191">
      <w:pPr>
        <w:spacing w:line="480" w:lineRule="auto"/>
      </w:pPr>
      <w:r>
        <w:lastRenderedPageBreak/>
        <w:tab/>
        <w:t>The feature’s excavation methodology reflected strategies employed by two diff</w:t>
      </w:r>
      <w:r w:rsidR="00086B73">
        <w:t xml:space="preserve">erent principal investigators. </w:t>
      </w:r>
      <w:r>
        <w:t>The VDHL excavated the northern section of the cellar (all except about a foot wide by six foot long portion) and waterscreened soils through ¼ inch mesh from the site that the</w:t>
      </w:r>
      <w:r w:rsidR="00086B73">
        <w:t xml:space="preserve">y identified as 44FX764/17/40. </w:t>
      </w:r>
      <w:r>
        <w:t xml:space="preserve">Archaeologists from Mount Vernon excavated the remainder of the soil south of the bisection line and floated all of the remainder of the feature’s strata </w:t>
      </w:r>
      <w:r w:rsidR="00086B73">
        <w:t xml:space="preserve">as 44FX764/17/47 (Pogue 2003). </w:t>
      </w:r>
      <w:r>
        <w:t>An analysis of the artifacts resulted in a three phase interpretation of the site,</w:t>
      </w:r>
      <w:r>
        <w:rPr>
          <w:rStyle w:val="FootnoteReference"/>
        </w:rPr>
        <w:footnoteReference w:id="7"/>
      </w:r>
      <w:r>
        <w:t xml:space="preserve"> with the majority of artifacts falling into the earliest phase of the site (</w:t>
      </w:r>
      <w:r w:rsidRPr="00061FD7">
        <w:t>DAACS 2013a</w:t>
      </w:r>
      <w:r>
        <w:t xml:space="preserve">) (Table 7-2).  </w:t>
      </w:r>
    </w:p>
    <w:p w:rsidR="000F7191" w:rsidRDefault="000F7191" w:rsidP="000F7191">
      <w:pPr>
        <w:spacing w:line="480" w:lineRule="auto"/>
      </w:pPr>
    </w:p>
    <w:p w:rsidR="000F7191" w:rsidRDefault="000F7191" w:rsidP="000F7191">
      <w:pPr>
        <w:spacing w:line="480" w:lineRule="auto"/>
      </w:pPr>
      <w:r>
        <w:rPr>
          <w:b/>
        </w:rPr>
        <w:t>Table 7-2</w:t>
      </w:r>
      <w:r w:rsidRPr="00CB6641">
        <w:rPr>
          <w:b/>
        </w:rPr>
        <w:t xml:space="preserve">. </w:t>
      </w:r>
      <w:r w:rsidRPr="003D7A9E">
        <w:t>Phasing the House for Families.</w:t>
      </w:r>
      <w:r>
        <w:t xml:space="preserve">    </w:t>
      </w:r>
    </w:p>
    <w:tbl>
      <w:tblPr>
        <w:tblW w:w="8920" w:type="dxa"/>
        <w:tblInd w:w="91" w:type="dxa"/>
        <w:tblLook w:val="04A0"/>
      </w:tblPr>
      <w:tblGrid>
        <w:gridCol w:w="1150"/>
        <w:gridCol w:w="1840"/>
        <w:gridCol w:w="5930"/>
      </w:tblGrid>
      <w:tr w:rsidR="000F7191" w:rsidRPr="003D7A9E" w:rsidTr="00E82578">
        <w:trPr>
          <w:trHeight w:val="225"/>
        </w:trPr>
        <w:tc>
          <w:tcPr>
            <w:tcW w:w="1061"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0F7191" w:rsidRPr="003D7A9E" w:rsidRDefault="000F7191" w:rsidP="00E82578">
            <w:pPr>
              <w:jc w:val="center"/>
              <w:rPr>
                <w:rFonts w:eastAsia="Times New Roman"/>
                <w:b/>
                <w:bCs/>
                <w:color w:val="000000"/>
                <w:sz w:val="20"/>
                <w:szCs w:val="20"/>
              </w:rPr>
            </w:pPr>
            <w:r w:rsidRPr="003D7A9E">
              <w:rPr>
                <w:rFonts w:eastAsia="Times New Roman"/>
                <w:b/>
                <w:bCs/>
                <w:color w:val="000000"/>
                <w:sz w:val="20"/>
                <w:szCs w:val="20"/>
              </w:rPr>
              <w:t>Phase</w:t>
            </w:r>
          </w:p>
        </w:tc>
        <w:tc>
          <w:tcPr>
            <w:tcW w:w="1840"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3D7A9E" w:rsidRDefault="000F7191" w:rsidP="00E82578">
            <w:pPr>
              <w:jc w:val="center"/>
              <w:rPr>
                <w:rFonts w:eastAsia="Times New Roman"/>
                <w:b/>
                <w:bCs/>
                <w:color w:val="000000"/>
                <w:sz w:val="20"/>
                <w:szCs w:val="20"/>
              </w:rPr>
            </w:pPr>
            <w:r w:rsidRPr="003D7A9E">
              <w:rPr>
                <w:rFonts w:eastAsia="Times New Roman"/>
                <w:b/>
                <w:bCs/>
                <w:color w:val="000000"/>
                <w:sz w:val="20"/>
                <w:szCs w:val="20"/>
              </w:rPr>
              <w:t>Feature Assignment</w:t>
            </w:r>
          </w:p>
        </w:tc>
        <w:tc>
          <w:tcPr>
            <w:tcW w:w="6019" w:type="dxa"/>
            <w:tcBorders>
              <w:top w:val="single" w:sz="4" w:space="0" w:color="auto"/>
              <w:left w:val="nil"/>
              <w:bottom w:val="single" w:sz="4" w:space="0" w:color="auto"/>
              <w:right w:val="single" w:sz="4" w:space="0" w:color="auto"/>
            </w:tcBorders>
            <w:shd w:val="clear" w:color="000000" w:fill="D8D8D8"/>
            <w:vAlign w:val="bottom"/>
            <w:hideMark/>
          </w:tcPr>
          <w:p w:rsidR="000F7191" w:rsidRPr="003D7A9E" w:rsidRDefault="000F7191" w:rsidP="00E82578">
            <w:pPr>
              <w:jc w:val="center"/>
              <w:rPr>
                <w:rFonts w:eastAsia="Times New Roman"/>
                <w:b/>
                <w:bCs/>
                <w:color w:val="000000"/>
                <w:sz w:val="20"/>
                <w:szCs w:val="20"/>
              </w:rPr>
            </w:pPr>
            <w:r w:rsidRPr="003D7A9E">
              <w:rPr>
                <w:rFonts w:eastAsia="Times New Roman"/>
                <w:b/>
                <w:bCs/>
                <w:color w:val="000000"/>
                <w:sz w:val="20"/>
                <w:szCs w:val="20"/>
              </w:rPr>
              <w:t>Context</w:t>
            </w:r>
          </w:p>
        </w:tc>
      </w:tr>
      <w:tr w:rsidR="000F7191" w:rsidRPr="003D7A9E" w:rsidTr="00E82578">
        <w:trPr>
          <w:trHeight w:val="440"/>
        </w:trPr>
        <w:tc>
          <w:tcPr>
            <w:tcW w:w="10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Phase 1, ca. 1760</w:t>
            </w:r>
          </w:p>
        </w:tc>
        <w:tc>
          <w:tcPr>
            <w:tcW w:w="184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Feature 1 (Cellar)</w:t>
            </w:r>
          </w:p>
        </w:tc>
        <w:tc>
          <w:tcPr>
            <w:tcW w:w="6019"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 xml:space="preserve">40BB, 40CC, 40DD, 40E, 40EE, 40FF, 40GG, 47AA, 47E, 47F, 47G, 47H, 47J, 47K, 47L, 47M, 47N, 47P, 47R, 47S, 47T, 47W, 47X, 47Y </w:t>
            </w:r>
          </w:p>
        </w:tc>
      </w:tr>
      <w:tr w:rsidR="000F7191" w:rsidRPr="003D7A9E" w:rsidTr="00E82578">
        <w:trPr>
          <w:trHeight w:val="458"/>
        </w:trPr>
        <w:tc>
          <w:tcPr>
            <w:tcW w:w="10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Phase 2, ca. 1779</w:t>
            </w:r>
          </w:p>
        </w:tc>
        <w:tc>
          <w:tcPr>
            <w:tcW w:w="184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Feature 1 (Cellar)</w:t>
            </w:r>
          </w:p>
        </w:tc>
        <w:tc>
          <w:tcPr>
            <w:tcW w:w="6019"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 xml:space="preserve">40D, 40G, 40H, 40L, 40MM, 40W, 40Y, 47B, 47D </w:t>
            </w:r>
          </w:p>
        </w:tc>
      </w:tr>
      <w:tr w:rsidR="000F7191" w:rsidRPr="003D7A9E" w:rsidTr="00E82578">
        <w:trPr>
          <w:trHeight w:val="431"/>
        </w:trPr>
        <w:tc>
          <w:tcPr>
            <w:tcW w:w="10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Phase 3, ca. 1782</w:t>
            </w:r>
          </w:p>
        </w:tc>
        <w:tc>
          <w:tcPr>
            <w:tcW w:w="184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Feature 1 (Cellar)</w:t>
            </w:r>
          </w:p>
        </w:tc>
        <w:tc>
          <w:tcPr>
            <w:tcW w:w="6019"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40B, 40F, 40U, 40X, 47A</w:t>
            </w:r>
          </w:p>
        </w:tc>
      </w:tr>
      <w:tr w:rsidR="000F7191" w:rsidRPr="003D7A9E" w:rsidTr="00E82578">
        <w:trPr>
          <w:trHeight w:val="450"/>
        </w:trPr>
        <w:tc>
          <w:tcPr>
            <w:tcW w:w="10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Unassigned</w:t>
            </w:r>
          </w:p>
        </w:tc>
        <w:tc>
          <w:tcPr>
            <w:tcW w:w="184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Feature 1 (Cellar)</w:t>
            </w:r>
          </w:p>
        </w:tc>
        <w:tc>
          <w:tcPr>
            <w:tcW w:w="6019"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sz w:val="20"/>
                <w:szCs w:val="20"/>
              </w:rPr>
            </w:pPr>
            <w:r w:rsidRPr="003D7A9E">
              <w:rPr>
                <w:rFonts w:eastAsia="Times New Roman"/>
                <w:color w:val="000000"/>
                <w:sz w:val="20"/>
                <w:szCs w:val="20"/>
              </w:rPr>
              <w:t>40A, 40C, 40HH, 40J, 40K, 40KK, 40LL, 40M, 40N, 40NN, 40P, 40PP, 40R, 40RR, 40S, 40Z, 47BB, 47C, 47DELTA</w:t>
            </w:r>
          </w:p>
        </w:tc>
      </w:tr>
    </w:tbl>
    <w:p w:rsidR="000F7191" w:rsidRDefault="000F7191" w:rsidP="000F7191">
      <w:pPr>
        <w:spacing w:line="480" w:lineRule="auto"/>
        <w:rPr>
          <w:b/>
        </w:rPr>
      </w:pPr>
    </w:p>
    <w:p w:rsidR="000F7191" w:rsidRDefault="000F7191" w:rsidP="000F7191">
      <w:pPr>
        <w:rPr>
          <w:b/>
        </w:rPr>
      </w:pPr>
      <w:r>
        <w:rPr>
          <w:b/>
        </w:rPr>
        <w:br w:type="page"/>
      </w:r>
    </w:p>
    <w:p w:rsidR="000F7191" w:rsidRPr="000B1E50" w:rsidRDefault="000F7191" w:rsidP="000F7191">
      <w:pPr>
        <w:spacing w:line="480" w:lineRule="auto"/>
      </w:pPr>
      <w:r w:rsidRPr="000B1E50">
        <w:rPr>
          <w:b/>
        </w:rPr>
        <w:lastRenderedPageBreak/>
        <w:t>Compiling the Database</w:t>
      </w:r>
    </w:p>
    <w:p w:rsidR="000F7191" w:rsidRPr="000B1E50" w:rsidRDefault="000F7191" w:rsidP="000F7191">
      <w:pPr>
        <w:spacing w:line="480" w:lineRule="auto"/>
        <w:ind w:firstLine="720"/>
      </w:pPr>
      <w:r w:rsidRPr="000B1E50">
        <w:rPr>
          <w:i/>
        </w:rPr>
        <w:t xml:space="preserve">Background. </w:t>
      </w:r>
      <w:r>
        <w:t>A</w:t>
      </w:r>
      <w:r w:rsidRPr="000B1E50">
        <w:t>rchaeologists uncover the discarded remains of</w:t>
      </w:r>
      <w:r w:rsidR="00086B73">
        <w:t xml:space="preserve"> consumer behaviors. </w:t>
      </w:r>
      <w:r w:rsidRPr="000B1E50">
        <w:t xml:space="preserve">At the outset, the goal of this project was to create a comparable database of archaeologically-derived consumer detritus from </w:t>
      </w:r>
      <w:r>
        <w:t xml:space="preserve">within </w:t>
      </w:r>
      <w:r w:rsidRPr="000B1E50">
        <w:t xml:space="preserve">one plantation, </w:t>
      </w:r>
      <w:r>
        <w:t>complemented</w:t>
      </w:r>
      <w:r w:rsidRPr="000B1E50">
        <w:t xml:space="preserve"> by two closely-related documentary datasets (the invoices and orders an</w:t>
      </w:r>
      <w:r w:rsidR="00086B73">
        <w:t xml:space="preserve">d the schemes of goods). </w:t>
      </w:r>
      <w:r w:rsidRPr="000B1E50">
        <w:t>The House for Families artifact assemblage was one of the pilot sites entered into the Digital Archaeological Archive of Comparative Slavery (DAACS) and went liv</w:t>
      </w:r>
      <w:r>
        <w:t xml:space="preserve">e on that </w:t>
      </w:r>
      <w:r w:rsidR="00086B73">
        <w:t xml:space="preserve">website in 2004. </w:t>
      </w:r>
      <w:r>
        <w:t>T</w:t>
      </w:r>
      <w:r w:rsidRPr="00E53F97">
        <w:t xml:space="preserve">he goal of DAACS is to </w:t>
      </w:r>
      <w:r>
        <w:t>provide</w:t>
      </w:r>
      <w:r w:rsidRPr="00E53F97">
        <w:t xml:space="preserve"> a relational, </w:t>
      </w:r>
      <w:r>
        <w:t>searchable digital resource to</w:t>
      </w:r>
      <w:r w:rsidRPr="00E53F97">
        <w:t xml:space="preserve"> facilitate comparative research on slave-related sites from the Chesapeake and </w:t>
      </w:r>
      <w:r w:rsidR="00086B73">
        <w:t xml:space="preserve">throughout the Atlantic World. </w:t>
      </w:r>
      <w:r w:rsidRPr="00E53F97">
        <w:t>The</w:t>
      </w:r>
      <w:r w:rsidRPr="000B1E50">
        <w:t xml:space="preserve"> South Grove Midden was also envisioned to be a pilot site; however, due to the vagaries of project development, was nev</w:t>
      </w:r>
      <w:r w:rsidR="00086B73">
        <w:t xml:space="preserve">er entered into that database. </w:t>
      </w:r>
      <w:r w:rsidRPr="000B1E50">
        <w:t>When this phase of research began, the South Grove catalogue existed in Re:discovery, where it had been imported fr</w:t>
      </w:r>
      <w:r w:rsidR="00086B73">
        <w:t xml:space="preserve">om an earlier database system. </w:t>
      </w:r>
      <w:r w:rsidRPr="000B1E50">
        <w:t>While the data were solid for pursuing some levels of research and analysis (Breen 2003</w:t>
      </w:r>
      <w:r>
        <w:t>, 2004</w:t>
      </w:r>
      <w:r w:rsidRPr="000B1E50">
        <w:t>), artifact records did not contain the level of detail to support the study of consumerism proposed here</w:t>
      </w:r>
      <w:r w:rsidR="00EF16EC">
        <w:t>,</w:t>
      </w:r>
      <w:r w:rsidRPr="000B1E50">
        <w:t xml:space="preserve"> and they were not in a format that could be directly compa</w:t>
      </w:r>
      <w:r w:rsidR="00086B73">
        <w:t xml:space="preserve">red to the House for Families. </w:t>
      </w:r>
      <w:r w:rsidRPr="000B1E50">
        <w:t>Additionally, beyond the artifact level, there was no database of the hundreds of objects derived through cross-mendin</w:t>
      </w:r>
      <w:r w:rsidR="00086B73">
        <w:t xml:space="preserve">g and minimum vessel analysis. </w:t>
      </w:r>
      <w:r w:rsidRPr="000B1E50">
        <w:t>The decision was made to re-catalogue the entirety of the South Grove assemblage into DAACS, an endeavor which began in October of 2010 and w</w:t>
      </w:r>
      <w:r w:rsidR="00086B73">
        <w:t xml:space="preserve">as completed in April of 2012. </w:t>
      </w:r>
      <w:r w:rsidRPr="000B1E50">
        <w:t>The South Grove Midden site was offi</w:t>
      </w:r>
      <w:r>
        <w:t>cially launched in DAACS in the fall</w:t>
      </w:r>
      <w:r w:rsidRPr="000B1E50">
        <w:t xml:space="preserve"> of 2013.                </w:t>
      </w:r>
    </w:p>
    <w:p w:rsidR="000F7191" w:rsidRPr="000B1E50" w:rsidRDefault="000F7191" w:rsidP="000F7191">
      <w:pPr>
        <w:spacing w:line="480" w:lineRule="auto"/>
        <w:ind w:firstLine="720"/>
      </w:pPr>
      <w:r w:rsidRPr="000B1E50">
        <w:rPr>
          <w:i/>
        </w:rPr>
        <w:t>Data Entry.</w:t>
      </w:r>
      <w:r w:rsidR="00086B73">
        <w:t xml:space="preserve"> </w:t>
      </w:r>
      <w:r w:rsidRPr="000B1E50">
        <w:t>The South Grove Midden artifacts, objects, faunal remains, context and feature records, images, maps, and the Harris Matrix were catalogued and</w:t>
      </w:r>
      <w:r>
        <w:t>/or</w:t>
      </w:r>
      <w:r w:rsidRPr="000B1E50">
        <w:t xml:space="preserve"> digitized</w:t>
      </w:r>
      <w:r w:rsidR="00086B73">
        <w:t xml:space="preserve"> according to DAACS protocols. </w:t>
      </w:r>
      <w:r w:rsidRPr="000B1E50">
        <w:t>When cataloguing some artifact classes, I recorded additional information</w:t>
      </w:r>
      <w:r>
        <w:t xml:space="preserve"> </w:t>
      </w:r>
      <w:r>
        <w:lastRenderedPageBreak/>
        <w:t>not required in the protocols</w:t>
      </w:r>
      <w:r w:rsidRPr="000B1E50">
        <w:t xml:space="preserve"> but that I antici</w:t>
      </w:r>
      <w:r w:rsidR="00086B73">
        <w:t xml:space="preserve">pated would aid in this study. </w:t>
      </w:r>
      <w:r w:rsidRPr="000B1E50">
        <w:t xml:space="preserve">Many of these protocols (which I will discuss later) will appear in future revisions of the manuals (Jillian Galle 2013, pers. comm.). </w:t>
      </w:r>
    </w:p>
    <w:p w:rsidR="000F7191" w:rsidRPr="000B1E50" w:rsidRDefault="000F7191" w:rsidP="000F7191">
      <w:pPr>
        <w:spacing w:line="480" w:lineRule="auto"/>
        <w:ind w:firstLine="720"/>
      </w:pPr>
      <w:r w:rsidRPr="000B1E50">
        <w:t xml:space="preserve">In collaboration with DAACS Project Manager Jillian Galle and Monticello Research Archaeologist Derek Wheeler, </w:t>
      </w:r>
      <w:r>
        <w:t xml:space="preserve">I developed </w:t>
      </w:r>
      <w:r w:rsidRPr="000B1E50">
        <w:t>a new table in the DAACS database t</w:t>
      </w:r>
      <w:r w:rsidR="00086B73">
        <w:t xml:space="preserve">o catalogue object-level data. </w:t>
      </w:r>
      <w:r w:rsidRPr="000B1E50">
        <w:t>The object table addressed the need to undertake analysis beyond sherds to the complete (or partially complete) obj</w:t>
      </w:r>
      <w:r w:rsidR="00086B73">
        <w:t xml:space="preserve">ects that they once comprised. </w:t>
      </w:r>
      <w:r w:rsidRPr="000B1E50">
        <w:t>This table captures data in approximately 50 fields with 14 related tables and will be launched in a queriable format in 2014</w:t>
      </w:r>
      <w:r>
        <w:t>,</w:t>
      </w:r>
      <w:r w:rsidRPr="000B1E50">
        <w:t xml:space="preserve"> </w:t>
      </w:r>
      <w:r>
        <w:t xml:space="preserve">as will object-level data from sites at Monticello </w:t>
      </w:r>
      <w:r w:rsidRPr="000B1E50">
        <w:t xml:space="preserve">(Jillian Galle 2013, pers. comm.).         </w:t>
      </w:r>
    </w:p>
    <w:p w:rsidR="000F7191" w:rsidRDefault="000F7191" w:rsidP="000F7191">
      <w:pPr>
        <w:spacing w:line="480" w:lineRule="auto"/>
        <w:ind w:firstLine="720"/>
      </w:pPr>
      <w:r w:rsidRPr="00BD6602">
        <w:rPr>
          <w:i/>
        </w:rPr>
        <w:t>Summarizing the Data.</w:t>
      </w:r>
      <w:r w:rsidR="00086B73">
        <w:t xml:space="preserve"> </w:t>
      </w:r>
      <w:r>
        <w:t xml:space="preserve">The South Grove Midden is an amazingly rich assemblage of domestic refuse dating </w:t>
      </w:r>
      <w:r w:rsidR="00086B73">
        <w:t xml:space="preserve">to the mid-eighteenth century. </w:t>
      </w:r>
      <w:r>
        <w:t>The 400 excavated strata yielded a total of 119,251 artifacts (11,850 of which were ceramic sherds represent</w:t>
      </w:r>
      <w:r w:rsidR="00086B73">
        <w:t xml:space="preserve">ing a minimum of 399 vessels). </w:t>
      </w:r>
      <w:r>
        <w:t>Though eighteenth-century artifacts are found throughout the site’s stratigraphy (including those redeposited in modern utility trench intrusions), 37 percent of the layers date from the ninet</w:t>
      </w:r>
      <w:r w:rsidR="00086B73">
        <w:t xml:space="preserve">eenth and twentieth centuries. </w:t>
      </w:r>
      <w:r>
        <w:t>A minimum of 238 ceramic vessels had at least one sherd</w:t>
      </w:r>
      <w:r w:rsidR="00086B73">
        <w:t xml:space="preserve"> in the pre-1775 midden layers.</w:t>
      </w:r>
      <w:r>
        <w:t xml:space="preserve"> Though not a focus of this study, a total of 136,395 faunal fragments underwent a variety of zooarchaeological analyses (Bowen et al. 2012a, 2012b) and the botanicals (which proved not to be as well preserved as the faunal remains) were thoroughly investigated </w:t>
      </w:r>
      <w:r w:rsidRPr="00947E50">
        <w:t>(McKnight 2012).</w:t>
      </w:r>
    </w:p>
    <w:p w:rsidR="000F7191" w:rsidRDefault="000F7191" w:rsidP="000F7191">
      <w:pPr>
        <w:spacing w:line="480" w:lineRule="auto"/>
        <w:ind w:firstLine="720"/>
      </w:pPr>
      <w:r>
        <w:t>Though significant in many ways, the House for Families excavations yielded a much smaller dataset with 16,465 artifacts (DAACS 2013b) (662 ceramic sherds representing 136 vessels) and 25,502 faunal fr</w:t>
      </w:r>
      <w:r w:rsidR="00086B73">
        <w:t xml:space="preserve">agments analyzed (Bowen 1993). </w:t>
      </w:r>
      <w:r>
        <w:t>The macrobotanical assemblage was also studied (Shick 2004).</w:t>
      </w:r>
    </w:p>
    <w:p w:rsidR="000F7191" w:rsidRDefault="000F7191" w:rsidP="000F7191">
      <w:pPr>
        <w:spacing w:line="480" w:lineRule="auto"/>
        <w:ind w:firstLine="720"/>
      </w:pPr>
      <w:r>
        <w:lastRenderedPageBreak/>
        <w:t>In terms of archaeological dating techniques (the results of which are compatible with documentary evidence), the South Grove Midden was filled in slightly earlie</w:t>
      </w:r>
      <w:r w:rsidR="00086B73">
        <w:t xml:space="preserve">r than the House for Families. </w:t>
      </w:r>
      <w:r>
        <w:t>The midden’s mean ceramic date (MCD) (for 8</w:t>
      </w:r>
      <w:r w:rsidR="00E928ED">
        <w:t>,</w:t>
      </w:r>
      <w:r>
        <w:t xml:space="preserve">458 ceramic sherds) is 1746.06 and the House for Families is 1762.94 (for 631 </w:t>
      </w:r>
      <w:r w:rsidR="00086B73">
        <w:t xml:space="preserve">ceramic sherds) (DAACS 2013c). </w:t>
      </w:r>
      <w:r>
        <w:t>This pattern bears out for TPQ and MCD calculations for phases and through pipe</w:t>
      </w:r>
      <w:r w:rsidR="00E91746">
        <w:t xml:space="preserve"> </w:t>
      </w:r>
      <w:r>
        <w:t>stem dating techniques (DAACS 2013b) (Tables</w:t>
      </w:r>
      <w:r w:rsidRPr="00E048E5">
        <w:t xml:space="preserve"> 7-3, 7-4, </w:t>
      </w:r>
      <w:r>
        <w:t xml:space="preserve">and </w:t>
      </w:r>
      <w:r w:rsidRPr="00E048E5">
        <w:t>7-5</w:t>
      </w:r>
      <w:r w:rsidR="00086B73">
        <w:t xml:space="preserve">). </w:t>
      </w:r>
      <w:r>
        <w:t>TPQ90 estimates the date after which the phase was formed based on the 90</w:t>
      </w:r>
      <w:r w:rsidRPr="009B5394">
        <w:rPr>
          <w:vertAlign w:val="superscript"/>
        </w:rPr>
        <w:t>th</w:t>
      </w:r>
      <w:r>
        <w:t xml:space="preserve"> percentile of the beginning manufacturing dates for all th</w:t>
      </w:r>
      <w:r w:rsidR="00086B73">
        <w:t xml:space="preserve">e ceramics found in the layer. </w:t>
      </w:r>
      <w:r>
        <w:t xml:space="preserve">The estimate provides a statistical way to cull out anomalous ceramics introduced into layers through excavator error or unrecognized taphonomic processes (DAACS 2011).  </w:t>
      </w:r>
    </w:p>
    <w:p w:rsidR="000F7191" w:rsidRDefault="000F7191" w:rsidP="000F7191">
      <w:pPr>
        <w:rPr>
          <w:b/>
        </w:rPr>
      </w:pPr>
      <w:r>
        <w:rPr>
          <w:b/>
        </w:rPr>
        <w:br w:type="page"/>
      </w:r>
    </w:p>
    <w:p w:rsidR="000F7191" w:rsidRDefault="000F7191" w:rsidP="000F7191">
      <w:pPr>
        <w:spacing w:line="480" w:lineRule="auto"/>
      </w:pPr>
      <w:r>
        <w:rPr>
          <w:b/>
        </w:rPr>
        <w:lastRenderedPageBreak/>
        <w:t>Table 7-3</w:t>
      </w:r>
      <w:r w:rsidRPr="00CB6641">
        <w:rPr>
          <w:b/>
        </w:rPr>
        <w:t xml:space="preserve">. </w:t>
      </w:r>
      <w:r w:rsidRPr="003D7A9E">
        <w:t>Ceramic dates for the South Grove Midden phases.</w:t>
      </w:r>
    </w:p>
    <w:tbl>
      <w:tblPr>
        <w:tblW w:w="5867" w:type="dxa"/>
        <w:tblInd w:w="91" w:type="dxa"/>
        <w:tblLook w:val="04A0"/>
      </w:tblPr>
      <w:tblGrid>
        <w:gridCol w:w="925"/>
        <w:gridCol w:w="945"/>
        <w:gridCol w:w="944"/>
        <w:gridCol w:w="977"/>
        <w:gridCol w:w="2076"/>
      </w:tblGrid>
      <w:tr w:rsidR="000F7191" w:rsidRPr="003D7A9E" w:rsidTr="00E82578">
        <w:trPr>
          <w:trHeight w:val="315"/>
        </w:trPr>
        <w:tc>
          <w:tcPr>
            <w:tcW w:w="925" w:type="dxa"/>
            <w:tcBorders>
              <w:top w:val="single" w:sz="4" w:space="0" w:color="auto"/>
              <w:left w:val="single" w:sz="4" w:space="0" w:color="auto"/>
              <w:bottom w:val="single" w:sz="4" w:space="0" w:color="auto"/>
              <w:right w:val="single" w:sz="4" w:space="0" w:color="auto"/>
            </w:tcBorders>
            <w:shd w:val="clear" w:color="000000" w:fill="D8D8D8"/>
            <w:hideMark/>
          </w:tcPr>
          <w:p w:rsidR="000F7191" w:rsidRPr="003D7A9E" w:rsidRDefault="000F7191" w:rsidP="00E82578">
            <w:pPr>
              <w:jc w:val="center"/>
              <w:rPr>
                <w:rFonts w:eastAsia="Times New Roman"/>
                <w:b/>
                <w:bCs/>
                <w:color w:val="000000"/>
              </w:rPr>
            </w:pPr>
            <w:r w:rsidRPr="003D7A9E">
              <w:rPr>
                <w:rFonts w:eastAsia="Times New Roman"/>
                <w:b/>
                <w:bCs/>
                <w:color w:val="000000"/>
              </w:rPr>
              <w:t>Phase</w:t>
            </w:r>
          </w:p>
        </w:tc>
        <w:tc>
          <w:tcPr>
            <w:tcW w:w="945" w:type="dxa"/>
            <w:tcBorders>
              <w:top w:val="single" w:sz="4" w:space="0" w:color="auto"/>
              <w:left w:val="nil"/>
              <w:bottom w:val="single" w:sz="4" w:space="0" w:color="auto"/>
              <w:right w:val="single" w:sz="4" w:space="0" w:color="auto"/>
            </w:tcBorders>
            <w:shd w:val="clear" w:color="000000" w:fill="D8D8D8"/>
            <w:hideMark/>
          </w:tcPr>
          <w:p w:rsidR="000F7191" w:rsidRPr="003D7A9E" w:rsidRDefault="000F7191" w:rsidP="00E82578">
            <w:pPr>
              <w:jc w:val="center"/>
              <w:rPr>
                <w:rFonts w:eastAsia="Times New Roman"/>
                <w:b/>
                <w:bCs/>
                <w:color w:val="000000"/>
              </w:rPr>
            </w:pPr>
            <w:r w:rsidRPr="003D7A9E">
              <w:rPr>
                <w:rFonts w:eastAsia="Times New Roman"/>
                <w:b/>
                <w:bCs/>
                <w:color w:val="000000"/>
              </w:rPr>
              <w:t>MCD</w:t>
            </w:r>
          </w:p>
        </w:tc>
        <w:tc>
          <w:tcPr>
            <w:tcW w:w="944" w:type="dxa"/>
            <w:tcBorders>
              <w:top w:val="single" w:sz="4" w:space="0" w:color="auto"/>
              <w:left w:val="nil"/>
              <w:bottom w:val="single" w:sz="4" w:space="0" w:color="auto"/>
              <w:right w:val="single" w:sz="4" w:space="0" w:color="auto"/>
            </w:tcBorders>
            <w:shd w:val="clear" w:color="000000" w:fill="D8D8D8"/>
            <w:hideMark/>
          </w:tcPr>
          <w:p w:rsidR="000F7191" w:rsidRPr="003D7A9E" w:rsidRDefault="000F7191" w:rsidP="00E82578">
            <w:pPr>
              <w:jc w:val="center"/>
              <w:rPr>
                <w:rFonts w:eastAsia="Times New Roman"/>
                <w:b/>
                <w:bCs/>
                <w:color w:val="000000"/>
              </w:rPr>
            </w:pPr>
            <w:r w:rsidRPr="003D7A9E">
              <w:rPr>
                <w:rFonts w:eastAsia="Times New Roman"/>
                <w:b/>
                <w:bCs/>
                <w:color w:val="000000"/>
              </w:rPr>
              <w:t>TPQ</w:t>
            </w:r>
          </w:p>
        </w:tc>
        <w:tc>
          <w:tcPr>
            <w:tcW w:w="977" w:type="dxa"/>
            <w:tcBorders>
              <w:top w:val="single" w:sz="4" w:space="0" w:color="auto"/>
              <w:left w:val="nil"/>
              <w:bottom w:val="single" w:sz="4" w:space="0" w:color="auto"/>
              <w:right w:val="single" w:sz="4" w:space="0" w:color="auto"/>
            </w:tcBorders>
            <w:shd w:val="clear" w:color="000000" w:fill="D8D8D8"/>
            <w:hideMark/>
          </w:tcPr>
          <w:p w:rsidR="000F7191" w:rsidRPr="003D7A9E" w:rsidRDefault="000F7191" w:rsidP="00E82578">
            <w:pPr>
              <w:jc w:val="center"/>
              <w:rPr>
                <w:rFonts w:eastAsia="Times New Roman"/>
                <w:b/>
                <w:bCs/>
                <w:color w:val="000000"/>
              </w:rPr>
            </w:pPr>
            <w:r w:rsidRPr="003D7A9E">
              <w:rPr>
                <w:rFonts w:eastAsia="Times New Roman"/>
                <w:b/>
                <w:bCs/>
                <w:color w:val="000000"/>
              </w:rPr>
              <w:t>TPQ90</w:t>
            </w:r>
          </w:p>
        </w:tc>
        <w:tc>
          <w:tcPr>
            <w:tcW w:w="2076" w:type="dxa"/>
            <w:tcBorders>
              <w:top w:val="single" w:sz="4" w:space="0" w:color="auto"/>
              <w:left w:val="nil"/>
              <w:bottom w:val="single" w:sz="4" w:space="0" w:color="auto"/>
              <w:right w:val="single" w:sz="4" w:space="0" w:color="auto"/>
            </w:tcBorders>
            <w:shd w:val="clear" w:color="000000" w:fill="D8D8D8"/>
            <w:hideMark/>
          </w:tcPr>
          <w:p w:rsidR="000F7191" w:rsidRPr="003D7A9E" w:rsidRDefault="000F7191" w:rsidP="00E82578">
            <w:pPr>
              <w:jc w:val="center"/>
              <w:rPr>
                <w:rFonts w:eastAsia="Times New Roman"/>
                <w:b/>
                <w:bCs/>
                <w:color w:val="000000"/>
              </w:rPr>
            </w:pPr>
            <w:r w:rsidRPr="003D7A9E">
              <w:rPr>
                <w:rFonts w:eastAsia="Times New Roman"/>
                <w:b/>
                <w:bCs/>
                <w:color w:val="000000"/>
              </w:rPr>
              <w:t>Sherd Count</w:t>
            </w:r>
          </w:p>
        </w:tc>
      </w:tr>
      <w:tr w:rsidR="000F7191" w:rsidRPr="003D7A9E" w:rsidTr="00E82578">
        <w:trPr>
          <w:trHeight w:val="300"/>
        </w:trPr>
        <w:tc>
          <w:tcPr>
            <w:tcW w:w="925" w:type="dxa"/>
            <w:tcBorders>
              <w:top w:val="nil"/>
              <w:left w:val="single" w:sz="4" w:space="0" w:color="auto"/>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w:t>
            </w:r>
          </w:p>
        </w:tc>
        <w:tc>
          <w:tcPr>
            <w:tcW w:w="945"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1731</w:t>
            </w:r>
          </w:p>
        </w:tc>
        <w:tc>
          <w:tcPr>
            <w:tcW w:w="944"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1750</w:t>
            </w:r>
          </w:p>
        </w:tc>
        <w:tc>
          <w:tcPr>
            <w:tcW w:w="977"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1683</w:t>
            </w:r>
          </w:p>
        </w:tc>
        <w:tc>
          <w:tcPr>
            <w:tcW w:w="2076"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right"/>
              <w:rPr>
                <w:rFonts w:eastAsia="Times New Roman"/>
                <w:color w:val="000000"/>
              </w:rPr>
            </w:pPr>
            <w:r w:rsidRPr="003D7A9E">
              <w:rPr>
                <w:rFonts w:eastAsia="Times New Roman"/>
                <w:color w:val="000000"/>
              </w:rPr>
              <w:t>2302</w:t>
            </w:r>
          </w:p>
        </w:tc>
      </w:tr>
      <w:tr w:rsidR="000F7191" w:rsidRPr="003D7A9E" w:rsidTr="00E82578">
        <w:trPr>
          <w:trHeight w:val="300"/>
        </w:trPr>
        <w:tc>
          <w:tcPr>
            <w:tcW w:w="925" w:type="dxa"/>
            <w:tcBorders>
              <w:top w:val="nil"/>
              <w:left w:val="single" w:sz="4" w:space="0" w:color="auto"/>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2</w:t>
            </w:r>
          </w:p>
        </w:tc>
        <w:tc>
          <w:tcPr>
            <w:tcW w:w="945"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1733</w:t>
            </w:r>
          </w:p>
        </w:tc>
        <w:tc>
          <w:tcPr>
            <w:tcW w:w="944"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1762</w:t>
            </w:r>
          </w:p>
        </w:tc>
        <w:tc>
          <w:tcPr>
            <w:tcW w:w="977"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1720</w:t>
            </w:r>
          </w:p>
        </w:tc>
        <w:tc>
          <w:tcPr>
            <w:tcW w:w="2076"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right"/>
              <w:rPr>
                <w:rFonts w:eastAsia="Times New Roman"/>
                <w:color w:val="000000"/>
              </w:rPr>
            </w:pPr>
            <w:r w:rsidRPr="003D7A9E">
              <w:rPr>
                <w:rFonts w:eastAsia="Times New Roman"/>
                <w:color w:val="000000"/>
              </w:rPr>
              <w:t>2620</w:t>
            </w:r>
          </w:p>
        </w:tc>
      </w:tr>
      <w:tr w:rsidR="000F7191" w:rsidRPr="003D7A9E" w:rsidTr="00E82578">
        <w:trPr>
          <w:trHeight w:val="300"/>
        </w:trPr>
        <w:tc>
          <w:tcPr>
            <w:tcW w:w="925" w:type="dxa"/>
            <w:tcBorders>
              <w:top w:val="nil"/>
              <w:left w:val="single" w:sz="4" w:space="0" w:color="auto"/>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3</w:t>
            </w:r>
          </w:p>
        </w:tc>
        <w:tc>
          <w:tcPr>
            <w:tcW w:w="945"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1735</w:t>
            </w:r>
          </w:p>
        </w:tc>
        <w:tc>
          <w:tcPr>
            <w:tcW w:w="944"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1775</w:t>
            </w:r>
          </w:p>
        </w:tc>
        <w:tc>
          <w:tcPr>
            <w:tcW w:w="977"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1720</w:t>
            </w:r>
          </w:p>
        </w:tc>
        <w:tc>
          <w:tcPr>
            <w:tcW w:w="2076"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right"/>
              <w:rPr>
                <w:rFonts w:eastAsia="Times New Roman"/>
                <w:color w:val="000000"/>
              </w:rPr>
            </w:pPr>
            <w:r w:rsidRPr="003D7A9E">
              <w:rPr>
                <w:rFonts w:eastAsia="Times New Roman"/>
                <w:color w:val="000000"/>
              </w:rPr>
              <w:t>901</w:t>
            </w:r>
          </w:p>
        </w:tc>
      </w:tr>
      <w:tr w:rsidR="000F7191" w:rsidRPr="003D7A9E" w:rsidTr="00E82578">
        <w:trPr>
          <w:trHeight w:val="300"/>
        </w:trPr>
        <w:tc>
          <w:tcPr>
            <w:tcW w:w="925" w:type="dxa"/>
            <w:tcBorders>
              <w:top w:val="nil"/>
              <w:left w:val="single" w:sz="4" w:space="0" w:color="auto"/>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4</w:t>
            </w:r>
          </w:p>
        </w:tc>
        <w:tc>
          <w:tcPr>
            <w:tcW w:w="945"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1741</w:t>
            </w:r>
          </w:p>
        </w:tc>
        <w:tc>
          <w:tcPr>
            <w:tcW w:w="944"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1840</w:t>
            </w:r>
          </w:p>
        </w:tc>
        <w:tc>
          <w:tcPr>
            <w:tcW w:w="977"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1720</w:t>
            </w:r>
          </w:p>
        </w:tc>
        <w:tc>
          <w:tcPr>
            <w:tcW w:w="2076"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right"/>
              <w:rPr>
                <w:rFonts w:eastAsia="Times New Roman"/>
                <w:color w:val="000000"/>
              </w:rPr>
            </w:pPr>
            <w:r w:rsidRPr="003D7A9E">
              <w:rPr>
                <w:rFonts w:eastAsia="Times New Roman"/>
                <w:color w:val="000000"/>
              </w:rPr>
              <w:t>2264</w:t>
            </w:r>
          </w:p>
        </w:tc>
      </w:tr>
      <w:tr w:rsidR="000F7191" w:rsidRPr="003D7A9E" w:rsidTr="00E82578">
        <w:trPr>
          <w:trHeight w:val="300"/>
        </w:trPr>
        <w:tc>
          <w:tcPr>
            <w:tcW w:w="925" w:type="dxa"/>
            <w:tcBorders>
              <w:top w:val="nil"/>
              <w:left w:val="single" w:sz="4" w:space="0" w:color="auto"/>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5</w:t>
            </w:r>
          </w:p>
        </w:tc>
        <w:tc>
          <w:tcPr>
            <w:tcW w:w="945"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1750</w:t>
            </w:r>
          </w:p>
        </w:tc>
        <w:tc>
          <w:tcPr>
            <w:tcW w:w="944"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1840</w:t>
            </w:r>
          </w:p>
        </w:tc>
        <w:tc>
          <w:tcPr>
            <w:tcW w:w="977"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1762</w:t>
            </w:r>
          </w:p>
        </w:tc>
        <w:tc>
          <w:tcPr>
            <w:tcW w:w="2076"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right"/>
              <w:rPr>
                <w:rFonts w:eastAsia="Times New Roman"/>
                <w:color w:val="000000"/>
              </w:rPr>
            </w:pPr>
            <w:r w:rsidRPr="003D7A9E">
              <w:rPr>
                <w:rFonts w:eastAsia="Times New Roman"/>
                <w:color w:val="000000"/>
              </w:rPr>
              <w:t>2748</w:t>
            </w:r>
          </w:p>
        </w:tc>
      </w:tr>
      <w:tr w:rsidR="000F7191" w:rsidRPr="003D7A9E" w:rsidTr="00E82578">
        <w:trPr>
          <w:trHeight w:val="300"/>
        </w:trPr>
        <w:tc>
          <w:tcPr>
            <w:tcW w:w="925" w:type="dxa"/>
            <w:tcBorders>
              <w:top w:val="nil"/>
              <w:left w:val="single" w:sz="4" w:space="0" w:color="auto"/>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6</w:t>
            </w:r>
          </w:p>
        </w:tc>
        <w:tc>
          <w:tcPr>
            <w:tcW w:w="945"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1718</w:t>
            </w:r>
          </w:p>
        </w:tc>
        <w:tc>
          <w:tcPr>
            <w:tcW w:w="944"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1670</w:t>
            </w:r>
          </w:p>
        </w:tc>
        <w:tc>
          <w:tcPr>
            <w:tcW w:w="977"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center"/>
              <w:rPr>
                <w:rFonts w:eastAsia="Times New Roman"/>
                <w:color w:val="000000"/>
              </w:rPr>
            </w:pPr>
            <w:r w:rsidRPr="003D7A9E">
              <w:rPr>
                <w:rFonts w:eastAsia="Times New Roman"/>
                <w:color w:val="000000"/>
              </w:rPr>
              <w:t>1670</w:t>
            </w:r>
          </w:p>
        </w:tc>
        <w:tc>
          <w:tcPr>
            <w:tcW w:w="2076" w:type="dxa"/>
            <w:tcBorders>
              <w:top w:val="nil"/>
              <w:left w:val="nil"/>
              <w:bottom w:val="single" w:sz="4" w:space="0" w:color="auto"/>
              <w:right w:val="single" w:sz="4" w:space="0" w:color="auto"/>
            </w:tcBorders>
            <w:shd w:val="clear" w:color="auto" w:fill="auto"/>
            <w:hideMark/>
          </w:tcPr>
          <w:p w:rsidR="000F7191" w:rsidRPr="003D7A9E" w:rsidRDefault="000F7191" w:rsidP="00E82578">
            <w:pPr>
              <w:jc w:val="right"/>
              <w:rPr>
                <w:rFonts w:eastAsia="Times New Roman"/>
                <w:color w:val="000000"/>
              </w:rPr>
            </w:pPr>
            <w:r w:rsidRPr="003D7A9E">
              <w:rPr>
                <w:rFonts w:eastAsia="Times New Roman"/>
                <w:color w:val="000000"/>
              </w:rPr>
              <w:t>20</w:t>
            </w:r>
          </w:p>
        </w:tc>
      </w:tr>
    </w:tbl>
    <w:p w:rsidR="000F7191" w:rsidRDefault="000F7191" w:rsidP="000F7191">
      <w:pPr>
        <w:rPr>
          <w:b/>
        </w:rPr>
      </w:pPr>
    </w:p>
    <w:p w:rsidR="000F7191" w:rsidRDefault="000F7191" w:rsidP="000F7191">
      <w:pPr>
        <w:rPr>
          <w:b/>
        </w:rPr>
      </w:pPr>
    </w:p>
    <w:p w:rsidR="000F7191" w:rsidRDefault="000F7191" w:rsidP="000F7191">
      <w:pPr>
        <w:rPr>
          <w:b/>
        </w:rPr>
      </w:pPr>
    </w:p>
    <w:p w:rsidR="000F7191" w:rsidRPr="003D7A9E" w:rsidRDefault="000F7191" w:rsidP="000F7191">
      <w:pPr>
        <w:spacing w:line="480" w:lineRule="auto"/>
      </w:pPr>
      <w:r>
        <w:rPr>
          <w:b/>
        </w:rPr>
        <w:t>Table 7-4</w:t>
      </w:r>
      <w:r w:rsidRPr="00CB6641">
        <w:rPr>
          <w:b/>
        </w:rPr>
        <w:t xml:space="preserve">. </w:t>
      </w:r>
      <w:r w:rsidRPr="003D7A9E">
        <w:t xml:space="preserve">Ceramic dates for the House for Families phases.  </w:t>
      </w:r>
    </w:p>
    <w:tbl>
      <w:tblPr>
        <w:tblW w:w="5867" w:type="dxa"/>
        <w:tblInd w:w="91" w:type="dxa"/>
        <w:tblLook w:val="04A0"/>
      </w:tblPr>
      <w:tblGrid>
        <w:gridCol w:w="924"/>
        <w:gridCol w:w="983"/>
        <w:gridCol w:w="900"/>
        <w:gridCol w:w="990"/>
        <w:gridCol w:w="2070"/>
      </w:tblGrid>
      <w:tr w:rsidR="000F7191" w:rsidRPr="003D7A9E" w:rsidTr="00E82578">
        <w:trPr>
          <w:trHeight w:val="315"/>
        </w:trPr>
        <w:tc>
          <w:tcPr>
            <w:tcW w:w="924"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0F7191" w:rsidRPr="003D7A9E" w:rsidRDefault="000F7191" w:rsidP="00E82578">
            <w:pPr>
              <w:rPr>
                <w:rFonts w:eastAsia="Times New Roman"/>
                <w:b/>
                <w:bCs/>
                <w:color w:val="000000"/>
              </w:rPr>
            </w:pPr>
            <w:r w:rsidRPr="003D7A9E">
              <w:rPr>
                <w:rFonts w:eastAsia="Times New Roman"/>
                <w:b/>
                <w:bCs/>
                <w:color w:val="000000"/>
              </w:rPr>
              <w:t>Phase</w:t>
            </w:r>
          </w:p>
        </w:tc>
        <w:tc>
          <w:tcPr>
            <w:tcW w:w="983"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3D7A9E" w:rsidRDefault="000F7191" w:rsidP="00E82578">
            <w:pPr>
              <w:rPr>
                <w:rFonts w:eastAsia="Times New Roman"/>
                <w:b/>
                <w:bCs/>
                <w:color w:val="000000"/>
              </w:rPr>
            </w:pPr>
            <w:r w:rsidRPr="003D7A9E">
              <w:rPr>
                <w:rFonts w:eastAsia="Times New Roman"/>
                <w:b/>
                <w:bCs/>
                <w:color w:val="000000"/>
              </w:rPr>
              <w:t>MCD</w:t>
            </w:r>
          </w:p>
        </w:tc>
        <w:tc>
          <w:tcPr>
            <w:tcW w:w="900"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3D7A9E" w:rsidRDefault="000F7191" w:rsidP="00E82578">
            <w:pPr>
              <w:rPr>
                <w:rFonts w:eastAsia="Times New Roman"/>
                <w:b/>
                <w:bCs/>
                <w:color w:val="000000"/>
              </w:rPr>
            </w:pPr>
            <w:r w:rsidRPr="003D7A9E">
              <w:rPr>
                <w:rFonts w:eastAsia="Times New Roman"/>
                <w:b/>
                <w:bCs/>
                <w:color w:val="000000"/>
              </w:rPr>
              <w:t>TPQ</w:t>
            </w:r>
          </w:p>
        </w:tc>
        <w:tc>
          <w:tcPr>
            <w:tcW w:w="990"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3D7A9E" w:rsidRDefault="000F7191" w:rsidP="00E82578">
            <w:pPr>
              <w:rPr>
                <w:rFonts w:eastAsia="Times New Roman"/>
                <w:b/>
                <w:bCs/>
                <w:color w:val="000000"/>
              </w:rPr>
            </w:pPr>
            <w:r w:rsidRPr="003D7A9E">
              <w:rPr>
                <w:rFonts w:eastAsia="Times New Roman"/>
                <w:b/>
                <w:bCs/>
                <w:color w:val="000000"/>
              </w:rPr>
              <w:t>TPQ90</w:t>
            </w:r>
          </w:p>
        </w:tc>
        <w:tc>
          <w:tcPr>
            <w:tcW w:w="2070"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3D7A9E" w:rsidRDefault="000F7191" w:rsidP="00E82578">
            <w:pPr>
              <w:rPr>
                <w:rFonts w:eastAsia="Times New Roman"/>
                <w:b/>
                <w:bCs/>
                <w:color w:val="000000"/>
              </w:rPr>
            </w:pPr>
            <w:r w:rsidRPr="003D7A9E">
              <w:rPr>
                <w:rFonts w:eastAsia="Times New Roman"/>
                <w:b/>
                <w:bCs/>
                <w:color w:val="000000"/>
              </w:rPr>
              <w:t>Sherd Count</w:t>
            </w:r>
          </w:p>
        </w:tc>
      </w:tr>
      <w:tr w:rsidR="000F7191" w:rsidRPr="003D7A9E" w:rsidTr="00E82578">
        <w:trPr>
          <w:trHeight w:val="300"/>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1</w:t>
            </w:r>
          </w:p>
        </w:tc>
        <w:tc>
          <w:tcPr>
            <w:tcW w:w="983"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1775</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1744</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485</w:t>
            </w:r>
          </w:p>
        </w:tc>
      </w:tr>
      <w:tr w:rsidR="000F7191" w:rsidRPr="003D7A9E" w:rsidTr="00E82578">
        <w:trPr>
          <w:trHeight w:val="300"/>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2</w:t>
            </w:r>
          </w:p>
        </w:tc>
        <w:tc>
          <w:tcPr>
            <w:tcW w:w="983"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1779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1805</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1795</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40</w:t>
            </w:r>
          </w:p>
        </w:tc>
      </w:tr>
      <w:tr w:rsidR="000F7191" w:rsidRPr="003D7A9E" w:rsidTr="00E82578">
        <w:trPr>
          <w:trHeight w:val="300"/>
        </w:trPr>
        <w:tc>
          <w:tcPr>
            <w:tcW w:w="924" w:type="dxa"/>
            <w:tcBorders>
              <w:top w:val="nil"/>
              <w:left w:val="single" w:sz="4" w:space="0" w:color="auto"/>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3</w:t>
            </w:r>
          </w:p>
        </w:tc>
        <w:tc>
          <w:tcPr>
            <w:tcW w:w="983"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1782</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1775</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1775</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D7A9E" w:rsidRDefault="000F7191" w:rsidP="00E82578">
            <w:pPr>
              <w:jc w:val="right"/>
              <w:rPr>
                <w:rFonts w:eastAsia="Times New Roman"/>
                <w:color w:val="000000"/>
              </w:rPr>
            </w:pPr>
            <w:r w:rsidRPr="003D7A9E">
              <w:rPr>
                <w:rFonts w:eastAsia="Times New Roman"/>
                <w:color w:val="000000"/>
              </w:rPr>
              <w:t>23</w:t>
            </w:r>
          </w:p>
        </w:tc>
      </w:tr>
    </w:tbl>
    <w:p w:rsidR="000F7191" w:rsidRDefault="000F7191" w:rsidP="000F7191"/>
    <w:p w:rsidR="000F7191" w:rsidRDefault="000F7191" w:rsidP="000F7191"/>
    <w:p w:rsidR="000F7191" w:rsidRDefault="000F7191" w:rsidP="000F7191">
      <w:pPr>
        <w:rPr>
          <w:b/>
        </w:rPr>
      </w:pPr>
    </w:p>
    <w:p w:rsidR="000F7191" w:rsidRDefault="000F7191" w:rsidP="000F7191">
      <w:pPr>
        <w:rPr>
          <w:b/>
        </w:rPr>
      </w:pPr>
    </w:p>
    <w:p w:rsidR="000F7191" w:rsidRPr="003D7A9E" w:rsidRDefault="000F7191" w:rsidP="000F7191">
      <w:pPr>
        <w:spacing w:line="480" w:lineRule="auto"/>
        <w:rPr>
          <w:b/>
        </w:rPr>
      </w:pPr>
      <w:r>
        <w:rPr>
          <w:b/>
        </w:rPr>
        <w:t>Table 7-5</w:t>
      </w:r>
      <w:r w:rsidRPr="00CB6641">
        <w:rPr>
          <w:b/>
        </w:rPr>
        <w:t xml:space="preserve">. </w:t>
      </w:r>
      <w:r w:rsidRPr="003D7A9E">
        <w:t>Pipe</w:t>
      </w:r>
      <w:r w:rsidR="00E91746">
        <w:t xml:space="preserve"> </w:t>
      </w:r>
      <w:r w:rsidRPr="003D7A9E">
        <w:t>stem dates for the South Grove Midden and the House for Families.</w:t>
      </w:r>
      <w:r w:rsidRPr="00CB6641">
        <w:rPr>
          <w:b/>
        </w:rPr>
        <w:t xml:space="preserve">  </w:t>
      </w:r>
    </w:p>
    <w:tbl>
      <w:tblPr>
        <w:tblW w:w="7307" w:type="dxa"/>
        <w:tblInd w:w="91" w:type="dxa"/>
        <w:tblLook w:val="04A0"/>
      </w:tblPr>
      <w:tblGrid>
        <w:gridCol w:w="2717"/>
        <w:gridCol w:w="1980"/>
        <w:gridCol w:w="2610"/>
      </w:tblGrid>
      <w:tr w:rsidR="000F7191" w:rsidRPr="003D7A9E" w:rsidTr="00E82578">
        <w:trPr>
          <w:trHeight w:val="315"/>
        </w:trPr>
        <w:tc>
          <w:tcPr>
            <w:tcW w:w="2717"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0F7191" w:rsidRPr="003D7A9E" w:rsidRDefault="000F7191" w:rsidP="00E82578">
            <w:pPr>
              <w:jc w:val="center"/>
              <w:rPr>
                <w:rFonts w:eastAsia="Times New Roman"/>
                <w:b/>
                <w:bCs/>
                <w:color w:val="000000"/>
              </w:rPr>
            </w:pPr>
            <w:r w:rsidRPr="003D7A9E">
              <w:rPr>
                <w:rFonts w:eastAsia="Times New Roman"/>
                <w:b/>
                <w:bCs/>
                <w:color w:val="000000"/>
              </w:rPr>
              <w:t>Formula</w:t>
            </w:r>
          </w:p>
        </w:tc>
        <w:tc>
          <w:tcPr>
            <w:tcW w:w="1980" w:type="dxa"/>
            <w:tcBorders>
              <w:top w:val="single" w:sz="4" w:space="0" w:color="auto"/>
              <w:left w:val="nil"/>
              <w:bottom w:val="single" w:sz="4" w:space="0" w:color="auto"/>
              <w:right w:val="single" w:sz="4" w:space="0" w:color="auto"/>
            </w:tcBorders>
            <w:shd w:val="clear" w:color="000000" w:fill="D8D8D8"/>
            <w:vAlign w:val="bottom"/>
            <w:hideMark/>
          </w:tcPr>
          <w:p w:rsidR="000F7191" w:rsidRPr="003D7A9E" w:rsidRDefault="000F7191" w:rsidP="00E82578">
            <w:pPr>
              <w:jc w:val="center"/>
              <w:rPr>
                <w:rFonts w:eastAsia="Times New Roman"/>
                <w:b/>
                <w:bCs/>
                <w:color w:val="000000"/>
              </w:rPr>
            </w:pPr>
            <w:r w:rsidRPr="003D7A9E">
              <w:rPr>
                <w:rFonts w:eastAsia="Times New Roman"/>
                <w:b/>
                <w:bCs/>
                <w:color w:val="000000"/>
              </w:rPr>
              <w:t>South Grove</w:t>
            </w:r>
          </w:p>
        </w:tc>
        <w:tc>
          <w:tcPr>
            <w:tcW w:w="2610" w:type="dxa"/>
            <w:tcBorders>
              <w:top w:val="single" w:sz="4" w:space="0" w:color="auto"/>
              <w:left w:val="nil"/>
              <w:bottom w:val="single" w:sz="4" w:space="0" w:color="auto"/>
              <w:right w:val="single" w:sz="4" w:space="0" w:color="auto"/>
            </w:tcBorders>
            <w:shd w:val="clear" w:color="000000" w:fill="D8D8D8"/>
            <w:vAlign w:val="bottom"/>
            <w:hideMark/>
          </w:tcPr>
          <w:p w:rsidR="000F7191" w:rsidRPr="003D7A9E" w:rsidRDefault="000F7191" w:rsidP="00E82578">
            <w:pPr>
              <w:jc w:val="center"/>
              <w:rPr>
                <w:rFonts w:eastAsia="Times New Roman"/>
                <w:b/>
                <w:bCs/>
                <w:color w:val="000000"/>
              </w:rPr>
            </w:pPr>
            <w:r w:rsidRPr="003D7A9E">
              <w:rPr>
                <w:rFonts w:eastAsia="Times New Roman"/>
                <w:b/>
                <w:bCs/>
                <w:color w:val="000000"/>
              </w:rPr>
              <w:t>House for Families</w:t>
            </w:r>
          </w:p>
        </w:tc>
      </w:tr>
      <w:tr w:rsidR="000F7191" w:rsidRPr="003D7A9E" w:rsidTr="00E82578">
        <w:trPr>
          <w:trHeight w:val="315"/>
        </w:trPr>
        <w:tc>
          <w:tcPr>
            <w:tcW w:w="2717" w:type="dxa"/>
            <w:tcBorders>
              <w:top w:val="nil"/>
              <w:left w:val="single" w:sz="4" w:space="0" w:color="auto"/>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Harrington</w:t>
            </w:r>
          </w:p>
        </w:tc>
        <w:tc>
          <w:tcPr>
            <w:tcW w:w="1980"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1710-1750</w:t>
            </w:r>
          </w:p>
        </w:tc>
        <w:tc>
          <w:tcPr>
            <w:tcW w:w="2610"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1750-1780</w:t>
            </w:r>
          </w:p>
        </w:tc>
      </w:tr>
      <w:tr w:rsidR="000F7191" w:rsidRPr="003D7A9E" w:rsidTr="00E82578">
        <w:trPr>
          <w:trHeight w:val="315"/>
        </w:trPr>
        <w:tc>
          <w:tcPr>
            <w:tcW w:w="2717" w:type="dxa"/>
            <w:tcBorders>
              <w:top w:val="nil"/>
              <w:left w:val="single" w:sz="4" w:space="0" w:color="auto"/>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Binford</w:t>
            </w:r>
          </w:p>
        </w:tc>
        <w:tc>
          <w:tcPr>
            <w:tcW w:w="1980"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1746.67</w:t>
            </w:r>
          </w:p>
        </w:tc>
        <w:tc>
          <w:tcPr>
            <w:tcW w:w="2610"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1766.18</w:t>
            </w:r>
          </w:p>
        </w:tc>
      </w:tr>
      <w:tr w:rsidR="000F7191" w:rsidRPr="003D7A9E" w:rsidTr="00E82578">
        <w:trPr>
          <w:trHeight w:val="315"/>
        </w:trPr>
        <w:tc>
          <w:tcPr>
            <w:tcW w:w="2717" w:type="dxa"/>
            <w:tcBorders>
              <w:top w:val="nil"/>
              <w:left w:val="single" w:sz="4" w:space="0" w:color="auto"/>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Hanson</w:t>
            </w:r>
          </w:p>
        </w:tc>
        <w:tc>
          <w:tcPr>
            <w:tcW w:w="1980"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1740.71+/-22.5</w:t>
            </w:r>
          </w:p>
        </w:tc>
        <w:tc>
          <w:tcPr>
            <w:tcW w:w="2610"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1770.78 +/-22.5</w:t>
            </w:r>
          </w:p>
        </w:tc>
      </w:tr>
      <w:tr w:rsidR="000F7191" w:rsidRPr="003D7A9E" w:rsidTr="00E82578">
        <w:trPr>
          <w:trHeight w:val="315"/>
        </w:trPr>
        <w:tc>
          <w:tcPr>
            <w:tcW w:w="2717" w:type="dxa"/>
            <w:tcBorders>
              <w:top w:val="nil"/>
              <w:left w:val="single" w:sz="4" w:space="0" w:color="auto"/>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Heighton and Deagan</w:t>
            </w:r>
          </w:p>
        </w:tc>
        <w:tc>
          <w:tcPr>
            <w:tcW w:w="1980"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1750.48</w:t>
            </w:r>
          </w:p>
        </w:tc>
        <w:tc>
          <w:tcPr>
            <w:tcW w:w="2610" w:type="dxa"/>
            <w:tcBorders>
              <w:top w:val="nil"/>
              <w:left w:val="nil"/>
              <w:bottom w:val="single" w:sz="4" w:space="0" w:color="auto"/>
              <w:right w:val="single" w:sz="4" w:space="0" w:color="auto"/>
            </w:tcBorders>
            <w:shd w:val="clear" w:color="auto" w:fill="auto"/>
            <w:vAlign w:val="bottom"/>
            <w:hideMark/>
          </w:tcPr>
          <w:p w:rsidR="000F7191" w:rsidRPr="003D7A9E" w:rsidRDefault="000F7191" w:rsidP="00E82578">
            <w:pPr>
              <w:rPr>
                <w:rFonts w:eastAsia="Times New Roman"/>
                <w:color w:val="000000"/>
              </w:rPr>
            </w:pPr>
            <w:r w:rsidRPr="003D7A9E">
              <w:rPr>
                <w:rFonts w:eastAsia="Times New Roman"/>
                <w:color w:val="000000"/>
              </w:rPr>
              <w:t>1766.98</w:t>
            </w:r>
          </w:p>
        </w:tc>
      </w:tr>
    </w:tbl>
    <w:p w:rsidR="000F7191" w:rsidRDefault="000F7191" w:rsidP="000F7191">
      <w:pPr>
        <w:spacing w:line="480" w:lineRule="auto"/>
        <w:rPr>
          <w:b/>
        </w:rPr>
      </w:pPr>
    </w:p>
    <w:p w:rsidR="000F7191" w:rsidRDefault="000F7191" w:rsidP="000F7191">
      <w:pPr>
        <w:spacing w:line="480" w:lineRule="auto"/>
        <w:rPr>
          <w:b/>
        </w:rPr>
      </w:pPr>
    </w:p>
    <w:p w:rsidR="000F7191" w:rsidRDefault="000F7191" w:rsidP="000F7191">
      <w:pPr>
        <w:rPr>
          <w:b/>
        </w:rPr>
      </w:pPr>
      <w:r>
        <w:rPr>
          <w:b/>
        </w:rPr>
        <w:br w:type="page"/>
      </w:r>
    </w:p>
    <w:p w:rsidR="000F7191" w:rsidRPr="000B1E50" w:rsidRDefault="000F7191" w:rsidP="000F7191">
      <w:pPr>
        <w:spacing w:line="480" w:lineRule="auto"/>
        <w:rPr>
          <w:i/>
        </w:rPr>
      </w:pPr>
      <w:r w:rsidRPr="000B1E50">
        <w:rPr>
          <w:b/>
        </w:rPr>
        <w:lastRenderedPageBreak/>
        <w:t>Developing the Dataset</w:t>
      </w:r>
      <w:r w:rsidRPr="000B1E50">
        <w:rPr>
          <w:i/>
        </w:rPr>
        <w:t xml:space="preserve">  </w:t>
      </w:r>
    </w:p>
    <w:p w:rsidR="000F7191" w:rsidRDefault="000F7191" w:rsidP="000F7191">
      <w:pPr>
        <w:spacing w:line="480" w:lineRule="auto"/>
        <w:ind w:firstLine="720"/>
      </w:pPr>
      <w:r>
        <w:t>I</w:t>
      </w:r>
      <w:r w:rsidRPr="000B1E50">
        <w:t xml:space="preserve">n order to undertake a systematic analysis of consumer behavior grounded in </w:t>
      </w:r>
      <w:r>
        <w:t xml:space="preserve">these robust </w:t>
      </w:r>
      <w:r w:rsidRPr="000B1E50">
        <w:t>archaeological assemblages, I honed in on those artifact categories from the South Grove Midden that simultaneously met the criteria of a consumer good and that were l</w:t>
      </w:r>
      <w:r w:rsidR="00086B73">
        <w:t xml:space="preserve">ikely found on domestic sites. </w:t>
      </w:r>
      <w:r w:rsidRPr="000B1E50">
        <w:t>Excluded from the resulting dataset are building-related materials, plantation tools and implements, and faunal and botanical remains.</w:t>
      </w:r>
      <w:r w:rsidR="00086B73">
        <w:t xml:space="preserve"> </w:t>
      </w:r>
      <w:r>
        <w:t>Wine bottles were also excluded from this study due to the inaccessibility of the data</w:t>
      </w:r>
      <w:r w:rsidR="00086B73">
        <w:t xml:space="preserve"> at the time of this analysis. </w:t>
      </w:r>
      <w:r>
        <w:t>I plan future research on bottles once the data are live in a concatenate</w:t>
      </w:r>
      <w:r w:rsidR="00086B73">
        <w:t xml:space="preserve">d format on the DAACS website. </w:t>
      </w:r>
      <w:r>
        <w:t>Wigs and their accoutremen</w:t>
      </w:r>
      <w:r w:rsidR="00086B73">
        <w:t xml:space="preserve">ts were also not studied here. </w:t>
      </w:r>
      <w:r>
        <w:t>These were important items of gentility; however</w:t>
      </w:r>
      <w:r w:rsidRPr="00723873">
        <w:t xml:space="preserve">, there were two prominent exceptions – neither Lawrence nor George Washington wore a wig (Anonymous [1743]; Johnson 2005) </w:t>
      </w:r>
      <w:r>
        <w:t xml:space="preserve">– </w:t>
      </w:r>
      <w:r w:rsidRPr="00723873">
        <w:t>deterring our ability to fully explore this artifact group archaeological</w:t>
      </w:r>
      <w:r>
        <w:t>ly</w:t>
      </w:r>
      <w:r w:rsidR="00086B73">
        <w:t xml:space="preserve"> or documentarily. </w:t>
      </w:r>
      <w:r w:rsidRPr="000B1E50">
        <w:t xml:space="preserve">I isolated 17 artifact types </w:t>
      </w:r>
      <w:r>
        <w:t>found in</w:t>
      </w:r>
      <w:r w:rsidRPr="000B1E50">
        <w:t xml:space="preserve"> the South Grove Midden for systematic object analysis: beads; book hinges; buckles; buttons; ceramics (chamber pots, drug jars and ointment pots, milk pans, mugs, punch bowls, and tea and tableware); combs; fans; metallic thread; pins; shot; table glass (decanters and stemware); tacks; thimbles; tobacco pipes; toys; w</w:t>
      </w:r>
      <w:r>
        <w:t>atches and accessories</w:t>
      </w:r>
      <w:r w:rsidRPr="000B1E50">
        <w:t>; wine bottle seals (and other</w:t>
      </w:r>
      <w:r w:rsidR="00086B73">
        <w:t xml:space="preserve"> personally-marked artifacts). </w:t>
      </w:r>
      <w:r w:rsidRPr="000B1E50">
        <w:t xml:space="preserve">These form </w:t>
      </w:r>
      <w:r>
        <w:t>21 artifact</w:t>
      </w:r>
      <w:r w:rsidR="00E928ED">
        <w:t xml:space="preserve"> groups</w:t>
      </w:r>
      <w:r>
        <w:t>.</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Matched sets (ceramics and table glass)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Punch bowls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Mugs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Milk pans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Buttons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Buckles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Fans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Watches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Metallic thread</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Beads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Marked objects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Books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Medicine</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Chamber pots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Combs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Toys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Tacks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Tobacco pipes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Shot</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Thimbles</w:t>
      </w:r>
    </w:p>
    <w:p w:rsidR="000F7191" w:rsidRDefault="000F7191" w:rsidP="000F719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Straight pins</w:t>
      </w:r>
    </w:p>
    <w:p w:rsidR="000F7191" w:rsidRPr="003D7A9E" w:rsidRDefault="000F7191" w:rsidP="000F7191"/>
    <w:p w:rsidR="000F7191" w:rsidRPr="00764758" w:rsidRDefault="000F7191" w:rsidP="000F7191">
      <w:pPr>
        <w:spacing w:line="480" w:lineRule="auto"/>
      </w:pPr>
      <w:r w:rsidRPr="000B1E50">
        <w:t>Comparing these artifact groups and their dimensions with the archaeological assemblage excavated from the rem</w:t>
      </w:r>
      <w:r>
        <w:t>ains of the House for Families slave q</w:t>
      </w:r>
      <w:r w:rsidRPr="000B1E50">
        <w:t>uarter site offers the beginnings of a large-scale comparative study of consumerism that</w:t>
      </w:r>
      <w:r>
        <w:t xml:space="preserve"> might eventually include</w:t>
      </w:r>
      <w:r w:rsidRPr="000B1E50">
        <w:t xml:space="preserve"> myriad site ty</w:t>
      </w:r>
      <w:r>
        <w:t>pes and occupant demographics.</w:t>
      </w:r>
    </w:p>
    <w:p w:rsidR="000F7191" w:rsidRDefault="000F7191" w:rsidP="000F7191">
      <w:pPr>
        <w:spacing w:line="480" w:lineRule="auto"/>
        <w:ind w:firstLine="720"/>
      </w:pPr>
      <w:r>
        <w:t>To structure the presentation of the findings of this systematic object analysis, I placed the artifact groups into their broadest functional category: foodways; adornment and accessor</w:t>
      </w:r>
      <w:r w:rsidR="00086B73">
        <w:t xml:space="preserve">ies; and other consumer goods. </w:t>
      </w:r>
      <w:r>
        <w:t>I have not attempted, as Carr and Walsh (1994:69) did, to categorize goods as evidence of refinement, education, leisure, luxury, or display, as the meaning of</w:t>
      </w:r>
      <w:r w:rsidR="00086B73">
        <w:t xml:space="preserve"> objects is highly contextual. </w:t>
      </w:r>
      <w:r>
        <w:t>A thimble, for example, can dually function as a work implement, a signal of luxury, an embodiment of ide</w:t>
      </w:r>
      <w:r w:rsidR="00086B73">
        <w:t xml:space="preserve">ntity, or a tool of education. </w:t>
      </w:r>
      <w:r>
        <w:t xml:space="preserve">This study overlaps with 4 of 12 amenities studied by Carr and Walsh (1994) – coarse and refined ceramics, books, and watches – and includes myriad other products of consumer behavior that may or may not appear in probate inventories, their primary dataset. </w:t>
      </w:r>
    </w:p>
    <w:p w:rsidR="000F7191" w:rsidRDefault="000F7191" w:rsidP="000F7191">
      <w:pPr>
        <w:spacing w:line="480" w:lineRule="auto"/>
        <w:ind w:firstLine="720"/>
      </w:pPr>
      <w:r w:rsidRPr="000B1E50">
        <w:t>After each artifact group was catalogued at the artifact and object levels, the two documentary datasets were searched for evidence of their existence and availability through consi</w:t>
      </w:r>
      <w:r w:rsidR="00086B73">
        <w:t xml:space="preserve">gnment and in the local store. </w:t>
      </w:r>
      <w:r w:rsidRPr="000B1E50">
        <w:t>Three questions guided this phase of the research on the 21 groups: 1) was there an indication that different goods or different types of goods were available through consignment vers</w:t>
      </w:r>
      <w:r>
        <w:t>u</w:t>
      </w:r>
      <w:r w:rsidRPr="000B1E50">
        <w:t>s at a local store</w:t>
      </w:r>
      <w:r w:rsidR="00E928ED">
        <w:t>?</w:t>
      </w:r>
      <w:r w:rsidRPr="000B1E50">
        <w:t xml:space="preserve">; 2) </w:t>
      </w:r>
      <w:r>
        <w:t xml:space="preserve">how are different avenues of access to goods </w:t>
      </w:r>
      <w:r>
        <w:lastRenderedPageBreak/>
        <w:t>evident archaeologically</w:t>
      </w:r>
      <w:r w:rsidR="00E928ED">
        <w:t>?</w:t>
      </w:r>
      <w:r w:rsidRPr="000B1E50">
        <w:t xml:space="preserve">; and 3) </w:t>
      </w:r>
      <w:r>
        <w:t xml:space="preserve">taking issues of access into account, </w:t>
      </w:r>
      <w:r w:rsidRPr="000B1E50">
        <w:t xml:space="preserve">what </w:t>
      </w:r>
      <w:r>
        <w:t>may have motivated elite and non-elite consumers to invest in</w:t>
      </w:r>
      <w:r w:rsidRPr="000B1E50">
        <w:t xml:space="preserve"> th</w:t>
      </w:r>
      <w:r w:rsidR="00086B73">
        <w:t xml:space="preserve">ese different artifact groups? </w:t>
      </w:r>
      <w:r>
        <w:t xml:space="preserve">The materiality of consumer motivation is </w:t>
      </w:r>
      <w:r w:rsidR="00086B73">
        <w:t xml:space="preserve">further explored in Chapter 8. </w:t>
      </w:r>
      <w:r w:rsidRPr="000B1E50">
        <w:t xml:space="preserve">What immediately became apparent was that answering the second question would </w:t>
      </w:r>
      <w:r>
        <w:t>require</w:t>
      </w:r>
      <w:r w:rsidR="00086B73">
        <w:t xml:space="preserve"> the bulk of time and effort. </w:t>
      </w:r>
      <w:r w:rsidRPr="000B1E50">
        <w:t xml:space="preserve">In many cases, our current cataloguing protocols and analytical methods fell short in terms of being able to address levels </w:t>
      </w:r>
      <w:r>
        <w:t xml:space="preserve">of </w:t>
      </w:r>
      <w:r w:rsidRPr="000B1E50">
        <w:t xml:space="preserve">and/or differences </w:t>
      </w:r>
      <w:r>
        <w:t>in</w:t>
      </w:r>
      <w:r w:rsidRPr="000B1E50">
        <w:t xml:space="preserve"> consu</w:t>
      </w:r>
      <w:r w:rsidR="00086B73">
        <w:t xml:space="preserve">mer behavior archaeologically. </w:t>
      </w:r>
      <w:r w:rsidRPr="000B1E50">
        <w:t>For some artifact categori</w:t>
      </w:r>
      <w:r w:rsidR="00086B73">
        <w:t xml:space="preserve">es, this was not the case. </w:t>
      </w:r>
      <w:r w:rsidRPr="000B1E50">
        <w:t>Ten artifact groups required nothing more sophisticated than a catalogue record describing and identifying the artifact and recordi</w:t>
      </w:r>
      <w:r w:rsidR="00086B73">
        <w:t xml:space="preserve">ng simple presence or absence. </w:t>
      </w:r>
      <w:r w:rsidRPr="000B1E50">
        <w:t>If we take thread for example, merely the presence or absence of metallic thread, indicat</w:t>
      </w:r>
      <w:r>
        <w:t>ive of high-</w:t>
      </w:r>
      <w:r w:rsidRPr="000B1E50">
        <w:t>quality embroidered clothing and apparel not sold in the local store, suggests gentry consumption and an avenue of access restricted primarily to consignment consumers</w:t>
      </w:r>
      <w:r>
        <w:t xml:space="preserve"> in this upper Potomac region</w:t>
      </w:r>
      <w:r w:rsidR="00086B73">
        <w:t xml:space="preserve">. </w:t>
      </w:r>
      <w:r>
        <w:t xml:space="preserve">This does not imply that non-elite consumers desired to emulate this specific fashion choice, but instead that we might explore, through the vast adornment options available at local stores, if and how they customized or enhanced their appearance and how this simple expression of choice may have restructured notions of self.  </w:t>
      </w:r>
    </w:p>
    <w:p w:rsidR="000F7191" w:rsidRPr="000F7191" w:rsidRDefault="000F7191" w:rsidP="000F7191">
      <w:pPr>
        <w:spacing w:line="480" w:lineRule="auto"/>
        <w:ind w:firstLine="720"/>
      </w:pPr>
      <w:r w:rsidRPr="000B1E50">
        <w:t xml:space="preserve">While these </w:t>
      </w:r>
      <w:r>
        <w:t>presence/absence-based</w:t>
      </w:r>
      <w:r w:rsidRPr="000B1E50">
        <w:t xml:space="preserve"> analyses, these deep readings of small finds, are important, they tend to exclude the bulk of what comprises the average eighteenth-century </w:t>
      </w:r>
      <w:r>
        <w:t xml:space="preserve">domestic </w:t>
      </w:r>
      <w:r w:rsidRPr="000B1E50">
        <w:t>assemblage – so-called r</w:t>
      </w:r>
      <w:r w:rsidR="00086B73">
        <w:t xml:space="preserve">edundant classes of artifacts. </w:t>
      </w:r>
      <w:r w:rsidRPr="000B1E50">
        <w:t>What a holistic material culture analysis grounded in archaeology forces researchers to do is wade through the multiple disparate set</w:t>
      </w:r>
      <w:r>
        <w:t>s</w:t>
      </w:r>
      <w:r w:rsidRPr="000B1E50">
        <w:t xml:space="preserve"> of data pertaining to all pieces of the consumer p</w:t>
      </w:r>
      <w:r w:rsidR="00086B73">
        <w:t xml:space="preserve">uzzle – from unique to common. </w:t>
      </w:r>
      <w:r w:rsidRPr="000B1E50">
        <w:t xml:space="preserve">The remaining half of the artifact groups, then, required metric tools unique to that specific type and in many cases required capturing data not requisite in </w:t>
      </w:r>
      <w:r w:rsidR="00086B73">
        <w:t xml:space="preserve">current cataloguing protocols. </w:t>
      </w:r>
      <w:r w:rsidRPr="000B1E50">
        <w:t xml:space="preserve">These cases suggest that artifact size and richness within type are </w:t>
      </w:r>
      <w:r w:rsidR="00086B73">
        <w:t xml:space="preserve">the crucial variables. </w:t>
      </w:r>
      <w:r w:rsidRPr="000B1E50">
        <w:t xml:space="preserve">Developing these </w:t>
      </w:r>
      <w:r w:rsidRPr="000B1E50">
        <w:lastRenderedPageBreak/>
        <w:t xml:space="preserve">archaeometric tools shows the strengths of a material culture approach that draws on the </w:t>
      </w:r>
      <w:r w:rsidR="00086B73">
        <w:t>totality of evidence available.</w:t>
      </w:r>
      <w:r w:rsidRPr="000B1E50">
        <w:t xml:space="preserve"> In many cases, it was only through the careful integration of these sources that </w:t>
      </w:r>
      <w:r>
        <w:t>I was able</w:t>
      </w:r>
      <w:r w:rsidRPr="000B1E50">
        <w:t xml:space="preserve"> to specifically link period semantics and typologies of classes of consumer goods </w:t>
      </w:r>
      <w:r w:rsidRPr="000F7191">
        <w:t>found in the documentary rec</w:t>
      </w:r>
      <w:r w:rsidR="00086B73">
        <w:t xml:space="preserve">ord with the goods themselves. </w:t>
      </w:r>
      <w:r w:rsidRPr="000F7191">
        <w:t xml:space="preserve">The results of some of these metrics were definitive while others open new and exciting paths for future research.            </w:t>
      </w:r>
    </w:p>
    <w:p w:rsidR="000F7191" w:rsidRPr="000F7191" w:rsidRDefault="000F7191" w:rsidP="000F7191">
      <w:pPr>
        <w:pStyle w:val="NormalWeb"/>
        <w:spacing w:before="0" w:beforeAutospacing="0" w:after="0" w:afterAutospacing="0" w:line="480" w:lineRule="auto"/>
        <w:rPr>
          <w:rFonts w:ascii="Times New Roman" w:eastAsia="Calibri" w:hAnsi="Times New Roman"/>
          <w:sz w:val="24"/>
          <w:szCs w:val="24"/>
        </w:rPr>
      </w:pPr>
      <w:r w:rsidRPr="000F7191">
        <w:rPr>
          <w:rFonts w:ascii="Times New Roman" w:hAnsi="Times New Roman"/>
          <w:sz w:val="24"/>
          <w:szCs w:val="24"/>
        </w:rPr>
        <w:t xml:space="preserve">  </w:t>
      </w:r>
      <w:r w:rsidRPr="000F7191">
        <w:rPr>
          <w:rFonts w:ascii="Times New Roman" w:hAnsi="Times New Roman"/>
          <w:sz w:val="24"/>
          <w:szCs w:val="24"/>
        </w:rPr>
        <w:tab/>
        <w:t xml:space="preserve">The final stage of research was to assess the findings of the archaeological and documentary artifact studies as to their contribution to the question of </w:t>
      </w:r>
      <w:r w:rsidR="00086B73">
        <w:rPr>
          <w:rFonts w:ascii="Times New Roman" w:hAnsi="Times New Roman"/>
          <w:sz w:val="24"/>
          <w:szCs w:val="24"/>
        </w:rPr>
        <w:t xml:space="preserve">potential consumer motivation. </w:t>
      </w:r>
      <w:r w:rsidRPr="000F7191">
        <w:rPr>
          <w:rFonts w:ascii="Times New Roman" w:hAnsi="Times New Roman"/>
          <w:sz w:val="24"/>
          <w:szCs w:val="24"/>
        </w:rPr>
        <w:t>The data provide a baseline for the differences in the world of goods available to consignment versus retail consumers within the bounds of the colonial market economy, at least in this neighborhood of Vi</w:t>
      </w:r>
      <w:r w:rsidR="00086B73">
        <w:rPr>
          <w:rFonts w:ascii="Times New Roman" w:hAnsi="Times New Roman"/>
          <w:sz w:val="24"/>
          <w:szCs w:val="24"/>
        </w:rPr>
        <w:t xml:space="preserve">rginia’s Upper Potomac region. </w:t>
      </w:r>
      <w:r w:rsidRPr="000F7191">
        <w:rPr>
          <w:rFonts w:ascii="Times New Roman" w:hAnsi="Times New Roman"/>
          <w:sz w:val="24"/>
          <w:szCs w:val="24"/>
        </w:rPr>
        <w:t>It is from the establishment of this baseline that we can begin to sketch out the consumer choices made by elites and non-elites and link these choices to underlying desires, need</w:t>
      </w:r>
      <w:r w:rsidR="00086B73">
        <w:rPr>
          <w:rFonts w:ascii="Times New Roman" w:hAnsi="Times New Roman"/>
          <w:sz w:val="24"/>
          <w:szCs w:val="24"/>
        </w:rPr>
        <w:t xml:space="preserve">s, and motivations to consume. </w:t>
      </w:r>
      <w:r w:rsidRPr="000F7191">
        <w:rPr>
          <w:rFonts w:ascii="Times New Roman" w:hAnsi="Times New Roman"/>
          <w:sz w:val="24"/>
          <w:szCs w:val="24"/>
        </w:rPr>
        <w:t>Fundamentally, these findings support the contention that the colonial marketplace was not egalitarian, as some have suggested, and that choice was constrained for non-elite consumers (Wurst and McGuire 1</w:t>
      </w:r>
      <w:r w:rsidR="00086B73">
        <w:rPr>
          <w:rFonts w:ascii="Times New Roman" w:hAnsi="Times New Roman"/>
          <w:sz w:val="24"/>
          <w:szCs w:val="24"/>
        </w:rPr>
        <w:t xml:space="preserve">999; Breen 2004; Martin 2008). </w:t>
      </w:r>
      <w:r w:rsidRPr="000F7191">
        <w:rPr>
          <w:rFonts w:ascii="Times New Roman" w:hAnsi="Times New Roman"/>
          <w:sz w:val="24"/>
          <w:szCs w:val="24"/>
        </w:rPr>
        <w:t>Despite these constraints, non-elites were motivated by a desire to enter into the marketplace to both signal and shape their definition of self and collectivity (Mullins</w:t>
      </w:r>
      <w:r w:rsidRPr="000F7191">
        <w:rPr>
          <w:rFonts w:ascii="Times New Roman" w:eastAsia="Calibri" w:hAnsi="Times New Roman"/>
          <w:sz w:val="24"/>
          <w:szCs w:val="24"/>
        </w:rPr>
        <w:t xml:space="preserve"> 2011:3).</w:t>
      </w:r>
    </w:p>
    <w:p w:rsidR="000F7191" w:rsidRPr="000F7191" w:rsidRDefault="000F7191" w:rsidP="000F7191">
      <w:pPr>
        <w:pStyle w:val="NormalWeb"/>
        <w:spacing w:before="0" w:beforeAutospacing="0" w:after="0" w:afterAutospacing="0" w:line="480" w:lineRule="auto"/>
        <w:rPr>
          <w:rFonts w:ascii="Times New Roman" w:hAnsi="Times New Roman"/>
          <w:sz w:val="24"/>
          <w:szCs w:val="24"/>
        </w:rPr>
      </w:pPr>
      <w:r w:rsidRPr="000F7191">
        <w:rPr>
          <w:rFonts w:ascii="Times New Roman" w:hAnsi="Times New Roman"/>
          <w:b/>
          <w:sz w:val="24"/>
          <w:szCs w:val="24"/>
        </w:rPr>
        <w:t>Revealing Consumerism through a Material Culture Approach</w:t>
      </w:r>
    </w:p>
    <w:p w:rsidR="000F7191" w:rsidRPr="000B1E50" w:rsidRDefault="000F7191" w:rsidP="000F7191">
      <w:pPr>
        <w:spacing w:line="480" w:lineRule="auto"/>
        <w:ind w:firstLine="720"/>
      </w:pPr>
      <w:r w:rsidRPr="000F7191">
        <w:rPr>
          <w:i/>
        </w:rPr>
        <w:t>Foodways</w:t>
      </w:r>
      <w:r w:rsidR="00086B73">
        <w:t xml:space="preserve">. </w:t>
      </w:r>
      <w:r w:rsidRPr="000F7191">
        <w:t>Artifacts related to the culturally defined modes of producing</w:t>
      </w:r>
      <w:r>
        <w:t xml:space="preserve"> and consuming food offer an entry point into the access to and choices made by colon</w:t>
      </w:r>
      <w:r w:rsidR="00086B73">
        <w:t xml:space="preserve">ial shoppers. </w:t>
      </w:r>
      <w:r>
        <w:t>Here, I have chosen to focus on both refined and coar</w:t>
      </w:r>
      <w:r w:rsidR="00086B73">
        <w:t xml:space="preserve">se earthenwares and glassware. </w:t>
      </w:r>
      <w:r>
        <w:t>Specifically, I delve into the occurrence of matched sets of ceramics and glassware, drinking vessels including punch bowls and mugs, and a utilitarian form</w:t>
      </w:r>
      <w:r w:rsidR="00086B73">
        <w:t xml:space="preserve"> called a milk pan. </w:t>
      </w:r>
      <w:r>
        <w:t xml:space="preserve">Foodways and the negotiations </w:t>
      </w:r>
      <w:r>
        <w:lastRenderedPageBreak/>
        <w:t>involved in their preparation, display, and consumption are at</w:t>
      </w:r>
      <w:r w:rsidR="00086B73">
        <w:t xml:space="preserve"> the core of colonial culture. </w:t>
      </w:r>
      <w:r>
        <w:t xml:space="preserve">For elites and non-elites alike the realm of foodways became increasingly elaborated and specialized over the course of the eighteenth century fueled by increased availability of and access to consumer goods (Yentsch 1994).     </w:t>
      </w:r>
      <w:r w:rsidRPr="000B1E50">
        <w:t xml:space="preserve">  </w:t>
      </w:r>
    </w:p>
    <w:p w:rsidR="000F7191" w:rsidRPr="00D93390" w:rsidRDefault="000F7191" w:rsidP="000F7191">
      <w:pPr>
        <w:spacing w:line="480" w:lineRule="auto"/>
        <w:ind w:firstLine="720"/>
      </w:pPr>
      <w:r w:rsidRPr="000B1E50">
        <w:rPr>
          <w:u w:val="single"/>
        </w:rPr>
        <w:t xml:space="preserve">Sets of </w:t>
      </w:r>
      <w:r>
        <w:rPr>
          <w:u w:val="single"/>
        </w:rPr>
        <w:t xml:space="preserve">ceramic and glass </w:t>
      </w:r>
      <w:r w:rsidRPr="000B1E50">
        <w:rPr>
          <w:u w:val="single"/>
        </w:rPr>
        <w:t>tablewares</w:t>
      </w:r>
      <w:r w:rsidRPr="000B1E50">
        <w:t>, meaning large services made from the same material with matching decorative patterns in a diverse array of forms, embody the fullest expression of gentility, specifically in the realm of di</w:t>
      </w:r>
      <w:r>
        <w:t>ning and entertaining;</w:t>
      </w:r>
      <w:r w:rsidRPr="000B1E50">
        <w:t xml:space="preserve"> however</w:t>
      </w:r>
      <w:r w:rsidR="002709F8">
        <w:t>,</w:t>
      </w:r>
      <w:r w:rsidRPr="000B1E50">
        <w:t xml:space="preserve"> few scholars have thought critically about their evolution or distribution within colonial society (see Carson 1990; Shackel 1992, 199</w:t>
      </w:r>
      <w:r w:rsidR="00086B73">
        <w:t xml:space="preserve">3; Veech 1998 for exceptions). </w:t>
      </w:r>
      <w:r w:rsidRPr="000B1E50">
        <w:t>The decades before the American Revolution marked a transitional period in the development of table services from earlier mixed or mismatched tablewares with a low diversity of forms and few total vessels, to fully matched large services with an array of consuming and serving forms</w:t>
      </w:r>
      <w:r>
        <w:t xml:space="preserve"> </w:t>
      </w:r>
      <w:r w:rsidRPr="006D2362">
        <w:t>(Carson 1990)</w:t>
      </w:r>
      <w:r w:rsidR="00086B73">
        <w:t xml:space="preserve">. </w:t>
      </w:r>
      <w:r w:rsidRPr="000B1E50">
        <w:t>The ability to serve many family members and guests multiple courses during a meal from the same matching table service was facilitated by the ceramic revolution, specifically beginning with white salt</w:t>
      </w:r>
      <w:r>
        <w:t>-glazed stoneware and creamware</w:t>
      </w:r>
      <w:r w:rsidRPr="000B1E50">
        <w:t xml:space="preserve"> (Martin 1994</w:t>
      </w:r>
      <w:r>
        <w:t>; Barker 1999</w:t>
      </w:r>
      <w:r w:rsidR="00086B73">
        <w:t>).</w:t>
      </w:r>
      <w:r w:rsidRPr="000B1E50">
        <w:t xml:space="preserve"> By the nineteenth century, sets had reached their fullest development with multiple larger matched table services comprised of myriad forms and used for specific purposes – everyday breakfast or dinner meals or special occasions – much like we see </w:t>
      </w:r>
      <w:r w:rsidRPr="00D93390">
        <w:t>today</w:t>
      </w:r>
      <w:r>
        <w:t xml:space="preserve"> </w:t>
      </w:r>
      <w:r w:rsidRPr="006D2362">
        <w:t>(Carson 1990)</w:t>
      </w:r>
      <w:r w:rsidRPr="00D93390">
        <w:t xml:space="preserve">.          </w:t>
      </w:r>
    </w:p>
    <w:p w:rsidR="000F7191" w:rsidRPr="000B1E50" w:rsidRDefault="000F7191" w:rsidP="000F7191">
      <w:pPr>
        <w:spacing w:line="480" w:lineRule="auto"/>
        <w:ind w:firstLine="720"/>
      </w:pPr>
      <w:r w:rsidRPr="00D93390">
        <w:t xml:space="preserve">  Within this overall evolution of </w:t>
      </w:r>
      <w:r>
        <w:t>matched sets</w:t>
      </w:r>
      <w:r w:rsidRPr="00D93390">
        <w:t>, a systematic object analysis explore</w:t>
      </w:r>
      <w:r>
        <w:t>s</w:t>
      </w:r>
      <w:r w:rsidRPr="00D93390">
        <w:t xml:space="preserve"> issues of access to sets and their use within the colonial popul</w:t>
      </w:r>
      <w:r w:rsidR="00086B73">
        <w:t xml:space="preserve">ation as a whole. </w:t>
      </w:r>
      <w:r w:rsidRPr="00D93390">
        <w:t xml:space="preserve">This type of comparative consumerism model acknowledges the power of the individual agent through the expression of economic independence and consumer choice, while also considering the constraints and limits of those expressions within the strict economically stratified and racialized </w:t>
      </w:r>
      <w:r w:rsidRPr="00D93390">
        <w:lastRenderedPageBreak/>
        <w:t>world of eightee</w:t>
      </w:r>
      <w:r w:rsidR="00086B73">
        <w:t xml:space="preserve">nth-century colonial Virginia. </w:t>
      </w:r>
      <w:r>
        <w:t>Hypothetically,</w:t>
      </w:r>
      <w:r w:rsidRPr="00D93390">
        <w:t xml:space="preserve"> George Washington would have actively sought out new matched table services from London, the epicenter of fashion, while store-goers may not have had access to these hallmarks of gentility.  </w:t>
      </w:r>
      <w:r w:rsidRPr="000B1E50">
        <w:t xml:space="preserve">  </w:t>
      </w:r>
    </w:p>
    <w:p w:rsidR="000F7191" w:rsidRDefault="000F7191" w:rsidP="000F7191">
      <w:pPr>
        <w:spacing w:line="480" w:lineRule="auto"/>
        <w:ind w:firstLine="720"/>
      </w:pPr>
      <w:r>
        <w:t xml:space="preserve">Querying the invoices and orders dataset indicates that George </w:t>
      </w:r>
      <w:r w:rsidRPr="000B1E50">
        <w:t>Washington ordered four large, matching table services with occasional supplementary orders for individual forms to replace or enh</w:t>
      </w:r>
      <w:r>
        <w:t xml:space="preserve">ance the larger service </w:t>
      </w:r>
      <w:r w:rsidRPr="00E048E5">
        <w:t>(</w:t>
      </w:r>
      <w:r>
        <w:t>Table 7-6</w:t>
      </w:r>
      <w:r w:rsidRPr="00E048E5">
        <w:t>)</w:t>
      </w:r>
      <w:r w:rsidR="00086B73">
        <w:t xml:space="preserve">. </w:t>
      </w:r>
      <w:r w:rsidRPr="000B1E50">
        <w:t>Before his massive order for creamware in 1769, Washington was invoiced for two sets of Chinese export porcelai</w:t>
      </w:r>
      <w:r w:rsidR="00086B73">
        <w:t xml:space="preserve">n tablewares in 1757 and 1763. </w:t>
      </w:r>
      <w:r w:rsidRPr="000B1E50">
        <w:t>The earlier one had 48 vessels valued at £8.17.0, supplemented with an additional 24 vessels in 1762</w:t>
      </w:r>
      <w:r>
        <w:t xml:space="preserve"> for a total investment of £9.10.0</w:t>
      </w:r>
      <w:r w:rsidRPr="000B1E50">
        <w:t xml:space="preserve">; the later one had 56 </w:t>
      </w:r>
      <w:r>
        <w:t xml:space="preserve">vessels </w:t>
      </w:r>
      <w:r w:rsidRPr="000B1E50">
        <w:t>valued at £12, supplemented with an additional 6 vessels in 1765</w:t>
      </w:r>
      <w:r>
        <w:t xml:space="preserve"> for a total investment of £12.5.0</w:t>
      </w:r>
      <w:r w:rsidR="00086B73">
        <w:t>.</w:t>
      </w:r>
      <w:r w:rsidRPr="000B1E50">
        <w:t xml:space="preserve"> These services included different yet diverse vessel forms from tureens to s</w:t>
      </w:r>
      <w:r w:rsidR="00086B73">
        <w:t xml:space="preserve">auce boats and salts. </w:t>
      </w:r>
      <w:r w:rsidRPr="000B1E50">
        <w:t>Washington’s largest pre-creamware table service arrived in September 1757 and included 156 white salt-glazed stoneware vessels in tableware forms valued at £2.9.4 that could have served 36 ind</w:t>
      </w:r>
      <w:r w:rsidR="00086B73">
        <w:t xml:space="preserve">ividuals at least two courses. </w:t>
      </w:r>
      <w:r w:rsidRPr="000B1E50">
        <w:t>This service was supplemented the following year with an additional 42 soup dishes and plates and again in 1760 with sweetmeat plates</w:t>
      </w:r>
      <w:r>
        <w:t xml:space="preserve"> for a much smaller total investment than the porcelains at just £4</w:t>
      </w:r>
      <w:r w:rsidR="00086B73">
        <w:t xml:space="preserve">. </w:t>
      </w:r>
      <w:r w:rsidRPr="000B1E50">
        <w:t xml:space="preserve">This service was larger and more diverse in terms of form than the </w:t>
      </w:r>
      <w:r w:rsidR="00086B73">
        <w:t xml:space="preserve">Chinese export porcelain sets. </w:t>
      </w:r>
      <w:r w:rsidRPr="000B1E50">
        <w:t>Finally, George Washington placed an order for 96 “best hard mettle” plates, each engraved with his family crest, in 175</w:t>
      </w:r>
      <w:r w:rsidR="00086B73">
        <w:t xml:space="preserve">9 for a total cost of £11.2.3. </w:t>
      </w:r>
      <w:r w:rsidRPr="000B1E50">
        <w:t>Perhaps the pewter service was supplemented with porcelain or white salt-g</w:t>
      </w:r>
      <w:r w:rsidR="00086B73">
        <w:t xml:space="preserve">lazed stoneware serving forms. </w:t>
      </w:r>
      <w:r w:rsidRPr="000B1E50">
        <w:t xml:space="preserve">The 1762 order and 1763 invoice for a set of 56 blue and white Chinese export porcelain vessels, “One very full and complt Sett,” </w:t>
      </w:r>
      <w:r>
        <w:t>was</w:t>
      </w:r>
      <w:r w:rsidRPr="000B1E50">
        <w:t xml:space="preserve"> the first recorded instance of the phrase as applied to tablewares at Mount Vernon (Mount Vernon </w:t>
      </w:r>
      <w:r w:rsidRPr="0036367F">
        <w:t xml:space="preserve">Archaeology </w:t>
      </w:r>
      <w:r>
        <w:t xml:space="preserve">Department </w:t>
      </w:r>
      <w:r w:rsidRPr="0036367F">
        <w:t>2012a).</w:t>
      </w:r>
    </w:p>
    <w:p w:rsidR="000F7191" w:rsidRDefault="000F7191" w:rsidP="000F7191">
      <w:pPr>
        <w:spacing w:line="480" w:lineRule="auto"/>
      </w:pPr>
      <w:r>
        <w:rPr>
          <w:b/>
        </w:rPr>
        <w:lastRenderedPageBreak/>
        <w:t>Table 7-6</w:t>
      </w:r>
      <w:r w:rsidRPr="006177EA">
        <w:rPr>
          <w:b/>
        </w:rPr>
        <w:t>.</w:t>
      </w:r>
      <w:r w:rsidR="00086B73">
        <w:t xml:space="preserve"> </w:t>
      </w:r>
      <w:r w:rsidRPr="00355F58">
        <w:t xml:space="preserve">George Washington’s orders for table services, pre-1775.  </w:t>
      </w:r>
    </w:p>
    <w:tbl>
      <w:tblPr>
        <w:tblW w:w="9105" w:type="dxa"/>
        <w:tblInd w:w="93" w:type="dxa"/>
        <w:tblLook w:val="04A0"/>
      </w:tblPr>
      <w:tblGrid>
        <w:gridCol w:w="1635"/>
        <w:gridCol w:w="2070"/>
        <w:gridCol w:w="1980"/>
        <w:gridCol w:w="1440"/>
        <w:gridCol w:w="1980"/>
      </w:tblGrid>
      <w:tr w:rsidR="000F7191" w:rsidRPr="00355F58" w:rsidTr="00E82578">
        <w:trPr>
          <w:trHeight w:val="510"/>
        </w:trPr>
        <w:tc>
          <w:tcPr>
            <w:tcW w:w="16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 </w:t>
            </w:r>
          </w:p>
        </w:tc>
        <w:tc>
          <w:tcPr>
            <w:tcW w:w="207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Chinese Porcelain Table Service 1</w:t>
            </w:r>
          </w:p>
        </w:tc>
        <w:tc>
          <w:tcPr>
            <w:tcW w:w="198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White Salt-glazed Table Service</w:t>
            </w:r>
          </w:p>
        </w:tc>
        <w:tc>
          <w:tcPr>
            <w:tcW w:w="144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Engraved Pewter</w:t>
            </w:r>
          </w:p>
        </w:tc>
        <w:tc>
          <w:tcPr>
            <w:tcW w:w="198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Chinese Porcelain Table Service 2</w:t>
            </w:r>
          </w:p>
        </w:tc>
      </w:tr>
      <w:tr w:rsidR="000F7191" w:rsidRPr="00355F58" w:rsidTr="00E82578">
        <w:trPr>
          <w:trHeight w:val="255"/>
        </w:trPr>
        <w:tc>
          <w:tcPr>
            <w:tcW w:w="1635" w:type="dxa"/>
            <w:tcBorders>
              <w:top w:val="nil"/>
              <w:left w:val="single" w:sz="4" w:space="0" w:color="auto"/>
              <w:bottom w:val="single" w:sz="4" w:space="0" w:color="auto"/>
              <w:right w:val="single" w:sz="4" w:space="0" w:color="auto"/>
            </w:tcBorders>
            <w:shd w:val="clear" w:color="000000" w:fill="D8D8D8"/>
            <w:noWrap/>
            <w:vAlign w:val="bottom"/>
            <w:hideMark/>
          </w:tcPr>
          <w:p w:rsidR="000F7191" w:rsidRPr="00355F58" w:rsidRDefault="000F7191" w:rsidP="00E82578">
            <w:pPr>
              <w:jc w:val="right"/>
              <w:rPr>
                <w:rFonts w:eastAsia="Times New Roman"/>
                <w:b/>
                <w:bCs/>
                <w:color w:val="000000"/>
                <w:sz w:val="20"/>
                <w:szCs w:val="20"/>
              </w:rPr>
            </w:pPr>
            <w:r w:rsidRPr="00355F58">
              <w:rPr>
                <w:rFonts w:eastAsia="Times New Roman"/>
                <w:b/>
                <w:bCs/>
                <w:color w:val="000000"/>
                <w:sz w:val="20"/>
                <w:szCs w:val="20"/>
              </w:rPr>
              <w:t>Date Invoiced</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1757</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1757</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1759</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1763</w:t>
            </w:r>
          </w:p>
        </w:tc>
      </w:tr>
      <w:tr w:rsidR="000F7191" w:rsidRPr="00355F58" w:rsidTr="00E82578">
        <w:trPr>
          <w:trHeight w:val="255"/>
        </w:trPr>
        <w:tc>
          <w:tcPr>
            <w:tcW w:w="1635" w:type="dxa"/>
            <w:tcBorders>
              <w:top w:val="nil"/>
              <w:left w:val="single" w:sz="4" w:space="0" w:color="auto"/>
              <w:bottom w:val="single" w:sz="4" w:space="0" w:color="auto"/>
              <w:right w:val="single" w:sz="4" w:space="0" w:color="auto"/>
            </w:tcBorders>
            <w:shd w:val="clear" w:color="000000" w:fill="D8D8D8"/>
            <w:noWrap/>
            <w:vAlign w:val="bottom"/>
            <w:hideMark/>
          </w:tcPr>
          <w:p w:rsidR="000F7191" w:rsidRPr="00355F58" w:rsidRDefault="000F7191" w:rsidP="00E82578">
            <w:pPr>
              <w:jc w:val="right"/>
              <w:rPr>
                <w:rFonts w:eastAsia="Times New Roman"/>
                <w:b/>
                <w:bCs/>
                <w:color w:val="000000"/>
                <w:sz w:val="20"/>
                <w:szCs w:val="20"/>
              </w:rPr>
            </w:pPr>
            <w:r w:rsidRPr="00355F58">
              <w:rPr>
                <w:rFonts w:eastAsia="Times New Roman"/>
                <w:b/>
                <w:bCs/>
                <w:color w:val="000000"/>
                <w:sz w:val="20"/>
                <w:szCs w:val="20"/>
              </w:rPr>
              <w:t>Value (£)</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9.10.0</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3.17.4</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11.2.3</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12.5.0</w:t>
            </w:r>
          </w:p>
        </w:tc>
      </w:tr>
      <w:tr w:rsidR="000F7191" w:rsidRPr="00355F58" w:rsidTr="00E82578">
        <w:trPr>
          <w:trHeight w:val="255"/>
        </w:trPr>
        <w:tc>
          <w:tcPr>
            <w:tcW w:w="1635" w:type="dxa"/>
            <w:tcBorders>
              <w:top w:val="nil"/>
              <w:left w:val="single" w:sz="4" w:space="0" w:color="auto"/>
              <w:bottom w:val="single" w:sz="4" w:space="0" w:color="auto"/>
              <w:right w:val="single" w:sz="4" w:space="0" w:color="auto"/>
            </w:tcBorders>
            <w:shd w:val="clear" w:color="000000" w:fill="D8D8D8"/>
            <w:noWrap/>
            <w:vAlign w:val="bottom"/>
            <w:hideMark/>
          </w:tcPr>
          <w:p w:rsidR="000F7191" w:rsidRPr="00355F58" w:rsidRDefault="000F7191" w:rsidP="00E82578">
            <w:pPr>
              <w:jc w:val="right"/>
              <w:rPr>
                <w:rFonts w:eastAsia="Times New Roman"/>
                <w:b/>
                <w:bCs/>
                <w:color w:val="000000"/>
                <w:sz w:val="20"/>
                <w:szCs w:val="20"/>
              </w:rPr>
            </w:pPr>
            <w:r w:rsidRPr="00355F58">
              <w:rPr>
                <w:rFonts w:eastAsia="Times New Roman"/>
                <w:b/>
                <w:bCs/>
                <w:color w:val="000000"/>
                <w:sz w:val="20"/>
                <w:szCs w:val="20"/>
              </w:rPr>
              <w:t>Vessel Count</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72</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210</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96</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62</w:t>
            </w:r>
          </w:p>
        </w:tc>
      </w:tr>
      <w:tr w:rsidR="000F7191" w:rsidRPr="00355F58" w:rsidTr="00E82578">
        <w:trPr>
          <w:trHeight w:val="255"/>
        </w:trPr>
        <w:tc>
          <w:tcPr>
            <w:tcW w:w="1635" w:type="dxa"/>
            <w:tcBorders>
              <w:top w:val="nil"/>
              <w:left w:val="single" w:sz="4" w:space="0" w:color="auto"/>
              <w:bottom w:val="single" w:sz="4" w:space="0" w:color="auto"/>
              <w:right w:val="single" w:sz="4" w:space="0" w:color="auto"/>
            </w:tcBorders>
            <w:shd w:val="clear" w:color="000000" w:fill="D8D8D8"/>
            <w:noWrap/>
            <w:vAlign w:val="bottom"/>
            <w:hideMark/>
          </w:tcPr>
          <w:p w:rsidR="000F7191" w:rsidRPr="00355F58" w:rsidRDefault="000F7191" w:rsidP="00E82578">
            <w:pPr>
              <w:jc w:val="right"/>
              <w:rPr>
                <w:rFonts w:eastAsia="Times New Roman"/>
                <w:b/>
                <w:bCs/>
                <w:color w:val="000000"/>
                <w:sz w:val="20"/>
                <w:szCs w:val="20"/>
              </w:rPr>
            </w:pPr>
            <w:r w:rsidRPr="00355F58">
              <w:rPr>
                <w:rFonts w:eastAsia="Times New Roman"/>
                <w:b/>
                <w:bCs/>
                <w:color w:val="000000"/>
                <w:sz w:val="20"/>
                <w:szCs w:val="20"/>
              </w:rPr>
              <w:t>Form Count</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6</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8</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7</w:t>
            </w:r>
          </w:p>
        </w:tc>
      </w:tr>
    </w:tbl>
    <w:p w:rsidR="000F7191" w:rsidRDefault="000F7191" w:rsidP="000F7191">
      <w:pPr>
        <w:ind w:firstLine="720"/>
        <w:rPr>
          <w:b/>
        </w:rPr>
      </w:pPr>
    </w:p>
    <w:p w:rsidR="000F7191" w:rsidRDefault="000F7191" w:rsidP="000F7191">
      <w:pPr>
        <w:spacing w:line="480" w:lineRule="auto"/>
        <w:ind w:firstLine="720"/>
      </w:pPr>
    </w:p>
    <w:p w:rsidR="000F7191" w:rsidRDefault="000F7191" w:rsidP="000F7191">
      <w:pPr>
        <w:spacing w:line="480" w:lineRule="auto"/>
        <w:ind w:firstLine="720"/>
      </w:pPr>
      <w:r w:rsidRPr="0036367F">
        <w:t xml:space="preserve">Though there is no mention of decoration applied to </w:t>
      </w:r>
      <w:r>
        <w:t>the porcelain</w:t>
      </w:r>
      <w:r w:rsidRPr="0036367F">
        <w:t xml:space="preserve"> or </w:t>
      </w:r>
      <w:r>
        <w:t>the white salt-glazed stoneware orders</w:t>
      </w:r>
      <w:r w:rsidRPr="0036367F">
        <w:t>, the archaeological record suggests that both could have matched</w:t>
      </w:r>
      <w:r>
        <w:t xml:space="preserve"> (see also Detweiler 1982)</w:t>
      </w:r>
      <w:r w:rsidRPr="0036367F">
        <w:t>.</w:t>
      </w:r>
      <w:r w:rsidR="00086B73">
        <w:t xml:space="preserve"> </w:t>
      </w:r>
      <w:r>
        <w:t>In fact, m</w:t>
      </w:r>
      <w:r w:rsidRPr="00D93390">
        <w:t>idden</w:t>
      </w:r>
      <w:r w:rsidRPr="000B1E50">
        <w:t xml:space="preserve"> excavations revealed three </w:t>
      </w:r>
      <w:r>
        <w:t xml:space="preserve">unique matched </w:t>
      </w:r>
      <w:r w:rsidRPr="000B1E50">
        <w:t xml:space="preserve">sets of Chinese porcelain teabowls and saucers, two unique sets of Chinese porcelain plates, </w:t>
      </w:r>
      <w:r>
        <w:t xml:space="preserve">and </w:t>
      </w:r>
      <w:r w:rsidRPr="000B1E50">
        <w:t>a</w:t>
      </w:r>
      <w:r>
        <w:t xml:space="preserve"> molded</w:t>
      </w:r>
      <w:r w:rsidRPr="000B1E50">
        <w:t xml:space="preserve"> white salt-glazed stoneware table service with </w:t>
      </w:r>
      <w:r w:rsidRPr="00D93390">
        <w:t>plates</w:t>
      </w:r>
      <w:r w:rsidRPr="000B1E50">
        <w:t xml:space="preserve"> </w:t>
      </w:r>
      <w:r>
        <w:t xml:space="preserve">(minimum n=5) </w:t>
      </w:r>
      <w:r w:rsidRPr="000B1E50">
        <w:t xml:space="preserve">and a </w:t>
      </w:r>
      <w:r w:rsidRPr="00D93390">
        <w:t>fruit dish</w:t>
      </w:r>
      <w:r>
        <w:t xml:space="preserve">. </w:t>
      </w:r>
      <w:r w:rsidRPr="000D2421">
        <w:t>Be</w:t>
      </w:r>
      <w:r>
        <w:t>yond ceramics,</w:t>
      </w:r>
      <w:r w:rsidRPr="000B1E50">
        <w:t xml:space="preserve"> </w:t>
      </w:r>
      <w:r>
        <w:t>an appreciation for sets with matching decorations appears on a</w:t>
      </w:r>
      <w:r w:rsidRPr="000B1E50">
        <w:t xml:space="preserve"> copper wheel engraved set of glassware (including a </w:t>
      </w:r>
      <w:r w:rsidRPr="00D93390">
        <w:t>decanter</w:t>
      </w:r>
      <w:r w:rsidRPr="000B1E50">
        <w:t xml:space="preserve"> and a </w:t>
      </w:r>
      <w:r w:rsidRPr="00D93390">
        <w:t>wine glass</w:t>
      </w:r>
      <w:r w:rsidRPr="000B1E50">
        <w:t>).</w:t>
      </w:r>
      <w:r w:rsidR="00086B73">
        <w:t xml:space="preserve"> </w:t>
      </w:r>
      <w:r>
        <w:t>From the minimum nine wine glasses dating before 1775, all but one share characteristics of straight stems and a lack of decoration.  Only one is dec</w:t>
      </w:r>
      <w:r w:rsidR="00086B73">
        <w:t xml:space="preserve">orated with an elongated tear. </w:t>
      </w:r>
      <w:r w:rsidRPr="000B1E50">
        <w:t>Dating evidence from the midden’s stratigraphy shows the porcelain plates were most likely initially owned by the Lawrence Washington household, George Washington’s elder half brother (Breen 2004)</w:t>
      </w:r>
      <w:r>
        <w:t xml:space="preserve"> and therefore do not match the orders that George Washington placed for this ware type</w:t>
      </w:r>
      <w:r w:rsidR="00086B73">
        <w:t xml:space="preserve">. </w:t>
      </w:r>
      <w:r w:rsidRPr="000B1E50">
        <w:t xml:space="preserve">Though the porcelain plate sets could have been used to serve the same meals, seriation and dating of the decorative elements offers evidence that the </w:t>
      </w:r>
      <w:r w:rsidRPr="0036367F">
        <w:t>Grape, Bamboo, and Squirrel</w:t>
      </w:r>
      <w:r w:rsidRPr="000B1E50">
        <w:t xml:space="preserve"> pattern (a minimum of seven plates) pre-dates the </w:t>
      </w:r>
      <w:r w:rsidRPr="0036367F">
        <w:t>Flower Basket</w:t>
      </w:r>
      <w:r w:rsidRPr="000B1E50">
        <w:t xml:space="preserve"> set (a minimum of five plates)</w:t>
      </w:r>
      <w:r>
        <w:t xml:space="preserve"> (Figure</w:t>
      </w:r>
      <w:r w:rsidRPr="009F6EE3">
        <w:t xml:space="preserve"> 7-</w:t>
      </w:r>
      <w:r>
        <w:t>4)</w:t>
      </w:r>
      <w:r w:rsidR="00086B73">
        <w:t xml:space="preserve">. </w:t>
      </w:r>
      <w:r>
        <w:t xml:space="preserve">Evidence suggests that both were initially used by the Lawrence Washington household, but that the former were discarded upon his death in 1752 while the latter had a longer use-life, into the 1750s, by the bachelor George Washington’s household and were discarded to make room for new sets at the end of the 1750s. </w:t>
      </w:r>
      <w:r w:rsidRPr="000B1E50">
        <w:lastRenderedPageBreak/>
        <w:t xml:space="preserve">Though these sets do not correspond to those ordered by George Washington in the late 1750s and early 1760s, they do suggest that matched decorative porcelain patterns were available </w:t>
      </w:r>
      <w:r>
        <w:t>to and sought after by elite consumers in</w:t>
      </w:r>
      <w:r w:rsidRPr="000B1E50">
        <w:t xml:space="preserve"> this time period and earlier.  </w:t>
      </w:r>
      <w:r w:rsidRPr="0036367F">
        <w:t xml:space="preserve">  </w:t>
      </w:r>
    </w:p>
    <w:p w:rsidR="000F7191" w:rsidRDefault="000F7191" w:rsidP="000F7191">
      <w:pPr>
        <w:spacing w:line="480" w:lineRule="auto"/>
        <w:ind w:firstLine="720"/>
      </w:pPr>
      <w:r w:rsidRPr="000B1E50">
        <w:t>Washington’s tableware sets in the 1750s and early 1760s came in blue and white porcelain, molded-edge white salt glazed-s</w:t>
      </w:r>
      <w:r w:rsidR="00086B73">
        <w:t xml:space="preserve">toneware, and engraved pewter. </w:t>
      </w:r>
      <w:r w:rsidRPr="000B1E50">
        <w:t xml:space="preserve">Similarly, Henderson offered all three </w:t>
      </w:r>
      <w:r>
        <w:t>ware types</w:t>
      </w:r>
      <w:r w:rsidRPr="000B1E50">
        <w:t xml:space="preserve"> at his store, though he only re-stocked the porcelain inventory </w:t>
      </w:r>
      <w:r>
        <w:t>once</w:t>
      </w:r>
      <w:r w:rsidRPr="000B1E50">
        <w:t xml:space="preserve"> in 1760, suggesting that his clientele more frequently opted for stonewares and pewter (</w:t>
      </w:r>
      <w:r>
        <w:t>Figure</w:t>
      </w:r>
      <w:r w:rsidRPr="009F6EE3">
        <w:t xml:space="preserve"> 7-</w:t>
      </w:r>
      <w:r>
        <w:t>5</w:t>
      </w:r>
      <w:r w:rsidR="00086B73">
        <w:t>).</w:t>
      </w:r>
      <w:r w:rsidRPr="000B1E50">
        <w:t xml:space="preserve"> Additionally, Henderson offered general earthenwares, some of which could have been outdated tin-glazed with “blue and white” decoration and early creamware varieties such as Whieldon ware (Mount Vernon Archaeology </w:t>
      </w:r>
      <w:r>
        <w:t xml:space="preserve">Department </w:t>
      </w:r>
      <w:r w:rsidRPr="000B1E50">
        <w:t xml:space="preserve">2012b). </w:t>
      </w:r>
    </w:p>
    <w:p w:rsidR="000F7191" w:rsidRPr="0036367F" w:rsidRDefault="000F7191" w:rsidP="000F7191">
      <w:pPr>
        <w:spacing w:line="480" w:lineRule="auto"/>
        <w:ind w:firstLine="720"/>
      </w:pPr>
    </w:p>
    <w:p w:rsidR="000F7191" w:rsidRDefault="000F7191" w:rsidP="000F7191">
      <w:r>
        <w:rPr>
          <w:noProof/>
        </w:rPr>
        <w:drawing>
          <wp:inline distT="0" distB="0" distL="0" distR="0">
            <wp:extent cx="5467350" cy="3181413"/>
            <wp:effectExtent l="19050" t="0" r="0" b="0"/>
            <wp:docPr id="5" name="Picture 1" descr="S:\Restoration\Archaeological Sites\44FX762.17 South Grove\images\Artifacts\ACO Photos\Thematic Shots\Resized\762.17.DAACS.PorcelainPlates.Img8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estoration\Archaeological Sites\44FX762.17 South Grove\images\Artifacts\ACO Photos\Thematic Shots\Resized\762.17.DAACS.PorcelainPlates.Img8796.jpg"/>
                    <pic:cNvPicPr>
                      <a:picLocks noChangeAspect="1" noChangeArrowheads="1"/>
                    </pic:cNvPicPr>
                  </pic:nvPicPr>
                  <pic:blipFill>
                    <a:blip r:embed="rId39" cstate="print"/>
                    <a:srcRect l="5250" t="5000" r="2250" b="6250"/>
                    <a:stretch>
                      <a:fillRect/>
                    </a:stretch>
                  </pic:blipFill>
                  <pic:spPr bwMode="auto">
                    <a:xfrm>
                      <a:off x="0" y="0"/>
                      <a:ext cx="5467350" cy="3181413"/>
                    </a:xfrm>
                    <a:prstGeom prst="rect">
                      <a:avLst/>
                    </a:prstGeom>
                    <a:noFill/>
                    <a:ln w="9525">
                      <a:noFill/>
                      <a:miter lim="800000"/>
                      <a:headEnd/>
                      <a:tailEnd/>
                    </a:ln>
                  </pic:spPr>
                </pic:pic>
              </a:graphicData>
            </a:graphic>
          </wp:inline>
        </w:drawing>
      </w:r>
    </w:p>
    <w:p w:rsidR="000F7191" w:rsidRDefault="000F7191" w:rsidP="000F7191">
      <w:pPr>
        <w:rPr>
          <w:b/>
        </w:rPr>
      </w:pPr>
      <w:r>
        <w:rPr>
          <w:b/>
        </w:rPr>
        <w:t>Figure 7-4</w:t>
      </w:r>
      <w:r w:rsidRPr="006177EA">
        <w:rPr>
          <w:b/>
        </w:rPr>
        <w:t xml:space="preserve">. </w:t>
      </w:r>
      <w:r w:rsidRPr="00355F58">
        <w:t>Two sets of porcelain plates excavated from the midden (left: later Flower Basket pattern; right: earlier Grape, Bamboo, and Squirrel pattern</w:t>
      </w:r>
      <w:r w:rsidR="00CC1AEA">
        <w:t xml:space="preserve">). </w:t>
      </w:r>
      <w:proofErr w:type="gramStart"/>
      <w:r w:rsidRPr="00355F58">
        <w:t xml:space="preserve">(Photo by </w:t>
      </w:r>
      <w:r w:rsidR="00270BD0">
        <w:t>Karen Price</w:t>
      </w:r>
      <w:r w:rsidRPr="00355F58">
        <w:t>, 2012; courtesy of Mount Vernon Ladies’ Association.)</w:t>
      </w:r>
      <w:proofErr w:type="gramEnd"/>
      <w:r w:rsidRPr="006177EA">
        <w:rPr>
          <w:b/>
        </w:rPr>
        <w:t xml:space="preserve"> </w:t>
      </w:r>
    </w:p>
    <w:p w:rsidR="000F7191" w:rsidRDefault="000F7191" w:rsidP="000F7191">
      <w:pPr>
        <w:rPr>
          <w:b/>
        </w:rPr>
      </w:pPr>
    </w:p>
    <w:p w:rsidR="000F7191" w:rsidRDefault="000F7191" w:rsidP="000F7191">
      <w:pPr>
        <w:rPr>
          <w:b/>
        </w:rPr>
      </w:pPr>
    </w:p>
    <w:p w:rsidR="000F7191" w:rsidRPr="006177EA" w:rsidRDefault="000F7191" w:rsidP="000F7191">
      <w:pPr>
        <w:rPr>
          <w:b/>
        </w:rPr>
      </w:pPr>
    </w:p>
    <w:p w:rsidR="000F7191" w:rsidRDefault="000F7191" w:rsidP="000F7191">
      <w:r w:rsidRPr="005F6D48">
        <w:rPr>
          <w:noProof/>
        </w:rPr>
        <w:lastRenderedPageBreak/>
        <w:drawing>
          <wp:inline distT="0" distB="0" distL="0" distR="0">
            <wp:extent cx="5943600" cy="4309745"/>
            <wp:effectExtent l="0" t="0" r="0" b="0"/>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F7191" w:rsidRDefault="000F7191" w:rsidP="000F7191">
      <w:r>
        <w:rPr>
          <w:b/>
        </w:rPr>
        <w:t>Figure 7-5</w:t>
      </w:r>
      <w:r w:rsidRPr="005F6D48">
        <w:rPr>
          <w:b/>
        </w:rPr>
        <w:t xml:space="preserve">. </w:t>
      </w:r>
      <w:r w:rsidRPr="00355F58">
        <w:t xml:space="preserve">Alexander Henderson’s orders for tea and tablewares by ware type. </w:t>
      </w:r>
    </w:p>
    <w:p w:rsidR="000F7191" w:rsidRDefault="000F7191" w:rsidP="000F7191"/>
    <w:p w:rsidR="000F7191" w:rsidRPr="00355F58" w:rsidRDefault="000F7191" w:rsidP="000F7191"/>
    <w:p w:rsidR="000F7191" w:rsidRPr="000B1E50" w:rsidRDefault="000F7191" w:rsidP="000F7191">
      <w:r>
        <w:t xml:space="preserve"> </w:t>
      </w:r>
    </w:p>
    <w:p w:rsidR="000F7191" w:rsidRPr="000B1E50" w:rsidRDefault="000F7191" w:rsidP="000F7191">
      <w:pPr>
        <w:spacing w:line="480" w:lineRule="auto"/>
        <w:ind w:firstLine="720"/>
      </w:pPr>
      <w:r w:rsidRPr="000B1E50">
        <w:t>Though Henderson included similar ware types to those desired by George Was</w:t>
      </w:r>
      <w:r>
        <w:t>hington, upon closer inspection</w:t>
      </w:r>
      <w:r w:rsidRPr="000B1E50">
        <w:t xml:space="preserve"> it becomes clear, based on an analysis of form</w:t>
      </w:r>
      <w:r>
        <w:t>s, that none of these types w</w:t>
      </w:r>
      <w:r w:rsidR="00E928ED">
        <w:t>as</w:t>
      </w:r>
      <w:r w:rsidRPr="000B1E50">
        <w:t xml:space="preserve"> stocked in ways that </w:t>
      </w:r>
      <w:r>
        <w:t>enabled consumers to</w:t>
      </w:r>
      <w:r w:rsidRPr="000B1E50">
        <w:t xml:space="preserve"> assem</w:t>
      </w:r>
      <w:r>
        <w:t>bl</w:t>
      </w:r>
      <w:r w:rsidRPr="000B1E50">
        <w:t>e matched tableware sets at the level available to customers through the trans-Atlantic consig</w:t>
      </w:r>
      <w:r w:rsidR="00CC1AEA">
        <w:t xml:space="preserve">nment system. </w:t>
      </w:r>
      <w:r>
        <w:t>P</w:t>
      </w:r>
      <w:r w:rsidRPr="000B1E50">
        <w:t>atrons could have purchased sets of teawares</w:t>
      </w:r>
      <w:r>
        <w:t xml:space="preserve"> in both porcelain and stoneware</w:t>
      </w:r>
      <w:r w:rsidRPr="000B1E50">
        <w:t>; however neither was available as a matched</w:t>
      </w:r>
      <w:r>
        <w:t>, complete</w:t>
      </w:r>
      <w:r w:rsidR="00CC1AEA">
        <w:t xml:space="preserve"> tableware set. </w:t>
      </w:r>
      <w:r w:rsidRPr="000B1E50">
        <w:t>In fact, the porcelain vessels offered show that Henderson anticipated a market for beverage wares</w:t>
      </w:r>
      <w:r w:rsidR="00CC1AEA">
        <w:t xml:space="preserve"> only: tea, coffee, and punch. </w:t>
      </w:r>
      <w:r w:rsidRPr="000B1E50">
        <w:t xml:space="preserve">Stonewares similarly fall </w:t>
      </w:r>
      <w:r>
        <w:t xml:space="preserve">primarily </w:t>
      </w:r>
      <w:r w:rsidRPr="000B1E50">
        <w:t xml:space="preserve">into the beverage category, with </w:t>
      </w:r>
      <w:r w:rsidR="00CC1AEA">
        <w:t xml:space="preserve">mustard pots as the exception. </w:t>
      </w:r>
      <w:r w:rsidRPr="000B1E50">
        <w:t xml:space="preserve">Pewters and earthenwares were sold in dining-related forms, plates and dishes, soup and flat, in addition to </w:t>
      </w:r>
      <w:r w:rsidRPr="000B1E50">
        <w:lastRenderedPageBreak/>
        <w:t xml:space="preserve">porringers, but unlike table sets procured from the consignment system, the specialized and elaborate forms that would have accompanied the individualized vessels were not available in matched ware or decorative types.    </w:t>
      </w:r>
    </w:p>
    <w:p w:rsidR="000F7191" w:rsidRDefault="000F7191" w:rsidP="000F7191">
      <w:pPr>
        <w:spacing w:line="480" w:lineRule="auto"/>
        <w:ind w:firstLine="720"/>
      </w:pPr>
      <w:r w:rsidRPr="000B1E50">
        <w:t>A</w:t>
      </w:r>
      <w:r>
        <w:t>dditionally, a</w:t>
      </w:r>
      <w:r w:rsidRPr="000B1E50">
        <w:t xml:space="preserve"> table furnished by wares available at a local store in the upper Potomac region would have been decidedly lacking in diversity of form</w:t>
      </w:r>
      <w:r>
        <w:t>s</w:t>
      </w:r>
      <w:r w:rsidRPr="000B1E50">
        <w:t xml:space="preserve">, as compared to that </w:t>
      </w:r>
      <w:r w:rsidR="00CC1AEA">
        <w:t xml:space="preserve">available through consignment. </w:t>
      </w:r>
      <w:r w:rsidRPr="000B1E50">
        <w:t>At the store, three individual consumption forms were offered in earthenware, four in pewter.</w:t>
      </w:r>
      <w:r w:rsidR="00CC1AEA">
        <w:t xml:space="preserve"> </w:t>
      </w:r>
      <w:r w:rsidRPr="000B1E50">
        <w:t>This, compared to six serving and consumption vessels in Washington’s first porcelain set, seven in his second, and eight in the white salt-glazed stoneware, suggests that local shoppers were restricted in their ability to create the fullest expression of a genteel table in this p</w:t>
      </w:r>
      <w:r>
        <w:t>re-Revolutionary period (Table</w:t>
      </w:r>
      <w:r w:rsidRPr="00E048E5">
        <w:t xml:space="preserve"> 7-</w:t>
      </w:r>
      <w:r>
        <w:t>7</w:t>
      </w:r>
      <w:r w:rsidRPr="000B1E50">
        <w:t>).</w:t>
      </w:r>
      <w:r w:rsidR="00CC1AEA">
        <w:t xml:space="preserve"> </w:t>
      </w:r>
      <w:r>
        <w:t>By comparing the two documentary datasets, I believe that matched table sets of ceramics and glassware show that gentry planters had access to a world of goods not available to their neighbors and that this restricted access operated dually as a bridge back to the perceived source of high culture in England and a fence that excluded non-elites from a truly genteel style of life (Douglas and Isherwood 1979; McCracken 1988).</w:t>
      </w:r>
    </w:p>
    <w:p w:rsidR="000F7191" w:rsidRDefault="000F7191" w:rsidP="000F7191">
      <w:pPr>
        <w:spacing w:line="480" w:lineRule="auto"/>
      </w:pPr>
    </w:p>
    <w:p w:rsidR="000F7191" w:rsidRDefault="000F7191" w:rsidP="000F7191">
      <w:pPr>
        <w:rPr>
          <w:b/>
        </w:rPr>
      </w:pPr>
      <w:r>
        <w:rPr>
          <w:b/>
        </w:rPr>
        <w:br w:type="page"/>
      </w:r>
    </w:p>
    <w:p w:rsidR="000F7191" w:rsidRDefault="000F7191" w:rsidP="000F7191">
      <w:pPr>
        <w:rPr>
          <w:b/>
        </w:rPr>
      </w:pPr>
      <w:r>
        <w:rPr>
          <w:b/>
        </w:rPr>
        <w:lastRenderedPageBreak/>
        <w:t>Table 7-7</w:t>
      </w:r>
      <w:r w:rsidRPr="00982068">
        <w:rPr>
          <w:b/>
        </w:rPr>
        <w:t xml:space="preserve">. </w:t>
      </w:r>
      <w:r w:rsidRPr="00355F58">
        <w:t>Comparison of total tableware vessel forms by ware type ordered by George Washington (green) and Alexander Henderson (blue) in descending order.</w:t>
      </w:r>
    </w:p>
    <w:p w:rsidR="000F7191" w:rsidRPr="00355F58" w:rsidRDefault="000F7191" w:rsidP="000F7191">
      <w:pPr>
        <w:rPr>
          <w:b/>
        </w:rPr>
      </w:pPr>
    </w:p>
    <w:tbl>
      <w:tblPr>
        <w:tblW w:w="9392" w:type="dxa"/>
        <w:tblInd w:w="89" w:type="dxa"/>
        <w:tblLook w:val="04A0"/>
      </w:tblPr>
      <w:tblGrid>
        <w:gridCol w:w="1410"/>
        <w:gridCol w:w="1350"/>
        <w:gridCol w:w="1271"/>
        <w:gridCol w:w="1050"/>
        <w:gridCol w:w="1231"/>
        <w:gridCol w:w="983"/>
        <w:gridCol w:w="1013"/>
        <w:gridCol w:w="1084"/>
      </w:tblGrid>
      <w:tr w:rsidR="000F7191" w:rsidRPr="00BC78DC" w:rsidTr="00E82578">
        <w:trPr>
          <w:trHeight w:val="765"/>
        </w:trPr>
        <w:tc>
          <w:tcPr>
            <w:tcW w:w="1410"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White Salt-glazed Stoneware Set</w:t>
            </w:r>
          </w:p>
        </w:tc>
        <w:tc>
          <w:tcPr>
            <w:tcW w:w="1350" w:type="dxa"/>
            <w:tcBorders>
              <w:top w:val="single" w:sz="4" w:space="0" w:color="auto"/>
              <w:left w:val="nil"/>
              <w:bottom w:val="single" w:sz="4" w:space="0" w:color="auto"/>
              <w:right w:val="single" w:sz="4" w:space="0" w:color="auto"/>
            </w:tcBorders>
            <w:shd w:val="clear" w:color="000000" w:fill="92D050"/>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Chinese Porcelain Set 2</w:t>
            </w:r>
          </w:p>
        </w:tc>
        <w:tc>
          <w:tcPr>
            <w:tcW w:w="1271" w:type="dxa"/>
            <w:tcBorders>
              <w:top w:val="single" w:sz="4" w:space="0" w:color="auto"/>
              <w:left w:val="nil"/>
              <w:bottom w:val="single" w:sz="4" w:space="0" w:color="auto"/>
              <w:right w:val="single" w:sz="4" w:space="0" w:color="auto"/>
            </w:tcBorders>
            <w:shd w:val="clear" w:color="000000" w:fill="92D050"/>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Chinese Porcelain Set 1</w:t>
            </w:r>
          </w:p>
        </w:tc>
        <w:tc>
          <w:tcPr>
            <w:tcW w:w="1050" w:type="dxa"/>
            <w:tcBorders>
              <w:top w:val="single" w:sz="4" w:space="0" w:color="auto"/>
              <w:left w:val="nil"/>
              <w:bottom w:val="single" w:sz="4" w:space="0" w:color="auto"/>
              <w:right w:val="single" w:sz="4" w:space="0" w:color="auto"/>
            </w:tcBorders>
            <w:shd w:val="clear" w:color="000000" w:fill="B6DDE8"/>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Pewter</w:t>
            </w:r>
          </w:p>
        </w:tc>
        <w:tc>
          <w:tcPr>
            <w:tcW w:w="1231" w:type="dxa"/>
            <w:tcBorders>
              <w:top w:val="single" w:sz="4" w:space="0" w:color="auto"/>
              <w:left w:val="nil"/>
              <w:bottom w:val="single" w:sz="4" w:space="0" w:color="auto"/>
              <w:right w:val="single" w:sz="4" w:space="0" w:color="auto"/>
            </w:tcBorders>
            <w:shd w:val="clear" w:color="000000" w:fill="B6DDE8"/>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Earthenware</w:t>
            </w:r>
          </w:p>
        </w:tc>
        <w:tc>
          <w:tcPr>
            <w:tcW w:w="983" w:type="dxa"/>
            <w:tcBorders>
              <w:top w:val="single" w:sz="4" w:space="0" w:color="auto"/>
              <w:left w:val="nil"/>
              <w:bottom w:val="single" w:sz="4" w:space="0" w:color="auto"/>
              <w:right w:val="single" w:sz="4" w:space="0" w:color="auto"/>
            </w:tcBorders>
            <w:shd w:val="clear" w:color="000000" w:fill="92D050"/>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Engraved Pewter</w:t>
            </w:r>
          </w:p>
        </w:tc>
        <w:tc>
          <w:tcPr>
            <w:tcW w:w="1013" w:type="dxa"/>
            <w:tcBorders>
              <w:top w:val="single" w:sz="4" w:space="0" w:color="auto"/>
              <w:left w:val="nil"/>
              <w:bottom w:val="single" w:sz="4" w:space="0" w:color="auto"/>
              <w:right w:val="single" w:sz="4" w:space="0" w:color="auto"/>
            </w:tcBorders>
            <w:shd w:val="clear" w:color="000000" w:fill="B6DDE8"/>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Porcelain</w:t>
            </w:r>
          </w:p>
        </w:tc>
        <w:tc>
          <w:tcPr>
            <w:tcW w:w="1084" w:type="dxa"/>
            <w:tcBorders>
              <w:top w:val="single" w:sz="4" w:space="0" w:color="auto"/>
              <w:left w:val="nil"/>
              <w:bottom w:val="single" w:sz="4" w:space="0" w:color="auto"/>
              <w:right w:val="single" w:sz="4" w:space="0" w:color="auto"/>
            </w:tcBorders>
            <w:shd w:val="clear" w:color="000000" w:fill="B6DDE8"/>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xml:space="preserve">Stoneware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xml:space="preserve">Butter Dishes </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2097" w:type="dxa"/>
            <w:gridSpan w:val="2"/>
            <w:tcBorders>
              <w:top w:val="single" w:sz="4" w:space="0" w:color="auto"/>
              <w:left w:val="nil"/>
              <w:bottom w:val="single" w:sz="4" w:space="0" w:color="auto"/>
              <w:right w:val="single" w:sz="4" w:space="0" w:color="000000"/>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Butter Plates</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Dishes</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Dishes</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Dishes</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Custard Cups</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Mustard Pots</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Mustard Pots</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Patty Pans</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Patty Pans</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Pickle Shells</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Plates</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Plates</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xml:space="preserve">Plates </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Plates</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Plates</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Plates</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Platters</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Platters</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Porringers</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Porringers</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Salts</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Sauce Boats</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Soup Dishes</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Soup Dishes</w:t>
            </w:r>
          </w:p>
        </w:tc>
        <w:tc>
          <w:tcPr>
            <w:tcW w:w="2281" w:type="dxa"/>
            <w:gridSpan w:val="2"/>
            <w:tcBorders>
              <w:top w:val="single" w:sz="4" w:space="0" w:color="auto"/>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Soup Dishes</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Soup Plates</w:t>
            </w:r>
          </w:p>
        </w:tc>
        <w:tc>
          <w:tcPr>
            <w:tcW w:w="1350"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Soup Plates</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Soup Plates</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Soup Plates</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2760" w:type="dxa"/>
            <w:gridSpan w:val="2"/>
            <w:tcBorders>
              <w:top w:val="single" w:sz="4" w:space="0" w:color="auto"/>
              <w:left w:val="single" w:sz="4" w:space="0" w:color="auto"/>
              <w:bottom w:val="single" w:sz="4" w:space="0" w:color="auto"/>
              <w:right w:val="nil"/>
            </w:tcBorders>
            <w:shd w:val="clear" w:color="000000" w:fill="92D050"/>
            <w:noWrap/>
            <w:vAlign w:val="bottom"/>
            <w:hideMark/>
          </w:tcPr>
          <w:p w:rsidR="000F7191" w:rsidRPr="00BC78DC" w:rsidRDefault="000F7191" w:rsidP="00E82578">
            <w:pPr>
              <w:rPr>
                <w:rFonts w:eastAsia="Times New Roman"/>
                <w:sz w:val="20"/>
                <w:szCs w:val="20"/>
              </w:rPr>
            </w:pPr>
            <w:r w:rsidRPr="00BC78DC">
              <w:rPr>
                <w:rFonts w:eastAsia="Times New Roman"/>
                <w:sz w:val="20"/>
                <w:szCs w:val="20"/>
              </w:rPr>
              <w:t>Sweetmeat Plates</w:t>
            </w:r>
          </w:p>
        </w:tc>
        <w:tc>
          <w:tcPr>
            <w:tcW w:w="1271"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50"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31"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single" w:sz="4" w:space="0" w:color="auto"/>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single" w:sz="4" w:space="0" w:color="auto"/>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single" w:sz="4" w:space="0" w:color="auto"/>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nil"/>
              <w:left w:val="single" w:sz="4" w:space="0" w:color="auto"/>
              <w:bottom w:val="nil"/>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350" w:type="dxa"/>
            <w:tcBorders>
              <w:top w:val="nil"/>
              <w:left w:val="nil"/>
              <w:bottom w:val="nil"/>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Tureen</w:t>
            </w:r>
          </w:p>
        </w:tc>
        <w:tc>
          <w:tcPr>
            <w:tcW w:w="1271" w:type="dxa"/>
            <w:tcBorders>
              <w:top w:val="nil"/>
              <w:left w:val="nil"/>
              <w:bottom w:val="nil"/>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xml:space="preserve">Tureen </w:t>
            </w:r>
          </w:p>
        </w:tc>
        <w:tc>
          <w:tcPr>
            <w:tcW w:w="1050" w:type="dxa"/>
            <w:tcBorders>
              <w:top w:val="nil"/>
              <w:left w:val="nil"/>
              <w:bottom w:val="nil"/>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231" w:type="dxa"/>
            <w:tcBorders>
              <w:top w:val="nil"/>
              <w:left w:val="nil"/>
              <w:bottom w:val="nil"/>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983" w:type="dxa"/>
            <w:tcBorders>
              <w:top w:val="nil"/>
              <w:left w:val="nil"/>
              <w:bottom w:val="nil"/>
              <w:right w:val="nil"/>
            </w:tcBorders>
            <w:shd w:val="clear" w:color="000000" w:fill="92D050"/>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13" w:type="dxa"/>
            <w:tcBorders>
              <w:top w:val="nil"/>
              <w:left w:val="nil"/>
              <w:bottom w:val="nil"/>
              <w:right w:val="nil"/>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c>
          <w:tcPr>
            <w:tcW w:w="1084" w:type="dxa"/>
            <w:tcBorders>
              <w:top w:val="nil"/>
              <w:left w:val="nil"/>
              <w:bottom w:val="nil"/>
              <w:right w:val="single" w:sz="4" w:space="0" w:color="auto"/>
            </w:tcBorders>
            <w:shd w:val="clear" w:color="000000" w:fill="B6DDE8"/>
            <w:noWrap/>
            <w:vAlign w:val="bottom"/>
            <w:hideMark/>
          </w:tcPr>
          <w:p w:rsidR="000F7191" w:rsidRPr="00BC78DC" w:rsidRDefault="000F7191" w:rsidP="00E82578">
            <w:pPr>
              <w:rPr>
                <w:rFonts w:eastAsia="Times New Roman"/>
                <w:color w:val="000000"/>
                <w:sz w:val="20"/>
                <w:szCs w:val="20"/>
              </w:rPr>
            </w:pPr>
            <w:r w:rsidRPr="00BC78DC">
              <w:rPr>
                <w:rFonts w:eastAsia="Times New Roman"/>
                <w:color w:val="000000"/>
                <w:sz w:val="20"/>
                <w:szCs w:val="20"/>
              </w:rPr>
              <w:t> </w:t>
            </w:r>
          </w:p>
        </w:tc>
      </w:tr>
      <w:tr w:rsidR="000F7191" w:rsidRPr="00BC78DC" w:rsidTr="00E82578">
        <w:trPr>
          <w:trHeight w:val="255"/>
        </w:trPr>
        <w:tc>
          <w:tcPr>
            <w:tcW w:w="141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0F7191" w:rsidRPr="00BC78DC" w:rsidRDefault="000F7191" w:rsidP="00E82578">
            <w:pPr>
              <w:jc w:val="center"/>
              <w:rPr>
                <w:rFonts w:eastAsia="Times New Roman"/>
                <w:color w:val="000000"/>
                <w:sz w:val="20"/>
                <w:szCs w:val="20"/>
              </w:rPr>
            </w:pPr>
            <w:r w:rsidRPr="00BC78DC">
              <w:rPr>
                <w:rFonts w:eastAsia="Times New Roman"/>
                <w:color w:val="000000"/>
                <w:sz w:val="20"/>
                <w:szCs w:val="20"/>
              </w:rPr>
              <w:t>8</w:t>
            </w:r>
          </w:p>
        </w:tc>
        <w:tc>
          <w:tcPr>
            <w:tcW w:w="1350" w:type="dxa"/>
            <w:tcBorders>
              <w:top w:val="single" w:sz="4" w:space="0" w:color="auto"/>
              <w:left w:val="nil"/>
              <w:bottom w:val="single" w:sz="4" w:space="0" w:color="auto"/>
              <w:right w:val="single" w:sz="4" w:space="0" w:color="auto"/>
            </w:tcBorders>
            <w:shd w:val="clear" w:color="000000" w:fill="92D050"/>
            <w:noWrap/>
            <w:vAlign w:val="bottom"/>
            <w:hideMark/>
          </w:tcPr>
          <w:p w:rsidR="000F7191" w:rsidRPr="00BC78DC" w:rsidRDefault="000F7191" w:rsidP="00E82578">
            <w:pPr>
              <w:jc w:val="center"/>
              <w:rPr>
                <w:rFonts w:eastAsia="Times New Roman"/>
                <w:color w:val="000000"/>
                <w:sz w:val="20"/>
                <w:szCs w:val="20"/>
              </w:rPr>
            </w:pPr>
            <w:r w:rsidRPr="00BC78DC">
              <w:rPr>
                <w:rFonts w:eastAsia="Times New Roman"/>
                <w:color w:val="000000"/>
                <w:sz w:val="20"/>
                <w:szCs w:val="20"/>
              </w:rPr>
              <w:t>7</w:t>
            </w:r>
          </w:p>
        </w:tc>
        <w:tc>
          <w:tcPr>
            <w:tcW w:w="1271" w:type="dxa"/>
            <w:tcBorders>
              <w:top w:val="single" w:sz="4" w:space="0" w:color="auto"/>
              <w:left w:val="nil"/>
              <w:bottom w:val="single" w:sz="4" w:space="0" w:color="auto"/>
              <w:right w:val="single" w:sz="4" w:space="0" w:color="auto"/>
            </w:tcBorders>
            <w:shd w:val="clear" w:color="000000" w:fill="92D050"/>
            <w:noWrap/>
            <w:vAlign w:val="bottom"/>
            <w:hideMark/>
          </w:tcPr>
          <w:p w:rsidR="000F7191" w:rsidRPr="00BC78DC" w:rsidRDefault="000F7191" w:rsidP="00E82578">
            <w:pPr>
              <w:jc w:val="center"/>
              <w:rPr>
                <w:rFonts w:eastAsia="Times New Roman"/>
                <w:color w:val="000000"/>
                <w:sz w:val="20"/>
                <w:szCs w:val="20"/>
              </w:rPr>
            </w:pPr>
            <w:r w:rsidRPr="00BC78DC">
              <w:rPr>
                <w:rFonts w:eastAsia="Times New Roman"/>
                <w:color w:val="000000"/>
                <w:sz w:val="20"/>
                <w:szCs w:val="20"/>
              </w:rPr>
              <w:t>6</w:t>
            </w:r>
          </w:p>
        </w:tc>
        <w:tc>
          <w:tcPr>
            <w:tcW w:w="1050" w:type="dxa"/>
            <w:tcBorders>
              <w:top w:val="single" w:sz="4" w:space="0" w:color="auto"/>
              <w:left w:val="nil"/>
              <w:bottom w:val="single" w:sz="4" w:space="0" w:color="auto"/>
              <w:right w:val="single" w:sz="4" w:space="0" w:color="auto"/>
            </w:tcBorders>
            <w:shd w:val="clear" w:color="000000" w:fill="B6DDE8"/>
            <w:noWrap/>
            <w:vAlign w:val="bottom"/>
            <w:hideMark/>
          </w:tcPr>
          <w:p w:rsidR="000F7191" w:rsidRPr="00BC78DC" w:rsidRDefault="000F7191" w:rsidP="00E82578">
            <w:pPr>
              <w:jc w:val="center"/>
              <w:rPr>
                <w:rFonts w:eastAsia="Times New Roman"/>
                <w:color w:val="000000"/>
                <w:sz w:val="20"/>
                <w:szCs w:val="20"/>
              </w:rPr>
            </w:pPr>
            <w:r w:rsidRPr="00BC78DC">
              <w:rPr>
                <w:rFonts w:eastAsia="Times New Roman"/>
                <w:color w:val="000000"/>
                <w:sz w:val="20"/>
                <w:szCs w:val="20"/>
              </w:rPr>
              <w:t>5</w:t>
            </w:r>
          </w:p>
        </w:tc>
        <w:tc>
          <w:tcPr>
            <w:tcW w:w="1231" w:type="dxa"/>
            <w:tcBorders>
              <w:top w:val="single" w:sz="4" w:space="0" w:color="auto"/>
              <w:left w:val="nil"/>
              <w:bottom w:val="single" w:sz="4" w:space="0" w:color="auto"/>
              <w:right w:val="single" w:sz="4" w:space="0" w:color="auto"/>
            </w:tcBorders>
            <w:shd w:val="clear" w:color="000000" w:fill="B6DDE8"/>
            <w:noWrap/>
            <w:vAlign w:val="bottom"/>
            <w:hideMark/>
          </w:tcPr>
          <w:p w:rsidR="000F7191" w:rsidRPr="00BC78DC" w:rsidRDefault="000F7191" w:rsidP="00E82578">
            <w:pPr>
              <w:jc w:val="center"/>
              <w:rPr>
                <w:rFonts w:eastAsia="Times New Roman"/>
                <w:color w:val="000000"/>
                <w:sz w:val="20"/>
                <w:szCs w:val="20"/>
              </w:rPr>
            </w:pPr>
            <w:r w:rsidRPr="00BC78DC">
              <w:rPr>
                <w:rFonts w:eastAsia="Times New Roman"/>
                <w:color w:val="000000"/>
                <w:sz w:val="20"/>
                <w:szCs w:val="20"/>
              </w:rPr>
              <w:t>3</w:t>
            </w:r>
          </w:p>
        </w:tc>
        <w:tc>
          <w:tcPr>
            <w:tcW w:w="983" w:type="dxa"/>
            <w:tcBorders>
              <w:top w:val="single" w:sz="4" w:space="0" w:color="auto"/>
              <w:left w:val="nil"/>
              <w:bottom w:val="single" w:sz="4" w:space="0" w:color="auto"/>
              <w:right w:val="single" w:sz="4" w:space="0" w:color="auto"/>
            </w:tcBorders>
            <w:shd w:val="clear" w:color="000000" w:fill="92D050"/>
            <w:noWrap/>
            <w:vAlign w:val="bottom"/>
            <w:hideMark/>
          </w:tcPr>
          <w:p w:rsidR="000F7191" w:rsidRPr="00BC78DC" w:rsidRDefault="000F7191" w:rsidP="00E82578">
            <w:pPr>
              <w:jc w:val="center"/>
              <w:rPr>
                <w:rFonts w:eastAsia="Times New Roman"/>
                <w:color w:val="000000"/>
                <w:sz w:val="20"/>
                <w:szCs w:val="20"/>
              </w:rPr>
            </w:pPr>
            <w:r w:rsidRPr="00BC78DC">
              <w:rPr>
                <w:rFonts w:eastAsia="Times New Roman"/>
                <w:color w:val="000000"/>
                <w:sz w:val="20"/>
                <w:szCs w:val="20"/>
              </w:rPr>
              <w:t>2</w:t>
            </w:r>
          </w:p>
        </w:tc>
        <w:tc>
          <w:tcPr>
            <w:tcW w:w="1013" w:type="dxa"/>
            <w:tcBorders>
              <w:top w:val="single" w:sz="4" w:space="0" w:color="auto"/>
              <w:left w:val="nil"/>
              <w:bottom w:val="single" w:sz="4" w:space="0" w:color="auto"/>
              <w:right w:val="single" w:sz="4" w:space="0" w:color="auto"/>
            </w:tcBorders>
            <w:shd w:val="clear" w:color="000000" w:fill="B6DDE8"/>
            <w:noWrap/>
            <w:vAlign w:val="bottom"/>
            <w:hideMark/>
          </w:tcPr>
          <w:p w:rsidR="000F7191" w:rsidRPr="00BC78DC" w:rsidRDefault="000F7191" w:rsidP="00E82578">
            <w:pPr>
              <w:jc w:val="center"/>
              <w:rPr>
                <w:rFonts w:eastAsia="Times New Roman"/>
                <w:color w:val="000000"/>
                <w:sz w:val="20"/>
                <w:szCs w:val="20"/>
              </w:rPr>
            </w:pPr>
            <w:r w:rsidRPr="00BC78DC">
              <w:rPr>
                <w:rFonts w:eastAsia="Times New Roman"/>
                <w:color w:val="000000"/>
                <w:sz w:val="20"/>
                <w:szCs w:val="20"/>
              </w:rPr>
              <w:t>1</w:t>
            </w:r>
          </w:p>
        </w:tc>
        <w:tc>
          <w:tcPr>
            <w:tcW w:w="1084" w:type="dxa"/>
            <w:tcBorders>
              <w:top w:val="single" w:sz="4" w:space="0" w:color="auto"/>
              <w:left w:val="nil"/>
              <w:bottom w:val="single" w:sz="4" w:space="0" w:color="auto"/>
              <w:right w:val="single" w:sz="4" w:space="0" w:color="auto"/>
            </w:tcBorders>
            <w:shd w:val="clear" w:color="000000" w:fill="B6DDE8"/>
            <w:noWrap/>
            <w:vAlign w:val="bottom"/>
            <w:hideMark/>
          </w:tcPr>
          <w:p w:rsidR="000F7191" w:rsidRPr="00BC78DC" w:rsidRDefault="000F7191" w:rsidP="00E82578">
            <w:pPr>
              <w:jc w:val="center"/>
              <w:rPr>
                <w:rFonts w:eastAsia="Times New Roman"/>
                <w:color w:val="000000"/>
                <w:sz w:val="20"/>
                <w:szCs w:val="20"/>
              </w:rPr>
            </w:pPr>
            <w:r w:rsidRPr="00BC78DC">
              <w:rPr>
                <w:rFonts w:eastAsia="Times New Roman"/>
                <w:color w:val="000000"/>
                <w:sz w:val="20"/>
                <w:szCs w:val="20"/>
              </w:rPr>
              <w:t>1</w:t>
            </w:r>
          </w:p>
        </w:tc>
      </w:tr>
    </w:tbl>
    <w:p w:rsidR="000F7191" w:rsidRDefault="000F7191" w:rsidP="000F7191">
      <w:pPr>
        <w:rPr>
          <w:b/>
        </w:rPr>
      </w:pPr>
    </w:p>
    <w:p w:rsidR="000F7191" w:rsidRDefault="000F7191" w:rsidP="000F7191">
      <w:pPr>
        <w:rPr>
          <w:b/>
        </w:rPr>
      </w:pPr>
    </w:p>
    <w:p w:rsidR="000F7191" w:rsidRDefault="000F7191" w:rsidP="000F7191"/>
    <w:p w:rsidR="000F7191" w:rsidRDefault="000F7191" w:rsidP="00BB4C7D">
      <w:pPr>
        <w:spacing w:line="480" w:lineRule="auto"/>
        <w:ind w:firstLine="720"/>
      </w:pPr>
      <w:r>
        <w:t>This pattern bears out in a comparison of unique, identifiable forms between the South Grove (eighteenth-century phas</w:t>
      </w:r>
      <w:r w:rsidR="00CC1AEA">
        <w:t>es) and the House for Families.</w:t>
      </w:r>
      <w:r>
        <w:t xml:space="preserve"> Of the 24 forms represented in the former, only 14 </w:t>
      </w:r>
      <w:r w:rsidR="00CC1AEA">
        <w:t xml:space="preserve">are found in the latter. </w:t>
      </w:r>
      <w:r>
        <w:t>Specialized table and beverage forms such as slop bowls, coffee pots, creamers, patty pans, pitchers or milk pots, and porringers do not app</w:t>
      </w:r>
      <w:r w:rsidR="00CC1AEA">
        <w:t xml:space="preserve">ear in the House for Families. </w:t>
      </w:r>
      <w:r>
        <w:t>A lower diversity of forms is also evident in table glass.</w:t>
      </w:r>
      <w:r w:rsidR="00CC1AEA">
        <w:t xml:space="preserve"> </w:t>
      </w:r>
      <w:r>
        <w:t>From eighteenth-century contexts, decanters, salvers, a tumbler, and a spouted form accompany the South Grove Midde</w:t>
      </w:r>
      <w:r w:rsidR="00CC1AEA">
        <w:t xml:space="preserve">n’s fairly plain wine glasses. </w:t>
      </w:r>
      <w:r>
        <w:t xml:space="preserve">Interestingly, in addition to stemware, fragments of a salver (a glass tray intended to elegantly display and serve sweetmeats) were also identified in the </w:t>
      </w:r>
      <w:r w:rsidR="00CC1AEA">
        <w:t xml:space="preserve">House for Families assemblage. </w:t>
      </w:r>
      <w:r>
        <w:t>The House for Families stemware assemblage (while small, minimum n=6) is relatively ornately decorated (Pogue and White 1991)</w:t>
      </w:r>
      <w:r w:rsidR="00BB4C7D">
        <w:t xml:space="preserve"> and shares </w:t>
      </w:r>
      <w:r w:rsidR="00BB4C7D">
        <w:lastRenderedPageBreak/>
        <w:t xml:space="preserve">characteristics with what we know George Washington purchased in the early 1760s (Mount Vernon </w:t>
      </w:r>
      <w:r w:rsidR="00CC1AEA">
        <w:t xml:space="preserve">Archaeology Department 2012a). </w:t>
      </w:r>
      <w:r w:rsidR="00BB4C7D">
        <w:t>Four stems exhibit internal ornamentation known as enamel twists, strands of colored or op</w:t>
      </w:r>
      <w:r w:rsidR="00CC1AEA">
        <w:t xml:space="preserve">aque glass in spiral patterns. </w:t>
      </w:r>
      <w:r w:rsidR="00BB4C7D">
        <w:t>Three exhibit the more common opaque white pattern (with one being twisted and balustered) while the fourth has the less common blue and white combina</w:t>
      </w:r>
      <w:r w:rsidR="00CC1AEA">
        <w:t xml:space="preserve">tion (Noël Hume 1969:190-193). </w:t>
      </w:r>
      <w:r w:rsidR="00BB4C7D">
        <w:t xml:space="preserve">In response to two orders that Washington placed with his factor for fashionable wine glasses, one in 1760 and the other in 1762, Robert Cary </w:t>
      </w:r>
      <w:r w:rsidR="000A2271">
        <w:t>&amp;</w:t>
      </w:r>
      <w:r w:rsidR="00BB4C7D">
        <w:t xml:space="preserve"> Company supplied a total of 48 white enameled wine glasses (Mount Vernon Archaeology Department 2012a).     </w:t>
      </w:r>
      <w:r>
        <w:t xml:space="preserve">      </w:t>
      </w:r>
    </w:p>
    <w:p w:rsidR="000F7191" w:rsidRDefault="000F7191" w:rsidP="000F7191">
      <w:pPr>
        <w:spacing w:line="480" w:lineRule="auto"/>
        <w:ind w:firstLine="720"/>
      </w:pPr>
      <w:r>
        <w:t>From the House for Families slave quarter, of the 32 plates found in slipware, tin glaze, creamware, pearlware, white salt-glazed stoneware, and porcelain, matched sets of tableware occur in white salt-glazed stoneware (dot, diaper, and basket molded edge) and cr</w:t>
      </w:r>
      <w:r w:rsidR="00CC1AEA">
        <w:t xml:space="preserve">eamware (feather molded edge). </w:t>
      </w:r>
      <w:r>
        <w:t>Both of these sets were used on the Washingtons’ table and are found in unexpectedly minimal amounts in the South Grove Midden, leading archaeologists to argue that these plates may be a result of handing down from elite house to enslaved after damage or as they fe</w:t>
      </w:r>
      <w:r w:rsidR="00CC1AEA">
        <w:t xml:space="preserve">ll from fashion (Pogue 2001b). </w:t>
      </w:r>
      <w:r>
        <w:t>This theory is supported by the lack of availability of matched sets locally, at l</w:t>
      </w:r>
      <w:r w:rsidR="00CC1AEA">
        <w:t xml:space="preserve">east in the Henderson’s store. </w:t>
      </w:r>
      <w:r>
        <w:t>Another ware type that the two sites share in common are the Staffordshire slipwares, variously dotted, trailed, and/or combed. Drinking pots were the most common in the South Gr</w:t>
      </w:r>
      <w:r w:rsidR="00CC1AEA">
        <w:t xml:space="preserve">ove assemblage (minimum n=12). </w:t>
      </w:r>
      <w:r>
        <w:t>These vessels were used to consume beverages like cider or beer and also doubled as porringers for the consumption of h</w:t>
      </w:r>
      <w:r w:rsidR="00CC1AEA">
        <w:t xml:space="preserve">ot meals like soups and stews. </w:t>
      </w:r>
      <w:r>
        <w:t xml:space="preserve">The large scale deposition of all 12 in the first phase of the midden suggests that they were deemed outdated by the </w:t>
      </w:r>
      <w:r w:rsidR="00CC1AEA">
        <w:t xml:space="preserve">Lawrence Washington household. </w:t>
      </w:r>
      <w:r>
        <w:t>The presence of four of these vessels in the House for Families could reflect a handin</w:t>
      </w:r>
      <w:r w:rsidR="00CC1AEA">
        <w:t xml:space="preserve">g down of these forms as well. </w:t>
      </w:r>
      <w:r>
        <w:t xml:space="preserve">The presence of 13 dishes (distinguished from plates by </w:t>
      </w:r>
      <w:r>
        <w:lastRenderedPageBreak/>
        <w:t>their greater than 10 inch diameter) decorated with combed and trailed slip in the slave cellar and only one in the midden m</w:t>
      </w:r>
      <w:r w:rsidR="00CC1AEA">
        <w:t xml:space="preserve">ay again reflect handing down. </w:t>
      </w:r>
      <w:r>
        <w:t xml:space="preserve">These large flatwares may have come in handy in a quarter where communal meals were served in a cooperative household of families.    </w:t>
      </w:r>
    </w:p>
    <w:p w:rsidR="00E928ED" w:rsidRDefault="000F7191" w:rsidP="000F7191">
      <w:pPr>
        <w:spacing w:line="480" w:lineRule="auto"/>
        <w:ind w:firstLine="720"/>
      </w:pPr>
      <w:r>
        <w:t>Does the fact that white salt-glazed stoneware, creamware, and Staffordshire slipware arrived at the House for Families through informal plantation trade networks rather than outright purchases make them less meaningful to their owners or less indic</w:t>
      </w:r>
      <w:r w:rsidR="00CC1AEA">
        <w:t xml:space="preserve">ative of consumer motivations? </w:t>
      </w:r>
      <w:r>
        <w:t>Galle (2006:80) argues that “the acquisition of goods through special provisioning does not take away from the</w:t>
      </w:r>
      <w:r w:rsidR="00CC1AEA">
        <w:t xml:space="preserve"> signal value of these items.” </w:t>
      </w:r>
      <w:r>
        <w:t>To earn or perhaps trade for goods once used by plantation masters allowed an individual or family to accrue a kind of prestige reserved for those with special skills or close proximity to the white household an</w:t>
      </w:r>
      <w:r w:rsidR="00CC1AEA">
        <w:t>d, therefore, source of power</w:t>
      </w:r>
      <w:r w:rsidR="00527A02">
        <w:t xml:space="preserve"> (Galle 2006)</w:t>
      </w:r>
      <w:r w:rsidR="00CC1AEA">
        <w:t xml:space="preserve">. </w:t>
      </w:r>
      <w:r>
        <w:t xml:space="preserve">In fact, one overglaze hollowware vessel painted in the </w:t>
      </w:r>
      <w:r w:rsidRPr="00091FEA">
        <w:rPr>
          <w:i/>
        </w:rPr>
        <w:t>famille-rose</w:t>
      </w:r>
      <w:r>
        <w:t xml:space="preserve"> palette is reminiscent of the tea set in the Mount Vernon collection shipped from London in 1757 (Detwe</w:t>
      </w:r>
      <w:r w:rsidR="00CC1AEA">
        <w:t xml:space="preserve">iler 1982:24-25, figures 7-9). </w:t>
      </w:r>
      <w:r>
        <w:t>The presence of this one unmatched yet finely decorated ware suggests a close conn</w:t>
      </w:r>
      <w:r w:rsidR="00CC1AEA">
        <w:t>ection between slave and owner.</w:t>
      </w:r>
      <w:r>
        <w:t xml:space="preserve"> </w:t>
      </w:r>
      <w:r w:rsidR="00527A02">
        <w:t>Any material benefits conferred by the “pervasive material culture of their elite owners” must also be viewed in light of the limited privacy and “on call” nature of the work of many of the household slaves living in the House for Families (K</w:t>
      </w:r>
      <w:r w:rsidR="00993112">
        <w:t xml:space="preserve">ern 2010:109; Murtha 2011:58). </w:t>
      </w:r>
      <w:r w:rsidR="00527A02">
        <w:t>The benefits accrued by these special provisions must be weighed by the costs incurred to earn them.</w:t>
      </w:r>
      <w:r>
        <w:t xml:space="preserve">  </w:t>
      </w:r>
    </w:p>
    <w:p w:rsidR="000F7191" w:rsidRPr="009A367E" w:rsidRDefault="000F7191" w:rsidP="000F7191">
      <w:pPr>
        <w:spacing w:line="480" w:lineRule="auto"/>
        <w:ind w:firstLine="720"/>
      </w:pPr>
      <w:r>
        <w:t xml:space="preserve">Despite the fragmentary evidence available, we should note that not all the ceramics used and discarded by the slaves living above the cellar feature were </w:t>
      </w:r>
      <w:r w:rsidR="00CC1AEA">
        <w:t xml:space="preserve">obtained from the Washingtons. </w:t>
      </w:r>
      <w:r>
        <w:t>The porcelains from the House for Families mend into much more fragmentary vessels than the South Grove Midden assemblage, making a study of stylistic elements and patterns difficult an</w:t>
      </w:r>
      <w:r w:rsidR="00CC1AEA">
        <w:t xml:space="preserve">d statistically insignificant. </w:t>
      </w:r>
      <w:r>
        <w:t xml:space="preserve">While there are some general similarities in band motifs (generic blue </w:t>
      </w:r>
      <w:r>
        <w:lastRenderedPageBreak/>
        <w:t xml:space="preserve">trellis and herringbone bands) between the two sites, at least one overglaze painted hollowware vessel with a half-circle and dot band stands out as unique and therefore potentially </w:t>
      </w:r>
      <w:r w:rsidR="00E928ED">
        <w:t>acquired</w:t>
      </w:r>
      <w:r>
        <w:t xml:space="preserve"> </w:t>
      </w:r>
      <w:r w:rsidR="00CC1AEA">
        <w:t xml:space="preserve">from an outside source. </w:t>
      </w:r>
      <w:r>
        <w:t xml:space="preserve">Additionally, the decorated stemware from the House for Families exhibits an independent expression of choice and aesthetic values.             </w:t>
      </w:r>
    </w:p>
    <w:p w:rsidR="00C322A5" w:rsidRDefault="000F7191" w:rsidP="000F7191">
      <w:pPr>
        <w:spacing w:line="480" w:lineRule="auto"/>
        <w:ind w:firstLine="720"/>
      </w:pPr>
      <w:r w:rsidRPr="00673B2E">
        <w:rPr>
          <w:rStyle w:val="fontbold"/>
        </w:rPr>
        <w:t>C</w:t>
      </w:r>
      <w:r w:rsidRPr="00673B2E">
        <w:t xml:space="preserve">olonial punch drinking assumed an important role in </w:t>
      </w:r>
      <w:r>
        <w:t xml:space="preserve">the category of foodways in </w:t>
      </w:r>
      <w:r w:rsidRPr="00673B2E">
        <w:t>the realm</w:t>
      </w:r>
      <w:r>
        <w:t>s</w:t>
      </w:r>
      <w:r w:rsidRPr="00673B2E">
        <w:t xml:space="preserve"> of gentility, soci</w:t>
      </w:r>
      <w:r w:rsidR="00CC1AEA">
        <w:t xml:space="preserve">ability, and group membership. </w:t>
      </w:r>
      <w:r w:rsidRPr="00673B2E">
        <w:t>Punch drinking reinforced feelings of hospitality among the drinkers, which were cemented by rousing toasts to the host and hostess, the king, party g</w:t>
      </w:r>
      <w:r w:rsidR="00CC1AEA">
        <w:t xml:space="preserve">uests, prosperity, and health. </w:t>
      </w:r>
      <w:r w:rsidRPr="00673B2E">
        <w:t>Recipes for punch, served hot or cold, varied, but often included five ingredients</w:t>
      </w:r>
      <w:r>
        <w:t xml:space="preserve"> (some exotic and expensive)</w:t>
      </w:r>
      <w:r w:rsidRPr="00673B2E">
        <w:t>: spirits (rum, brandy, or arrack), citrus (lime, orange, or lemon), spices, sugar, and water</w:t>
      </w:r>
      <w:r>
        <w:t xml:space="preserve"> which were mixed and strained</w:t>
      </w:r>
      <w:r w:rsidRPr="00673B2E">
        <w:t>.  The bowl i</w:t>
      </w:r>
      <w:r w:rsidR="00C322A5">
        <w:t xml:space="preserve">tself has a recognizable form: </w:t>
      </w:r>
    </w:p>
    <w:p w:rsidR="00C322A5" w:rsidRDefault="000F7191" w:rsidP="00C322A5">
      <w:pPr>
        <w:spacing w:line="480" w:lineRule="auto"/>
        <w:ind w:left="720"/>
      </w:pPr>
      <w:r w:rsidRPr="00673B2E">
        <w:t>A hemisphe</w:t>
      </w:r>
      <w:r w:rsidR="00CC1AEA">
        <w:t xml:space="preserve">rical vessel with a plain rim. </w:t>
      </w:r>
      <w:r w:rsidRPr="007E05F5">
        <w:rPr>
          <w:u w:val="single"/>
        </w:rPr>
        <w:t>Punch bowls</w:t>
      </w:r>
      <w:r w:rsidRPr="00673B2E">
        <w:t xml:space="preserve"> occur in refined earthenwar</w:t>
      </w:r>
      <w:r w:rsidR="00CC1AEA">
        <w:t xml:space="preserve">es, stonewares, and porcelain. </w:t>
      </w:r>
      <w:r w:rsidRPr="00673B2E">
        <w:t>They range in capacity from ½ pt to sev</w:t>
      </w:r>
      <w:r w:rsidR="00CC1AEA">
        <w:t xml:space="preserve">eral gallons. </w:t>
      </w:r>
      <w:r w:rsidRPr="00673B2E">
        <w:t>The smallest sizes were used by individuals for drinking punch and pe</w:t>
      </w:r>
      <w:r w:rsidR="00CC1AEA">
        <w:t xml:space="preserve">rhaps eating semi-solid foods. </w:t>
      </w:r>
      <w:r w:rsidRPr="00673B2E">
        <w:t>The larger sizes were us</w:t>
      </w:r>
      <w:r w:rsidR="007F5CE5">
        <w:t>ed for making and serving punch</w:t>
      </w:r>
      <w:r w:rsidRPr="00673B2E">
        <w:t xml:space="preserve"> (Beaudry et al.</w:t>
      </w:r>
      <w:r>
        <w:t xml:space="preserve"> 1988:63).  </w:t>
      </w:r>
    </w:p>
    <w:p w:rsidR="003F5327" w:rsidRDefault="000F7191" w:rsidP="00C322A5">
      <w:pPr>
        <w:spacing w:line="480" w:lineRule="auto"/>
      </w:pPr>
      <w:r w:rsidRPr="00C9000B">
        <w:t xml:space="preserve">Punch could be ladled into cups or glasses or, perhaps more crudely, drunk straight from the bowl and passed </w:t>
      </w:r>
      <w:r w:rsidR="00CC1AEA">
        <w:t xml:space="preserve">around the table (Lange 2001). </w:t>
      </w:r>
      <w:r w:rsidRPr="00C9000B">
        <w:t>Though usually associated with men, punch was also consumed by women both domestically and in public places such as taverns a</w:t>
      </w:r>
      <w:r w:rsidR="00CC1AEA">
        <w:t xml:space="preserve">nd punch houses (Harvey 2008). </w:t>
      </w:r>
      <w:r w:rsidRPr="00C9000B">
        <w:t>The practice of punch drinking in the home increasingly bordered on the ceremonial, not to the exten</w:t>
      </w:r>
      <w:r w:rsidR="00CC1AEA">
        <w:t xml:space="preserve">t of tea, but in similar ways. </w:t>
      </w:r>
      <w:r w:rsidRPr="00C9000B">
        <w:t xml:space="preserve">Punch drinking could be a social event requiring a set of tools to accomplish its most refined form, including cups, strainers, ladles, </w:t>
      </w:r>
      <w:r>
        <w:t xml:space="preserve">and </w:t>
      </w:r>
    </w:p>
    <w:p w:rsidR="003F5327" w:rsidRDefault="003F5327">
      <w:r>
        <w:br w:type="page"/>
      </w:r>
    </w:p>
    <w:p w:rsidR="000F7191" w:rsidRPr="00C9000B" w:rsidRDefault="000F7191" w:rsidP="00C322A5">
      <w:pPr>
        <w:spacing w:line="480" w:lineRule="auto"/>
      </w:pPr>
      <w:r>
        <w:lastRenderedPageBreak/>
        <w:t>sometimes a punch pot</w:t>
      </w:r>
      <w:r>
        <w:rPr>
          <w:rStyle w:val="FootnoteReference"/>
        </w:rPr>
        <w:footnoteReference w:id="8"/>
      </w:r>
      <w:r>
        <w:t xml:space="preserve"> in the place of a bowl, </w:t>
      </w:r>
      <w:r w:rsidRPr="00C9000B">
        <w:t>in addition to the knowledge of a set of accompanying behaviors, including toasting, “with its implied connotations of restraint, fortitude, courtesy, and obligation” (Goodwin 1999:131).</w:t>
      </w:r>
      <w:r>
        <w:t xml:space="preserve">  </w:t>
      </w:r>
      <w:r w:rsidRPr="00C9000B">
        <w:t xml:space="preserve">            </w:t>
      </w:r>
    </w:p>
    <w:p w:rsidR="000F7191" w:rsidRPr="00C9000B" w:rsidRDefault="000F7191" w:rsidP="000F7191">
      <w:pPr>
        <w:spacing w:line="480" w:lineRule="auto"/>
      </w:pPr>
      <w:r w:rsidRPr="00C9000B">
        <w:tab/>
        <w:t>Early theoretical interpretations of punch drinking, when it was specifically mentioned, equated the practice with the transition from communal to individual-centered lifeways and the structural shift from medieval folk to Georgian courtly dining trad</w:t>
      </w:r>
      <w:r>
        <w:t>itions (Deetz 1977, Yentsch 1991a</w:t>
      </w:r>
      <w:r w:rsidRPr="00C9000B">
        <w:t>; see also Smith 2001 and 2008 for a discussion of the historiography o</w:t>
      </w:r>
      <w:r w:rsidR="00CC1AEA">
        <w:t xml:space="preserve">f the archaeology of alcohol). </w:t>
      </w:r>
      <w:r w:rsidRPr="00C9000B">
        <w:t>More recently, scholars interested in the history and archaeology of alcohol and the transformative role of material culture have approached punch drinking from a</w:t>
      </w:r>
      <w:r w:rsidR="00A04936">
        <w:t xml:space="preserve">lternative theoretical angles. </w:t>
      </w:r>
      <w:r w:rsidRPr="00C9000B">
        <w:t>In his study of late seventeenth through early eighteenth-century Barbados, Frederick Smith (2001) concluded that punch drinking and other forms of alcohol consumption reflected two fundamental needs on the Caribbean’s unstable frontier: the need for sociability and the need to ease anxiety in a socially fluid world where claims to statu</w:t>
      </w:r>
      <w:r w:rsidR="00A04936">
        <w:t xml:space="preserve">s were continually undermined. </w:t>
      </w:r>
      <w:r w:rsidRPr="00C9000B">
        <w:t>Cultural historian Karen Harvey (2008) viewed punch drinking through the lens</w:t>
      </w:r>
      <w:r w:rsidR="00A04936">
        <w:t xml:space="preserve"> of gender and refinement. </w:t>
      </w:r>
      <w:r w:rsidRPr="00C9000B">
        <w:t>Specifically, she juxtaposed tea and the teapot, women, and refinement with punch and the p</w:t>
      </w:r>
      <w:r w:rsidR="00A04936">
        <w:t xml:space="preserve">unch bowl, men, and barbarity. </w:t>
      </w:r>
      <w:r w:rsidRPr="00C9000B">
        <w:t>She argued that these dichotomies broke down at the end of the eighteenth century – strict lines between genders blurred and the punch fraternity underwent a brief period of domestication as evidenced in the decline of the punch bowl and the ascendance</w:t>
      </w:r>
      <w:r w:rsidR="00A04936">
        <w:t xml:space="preserve"> of the more polite punch pot. </w:t>
      </w:r>
      <w:r w:rsidRPr="00C9000B">
        <w:t>Lorinda Goodwin (1999) interpreted punch drinking as an essential reflection of the pursuit of novelty in goods readily available d</w:t>
      </w:r>
      <w:r w:rsidR="00A04936">
        <w:t xml:space="preserve">uring the consumer revolution. </w:t>
      </w:r>
      <w:r w:rsidRPr="00C9000B">
        <w:t xml:space="preserve">One’s ability to obtain items considered new and unique and use </w:t>
      </w:r>
      <w:r w:rsidRPr="00C9000B">
        <w:lastRenderedPageBreak/>
        <w:t xml:space="preserve">them along with a well-refined set of mannerly behavior set the individual apart from the “crowd of dedicated </w:t>
      </w:r>
      <w:r w:rsidR="00A04936">
        <w:t xml:space="preserve">consumers” (Goodwin 1999:119). </w:t>
      </w:r>
      <w:r w:rsidRPr="00C9000B">
        <w:t xml:space="preserve">Theoretical developments like these, however, cannot even begin to be addressed without a systematically-developed understanding of the consumer dimensions of punch drinking – one that draws on a material culture approach. </w:t>
      </w:r>
    </w:p>
    <w:p w:rsidR="003F5327" w:rsidRDefault="000F7191" w:rsidP="000F7191">
      <w:pPr>
        <w:spacing w:line="480" w:lineRule="auto"/>
        <w:ind w:firstLine="720"/>
      </w:pPr>
      <w:r>
        <w:t>D</w:t>
      </w:r>
      <w:r w:rsidRPr="00C9000B">
        <w:t>ocumentary data</w:t>
      </w:r>
      <w:r>
        <w:t xml:space="preserve"> indicate</w:t>
      </w:r>
      <w:r w:rsidRPr="00C9000B">
        <w:t xml:space="preserve"> that the punch ceremony served increasingly elaborate and specialized purposes in the decades before the Revolution, at least in some households (Breen 2012). The consumer behaviors of the Washington households at Mount Vernon suggest that punch an</w:t>
      </w:r>
      <w:r w:rsidR="00A04936">
        <w:t xml:space="preserve">d gentility went hand in hand. </w:t>
      </w:r>
      <w:r w:rsidRPr="00C9000B">
        <w:t>Lawrence Washington’s inventory included at least three punch bowls: one of Chinese export porcelain, and</w:t>
      </w:r>
      <w:r w:rsidR="00A04936">
        <w:t xml:space="preserve"> two most likely of delftware. </w:t>
      </w:r>
      <w:r w:rsidRPr="00C9000B">
        <w:t xml:space="preserve">Additionally, Lawrence possessed a punch ladle, probably silver </w:t>
      </w:r>
      <w:r w:rsidR="00A04936">
        <w:t xml:space="preserve">(Washington 1753). </w:t>
      </w:r>
      <w:r w:rsidRPr="00C9000B">
        <w:t>Increased investment in the punch ceremony is evident in the early years of George Washing</w:t>
      </w:r>
      <w:r>
        <w:t>ton’s tenure at Mount Vernon (Table 7-8</w:t>
      </w:r>
      <w:r w:rsidR="00A04936">
        <w:t xml:space="preserve">). </w:t>
      </w:r>
      <w:r w:rsidRPr="00C9000B">
        <w:t>In 1758, he received an invoice for a shipment of a dozen white salt-glazed stoneware punch bowls in three sizes: three pin</w:t>
      </w:r>
      <w:r w:rsidR="00A04936">
        <w:t xml:space="preserve">ts; one quart; and two quarts. </w:t>
      </w:r>
      <w:r w:rsidRPr="00C9000B">
        <w:t>One year prior, Washington wa</w:t>
      </w:r>
      <w:r w:rsidR="00A04936">
        <w:t xml:space="preserve">s billed for six punch ladles. </w:t>
      </w:r>
      <w:r w:rsidRPr="00C9000B">
        <w:t xml:space="preserve">The presence of a silver strainer in the museum collection thought to have been brought with Martha Custis to Mount Vernon upon her marriage, might explain the lack of documentation associated with the purchase of this necessary implement of punch drinking in its highest form </w:t>
      </w:r>
      <w:r w:rsidR="00A04936">
        <w:t xml:space="preserve">(Cadou 2006:56-57). </w:t>
      </w:r>
      <w:r>
        <w:t>In 1766, Washington</w:t>
      </w:r>
      <w:r w:rsidRPr="00C9000B">
        <w:t xml:space="preserve"> received an invoice for two punch bowls, one with a capacity of one gallon, and the other, of two quarts capacity of po</w:t>
      </w:r>
      <w:r w:rsidR="00A04936">
        <w:t xml:space="preserve">rcelain with a Nanking border. </w:t>
      </w:r>
      <w:r w:rsidRPr="00C9000B">
        <w:t>Just four years later, another invoice spoke to the importance of punch in the household – George Washingt</w:t>
      </w:r>
      <w:r>
        <w:t>on was charged for 17 bowls in 9</w:t>
      </w:r>
      <w:r w:rsidRPr="00C9000B">
        <w:t xml:space="preserve"> different sizes of “Queen’s China” or creamware, in sizes ranging from a pint and a half to two gallons (Mount Vernon </w:t>
      </w:r>
      <w:r w:rsidR="00A04936">
        <w:t xml:space="preserve">Archaeology Department 2012a). </w:t>
      </w:r>
      <w:r w:rsidRPr="00C9000B">
        <w:t>It is possible that the smallest bowls, measuring a pint and a half, were intended to serve as waste bowls for the teawa</w:t>
      </w:r>
      <w:r w:rsidR="00A04936">
        <w:t xml:space="preserve">res also ordered </w:t>
      </w:r>
      <w:r w:rsidR="00A04936">
        <w:lastRenderedPageBreak/>
        <w:t xml:space="preserve">at this time. </w:t>
      </w:r>
      <w:r w:rsidRPr="00C9000B">
        <w:t xml:space="preserve">However, archaeological evidence from the South Grove Midden suggests that average slop bowl size was smaller, with capacity of about a pint.  </w:t>
      </w:r>
    </w:p>
    <w:p w:rsidR="000F7191" w:rsidRDefault="000F7191" w:rsidP="000F7191">
      <w:pPr>
        <w:spacing w:line="480" w:lineRule="auto"/>
        <w:ind w:firstLine="720"/>
      </w:pPr>
      <w:r w:rsidRPr="00C9000B">
        <w:t xml:space="preserve">  </w:t>
      </w:r>
    </w:p>
    <w:p w:rsidR="000F7191" w:rsidRDefault="000F7191" w:rsidP="000F7191">
      <w:pPr>
        <w:rPr>
          <w:b/>
        </w:rPr>
      </w:pPr>
      <w:r>
        <w:rPr>
          <w:b/>
        </w:rPr>
        <w:t>Table 7-8</w:t>
      </w:r>
      <w:r w:rsidRPr="00CB6641">
        <w:rPr>
          <w:b/>
        </w:rPr>
        <w:t xml:space="preserve">. </w:t>
      </w:r>
      <w:r>
        <w:t>George Washington’s purchases of punch b</w:t>
      </w:r>
      <w:r w:rsidRPr="00355F58">
        <w:t>owls, pre-1775.</w:t>
      </w:r>
    </w:p>
    <w:p w:rsidR="000F7191" w:rsidRPr="00355F58" w:rsidRDefault="000F7191" w:rsidP="000F7191">
      <w:pPr>
        <w:rPr>
          <w:b/>
        </w:rPr>
      </w:pPr>
      <w:r w:rsidRPr="00C9000B">
        <w:t xml:space="preserve"> </w:t>
      </w:r>
    </w:p>
    <w:tbl>
      <w:tblPr>
        <w:tblW w:w="9197" w:type="dxa"/>
        <w:tblInd w:w="91" w:type="dxa"/>
        <w:tblLook w:val="04A0"/>
      </w:tblPr>
      <w:tblGrid>
        <w:gridCol w:w="1340"/>
        <w:gridCol w:w="2768"/>
        <w:gridCol w:w="716"/>
        <w:gridCol w:w="1164"/>
        <w:gridCol w:w="3209"/>
      </w:tblGrid>
      <w:tr w:rsidR="000F7191" w:rsidRPr="00355F58" w:rsidTr="00E82578">
        <w:trPr>
          <w:trHeight w:val="255"/>
        </w:trPr>
        <w:tc>
          <w:tcPr>
            <w:tcW w:w="134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Shipment Date</w:t>
            </w:r>
          </w:p>
        </w:tc>
        <w:tc>
          <w:tcPr>
            <w:tcW w:w="2792" w:type="dxa"/>
            <w:tcBorders>
              <w:top w:val="single" w:sz="4" w:space="0" w:color="auto"/>
              <w:left w:val="nil"/>
              <w:bottom w:val="single" w:sz="4" w:space="0" w:color="auto"/>
              <w:right w:val="single" w:sz="4" w:space="0" w:color="auto"/>
            </w:tcBorders>
            <w:shd w:val="clear" w:color="000000" w:fill="C0C0C0"/>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Invoice Description</w:t>
            </w:r>
          </w:p>
        </w:tc>
        <w:tc>
          <w:tcPr>
            <w:tcW w:w="661"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Cost</w:t>
            </w:r>
          </w:p>
        </w:tc>
        <w:tc>
          <w:tcPr>
            <w:tcW w:w="1164"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Order Date</w:t>
            </w:r>
          </w:p>
        </w:tc>
        <w:tc>
          <w:tcPr>
            <w:tcW w:w="3240" w:type="dxa"/>
            <w:tcBorders>
              <w:top w:val="single" w:sz="4" w:space="0" w:color="auto"/>
              <w:left w:val="nil"/>
              <w:bottom w:val="single" w:sz="4" w:space="0" w:color="auto"/>
              <w:right w:val="single" w:sz="4" w:space="0" w:color="auto"/>
            </w:tcBorders>
            <w:shd w:val="clear" w:color="000000" w:fill="C0C0C0"/>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Matching Order Description</w:t>
            </w:r>
          </w:p>
        </w:tc>
      </w:tr>
      <w:tr w:rsidR="000F7191" w:rsidRPr="00355F58" w:rsidTr="00E82578">
        <w:trPr>
          <w:trHeight w:val="45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08/18/1758</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3 punch Bowls [possibly white stoneware]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1.11.6</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1/1758</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1/2 dozn fashionable China Bowls from a large to a Midlg Size*</w:t>
            </w:r>
          </w:p>
        </w:tc>
      </w:tr>
      <w:tr w:rsidR="000F7191" w:rsidRPr="00355F58" w:rsidTr="00E82578">
        <w:trPr>
          <w:trHeight w:val="45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08/18/1758</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2 two Quart bowl [possibly white stoneware]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0.17.0</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1/1758</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1/2 dozn fashionable China Bowls from a large to a Midlg Size*</w:t>
            </w:r>
          </w:p>
        </w:tc>
      </w:tr>
      <w:tr w:rsidR="000F7191" w:rsidRPr="00355F58" w:rsidTr="00E82578">
        <w:trPr>
          <w:trHeight w:val="45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08/18/1758</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 two Quart bowl colourd [possibly white stoneware]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0.7.6</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1/1758</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1/2 dozn fashionable China Bowls from a large to a Midlg Size*</w:t>
            </w:r>
          </w:p>
        </w:tc>
      </w:tr>
      <w:tr w:rsidR="000F7191" w:rsidRPr="00355F58" w:rsidTr="00E82578">
        <w:trPr>
          <w:trHeight w:val="45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08/18/1758</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4 three pint bowl enameld [possibly white stoneware]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1.1.4</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1/1758</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1/2 dozn fashionable China Bowls from a large to a Midlg Size*</w:t>
            </w:r>
          </w:p>
        </w:tc>
      </w:tr>
      <w:tr w:rsidR="000F7191" w:rsidRPr="00355F58" w:rsidTr="00E82578">
        <w:trPr>
          <w:trHeight w:val="45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08/18/1758</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2 large quart bowl [possibly white stoneware]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0.9.0</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1/1758</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1/2 dozn fashionable China Bowls from a large to a Midlg Size*</w:t>
            </w:r>
          </w:p>
        </w:tc>
      </w:tr>
      <w:tr w:rsidR="000F7191" w:rsidRPr="00355F58" w:rsidTr="00E82578">
        <w:trPr>
          <w:trHeight w:val="25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11/17/1766</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Pr>
                <w:rFonts w:eastAsia="Times New Roman"/>
                <w:color w:val="000000"/>
                <w:sz w:val="20"/>
                <w:szCs w:val="20"/>
              </w:rPr>
              <w:t>1 Galln Punch Bowl [possibly</w:t>
            </w:r>
            <w:r w:rsidRPr="00355F58">
              <w:rPr>
                <w:rFonts w:eastAsia="Times New Roman"/>
                <w:color w:val="000000"/>
                <w:sz w:val="20"/>
                <w:szCs w:val="20"/>
              </w:rPr>
              <w:t xml:space="preserve"> Chinese porcelain]</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0.14.0</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6/23/1766</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 large China bowl to hold a Gal.</w:t>
            </w:r>
          </w:p>
        </w:tc>
      </w:tr>
      <w:tr w:rsidR="000F7191" w:rsidRPr="00355F58" w:rsidTr="00E82578">
        <w:trPr>
          <w:trHeight w:val="25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11/17/1766</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 two Qt punch bowl Nankn bordr [Chinese porcelain]</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0.6.6</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6/23/1766</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 large China bowl to hold a Gal. and a half</w:t>
            </w:r>
          </w:p>
        </w:tc>
      </w:tr>
      <w:tr w:rsidR="000F7191" w:rsidRPr="00355F58" w:rsidTr="00E82578">
        <w:trPr>
          <w:trHeight w:val="25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11/13/1770</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 la: Bowl [creamware]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0.5.0</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8/20/1770</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Of Queen’s China— 1 two Galln Bowl**</w:t>
            </w:r>
          </w:p>
        </w:tc>
      </w:tr>
      <w:tr w:rsidR="000F7191" w:rsidRPr="00355F58" w:rsidTr="00E82578">
        <w:trPr>
          <w:trHeight w:val="25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11/13/1770</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 Smaller bowl [creamware]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0.3.6</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8/20/1770</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Of Queen’s China— 1 Gallon [Bowl]</w:t>
            </w:r>
          </w:p>
        </w:tc>
      </w:tr>
      <w:tr w:rsidR="000F7191" w:rsidRPr="00355F58" w:rsidTr="00E82578">
        <w:trPr>
          <w:trHeight w:val="25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11/13/1770</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2 Smaller bowls [creamware]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0.2.6</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8/20/1770</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Of Queen’s China— 1 one and a half Galln bowl</w:t>
            </w:r>
            <w:r w:rsidRPr="00355F58">
              <w:rPr>
                <w:rFonts w:eastAsia="Times New Roman"/>
                <w:color w:val="000000"/>
                <w:sz w:val="20"/>
                <w:szCs w:val="20"/>
              </w:rPr>
              <w:t> </w:t>
            </w:r>
          </w:p>
        </w:tc>
      </w:tr>
      <w:tr w:rsidR="000F7191" w:rsidRPr="00355F58" w:rsidTr="00E82578">
        <w:trPr>
          <w:trHeight w:val="25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11/13/1770</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2 Smaller bowls [creamware]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0.2.6</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8/20/1770</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Of Queen’s China— 2 three Quart [bowl]</w:t>
            </w:r>
          </w:p>
        </w:tc>
      </w:tr>
      <w:tr w:rsidR="000F7191" w:rsidRPr="00355F58" w:rsidTr="00E82578">
        <w:trPr>
          <w:trHeight w:val="45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11/13/1770</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4 Bowls [creamware]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0.5.0</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8/20/1770</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Of Queen’s China— 2 five Pint [bowl] and 2 two Qt [bowl]</w:t>
            </w:r>
            <w:r w:rsidRPr="00355F58">
              <w:rPr>
                <w:rFonts w:eastAsia="Times New Roman"/>
                <w:color w:val="000000"/>
                <w:sz w:val="20"/>
                <w:szCs w:val="20"/>
              </w:rPr>
              <w:t> </w:t>
            </w:r>
          </w:p>
        </w:tc>
      </w:tr>
      <w:tr w:rsidR="000F7191" w:rsidRPr="00355F58" w:rsidTr="00E82578">
        <w:trPr>
          <w:trHeight w:val="25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11/13/1770</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2 Bowls [creamware]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0.2.0</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8/20/1770</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Of Queen’s China— 2 three pint [bowl]</w:t>
            </w:r>
          </w:p>
        </w:tc>
      </w:tr>
      <w:tr w:rsidR="000F7191" w:rsidRPr="00355F58" w:rsidTr="00E82578">
        <w:trPr>
          <w:trHeight w:val="25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11/13/1770</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3 Bowls [creamware]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0.2.0</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8/20/1770</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Of Queen’s China— 3 Quart [bowls]</w:t>
            </w:r>
          </w:p>
        </w:tc>
      </w:tr>
      <w:tr w:rsidR="000F7191" w:rsidRPr="00355F58" w:rsidTr="00E82578">
        <w:trPr>
          <w:trHeight w:val="25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11/13/1770</w:t>
            </w:r>
          </w:p>
        </w:tc>
        <w:tc>
          <w:tcPr>
            <w:tcW w:w="2792"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3 Bowls [creamware]</w:t>
            </w:r>
          </w:p>
        </w:tc>
        <w:tc>
          <w:tcPr>
            <w:tcW w:w="661"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0.1.6</w:t>
            </w:r>
          </w:p>
        </w:tc>
        <w:tc>
          <w:tcPr>
            <w:tcW w:w="1164"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8/20/1770</w:t>
            </w:r>
          </w:p>
        </w:tc>
        <w:tc>
          <w:tcPr>
            <w:tcW w:w="32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Of Queen’s China— 3 pint and a half [bowls]</w:t>
            </w:r>
          </w:p>
        </w:tc>
      </w:tr>
    </w:tbl>
    <w:p w:rsidR="000F7191" w:rsidRPr="00355F58" w:rsidRDefault="000F7191" w:rsidP="000F7191">
      <w:pPr>
        <w:rPr>
          <w:sz w:val="20"/>
          <w:szCs w:val="20"/>
        </w:rPr>
      </w:pPr>
      <w:r w:rsidRPr="00355F58">
        <w:rPr>
          <w:sz w:val="20"/>
          <w:szCs w:val="20"/>
        </w:rPr>
        <w:t>*Washington orders 6 bowls, but receives 12.</w:t>
      </w:r>
    </w:p>
    <w:p w:rsidR="000F7191" w:rsidRPr="00355F58" w:rsidRDefault="000F7191" w:rsidP="000F7191">
      <w:pPr>
        <w:rPr>
          <w:sz w:val="20"/>
          <w:szCs w:val="20"/>
        </w:rPr>
      </w:pPr>
      <w:r w:rsidRPr="00355F58">
        <w:rPr>
          <w:sz w:val="20"/>
          <w:szCs w:val="20"/>
        </w:rPr>
        <w:t>**Washington orders 17 bowls, but receives 18.</w:t>
      </w:r>
    </w:p>
    <w:p w:rsidR="000F7191" w:rsidRDefault="000F7191" w:rsidP="000F7191">
      <w:pPr>
        <w:rPr>
          <w:b/>
        </w:rPr>
      </w:pPr>
    </w:p>
    <w:p w:rsidR="000F7191" w:rsidRDefault="000F7191" w:rsidP="000F7191">
      <w:pPr>
        <w:rPr>
          <w:b/>
        </w:rPr>
      </w:pPr>
    </w:p>
    <w:p w:rsidR="000F7191" w:rsidRPr="0005691A" w:rsidRDefault="000F7191" w:rsidP="000F7191"/>
    <w:p w:rsidR="000F7191" w:rsidRDefault="000F7191" w:rsidP="000F7191">
      <w:r>
        <w:br w:type="page"/>
      </w:r>
    </w:p>
    <w:p w:rsidR="000F7191" w:rsidRDefault="000F7191" w:rsidP="000F7191">
      <w:pPr>
        <w:spacing w:line="480" w:lineRule="auto"/>
        <w:ind w:firstLine="720"/>
      </w:pPr>
      <w:r w:rsidRPr="00C9000B">
        <w:lastRenderedPageBreak/>
        <w:t>This invoice in 1770 suggests that the practice of the punch ceremony changed significantly in the Washington households in the span of approximately 20 years, but also that the ceramics market increasingly either responded</w:t>
      </w:r>
      <w:r w:rsidR="00A04936">
        <w:t xml:space="preserve"> to or encouraged this demand. </w:t>
      </w:r>
      <w:r w:rsidRPr="00C9000B">
        <w:t>George Washington ordered more and more bowls (for a total of 32 in a 12 year period) from British factors, and their recorded and requested capacities exhibited an increasingly larger range suggesting that the punch ceremony was becoming more elaborate and specialized just as mass-produced, fashionable ceramics like white salt-glazed stoneware and crea</w:t>
      </w:r>
      <w:r w:rsidR="00A04936">
        <w:t xml:space="preserve">mware began to meet this need. </w:t>
      </w:r>
      <w:r w:rsidRPr="00C9000B">
        <w:t xml:space="preserve">Even period images support the hypothesis </w:t>
      </w:r>
      <w:r>
        <w:t>that punch bowl size mattered (Figures 7-6</w:t>
      </w:r>
      <w:r w:rsidRPr="009F6EE3">
        <w:t xml:space="preserve"> and 7-</w:t>
      </w:r>
      <w:r>
        <w:t>7</w:t>
      </w:r>
      <w:r w:rsidR="00A04936">
        <w:t xml:space="preserve">). </w:t>
      </w:r>
      <w:r w:rsidRPr="00C9000B">
        <w:t xml:space="preserve">Paintings and prints depict intimate settings that necessitated smaller bowls while larger, more raucous and convivial groups demanded vessels that could hold several gallons of drink. </w:t>
      </w:r>
    </w:p>
    <w:p w:rsidR="000F7191" w:rsidRDefault="000F7191" w:rsidP="000F7191">
      <w:pPr>
        <w:spacing w:line="480" w:lineRule="auto"/>
        <w:ind w:firstLine="720"/>
      </w:pPr>
    </w:p>
    <w:p w:rsidR="000F7191" w:rsidRDefault="000F7191" w:rsidP="000F7191">
      <w:r w:rsidRPr="0005691A">
        <w:rPr>
          <w:noProof/>
        </w:rPr>
        <w:drawing>
          <wp:inline distT="0" distB="0" distL="0" distR="0">
            <wp:extent cx="3516915" cy="2926080"/>
            <wp:effectExtent l="19050" t="0" r="7335" b="0"/>
            <wp:docPr id="10" name="Picture 1" descr="The catch singers late 18th.jpg"/>
            <wp:cNvGraphicFramePr/>
            <a:graphic xmlns:a="http://schemas.openxmlformats.org/drawingml/2006/main">
              <a:graphicData uri="http://schemas.openxmlformats.org/drawingml/2006/picture">
                <pic:pic xmlns:pic="http://schemas.openxmlformats.org/drawingml/2006/picture">
                  <pic:nvPicPr>
                    <pic:cNvPr id="2" name="Picture 1" descr="The catch singers late 18th.jpg"/>
                    <pic:cNvPicPr>
                      <a:picLocks noChangeAspect="1"/>
                    </pic:cNvPicPr>
                  </pic:nvPicPr>
                  <pic:blipFill>
                    <a:blip r:embed="rId41" cstate="print"/>
                    <a:stretch>
                      <a:fillRect/>
                    </a:stretch>
                  </pic:blipFill>
                  <pic:spPr>
                    <a:xfrm>
                      <a:off x="0" y="0"/>
                      <a:ext cx="3516915" cy="2926080"/>
                    </a:xfrm>
                    <a:prstGeom prst="rect">
                      <a:avLst/>
                    </a:prstGeom>
                  </pic:spPr>
                </pic:pic>
              </a:graphicData>
            </a:graphic>
          </wp:inline>
        </w:drawing>
      </w:r>
    </w:p>
    <w:p w:rsidR="000F7191" w:rsidRPr="00CB6641" w:rsidRDefault="000F7191" w:rsidP="000F7191">
      <w:pPr>
        <w:rPr>
          <w:b/>
        </w:rPr>
      </w:pPr>
      <w:r>
        <w:rPr>
          <w:b/>
        </w:rPr>
        <w:t>Figure 7-6</w:t>
      </w:r>
      <w:r w:rsidRPr="00CB6641">
        <w:rPr>
          <w:b/>
        </w:rPr>
        <w:t xml:space="preserve">. </w:t>
      </w:r>
      <w:r w:rsidRPr="00355F58">
        <w:t>“The catch singers,” publications attributed to Robert Sayer, second h</w:t>
      </w:r>
      <w:r w:rsidR="00A04936">
        <w:t xml:space="preserve">alf of the eighteenth century. </w:t>
      </w:r>
      <w:r w:rsidRPr="00355F58">
        <w:t>(Courtesy of the Trustees of the British Museum.)</w:t>
      </w:r>
      <w:r w:rsidRPr="00CB6641">
        <w:rPr>
          <w:b/>
        </w:rPr>
        <w:t xml:space="preserve">  </w:t>
      </w:r>
    </w:p>
    <w:p w:rsidR="000F7191" w:rsidRPr="0005691A" w:rsidRDefault="000F7191" w:rsidP="000F7191"/>
    <w:p w:rsidR="000F7191" w:rsidRPr="0005691A" w:rsidRDefault="000F7191" w:rsidP="000F7191">
      <w:r w:rsidRPr="0005691A">
        <w:rPr>
          <w:noProof/>
        </w:rPr>
        <w:lastRenderedPageBreak/>
        <w:drawing>
          <wp:inline distT="0" distB="0" distL="0" distR="0">
            <wp:extent cx="4382829" cy="4389120"/>
            <wp:effectExtent l="19050" t="0" r="0" b="0"/>
            <wp:docPr id="13" name="Picture 2" descr="by Robert Dighton late 18th.jpg"/>
            <wp:cNvGraphicFramePr/>
            <a:graphic xmlns:a="http://schemas.openxmlformats.org/drawingml/2006/main">
              <a:graphicData uri="http://schemas.openxmlformats.org/drawingml/2006/picture">
                <pic:pic xmlns:pic="http://schemas.openxmlformats.org/drawingml/2006/picture">
                  <pic:nvPicPr>
                    <pic:cNvPr id="3" name="Picture 2" descr="by Robert Dighton late 18th.jpg"/>
                    <pic:cNvPicPr>
                      <a:picLocks noChangeAspect="1"/>
                    </pic:cNvPicPr>
                  </pic:nvPicPr>
                  <pic:blipFill>
                    <a:blip r:embed="rId42" cstate="print"/>
                    <a:srcRect t="1486" b="2229"/>
                    <a:stretch>
                      <a:fillRect/>
                    </a:stretch>
                  </pic:blipFill>
                  <pic:spPr>
                    <a:xfrm>
                      <a:off x="0" y="0"/>
                      <a:ext cx="4382829" cy="4389120"/>
                    </a:xfrm>
                    <a:prstGeom prst="rect">
                      <a:avLst/>
                    </a:prstGeom>
                  </pic:spPr>
                </pic:pic>
              </a:graphicData>
            </a:graphic>
          </wp:inline>
        </w:drawing>
      </w:r>
    </w:p>
    <w:p w:rsidR="000F7191" w:rsidRDefault="000F7191" w:rsidP="000F7191">
      <w:r>
        <w:rPr>
          <w:b/>
        </w:rPr>
        <w:t>Figure 7-7</w:t>
      </w:r>
      <w:r w:rsidRPr="00CB6641">
        <w:rPr>
          <w:b/>
        </w:rPr>
        <w:t xml:space="preserve">. </w:t>
      </w:r>
      <w:r w:rsidRPr="00355F58">
        <w:t>“Glee singers executing a catch,” drawn by Robert Dighton, second h</w:t>
      </w:r>
      <w:r w:rsidR="00A04936">
        <w:t xml:space="preserve">alf of the eighteenth century. </w:t>
      </w:r>
      <w:r w:rsidRPr="00355F58">
        <w:t>(Courtesy of The Trustees of the British Museum.)</w:t>
      </w:r>
    </w:p>
    <w:p w:rsidR="000F7191" w:rsidRDefault="000F7191" w:rsidP="000F7191"/>
    <w:p w:rsidR="000F7191" w:rsidRPr="00355F58" w:rsidRDefault="000F7191" w:rsidP="000F7191"/>
    <w:p w:rsidR="000F7191" w:rsidRPr="00C9000B" w:rsidRDefault="000F7191" w:rsidP="000F7191"/>
    <w:p w:rsidR="000F7191" w:rsidRPr="00C9000B" w:rsidRDefault="000F7191" w:rsidP="000F7191">
      <w:pPr>
        <w:spacing w:line="480" w:lineRule="auto"/>
        <w:ind w:firstLine="720"/>
      </w:pPr>
      <w:r w:rsidRPr="00C9000B">
        <w:t xml:space="preserve">Alexander Henderson only ordered punch bowls in his first two years of operation at Colchester, 1759 and 1760.  His large inventory of 587 punch bowls in tin-glazed earthenware (86% of the total inventory), white salt-glazed stoneware (8%), and porcelain (6%) must have lasted him for </w:t>
      </w:r>
      <w:r>
        <w:t xml:space="preserve">a few </w:t>
      </w:r>
      <w:r w:rsidR="00A04936">
        <w:t xml:space="preserve">years. </w:t>
      </w:r>
      <w:r w:rsidRPr="00C9000B">
        <w:t>In terms of capacity, when his total punch bowl inventory is considered, the earthenware was stocked in three sizes, the stoneware in t</w:t>
      </w:r>
      <w:r w:rsidR="00A04936">
        <w:t xml:space="preserve">wo, and the porcelain in four. </w:t>
      </w:r>
      <w:r w:rsidRPr="00C9000B">
        <w:t xml:space="preserve">Customers would have had to shop elsewhere for punch drinking accoutrements.  </w:t>
      </w:r>
    </w:p>
    <w:p w:rsidR="000F7191" w:rsidRPr="00C9000B" w:rsidRDefault="000F7191" w:rsidP="000F7191">
      <w:pPr>
        <w:spacing w:line="480" w:lineRule="auto"/>
        <w:ind w:firstLine="720"/>
      </w:pPr>
      <w:r w:rsidRPr="00C9000B">
        <w:t>One limitation of these yearly inventories is that we ca</w:t>
      </w:r>
      <w:r w:rsidR="00A04936">
        <w:t xml:space="preserve">nnot access purchasing habits. </w:t>
      </w:r>
      <w:r w:rsidRPr="00C9000B">
        <w:t xml:space="preserve">However, just down the road from Colchester in Dumfries, Virginia, an independent merchant </w:t>
      </w:r>
      <w:r w:rsidRPr="00C9000B">
        <w:lastRenderedPageBreak/>
        <w:t>named Daniel Payne operated a store during the late 1750s and early 176</w:t>
      </w:r>
      <w:r w:rsidR="00A04936">
        <w:t xml:space="preserve">0s (Hamrick and Hamrick 2007). </w:t>
      </w:r>
      <w:r w:rsidRPr="00C9000B">
        <w:t>His transcribed store accounts, dating 1758 to 1764, record that 27 individuals purchased punch bowls during this period, some all in one transaction, others in multi</w:t>
      </w:r>
      <w:r w:rsidR="00A04936">
        <w:t xml:space="preserve">ple. </w:t>
      </w:r>
      <w:r w:rsidRPr="00C9000B">
        <w:t>One individual bought a punch ladle</w:t>
      </w:r>
      <w:r>
        <w:t>,</w:t>
      </w:r>
      <w:r w:rsidRPr="00C9000B">
        <w:t xml:space="preserve"> suggesting </w:t>
      </w:r>
      <w:r>
        <w:t xml:space="preserve">that ladles </w:t>
      </w:r>
      <w:r w:rsidRPr="00C9000B">
        <w:t xml:space="preserve">were among this store’s offerings </w:t>
      </w:r>
      <w:r w:rsidR="00A04936">
        <w:t xml:space="preserve">(Hamrick and Hamrick 2007:28). </w:t>
      </w:r>
      <w:r w:rsidRPr="00C9000B">
        <w:t>Of the 27 transactions, 24 clearly recorded the number of bowls purc</w:t>
      </w:r>
      <w:r w:rsidR="00A04936">
        <w:t xml:space="preserve">hased by individual customers. </w:t>
      </w:r>
      <w:r w:rsidRPr="00C9000B">
        <w:t>More than 50 percent (n=</w:t>
      </w:r>
      <w:r w:rsidR="00A04936">
        <w:t xml:space="preserve">13) bought a single bowl. </w:t>
      </w:r>
      <w:r w:rsidRPr="00C9000B">
        <w:t xml:space="preserve">Approximately 30 percent (n=7) bought 2 bowls and for the remainder, one customer each bought a </w:t>
      </w:r>
      <w:r w:rsidR="00A04936">
        <w:t xml:space="preserve">total of 4, 5, 6, and 9 bowls. </w:t>
      </w:r>
      <w:r w:rsidRPr="00C9000B">
        <w:t>Unfortunately, the level of specificity of sizes purchased by individuals is lacking, but we can at least say that Payne offered bowls of five sizes: one pint, one qua</w:t>
      </w:r>
      <w:r w:rsidR="00A04936">
        <w:t>rt, two quarts, and one gallon.</w:t>
      </w:r>
      <w:r w:rsidRPr="00C9000B">
        <w:t xml:space="preserve"> Therefore, store documents suggest that merchants offered punch bowls with some variety of type and size and even some accoutrements.  </w:t>
      </w:r>
    </w:p>
    <w:p w:rsidR="000F7191" w:rsidRPr="00C9000B" w:rsidRDefault="000F7191" w:rsidP="000F7191">
      <w:pPr>
        <w:spacing w:line="480" w:lineRule="auto"/>
        <w:ind w:firstLine="720"/>
      </w:pPr>
      <w:r w:rsidRPr="00C9000B">
        <w:t>The difference, it appears, was not that local stores and English factors offered remarkably different punch-related products, but that the consumer had different goa</w:t>
      </w:r>
      <w:r w:rsidR="00A04936">
        <w:t>ls in mind when acquiring them.</w:t>
      </w:r>
      <w:r w:rsidRPr="00C9000B">
        <w:t xml:space="preserve"> The majority of mid-eighteenth century consumers bought one to two punch bowls without accoutrements to me</w:t>
      </w:r>
      <w:r w:rsidR="00A04936">
        <w:t xml:space="preserve">et their punch drinking needs. </w:t>
      </w:r>
      <w:r w:rsidRPr="00C9000B">
        <w:t>Other consumers, like George Washington, Robert Wickliff, Jr., and William Powell (the latter, shoppers in Dumfries), needed to have on hand multiple punch bowls of differing capacities to be ready for any social situation that might arise and the implements to serve the drink in a truly genteel manner (Ham</w:t>
      </w:r>
      <w:r w:rsidR="00A04936">
        <w:t xml:space="preserve">rick and Hamrick 2007:67, 82). </w:t>
      </w:r>
      <w:r w:rsidRPr="00C9000B">
        <w:t>This demand only increased with the introduction of creamware, as represented by George Washington’s specific request for punch bowls of nine sizes: half pint, three pint, five pint, one quart, two quart, three quart, gallon, one and a half gallon, and two gallon (</w:t>
      </w:r>
      <w:r>
        <w:t>Table</w:t>
      </w:r>
      <w:r w:rsidRPr="00E048E5">
        <w:t xml:space="preserve"> 7-</w:t>
      </w:r>
      <w:r>
        <w:t>8</w:t>
      </w:r>
      <w:r w:rsidR="00A04936">
        <w:t xml:space="preserve">). </w:t>
      </w:r>
      <w:r w:rsidRPr="00C9000B">
        <w:t>This difference in consumer behavior is one that should be apparent from the archaeological record</w:t>
      </w:r>
      <w:r w:rsidR="00A04936">
        <w:t xml:space="preserve">. </w:t>
      </w:r>
      <w:r>
        <w:t>However,</w:t>
      </w:r>
      <w:r w:rsidRPr="00C9000B">
        <w:t xml:space="preserve"> measurements required for estimating </w:t>
      </w:r>
      <w:r w:rsidRPr="00C9000B">
        <w:lastRenderedPageBreak/>
        <w:t xml:space="preserve">capacity are not systematically recorded for published minimum vessel count lists and prior to the inception of this project, </w:t>
      </w:r>
      <w:r>
        <w:t>though some measurement data are captured on the sherd level, punch bowl was</w:t>
      </w:r>
      <w:r w:rsidR="007F5CE5">
        <w:t xml:space="preserve"> initially</w:t>
      </w:r>
      <w:r>
        <w:t xml:space="preserve"> </w:t>
      </w:r>
      <w:r w:rsidRPr="00C9000B">
        <w:t>not a vessel form</w:t>
      </w:r>
      <w:r w:rsidR="00A04936">
        <w:t xml:space="preserve"> option in DAACS (Breen 2012). </w:t>
      </w:r>
      <w:r w:rsidRPr="00C9000B">
        <w:t xml:space="preserve">Therefore the development of a tool to explore differential consumption of punch bowls on archaeological sites is crucial.      </w:t>
      </w:r>
    </w:p>
    <w:p w:rsidR="000F7191" w:rsidRPr="00C9000B" w:rsidRDefault="000F7191" w:rsidP="000F7191">
      <w:pPr>
        <w:spacing w:line="480" w:lineRule="auto"/>
        <w:ind w:firstLine="720"/>
      </w:pPr>
      <w:r>
        <w:t>I mined p</w:t>
      </w:r>
      <w:r w:rsidRPr="00C9000B">
        <w:t xml:space="preserve">ublished print and online collections from seven institutions for tin-glazed punch bowls with measurement data in order to develop formulas that allow for the estimation of punch bowl capacity from </w:t>
      </w:r>
      <w:r>
        <w:t xml:space="preserve">both </w:t>
      </w:r>
      <w:r w:rsidRPr="00C9000B">
        <w:t xml:space="preserve">whole </w:t>
      </w:r>
      <w:r>
        <w:t xml:space="preserve">and fragmentary </w:t>
      </w:r>
      <w:r w:rsidR="00A04936">
        <w:t>bowls.</w:t>
      </w:r>
      <w:r w:rsidRPr="00C9000B">
        <w:t xml:space="preserve"> From these sources, 215 unique vessels had either height, rim, and footring diameter or just height </w:t>
      </w:r>
      <w:r w:rsidR="00A04936">
        <w:t xml:space="preserve">and rim diameter measurements. </w:t>
      </w:r>
      <w:r w:rsidRPr="00C9000B">
        <w:t xml:space="preserve">The vessels date from 1680 </w:t>
      </w:r>
      <w:r>
        <w:t>to</w:t>
      </w:r>
      <w:r w:rsidRPr="00C9000B">
        <w:t xml:space="preserve"> 1780, with bowls most frequently falling into the 1741 to 1760 period.  </w:t>
      </w:r>
    </w:p>
    <w:p w:rsidR="000F7191" w:rsidRPr="00C9000B" w:rsidRDefault="000F7191" w:rsidP="000F7191">
      <w:pPr>
        <w:spacing w:line="480" w:lineRule="auto"/>
        <w:ind w:firstLine="720"/>
      </w:pPr>
      <w:r w:rsidRPr="00C9000B">
        <w:t>The closest geometric shape to a punch bowl is a frustum (or clipped cone) and therefore its formula can be borrowed to estimate bowl capacity (Miervaldis 2012</w:t>
      </w:r>
      <w:r>
        <w:t>a</w:t>
      </w:r>
      <w:r w:rsidRPr="00C9000B">
        <w:t>):</w:t>
      </w:r>
    </w:p>
    <w:p w:rsidR="000F7191" w:rsidRPr="000F478D" w:rsidRDefault="000F7191" w:rsidP="000F7191">
      <w:pPr>
        <w:spacing w:line="480" w:lineRule="auto"/>
        <w:ind w:left="720"/>
      </w:pPr>
      <w:r w:rsidRPr="00C9000B">
        <w:rPr>
          <w:i/>
        </w:rPr>
        <w:t>Volume (inches</w:t>
      </w:r>
      <w:r w:rsidRPr="00C9000B">
        <w:rPr>
          <w:i/>
          <w:vertAlign w:val="superscript"/>
        </w:rPr>
        <w:t>3</w:t>
      </w:r>
      <w:r w:rsidRPr="00C9000B">
        <w:rPr>
          <w:i/>
        </w:rPr>
        <w:t>) = (π * height / 12) * [base diameter</w:t>
      </w:r>
      <w:r w:rsidRPr="00C9000B">
        <w:rPr>
          <w:i/>
          <w:vertAlign w:val="superscript"/>
        </w:rPr>
        <w:t>2</w:t>
      </w:r>
      <w:r w:rsidRPr="00C9000B">
        <w:rPr>
          <w:i/>
        </w:rPr>
        <w:t xml:space="preserve"> + (base diameter * rim diameter) + rim diameter</w:t>
      </w:r>
      <w:r w:rsidRPr="00C9000B">
        <w:rPr>
          <w:i/>
          <w:vertAlign w:val="superscript"/>
        </w:rPr>
        <w:t>2</w:t>
      </w:r>
      <w:r w:rsidRPr="00C9000B">
        <w:rPr>
          <w:i/>
        </w:rPr>
        <w:t>]</w:t>
      </w:r>
      <w:r>
        <w:rPr>
          <w:rStyle w:val="FootnoteReference"/>
          <w:i/>
        </w:rPr>
        <w:footnoteReference w:id="9"/>
      </w:r>
    </w:p>
    <w:p w:rsidR="000F7191" w:rsidRPr="00C9000B" w:rsidRDefault="000F7191" w:rsidP="000F7191">
      <w:pPr>
        <w:spacing w:line="480" w:lineRule="auto"/>
      </w:pPr>
      <w:r w:rsidRPr="00C9000B">
        <w:t>Half an inch was subtracted from the heights of all museum punch bowl examples (representing an average footring height) since a fru</w:t>
      </w:r>
      <w:r w:rsidR="00A04936">
        <w:t xml:space="preserve">stum does not have a footring. </w:t>
      </w:r>
      <w:r w:rsidRPr="00C9000B">
        <w:t>The resulting volume was then translated into a historically relevant system of liquid measure (i.e. the imperial pint)—a calculation which required multiplying the volume of a frustum (in cubic inches) by 0.03.</w:t>
      </w:r>
    </w:p>
    <w:p w:rsidR="000F7191" w:rsidRPr="00C9000B" w:rsidRDefault="000F7191" w:rsidP="000F7191">
      <w:pPr>
        <w:spacing w:line="480" w:lineRule="auto"/>
        <w:ind w:firstLine="720"/>
      </w:pPr>
      <w:r w:rsidRPr="00C9000B">
        <w:t>Tests of the frustum formula on complete punch bowls suggest that capac</w:t>
      </w:r>
      <w:r w:rsidR="00A04936">
        <w:t xml:space="preserve">ity is slightly overestimated. </w:t>
      </w:r>
      <w:r w:rsidRPr="00C9000B">
        <w:t>This could be attrib</w:t>
      </w:r>
      <w:r w:rsidR="00A04936">
        <w:t xml:space="preserve">uted to the following reasons. </w:t>
      </w:r>
      <w:r w:rsidRPr="00C9000B">
        <w:rPr>
          <w:i/>
        </w:rPr>
        <w:t>First</w:t>
      </w:r>
      <w:r w:rsidRPr="00C9000B">
        <w:t xml:space="preserve">, the frustum is not the exact shape of a punch bowl; </w:t>
      </w:r>
      <w:r w:rsidR="00A04936">
        <w:t>it is a close estimation of it.</w:t>
      </w:r>
      <w:r w:rsidRPr="00C9000B">
        <w:t xml:space="preserve"> </w:t>
      </w:r>
      <w:r w:rsidRPr="00C9000B">
        <w:rPr>
          <w:i/>
        </w:rPr>
        <w:t>Second</w:t>
      </w:r>
      <w:r w:rsidRPr="00C9000B">
        <w:t xml:space="preserve">, it is unknown how potters </w:t>
      </w:r>
      <w:r w:rsidRPr="00C9000B">
        <w:lastRenderedPageBreak/>
        <w:t xml:space="preserve">calculated the sizes of the vessels they sold and how exact </w:t>
      </w:r>
      <w:r w:rsidR="00A04936">
        <w:t xml:space="preserve">they were when producing them. </w:t>
      </w:r>
      <w:r w:rsidRPr="00C9000B">
        <w:t>Research suggests that eighteenth-century acts for standardizing liquid measures probably did not apply to wheel-thrown, non-tavern, fine wares and that there was variability in bowl ca</w:t>
      </w:r>
      <w:r>
        <w:t>pacities (Green 1999</w:t>
      </w:r>
      <w:r w:rsidRPr="00C9000B">
        <w:t xml:space="preserve">). </w:t>
      </w:r>
      <w:r w:rsidRPr="00C9000B">
        <w:rPr>
          <w:i/>
        </w:rPr>
        <w:t>Third</w:t>
      </w:r>
      <w:r w:rsidRPr="00C9000B">
        <w:t>, there is also the question of how</w:t>
      </w:r>
      <w:r w:rsidR="00A04936">
        <w:t xml:space="preserve"> high these bowls were filled. </w:t>
      </w:r>
      <w:r w:rsidRPr="00C9000B">
        <w:t>It was presumably not to the top to allow for easier movement of the bowl without spilling its contents, which would allow for differing capacity measures take</w:t>
      </w:r>
      <w:r w:rsidR="00A04936">
        <w:t xml:space="preserve">n for the same bowl. </w:t>
      </w:r>
      <w:r w:rsidRPr="00C9000B">
        <w:t>Calculations of volume and capacity, therefore, should be considered as relative estimates and not as exact numbers.</w:t>
      </w:r>
    </w:p>
    <w:p w:rsidR="000F7191" w:rsidRPr="00C9000B" w:rsidRDefault="000F7191" w:rsidP="000F7191">
      <w:pPr>
        <w:spacing w:line="480" w:lineRule="auto"/>
        <w:ind w:firstLine="720"/>
      </w:pPr>
      <w:r w:rsidRPr="00C9000B">
        <w:t>In order to estimate the volume of a punch bowl, rim diameters, footring diameter</w:t>
      </w:r>
      <w:r w:rsidR="00A04936">
        <w:t>s, and the height are required.</w:t>
      </w:r>
      <w:r w:rsidRPr="00C9000B">
        <w:t xml:space="preserve"> Because of the fragmentary nature of archaeological</w:t>
      </w:r>
      <w:r>
        <w:t>ly</w:t>
      </w:r>
      <w:r w:rsidRPr="00C9000B">
        <w:t xml:space="preserve"> reco</w:t>
      </w:r>
      <w:r>
        <w:t>vered ceramics</w:t>
      </w:r>
      <w:r w:rsidRPr="00C9000B">
        <w:t xml:space="preserve">, the known measurements will most likely be found in either </w:t>
      </w:r>
      <w:r w:rsidR="00A04936">
        <w:t xml:space="preserve">the rim or footring diameters. </w:t>
      </w:r>
      <w:r w:rsidRPr="00C9000B">
        <w:t xml:space="preserve">Interestingly, there is a consistent ratio of rim to </w:t>
      </w:r>
      <w:r w:rsidR="00A04936">
        <w:t xml:space="preserve">footring diameter of 2.3 to 1. </w:t>
      </w:r>
      <w:r w:rsidRPr="00C9000B">
        <w:t>For example, if a rim diameter is 10 inches, the footring can be estimated as 4.</w:t>
      </w:r>
      <w:r w:rsidR="00A04936">
        <w:t>35 inches (i.e. 10/2.3 inches).</w:t>
      </w:r>
      <w:r w:rsidRPr="00C9000B">
        <w:t xml:space="preserve"> The confidence</w:t>
      </w:r>
      <w:r w:rsidR="00A04936">
        <w:t xml:space="preserve"> interval around 2.30 is 0.03. </w:t>
      </w:r>
      <w:r w:rsidRPr="00C9000B">
        <w:t xml:space="preserve">Therefore, if an archaeologist has a tin-glazed rim sherd of 10 inches, the footring can be expected to measure between 4.29 and 4.4 </w:t>
      </w:r>
      <w:r w:rsidR="00A04936">
        <w:t xml:space="preserve">inches 95 percent of the time. </w:t>
      </w:r>
      <w:r w:rsidRPr="00C9000B">
        <w:t>This ratio also allows archaeologists to estimate rim diameter by multip</w:t>
      </w:r>
      <w:r w:rsidR="00A04936">
        <w:t xml:space="preserve">lying a footring sherd by 2.3. </w:t>
      </w:r>
      <w:r w:rsidRPr="00C9000B">
        <w:t>In addition, with either a known or estimated rim or footring diameter, approximate height can be obtained using regression formulas developed by Miervaldis (2012</w:t>
      </w:r>
      <w:r>
        <w:t>a</w:t>
      </w:r>
      <w:r w:rsidR="00A04936">
        <w:t xml:space="preserve">). </w:t>
      </w:r>
      <w:r w:rsidRPr="00C9000B">
        <w:t xml:space="preserve">Once these three variables are calculated, they can be entered into the frustum volume formula.      </w:t>
      </w:r>
    </w:p>
    <w:p w:rsidR="000F7191" w:rsidRPr="00C9000B" w:rsidRDefault="000F7191" w:rsidP="000F7191">
      <w:pPr>
        <w:spacing w:line="480" w:lineRule="auto"/>
        <w:ind w:firstLine="720"/>
      </w:pPr>
      <w:r w:rsidRPr="00C9000B">
        <w:t>A) Estimating the height if you have the footring diameter measurement:</w:t>
      </w:r>
    </w:p>
    <w:p w:rsidR="000F7191" w:rsidRPr="00C9000B" w:rsidRDefault="000F7191" w:rsidP="000F7191">
      <w:pPr>
        <w:spacing w:line="480" w:lineRule="auto"/>
        <w:jc w:val="center"/>
        <w:rPr>
          <w:i/>
        </w:rPr>
      </w:pPr>
      <w:r w:rsidRPr="00C9000B">
        <w:rPr>
          <w:i/>
        </w:rPr>
        <w:t>heigh</w:t>
      </w:r>
      <w:r>
        <w:rPr>
          <w:i/>
        </w:rPr>
        <w:t>t = 1.0747*footring diameter (</w:t>
      </w:r>
      <w:r w:rsidRPr="00C9000B">
        <w:rPr>
          <w:i/>
        </w:rPr>
        <w:t>inches) – 0.5999</w:t>
      </w:r>
    </w:p>
    <w:p w:rsidR="000F7191" w:rsidRPr="00C9000B" w:rsidRDefault="000F7191" w:rsidP="000F7191">
      <w:pPr>
        <w:spacing w:line="480" w:lineRule="auto"/>
      </w:pPr>
      <w:r w:rsidRPr="00C9000B">
        <w:lastRenderedPageBreak/>
        <w:t>Based on museum sample footring diameter values ranging from 2.875 inches to 7.625 inches, the estimate of height computed by this regression line</w:t>
      </w:r>
      <w:r w:rsidR="00A04936">
        <w:t xml:space="preserve"> could vary by ± 1.744 inches. </w:t>
      </w:r>
      <w:r w:rsidRPr="00C9000B">
        <w:t>(Regression equation is highly sig</w:t>
      </w:r>
      <w:r w:rsidR="00A04936">
        <w:t xml:space="preserve">nificant, p &lt; 0.0001. </w:t>
      </w:r>
      <w:r w:rsidRPr="00C9000B">
        <w:t>The coefficient is significant at th</w:t>
      </w:r>
      <w:r w:rsidR="00A04936">
        <w:t xml:space="preserve">e α = 0.05 level (p &lt; 0.0001). </w:t>
      </w:r>
      <w:r w:rsidRPr="00C9000B">
        <w:t>However, the intercept is not.  R</w:t>
      </w:r>
      <w:r w:rsidRPr="00C9000B">
        <w:rPr>
          <w:vertAlign w:val="superscript"/>
        </w:rPr>
        <w:t>2</w:t>
      </w:r>
      <w:r w:rsidRPr="00C9000B">
        <w:t xml:space="preserve"> = 0.53.)</w:t>
      </w:r>
    </w:p>
    <w:p w:rsidR="000F7191" w:rsidRPr="00C9000B" w:rsidRDefault="000F7191" w:rsidP="000F7191">
      <w:pPr>
        <w:spacing w:line="480" w:lineRule="auto"/>
        <w:ind w:firstLine="720"/>
      </w:pPr>
      <w:r w:rsidRPr="00C9000B">
        <w:t>B)  Estimating the height if you have the rim diameter measurement:</w:t>
      </w:r>
    </w:p>
    <w:p w:rsidR="000F7191" w:rsidRPr="00C9000B" w:rsidRDefault="000F7191" w:rsidP="000F7191">
      <w:pPr>
        <w:spacing w:line="480" w:lineRule="auto"/>
        <w:jc w:val="center"/>
        <w:rPr>
          <w:i/>
        </w:rPr>
      </w:pPr>
      <w:r w:rsidRPr="00C9000B">
        <w:rPr>
          <w:i/>
        </w:rPr>
        <w:t>hei</w:t>
      </w:r>
      <w:r>
        <w:rPr>
          <w:i/>
        </w:rPr>
        <w:t>ght = 0.518492*rim diameter (</w:t>
      </w:r>
      <w:r w:rsidRPr="00C9000B">
        <w:rPr>
          <w:i/>
        </w:rPr>
        <w:t>inches) – 1.27252</w:t>
      </w:r>
    </w:p>
    <w:p w:rsidR="000F7191" w:rsidRPr="00C9000B" w:rsidRDefault="000F7191" w:rsidP="000F7191">
      <w:pPr>
        <w:spacing w:line="480" w:lineRule="auto"/>
      </w:pPr>
      <w:r w:rsidRPr="00C9000B">
        <w:t>Based on museum sample rim diameter values ranging from 6.81101 inches to 21.73224 inches, the estimate of height computed by this regression line could vary by ± 1.5688 inches.  (Regression equation is h</w:t>
      </w:r>
      <w:r w:rsidR="00A04936">
        <w:t xml:space="preserve">ighly significant, p &lt; 0.0001. </w:t>
      </w:r>
      <w:r w:rsidRPr="00C9000B">
        <w:t>Both the intercept and coefficient are significant at the α = 0.05 level (p &lt; 0.0001).  R</w:t>
      </w:r>
      <w:r w:rsidRPr="00C9000B">
        <w:rPr>
          <w:vertAlign w:val="superscript"/>
        </w:rPr>
        <w:t>2</w:t>
      </w:r>
      <w:r w:rsidRPr="00C9000B">
        <w:t xml:space="preserve"> = 0.67.)</w:t>
      </w:r>
    </w:p>
    <w:p w:rsidR="000F7191" w:rsidRPr="00C9000B" w:rsidRDefault="000F7191" w:rsidP="000F7191">
      <w:pPr>
        <w:spacing w:line="480" w:lineRule="auto"/>
        <w:ind w:firstLine="720"/>
      </w:pPr>
      <w:r w:rsidRPr="00C9000B">
        <w:t>C) Estimating the height if you have both the rim and footring measurements:</w:t>
      </w:r>
    </w:p>
    <w:p w:rsidR="000F7191" w:rsidRPr="00C9000B" w:rsidRDefault="000F7191" w:rsidP="000F7191">
      <w:pPr>
        <w:spacing w:line="480" w:lineRule="auto"/>
        <w:jc w:val="center"/>
        <w:rPr>
          <w:i/>
        </w:rPr>
      </w:pPr>
      <w:r w:rsidRPr="00C9000B">
        <w:rPr>
          <w:i/>
        </w:rPr>
        <w:t>height = 0.7054*rim diameter (inches) – 0.348*footring diameter (inches) – 1.5431</w:t>
      </w:r>
    </w:p>
    <w:p w:rsidR="000F7191" w:rsidRPr="00C9000B" w:rsidRDefault="000F7191" w:rsidP="000F7191">
      <w:pPr>
        <w:spacing w:line="480" w:lineRule="auto"/>
      </w:pPr>
      <w:r w:rsidRPr="00C9000B">
        <w:t>Based on the data from this study, the estimate of height using both the rim and footring measurements can be expect</w:t>
      </w:r>
      <w:r w:rsidR="00A04936">
        <w:t xml:space="preserve">ed to vary by ± 1.8097 inches. </w:t>
      </w:r>
      <w:r w:rsidRPr="00C9000B">
        <w:t>(Regression equation is highly significant, p &gt; 0.0001.  R</w:t>
      </w:r>
      <w:r w:rsidRPr="00C9000B">
        <w:rPr>
          <w:vertAlign w:val="superscript"/>
        </w:rPr>
        <w:t>2</w:t>
      </w:r>
      <w:r w:rsidRPr="00C9000B">
        <w:t xml:space="preserve"> = 0.72.)</w:t>
      </w:r>
    </w:p>
    <w:p w:rsidR="000F7191" w:rsidRDefault="000F7191" w:rsidP="000F7191">
      <w:pPr>
        <w:spacing w:line="480" w:lineRule="auto"/>
        <w:ind w:firstLine="720"/>
      </w:pPr>
      <w:r w:rsidRPr="00C9000B">
        <w:t>As mentioned previously, the punch bowl is not catalogued in DAACS as a</w:t>
      </w:r>
      <w:r w:rsidR="00A04936">
        <w:t xml:space="preserve"> standard type of vessel form. </w:t>
      </w:r>
      <w:r w:rsidRPr="00C9000B">
        <w:t>But, because basic bowl form is recorded, as is the general category “unidentified tableware,” we can still apply these formulas to tease out punch bowl capacity to sherds re</w:t>
      </w:r>
      <w:r w:rsidR="00A04936">
        <w:t xml:space="preserve">corded in the DAACS catalogue. </w:t>
      </w:r>
      <w:r w:rsidRPr="00C9000B">
        <w:t>Out of the 21 sites catalogued in DAACS, I identified 6 Dutch or English delftware punch bowls from 6 different archaeological sites of enslavement located in the Chesapeake</w:t>
      </w:r>
      <w:r>
        <w:t xml:space="preserve"> </w:t>
      </w:r>
      <w:r w:rsidRPr="00C9000B">
        <w:t>(</w:t>
      </w:r>
      <w:r w:rsidRPr="001D27A6">
        <w:t>DAACS 20</w:t>
      </w:r>
      <w:r>
        <w:t>10</w:t>
      </w:r>
      <w:r w:rsidR="00A04936">
        <w:t xml:space="preserve">). </w:t>
      </w:r>
      <w:r w:rsidRPr="00C9000B">
        <w:t>These bowls were identified because they have rim sherds with diameters that measured between 6.81 and 21.73 inches and were catalogued as either bo</w:t>
      </w:r>
      <w:r>
        <w:t>wls or unidentified tableware (Table</w:t>
      </w:r>
      <w:r w:rsidRPr="00E048E5">
        <w:t xml:space="preserve"> 7-</w:t>
      </w:r>
      <w:r>
        <w:t>9</w:t>
      </w:r>
      <w:r w:rsidR="00A04936">
        <w:t xml:space="preserve">). </w:t>
      </w:r>
      <w:r w:rsidRPr="00C9000B">
        <w:t xml:space="preserve">In addition to these vessels from DAACS, the capacities of </w:t>
      </w:r>
      <w:r w:rsidRPr="00C9000B">
        <w:lastRenderedPageBreak/>
        <w:t xml:space="preserve">the </w:t>
      </w:r>
      <w:r>
        <w:t>three</w:t>
      </w:r>
      <w:r w:rsidRPr="00C9000B">
        <w:t xml:space="preserve"> punch bowls excavated from the South Grove Midd</w:t>
      </w:r>
      <w:r>
        <w:t>en are included in this study (Table</w:t>
      </w:r>
      <w:r w:rsidRPr="00E048E5">
        <w:t xml:space="preserve"> 7-</w:t>
      </w:r>
      <w:r>
        <w:t>9</w:t>
      </w:r>
      <w:r w:rsidR="00A04936">
        <w:t xml:space="preserve">). </w:t>
      </w:r>
      <w:r w:rsidRPr="00C9000B">
        <w:t>Using the ratio of 2.3, the footring diameter can also be estimated based on the known rim diameter, and height can then be estimated</w:t>
      </w:r>
      <w:r w:rsidR="00A04936">
        <w:t xml:space="preserve"> using the regression formula. </w:t>
      </w:r>
      <w:r w:rsidRPr="00C9000B">
        <w:t xml:space="preserve">Finally, by applying the frustum formula to estimate the volume of the punch bowl, we see that these </w:t>
      </w:r>
      <w:r>
        <w:t>nine</w:t>
      </w:r>
      <w:r w:rsidRPr="00C9000B">
        <w:t xml:space="preserve"> bowls range in capacity from about one-and-a-half pints to </w:t>
      </w:r>
      <w:r>
        <w:t>one gallon</w:t>
      </w:r>
      <w:r w:rsidRPr="00C9000B">
        <w:t>.</w:t>
      </w:r>
      <w:r w:rsidR="00A04936">
        <w:t xml:space="preserve"> </w:t>
      </w:r>
      <w:r>
        <w:t>For the South Grove Midden examples, t</w:t>
      </w:r>
      <w:r w:rsidRPr="00C9000B">
        <w:t xml:space="preserve">he first </w:t>
      </w:r>
      <w:r>
        <w:t>one listed is</w:t>
      </w:r>
      <w:r w:rsidRPr="00C9000B">
        <w:t xml:space="preserve"> made of creamware and match</w:t>
      </w:r>
      <w:r>
        <w:t>es a capacity</w:t>
      </w:r>
      <w:r w:rsidRPr="00C9000B">
        <w:t xml:space="preserve"> ord</w:t>
      </w:r>
      <w:r>
        <w:t>ered by George Washington (see Table 7-8</w:t>
      </w:r>
      <w:r w:rsidRPr="00C9000B">
        <w:t>)</w:t>
      </w:r>
      <w:r w:rsidR="00A04936">
        <w:t xml:space="preserve">. </w:t>
      </w:r>
      <w:r w:rsidRPr="00C9000B">
        <w:t>The next two are made of delftware, measu</w:t>
      </w:r>
      <w:r>
        <w:t>ring one quart and one gallon.</w:t>
      </w:r>
    </w:p>
    <w:p w:rsidR="000F7191" w:rsidRDefault="000F7191" w:rsidP="000F7191">
      <w:pPr>
        <w:spacing w:line="480" w:lineRule="auto"/>
        <w:ind w:firstLine="720"/>
      </w:pPr>
      <w:r w:rsidRPr="00CB2668">
        <w:t>Capacity, once elusive to archaeologists, but so important to George Washington and many of his contemporaries</w:t>
      </w:r>
      <w:r w:rsidR="00E928ED">
        <w:t>,</w:t>
      </w:r>
      <w:r w:rsidRPr="00CB2668">
        <w:t xml:space="preserve"> is now attainable from a single</w:t>
      </w:r>
      <w:r w:rsidR="00A04936">
        <w:t xml:space="preserve"> rim or base punch bowl sherd. </w:t>
      </w:r>
      <w:r w:rsidRPr="00CB2668">
        <w:t>The ability to assign rim sherds to the punch bowl form, and estimate punch bowl capacity based on whole object data, offers a compelling research avenue that archaeologists were previously unable to pursue.</w:t>
      </w:r>
      <w:r>
        <w:t xml:space="preserve">  </w:t>
      </w:r>
    </w:p>
    <w:p w:rsidR="000F7191" w:rsidRDefault="000F7191" w:rsidP="000F7191">
      <w:pPr>
        <w:spacing w:line="480" w:lineRule="auto"/>
      </w:pPr>
    </w:p>
    <w:p w:rsidR="003F5327" w:rsidRDefault="003F5327">
      <w:pPr>
        <w:rPr>
          <w:b/>
        </w:rPr>
      </w:pPr>
      <w:r>
        <w:rPr>
          <w:b/>
        </w:rPr>
        <w:br w:type="page"/>
      </w:r>
    </w:p>
    <w:p w:rsidR="000F7191" w:rsidRPr="00C9000B" w:rsidRDefault="000F7191" w:rsidP="000F7191">
      <w:pPr>
        <w:spacing w:line="480" w:lineRule="auto"/>
      </w:pPr>
      <w:r>
        <w:rPr>
          <w:b/>
        </w:rPr>
        <w:lastRenderedPageBreak/>
        <w:t>Table 7-9</w:t>
      </w:r>
      <w:r w:rsidRPr="00CB6641">
        <w:rPr>
          <w:b/>
        </w:rPr>
        <w:t xml:space="preserve">. </w:t>
      </w:r>
      <w:r w:rsidRPr="00355F58">
        <w:t>Estimating punch bowl capacity in the archaeological record.</w:t>
      </w:r>
    </w:p>
    <w:tbl>
      <w:tblPr>
        <w:tblW w:w="9467" w:type="dxa"/>
        <w:tblInd w:w="91" w:type="dxa"/>
        <w:tblLook w:val="04A0"/>
      </w:tblPr>
      <w:tblGrid>
        <w:gridCol w:w="1007"/>
        <w:gridCol w:w="810"/>
        <w:gridCol w:w="1260"/>
        <w:gridCol w:w="810"/>
        <w:gridCol w:w="1440"/>
        <w:gridCol w:w="1260"/>
        <w:gridCol w:w="990"/>
        <w:gridCol w:w="1890"/>
      </w:tblGrid>
      <w:tr w:rsidR="000F7191" w:rsidRPr="00355F58" w:rsidTr="00E82578">
        <w:trPr>
          <w:trHeight w:val="450"/>
        </w:trPr>
        <w:tc>
          <w:tcPr>
            <w:tcW w:w="1007"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 xml:space="preserve">Site </w:t>
            </w:r>
          </w:p>
        </w:tc>
        <w:tc>
          <w:tcPr>
            <w:tcW w:w="81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Rim Dia. (in)</w:t>
            </w:r>
          </w:p>
        </w:tc>
        <w:tc>
          <w:tcPr>
            <w:tcW w:w="126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DAACS Form</w:t>
            </w:r>
          </w:p>
        </w:tc>
        <w:tc>
          <w:tcPr>
            <w:tcW w:w="81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Punch Bowl EVE</w:t>
            </w:r>
          </w:p>
        </w:tc>
        <w:tc>
          <w:tcPr>
            <w:tcW w:w="144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Est. Footring Diameter (in) ±0.03</w:t>
            </w:r>
          </w:p>
        </w:tc>
        <w:tc>
          <w:tcPr>
            <w:tcW w:w="126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Est. Height (in) ± 1.57</w:t>
            </w:r>
          </w:p>
        </w:tc>
        <w:tc>
          <w:tcPr>
            <w:tcW w:w="99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Est. Vol. (in</w:t>
            </w:r>
            <w:r w:rsidRPr="00355F58">
              <w:rPr>
                <w:rFonts w:eastAsia="Times New Roman"/>
                <w:b/>
                <w:bCs/>
                <w:color w:val="000000"/>
                <w:sz w:val="20"/>
                <w:szCs w:val="20"/>
                <w:vertAlign w:val="superscript"/>
              </w:rPr>
              <w:t>3</w:t>
            </w:r>
            <w:r w:rsidRPr="00355F58">
              <w:rPr>
                <w:rFonts w:eastAsia="Times New Roman"/>
                <w:b/>
                <w:bCs/>
                <w:color w:val="000000"/>
                <w:sz w:val="20"/>
                <w:szCs w:val="20"/>
              </w:rPr>
              <w:t>)</w:t>
            </w:r>
          </w:p>
        </w:tc>
        <w:tc>
          <w:tcPr>
            <w:tcW w:w="189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rPr>
                <w:rFonts w:eastAsia="Times New Roman"/>
                <w:b/>
                <w:bCs/>
                <w:color w:val="000000"/>
                <w:sz w:val="20"/>
                <w:szCs w:val="20"/>
              </w:rPr>
            </w:pPr>
            <w:r w:rsidRPr="00355F58">
              <w:rPr>
                <w:rFonts w:eastAsia="Times New Roman"/>
                <w:b/>
                <w:bCs/>
                <w:color w:val="000000"/>
                <w:sz w:val="20"/>
                <w:szCs w:val="20"/>
              </w:rPr>
              <w:t>Est. Capacity</w:t>
            </w:r>
          </w:p>
        </w:tc>
      </w:tr>
      <w:tr w:rsidR="000F7191" w:rsidRPr="00355F58" w:rsidTr="00E82578">
        <w:trPr>
          <w:trHeight w:val="450"/>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Rich Neck</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7.09</w:t>
            </w:r>
          </w:p>
        </w:tc>
        <w:tc>
          <w:tcPr>
            <w:tcW w:w="126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Bowl</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3.08</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2.42</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51.62</w:t>
            </w:r>
          </w:p>
        </w:tc>
        <w:tc>
          <w:tcPr>
            <w:tcW w:w="18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1.55 pints or about 1 1/2 pints</w:t>
            </w:r>
          </w:p>
        </w:tc>
      </w:tr>
      <w:tr w:rsidR="000F7191" w:rsidRPr="00355F58" w:rsidTr="00E82578">
        <w:trPr>
          <w:trHeight w:val="675"/>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Palace Lands</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9.45</w:t>
            </w:r>
          </w:p>
        </w:tc>
        <w:tc>
          <w:tcPr>
            <w:tcW w:w="126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Unid Holloware: Tableware</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4.11</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3.64</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138.27</w:t>
            </w:r>
          </w:p>
        </w:tc>
        <w:tc>
          <w:tcPr>
            <w:tcW w:w="18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4.15 pints or about 2 quarts</w:t>
            </w:r>
          </w:p>
        </w:tc>
      </w:tr>
      <w:tr w:rsidR="000F7191" w:rsidRPr="00355F58" w:rsidTr="00E82578">
        <w:trPr>
          <w:trHeight w:val="450"/>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Utopia</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11.02</w:t>
            </w:r>
          </w:p>
        </w:tc>
        <w:tc>
          <w:tcPr>
            <w:tcW w:w="126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Bowl</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4.79</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4.46</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230.16</w:t>
            </w:r>
          </w:p>
        </w:tc>
        <w:tc>
          <w:tcPr>
            <w:tcW w:w="18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6.9 pints or about 3 1/2 quarts</w:t>
            </w:r>
          </w:p>
        </w:tc>
      </w:tr>
      <w:tr w:rsidR="000F7191" w:rsidRPr="00355F58" w:rsidTr="00E82578">
        <w:trPr>
          <w:trHeight w:val="675"/>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House for Families</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7.48</w:t>
            </w:r>
          </w:p>
        </w:tc>
        <w:tc>
          <w:tcPr>
            <w:tcW w:w="126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Unid Holloware: Tableware</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3.25</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2.62</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62.28</w:t>
            </w:r>
          </w:p>
        </w:tc>
        <w:tc>
          <w:tcPr>
            <w:tcW w:w="18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1.87 pints or about 1 quart</w:t>
            </w:r>
          </w:p>
        </w:tc>
      </w:tr>
      <w:tr w:rsidR="000F7191" w:rsidRPr="00355F58" w:rsidTr="00E82578">
        <w:trPr>
          <w:trHeight w:val="450"/>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Fairfield</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8.66</w:t>
            </w:r>
          </w:p>
        </w:tc>
        <w:tc>
          <w:tcPr>
            <w:tcW w:w="126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Unid Hollowware</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3.77</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3.23</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103.03</w:t>
            </w:r>
          </w:p>
        </w:tc>
        <w:tc>
          <w:tcPr>
            <w:tcW w:w="18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3.09 pints or about 1 1/2 quarts</w:t>
            </w:r>
          </w:p>
        </w:tc>
      </w:tr>
      <w:tr w:rsidR="000F7191" w:rsidRPr="00355F58" w:rsidTr="00E82578">
        <w:trPr>
          <w:trHeight w:val="450"/>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Chapline</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7.48</w:t>
            </w:r>
          </w:p>
        </w:tc>
        <w:tc>
          <w:tcPr>
            <w:tcW w:w="126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Unid: Tableware</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3.25</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2.62</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62.28</w:t>
            </w:r>
          </w:p>
        </w:tc>
        <w:tc>
          <w:tcPr>
            <w:tcW w:w="18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1.87 pints or about 1 quart</w:t>
            </w:r>
          </w:p>
        </w:tc>
      </w:tr>
      <w:tr w:rsidR="000F7191" w:rsidRPr="00355F58" w:rsidTr="00E82578">
        <w:trPr>
          <w:trHeight w:val="450"/>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 xml:space="preserve">South Grove </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12.67</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Punch bowl</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5.51</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5.35</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365.01</w:t>
            </w:r>
          </w:p>
        </w:tc>
        <w:tc>
          <w:tcPr>
            <w:tcW w:w="18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10.95 pints or about 1 1/2 gallons</w:t>
            </w:r>
          </w:p>
        </w:tc>
      </w:tr>
      <w:tr w:rsidR="000F7191" w:rsidRPr="00355F58" w:rsidTr="00E82578">
        <w:trPr>
          <w:trHeight w:val="450"/>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 xml:space="preserve">South Grove </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9.06</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Punch bowl</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3.54</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3.95</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130.94</w:t>
            </w:r>
          </w:p>
        </w:tc>
        <w:tc>
          <w:tcPr>
            <w:tcW w:w="18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3.93 pints or 1 quart or half gallon</w:t>
            </w:r>
          </w:p>
        </w:tc>
      </w:tr>
      <w:tr w:rsidR="000F7191" w:rsidRPr="00355F58" w:rsidTr="00E82578">
        <w:trPr>
          <w:trHeight w:val="450"/>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South Grove</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11.78</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Punch bowl</w:t>
            </w:r>
          </w:p>
        </w:tc>
        <w:tc>
          <w:tcPr>
            <w:tcW w:w="81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5.12</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4.93</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290.61</w:t>
            </w:r>
          </w:p>
        </w:tc>
        <w:tc>
          <w:tcPr>
            <w:tcW w:w="18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8.72 pints or about 1 gallon</w:t>
            </w:r>
          </w:p>
        </w:tc>
      </w:tr>
    </w:tbl>
    <w:p w:rsidR="000F7191" w:rsidRDefault="000F7191" w:rsidP="000F7191">
      <w:pPr>
        <w:spacing w:line="480" w:lineRule="auto"/>
        <w:ind w:firstLine="720"/>
        <w:rPr>
          <w:b/>
        </w:rPr>
      </w:pPr>
    </w:p>
    <w:p w:rsidR="000F7191" w:rsidRPr="00CB2668" w:rsidRDefault="000F7191" w:rsidP="000F7191">
      <w:pPr>
        <w:spacing w:line="480" w:lineRule="auto"/>
        <w:ind w:firstLine="720"/>
      </w:pPr>
      <w:r w:rsidRPr="00CB2668">
        <w:t>From these data, we see that for elites the punch ceremony was transformed over the course of the eighteenth century from hab</w:t>
      </w:r>
      <w:r w:rsidR="00A04936">
        <w:t>it to ritual.</w:t>
      </w:r>
      <w:r w:rsidRPr="00CB2668">
        <w:t xml:space="preserve"> Anthropologically speaking, rituals are commonly defined as large public events, special and distinct from ever</w:t>
      </w:r>
      <w:r>
        <w:t>yday life and</w:t>
      </w:r>
      <w:r w:rsidRPr="00CB2668">
        <w:t xml:space="preserve"> recognized archaeologically in part through the excavation and interpretation of mysterious, unidentified, or anomalous artifacts </w:t>
      </w:r>
      <w:r>
        <w:t xml:space="preserve">and monumental or specialized architecture </w:t>
      </w:r>
      <w:r w:rsidRPr="00CB2668">
        <w:t>(Turner 1969; Renf</w:t>
      </w:r>
      <w:r w:rsidR="00A04936">
        <w:t xml:space="preserve">rew 1994; Gazin-Schwarz 2001). </w:t>
      </w:r>
      <w:r w:rsidRPr="00CB2668">
        <w:t>More recent definitions of rituals are focused on household level performances and everyday objects imbued with symbolic qualities that aid in fixing collective meaning to patterns and events (Douglas and Isherwood</w:t>
      </w:r>
      <w:r w:rsidR="00A04936">
        <w:t xml:space="preserve"> 1979:43; Gazin-Schwarz 2001). </w:t>
      </w:r>
      <w:r w:rsidRPr="00CB2668">
        <w:t>“More effective rituals use material things, and the more costly the ritual trappings, the stronger we can assume the intention to fix the meanings to be” (Douglas and Ishwerwood 1979:43).</w:t>
      </w:r>
      <w:r w:rsidR="00A04936">
        <w:t xml:space="preserve"> </w:t>
      </w:r>
      <w:r>
        <w:t xml:space="preserve">The performance of rituals – public or private, sacred or secular, once a decade or once a week – </w:t>
      </w:r>
      <w:r>
        <w:lastRenderedPageBreak/>
        <w:t xml:space="preserve">results in community definition and cementation, justification of social relations, and creation of social ties (Gazin-Schwarz 2001:273).  </w:t>
      </w:r>
    </w:p>
    <w:p w:rsidR="000F7191" w:rsidRPr="00CC134D" w:rsidRDefault="000F7191" w:rsidP="000F7191">
      <w:pPr>
        <w:spacing w:line="480" w:lineRule="auto"/>
        <w:ind w:firstLine="720"/>
      </w:pPr>
      <w:r>
        <w:t>It is instructive to explore the ritual properties of punch because of its implications for elite and non-elite consumer behaviors and differen</w:t>
      </w:r>
      <w:r w:rsidR="00A04936">
        <w:t xml:space="preserve">tial access to consumer goods. </w:t>
      </w:r>
      <w:r>
        <w:t>For George Washington and his peers, n</w:t>
      </w:r>
      <w:r w:rsidRPr="00C9000B">
        <w:t xml:space="preserve">o longer was a single bowl sufficient to meet the social needs of those gentlemen </w:t>
      </w:r>
      <w:r>
        <w:t>enacting a genteel ideology</w:t>
      </w:r>
      <w:r w:rsidR="00A04936">
        <w:t xml:space="preserve">. </w:t>
      </w:r>
      <w:r>
        <w:t>They</w:t>
      </w:r>
      <w:r w:rsidRPr="00C9000B">
        <w:t xml:space="preserve"> </w:t>
      </w:r>
      <w:r>
        <w:t>desired</w:t>
      </w:r>
      <w:r w:rsidRPr="00C9000B">
        <w:t xml:space="preserve"> a bowl </w:t>
      </w:r>
      <w:r>
        <w:t>to</w:t>
      </w:r>
      <w:r w:rsidRPr="00C9000B">
        <w:t xml:space="preserve"> </w:t>
      </w:r>
      <w:r>
        <w:t>match</w:t>
      </w:r>
      <w:r w:rsidRPr="00C9000B">
        <w:t xml:space="preserve"> each social situation – from small meeting to large gathering</w:t>
      </w:r>
      <w:r>
        <w:t xml:space="preserve"> – increasingly accomp</w:t>
      </w:r>
      <w:r w:rsidRPr="00CC134D">
        <w:t xml:space="preserve">anied by proper tools to formalize the </w:t>
      </w:r>
      <w:r>
        <w:t>preparation and service of a drink containing some expensive, exotic, and difficult to come by ingredients</w:t>
      </w:r>
      <w:r w:rsidRPr="00CC134D">
        <w:t>.</w:t>
      </w:r>
      <w:r w:rsidR="00A04936">
        <w:t xml:space="preserve"> </w:t>
      </w:r>
      <w:r>
        <w:t>Along with specialized, not-widely-available accoutrements and centered around toasts (which, like songs, prayers, and other incantations, are common components of rituals) given by and to a bounded group of individuals, the punch ceremony at its height was enacted in a “proscribed, repetitive, and consistent manner,” all hallmarks that individual action achieved ritual function (Gazin-Sch</w:t>
      </w:r>
      <w:r w:rsidRPr="00E76916">
        <w:t>warz 2001:276)</w:t>
      </w:r>
      <w:r w:rsidR="00A04936">
        <w:t xml:space="preserve">. </w:t>
      </w:r>
      <w:r w:rsidRPr="00CC134D">
        <w:t xml:space="preserve">Smith </w:t>
      </w:r>
      <w:r>
        <w:t>(2001</w:t>
      </w:r>
      <w:r w:rsidRPr="00CC134D">
        <w:t>:491)</w:t>
      </w:r>
      <w:r>
        <w:t xml:space="preserve"> </w:t>
      </w:r>
      <w:r w:rsidRPr="00CC134D">
        <w:t xml:space="preserve">argues </w:t>
      </w:r>
      <w:r>
        <w:t xml:space="preserve">that, </w:t>
      </w:r>
      <w:r w:rsidRPr="00CC134D">
        <w:t>“Punch drinking events, as with tea ceremonies, created the impression of wealth, power, and stability throughout the British colonial world</w:t>
      </w:r>
      <w:r>
        <w:t>.</w:t>
      </w:r>
      <w:r w:rsidRPr="00CC134D">
        <w:t>”</w:t>
      </w:r>
      <w:r>
        <w:t xml:space="preserve"> This impression was desperately sought after by the colonial gentry attempting to form a bridge to the metropolitan elite and their “the fashionable drinking behaviors” as part of constructing a genteel ideology</w:t>
      </w:r>
      <w:r w:rsidRPr="00565DB1">
        <w:t xml:space="preserve"> in the face of</w:t>
      </w:r>
      <w:r w:rsidR="00F85877">
        <w:t xml:space="preserve"> feelings of inferiority and</w:t>
      </w:r>
      <w:r w:rsidRPr="00565DB1">
        <w:t xml:space="preserve"> cultural critique from </w:t>
      </w:r>
      <w:r>
        <w:t>their British brethren</w:t>
      </w:r>
      <w:r w:rsidRPr="00565DB1">
        <w:t xml:space="preserve"> (Yentsch 1990; Smith </w:t>
      </w:r>
      <w:r>
        <w:t>2001</w:t>
      </w:r>
      <w:r w:rsidRPr="00565DB1">
        <w:t>:488)</w:t>
      </w:r>
      <w:r w:rsidR="00A04936">
        <w:t xml:space="preserve">. </w:t>
      </w:r>
      <w:r w:rsidR="00F85877">
        <w:t>Consuming</w:t>
      </w:r>
      <w:r>
        <w:t xml:space="preserve"> a convivial bowl of punch with a closed group of individuals who shared similar social, economic, and political sentiments could succeed in imparting this impression and easing anxiety.</w:t>
      </w:r>
      <w:r w:rsidRPr="00565DB1">
        <w:t xml:space="preserve"> </w:t>
      </w:r>
      <w:r>
        <w:t xml:space="preserve"> </w:t>
      </w:r>
    </w:p>
    <w:p w:rsidR="000F7191" w:rsidRDefault="000F7191" w:rsidP="000F7191">
      <w:pPr>
        <w:spacing w:line="480" w:lineRule="auto"/>
        <w:ind w:firstLine="720"/>
      </w:pPr>
      <w:r>
        <w:t>S</w:t>
      </w:r>
      <w:r w:rsidRPr="00C9000B">
        <w:t>tore account and archaeological data suggest that for the majority of the colonial population</w:t>
      </w:r>
      <w:r>
        <w:t xml:space="preserve"> (the majority not afflicted by the same anxieties as their wealthier neighbors)</w:t>
      </w:r>
      <w:r w:rsidRPr="00C9000B">
        <w:t>, a single bowl filled with a sweet rum concoction sufficed</w:t>
      </w:r>
      <w:r w:rsidR="00F85877">
        <w:t xml:space="preserve"> as a fashionable option of alcohol-based </w:t>
      </w:r>
      <w:r w:rsidR="00F85877">
        <w:lastRenderedPageBreak/>
        <w:t>hospitality</w:t>
      </w:r>
      <w:r w:rsidRPr="00C9000B">
        <w:t>.</w:t>
      </w:r>
      <w:r w:rsidR="00A04936">
        <w:t xml:space="preserve"> </w:t>
      </w:r>
      <w:r>
        <w:t>Despite the fact that Alexander Henderson was aware of the importance of bowl size, non-elites appear to have embraced a more informal and perhaps more habitual enjoyment afforded by an unaccompanied single bowl and, if the required ingredients were hard to come by, the aesthetic pleasure that these s</w:t>
      </w:r>
      <w:r w:rsidR="00A04936">
        <w:t xml:space="preserve">tatement pieces offered. </w:t>
      </w:r>
      <w:r w:rsidRPr="00C9000B">
        <w:t xml:space="preserve">The confluence of documentary, archaeological, and museum collection-based data now allows for interpretations of the archaeological record previously not available when studying the social world of the Washingtons in the decades </w:t>
      </w:r>
      <w:r w:rsidR="00A04936">
        <w:t xml:space="preserve">surrounding the Revolution. </w:t>
      </w:r>
      <w:r w:rsidRPr="00C9000B">
        <w:t xml:space="preserve">The next step is to apply this capacity estimation formula to other archaeological sites where minimum vessel counts have been performed.    </w:t>
      </w:r>
    </w:p>
    <w:p w:rsidR="000F7191" w:rsidRPr="000B1E50" w:rsidRDefault="000F7191" w:rsidP="000F7191">
      <w:pPr>
        <w:spacing w:line="480" w:lineRule="auto"/>
        <w:ind w:firstLine="720"/>
        <w:rPr>
          <w:rFonts w:eastAsia="Times New Roman"/>
        </w:rPr>
      </w:pPr>
      <w:r>
        <w:t>Further capacity research expands these findings beyond the bowl and to other expression</w:t>
      </w:r>
      <w:r w:rsidR="00A04936">
        <w:t>s of alcohol-based hospitality.</w:t>
      </w:r>
      <w:r>
        <w:t xml:space="preserve"> </w:t>
      </w:r>
      <w:r w:rsidRPr="000B1E50">
        <w:t xml:space="preserve">Fragments of </w:t>
      </w:r>
      <w:r w:rsidRPr="00C341AA">
        <w:rPr>
          <w:u w:val="single"/>
        </w:rPr>
        <w:t>mugs</w:t>
      </w:r>
      <w:r w:rsidRPr="000B1E50">
        <w:t xml:space="preserve"> are common finds on eighteenth-century archaeological sites in part due to their fragility (especially the thin-bodied Nottingham and white salt-glazed stoneware variety), their rough treatment, their low cost, and their necessary function in a culture where ales and ciders we</w:t>
      </w:r>
      <w:r w:rsidR="00A04936">
        <w:t xml:space="preserve">re common beverages of choice. </w:t>
      </w:r>
      <w:r w:rsidRPr="000B1E50">
        <w:rPr>
          <w:rFonts w:eastAsia="Times New Roman"/>
        </w:rPr>
        <w:t xml:space="preserve">As a consumer good, mugs were available and affordable to large segments of the colonial population; </w:t>
      </w:r>
      <w:r w:rsidRPr="000B1E50">
        <w:t xml:space="preserve">taverns stocked </w:t>
      </w:r>
      <w:r w:rsidR="00A04936">
        <w:t>mugs as did domestic dwellings.</w:t>
      </w:r>
      <w:r w:rsidRPr="000B1E50">
        <w:t xml:space="preserve"> </w:t>
      </w:r>
      <w:r w:rsidRPr="000B1E50">
        <w:rPr>
          <w:rFonts w:eastAsia="Times New Roman"/>
        </w:rPr>
        <w:t>They served a functional purpose, but also allowed consumers to stay abreast of changing fashions in ceramic wares, particularly with the advent of white salt-</w:t>
      </w:r>
      <w:r w:rsidR="00A04936">
        <w:rPr>
          <w:rFonts w:eastAsia="Times New Roman"/>
        </w:rPr>
        <w:t>glazed stoneware and creamware.</w:t>
      </w:r>
      <w:r w:rsidRPr="000B1E50">
        <w:rPr>
          <w:rFonts w:eastAsia="Times New Roman"/>
        </w:rPr>
        <w:t xml:space="preserve"> Additionally, ownership of multiple mugs of varying capacities allowed genteel planters like George Washington to meet the </w:t>
      </w:r>
      <w:r w:rsidR="00A04936">
        <w:rPr>
          <w:rFonts w:eastAsia="Times New Roman"/>
        </w:rPr>
        <w:t xml:space="preserve">needs of any social situation. </w:t>
      </w:r>
      <w:r w:rsidRPr="000B1E50">
        <w:rPr>
          <w:rFonts w:eastAsia="Times New Roman"/>
        </w:rPr>
        <w:t>Purchase and use of mugs of different capacities, and other vessels like punch bowls, supports previous research on the elaboration and specialization in dining and foodways over the course of the eighteenth century (</w:t>
      </w:r>
      <w:r>
        <w:rPr>
          <w:rFonts w:eastAsia="Times New Roman"/>
        </w:rPr>
        <w:t xml:space="preserve">Deetz 1977; Carson 1990; </w:t>
      </w:r>
      <w:r w:rsidRPr="000B1E50">
        <w:rPr>
          <w:rFonts w:eastAsia="Times New Roman"/>
        </w:rPr>
        <w:t>Yents</w:t>
      </w:r>
      <w:r>
        <w:rPr>
          <w:rFonts w:eastAsia="Times New Roman"/>
        </w:rPr>
        <w:t>ch 1991a</w:t>
      </w:r>
      <w:r w:rsidRPr="000B1E50">
        <w:rPr>
          <w:rFonts w:eastAsia="Times New Roman"/>
        </w:rPr>
        <w:t xml:space="preserve">).   </w:t>
      </w:r>
    </w:p>
    <w:p w:rsidR="000F7191" w:rsidRDefault="000F7191" w:rsidP="000F7191">
      <w:pPr>
        <w:spacing w:line="480" w:lineRule="auto"/>
        <w:ind w:firstLine="720"/>
        <w:rPr>
          <w:rFonts w:eastAsia="Times New Roman"/>
        </w:rPr>
      </w:pPr>
      <w:r w:rsidRPr="00C341AA">
        <w:lastRenderedPageBreak/>
        <w:t>Mugs</w:t>
      </w:r>
      <w:r w:rsidRPr="000B1E50">
        <w:t xml:space="preserve"> were straight sided drinking vessels with single handles measuring taller than they were wide (</w:t>
      </w:r>
      <w:r>
        <w:t>Beaudry et al. 1988:6</w:t>
      </w:r>
      <w:r w:rsidR="00A04936">
        <w:t>0).</w:t>
      </w:r>
      <w:r w:rsidRPr="000B1E50">
        <w:t xml:space="preserve"> A minimum of 39 mugs were excavated from the South Grove Midden. </w:t>
      </w:r>
      <w:r w:rsidRPr="000B1E50">
        <w:rPr>
          <w:rFonts w:eastAsia="Times New Roman"/>
        </w:rPr>
        <w:t>The majority were slip dipped (n=15) and Nottingham (n=9) stoneware.</w:t>
      </w:r>
      <w:r w:rsidR="00A04936">
        <w:rPr>
          <w:rFonts w:eastAsia="Times New Roman"/>
        </w:rPr>
        <w:t xml:space="preserve"> </w:t>
      </w:r>
      <w:r>
        <w:rPr>
          <w:rFonts w:eastAsia="Times New Roman"/>
        </w:rPr>
        <w:t>A minimum of 11 mugs were excavated from the House for Families, primarily in refined earthenwar</w:t>
      </w:r>
      <w:r w:rsidR="00A04936">
        <w:rPr>
          <w:rFonts w:eastAsia="Times New Roman"/>
        </w:rPr>
        <w:t xml:space="preserve">e and English brown stoneware. </w:t>
      </w:r>
      <w:r>
        <w:rPr>
          <w:rFonts w:eastAsia="Times New Roman"/>
        </w:rPr>
        <w:t xml:space="preserve">Estimating the volume of a mug is a simpler exercise in geometry than it is for punch bowls by simply applying the volume formula of a cylinder where: </w:t>
      </w:r>
    </w:p>
    <w:p w:rsidR="000F7191" w:rsidRPr="000F478D" w:rsidRDefault="000F7191" w:rsidP="000F7191">
      <w:pPr>
        <w:spacing w:line="480" w:lineRule="auto"/>
        <w:ind w:firstLine="720"/>
        <w:jc w:val="center"/>
        <w:rPr>
          <w:rFonts w:eastAsia="Times New Roman"/>
          <w:i/>
        </w:rPr>
      </w:pPr>
      <w:r w:rsidRPr="000F478D">
        <w:rPr>
          <w:rFonts w:eastAsia="Times New Roman"/>
          <w:i/>
        </w:rPr>
        <w:t>Volume = πr</w:t>
      </w:r>
      <w:r w:rsidRPr="000F478D">
        <w:rPr>
          <w:rFonts w:eastAsia="Times New Roman"/>
          <w:i/>
          <w:vertAlign w:val="superscript"/>
        </w:rPr>
        <w:t>2</w:t>
      </w:r>
      <w:r w:rsidRPr="000F478D">
        <w:rPr>
          <w:rFonts w:eastAsia="Times New Roman"/>
          <w:i/>
        </w:rPr>
        <w:t>h</w:t>
      </w:r>
    </w:p>
    <w:p w:rsidR="000F7191" w:rsidRDefault="000F7191" w:rsidP="000F7191">
      <w:pPr>
        <w:spacing w:line="480" w:lineRule="auto"/>
        <w:rPr>
          <w:rFonts w:eastAsia="Times New Roman"/>
        </w:rPr>
      </w:pPr>
      <w:r>
        <w:rPr>
          <w:rFonts w:eastAsia="Times New Roman"/>
        </w:rPr>
        <w:t>Problematically, unlike punch bowls, volume cannot be estimated fr</w:t>
      </w:r>
      <w:r w:rsidR="00A04936">
        <w:rPr>
          <w:rFonts w:eastAsia="Times New Roman"/>
        </w:rPr>
        <w:t xml:space="preserve">om a single rim or base sherd. </w:t>
      </w:r>
      <w:r>
        <w:rPr>
          <w:rFonts w:eastAsia="Times New Roman"/>
        </w:rPr>
        <w:t>This is because while a rim can be estimated from a base diameter and vice versa (as most were straight-sided), mugs with the same diameter could have contained different liquid measures of</w:t>
      </w:r>
      <w:r w:rsidR="00A04936">
        <w:rPr>
          <w:rFonts w:eastAsia="Times New Roman"/>
        </w:rPr>
        <w:t xml:space="preserve"> drink based on their heights. </w:t>
      </w:r>
      <w:r>
        <w:rPr>
          <w:rFonts w:eastAsia="Times New Roman"/>
        </w:rPr>
        <w:t xml:space="preserve">In other words, vessels with the same radius came in </w:t>
      </w:r>
      <w:r w:rsidR="00A04936">
        <w:rPr>
          <w:rFonts w:eastAsia="Times New Roman"/>
        </w:rPr>
        <w:t xml:space="preserve">short and tall mugs shapes. </w:t>
      </w:r>
      <w:r>
        <w:rPr>
          <w:rFonts w:eastAsia="Times New Roman"/>
        </w:rPr>
        <w:t xml:space="preserve">Therefore, because of the lack of any complete profiles from the House for Families, capacity estimation is not possible with this dataset. </w:t>
      </w:r>
    </w:p>
    <w:p w:rsidR="000F7191" w:rsidRDefault="000F7191" w:rsidP="000F7191">
      <w:pPr>
        <w:spacing w:line="480" w:lineRule="auto"/>
        <w:rPr>
          <w:rFonts w:eastAsia="Times New Roman"/>
        </w:rPr>
      </w:pPr>
      <w:r>
        <w:rPr>
          <w:rFonts w:eastAsia="Times New Roman"/>
        </w:rPr>
        <w:tab/>
        <w:t xml:space="preserve">However, deposits like the South Grove Midden that represent household cleaning events often possess ceramic forms with a high degree </w:t>
      </w:r>
      <w:r w:rsidR="00A04936">
        <w:rPr>
          <w:rFonts w:eastAsia="Times New Roman"/>
        </w:rPr>
        <w:t>of reconstructability.</w:t>
      </w:r>
      <w:r w:rsidRPr="000F478D">
        <w:rPr>
          <w:rFonts w:eastAsia="Times New Roman"/>
        </w:rPr>
        <w:t xml:space="preserve"> Nine of the mugs from the South Grove </w:t>
      </w:r>
      <w:r>
        <w:rPr>
          <w:rFonts w:eastAsia="Times New Roman"/>
        </w:rPr>
        <w:t xml:space="preserve">had </w:t>
      </w:r>
      <w:r w:rsidRPr="000F478D">
        <w:t>the measurements</w:t>
      </w:r>
      <w:r>
        <w:t xml:space="preserve"> necessary to solve for volume:</w:t>
      </w:r>
      <w:r w:rsidRPr="000F478D">
        <w:t xml:space="preserve"> rim or base diameter and height.  Most of these are made of Nottingham stoneware.</w:t>
      </w:r>
      <w:r w:rsidR="00A04936">
        <w:t xml:space="preserve"> </w:t>
      </w:r>
      <w:r>
        <w:t>After the volume for each was found in cubic inches and converted to a liquid system of measure (by multiplying by 0.03), capacities wer</w:t>
      </w:r>
      <w:r w:rsidR="00A04936">
        <w:t xml:space="preserve">e estimated. </w:t>
      </w:r>
      <w:r>
        <w:t xml:space="preserve">What this small dataset displays is the breadth of sizes used and discarded by the Washington households: </w:t>
      </w:r>
      <w:r w:rsidRPr="000B1E50">
        <w:rPr>
          <w:rFonts w:eastAsia="Times New Roman"/>
        </w:rPr>
        <w:t>gills</w:t>
      </w:r>
      <w:r>
        <w:rPr>
          <w:rFonts w:eastAsia="Times New Roman"/>
        </w:rPr>
        <w:t xml:space="preserve"> (half of a half pint)</w:t>
      </w:r>
      <w:r w:rsidRPr="000B1E50">
        <w:rPr>
          <w:rFonts w:eastAsia="Times New Roman"/>
        </w:rPr>
        <w:t>, half pints, pints, and quarts</w:t>
      </w:r>
      <w:r>
        <w:rPr>
          <w:rFonts w:eastAsia="Times New Roman"/>
        </w:rPr>
        <w:t xml:space="preserve"> </w:t>
      </w:r>
      <w:r w:rsidRPr="00E048E5">
        <w:rPr>
          <w:rFonts w:eastAsia="Times New Roman"/>
        </w:rPr>
        <w:t>(</w:t>
      </w:r>
      <w:r>
        <w:rPr>
          <w:rFonts w:eastAsia="Times New Roman"/>
        </w:rPr>
        <w:t>Table 7-10</w:t>
      </w:r>
      <w:r w:rsidRPr="00E048E5">
        <w:rPr>
          <w:rFonts w:eastAsia="Times New Roman"/>
        </w:rPr>
        <w:t>)</w:t>
      </w:r>
      <w:r w:rsidRPr="000B1E50">
        <w:rPr>
          <w:rFonts w:eastAsia="Times New Roman"/>
        </w:rPr>
        <w:t>.</w:t>
      </w:r>
    </w:p>
    <w:p w:rsidR="000F7191" w:rsidRDefault="000F7191" w:rsidP="000F7191">
      <w:pPr>
        <w:spacing w:line="480" w:lineRule="auto"/>
        <w:ind w:firstLine="720"/>
        <w:rPr>
          <w:rFonts w:eastAsia="Times New Roman"/>
        </w:rPr>
      </w:pPr>
      <w:r w:rsidRPr="000B1E50">
        <w:rPr>
          <w:rFonts w:eastAsia="Times New Roman"/>
        </w:rPr>
        <w:t xml:space="preserve">George Washington ordered and received approximately 154 ale and beer drinking </w:t>
      </w:r>
      <w:r w:rsidR="002709F8">
        <w:rPr>
          <w:rFonts w:eastAsia="Times New Roman"/>
        </w:rPr>
        <w:t>vessels</w:t>
      </w:r>
      <w:r w:rsidRPr="000B1E50">
        <w:rPr>
          <w:rFonts w:eastAsia="Times New Roman"/>
        </w:rPr>
        <w:t xml:space="preserve"> on multiple occasion</w:t>
      </w:r>
      <w:r>
        <w:rPr>
          <w:rFonts w:eastAsia="Times New Roman"/>
        </w:rPr>
        <w:t>s between 1757 and 1772 (Table 7-11</w:t>
      </w:r>
      <w:r w:rsidRPr="000B1E50">
        <w:rPr>
          <w:rFonts w:eastAsia="Times New Roman"/>
        </w:rPr>
        <w:t xml:space="preserve">) (Mount Vernon </w:t>
      </w:r>
      <w:r w:rsidR="00A04936">
        <w:rPr>
          <w:rFonts w:eastAsia="Times New Roman"/>
        </w:rPr>
        <w:t xml:space="preserve">Archaeology </w:t>
      </w:r>
      <w:r w:rsidR="00A04936">
        <w:rPr>
          <w:rFonts w:eastAsia="Times New Roman"/>
        </w:rPr>
        <w:lastRenderedPageBreak/>
        <w:t>Department 2012a). </w:t>
      </w:r>
      <w:r w:rsidRPr="000B1E50">
        <w:rPr>
          <w:rFonts w:eastAsia="Times New Roman"/>
        </w:rPr>
        <w:t>The material of these vessels varied and included stoneware (brown and white), Chinese export porcelain, creamware, glass, and ti</w:t>
      </w:r>
      <w:r w:rsidR="00A04936">
        <w:rPr>
          <w:rFonts w:eastAsia="Times New Roman"/>
        </w:rPr>
        <w:t>n.</w:t>
      </w:r>
      <w:r w:rsidRPr="000B1E50">
        <w:rPr>
          <w:rFonts w:eastAsia="Times New Roman"/>
        </w:rPr>
        <w:t xml:space="preserve"> Size was usually specified by Washington and his factors, though this was not always t</w:t>
      </w:r>
      <w:r w:rsidR="00A04936">
        <w:rPr>
          <w:rFonts w:eastAsia="Times New Roman"/>
        </w:rPr>
        <w:t xml:space="preserve">he case for the glass vessels. </w:t>
      </w:r>
      <w:r w:rsidRPr="000B1E50">
        <w:rPr>
          <w:rFonts w:eastAsia="Times New Roman"/>
        </w:rPr>
        <w:t>Sizes ranged and included gills, half-pints, pints, quarts, and pottles</w:t>
      </w:r>
      <w:r>
        <w:rPr>
          <w:rFonts w:eastAsia="Times New Roman"/>
        </w:rPr>
        <w:t xml:space="preserve"> (2 quarts)</w:t>
      </w:r>
      <w:r w:rsidR="00A04936">
        <w:rPr>
          <w:rFonts w:eastAsia="Times New Roman"/>
        </w:rPr>
        <w:t>. </w:t>
      </w:r>
      <w:r w:rsidRPr="000B1E50">
        <w:rPr>
          <w:rFonts w:eastAsia="Times New Roman"/>
        </w:rPr>
        <w:t>Over time, it appears that Washington needed a greater variety of vessel capacities to suit different social situations</w:t>
      </w:r>
      <w:r w:rsidR="00A04936">
        <w:rPr>
          <w:rFonts w:eastAsia="Times New Roman"/>
        </w:rPr>
        <w:t xml:space="preserve">. </w:t>
      </w:r>
      <w:r>
        <w:rPr>
          <w:rFonts w:eastAsia="Times New Roman"/>
        </w:rPr>
        <w:t>S</w:t>
      </w:r>
      <w:r w:rsidRPr="000B1E50">
        <w:rPr>
          <w:rFonts w:eastAsia="Times New Roman"/>
        </w:rPr>
        <w:t>imultaneously</w:t>
      </w:r>
      <w:r w:rsidR="00F85877">
        <w:rPr>
          <w:rFonts w:eastAsia="Times New Roman"/>
        </w:rPr>
        <w:t>,</w:t>
      </w:r>
      <w:r w:rsidRPr="000B1E50">
        <w:rPr>
          <w:rFonts w:eastAsia="Times New Roman"/>
        </w:rPr>
        <w:t xml:space="preserve"> pottery factories increa</w:t>
      </w:r>
      <w:r w:rsidR="00A04936">
        <w:rPr>
          <w:rFonts w:eastAsia="Times New Roman"/>
        </w:rPr>
        <w:t>sed their range of capacities. </w:t>
      </w:r>
      <w:r w:rsidRPr="000B1E50">
        <w:rPr>
          <w:rFonts w:eastAsia="Times New Roman"/>
        </w:rPr>
        <w:t>For example, his earliest invoice, in 1757</w:t>
      </w:r>
      <w:r w:rsidR="00A04936">
        <w:rPr>
          <w:rFonts w:eastAsia="Times New Roman"/>
        </w:rPr>
        <w:t xml:space="preserve">, was for pint and quart mugs. </w:t>
      </w:r>
      <w:r w:rsidRPr="000B1E50">
        <w:rPr>
          <w:rFonts w:eastAsia="Times New Roman"/>
        </w:rPr>
        <w:t>By March of 1761, Washington was charged for brown stoneware (possibly Nottingham) mugs ranging in size from half a pint, to pint, to quart.  In 1770 and 1771, when Washington received his large order of creamware, those mugs varied in size from half a pint,</w:t>
      </w:r>
      <w:r w:rsidR="00D337A0">
        <w:rPr>
          <w:rFonts w:eastAsia="Times New Roman"/>
        </w:rPr>
        <w:t xml:space="preserve"> to pint, to quart, to pottle. </w:t>
      </w:r>
      <w:r w:rsidRPr="000B1E50">
        <w:rPr>
          <w:rFonts w:eastAsia="Times New Roman"/>
        </w:rPr>
        <w:t xml:space="preserve">On average, Washington purchased a dozen ceramic mugs at a time, though invoiced quantities ranged from 4 in 1766 to 21 in 1771.  </w:t>
      </w:r>
    </w:p>
    <w:p w:rsidR="000F7191" w:rsidRDefault="000F7191" w:rsidP="000F7191">
      <w:pPr>
        <w:rPr>
          <w:rFonts w:eastAsia="Times New Roman"/>
        </w:rPr>
      </w:pPr>
      <w:r>
        <w:rPr>
          <w:rFonts w:eastAsia="Times New Roman"/>
        </w:rPr>
        <w:br w:type="page"/>
      </w:r>
    </w:p>
    <w:p w:rsidR="000F7191" w:rsidRPr="00355F58" w:rsidRDefault="000F7191" w:rsidP="000F7191">
      <w:pPr>
        <w:spacing w:line="480" w:lineRule="auto"/>
        <w:rPr>
          <w:rFonts w:eastAsia="Times New Roman"/>
          <w:b/>
        </w:rPr>
      </w:pPr>
      <w:r w:rsidRPr="004D140B">
        <w:rPr>
          <w:rFonts w:eastAsia="Times New Roman"/>
          <w:b/>
        </w:rPr>
        <w:lastRenderedPageBreak/>
        <w:t>Table</w:t>
      </w:r>
      <w:r>
        <w:rPr>
          <w:rFonts w:eastAsia="Times New Roman"/>
          <w:b/>
        </w:rPr>
        <w:t xml:space="preserve"> 7-10</w:t>
      </w:r>
      <w:r w:rsidRPr="004D140B">
        <w:rPr>
          <w:rFonts w:eastAsia="Times New Roman"/>
          <w:b/>
        </w:rPr>
        <w:t xml:space="preserve">. </w:t>
      </w:r>
      <w:r w:rsidRPr="00355F58">
        <w:rPr>
          <w:rFonts w:eastAsia="Times New Roman"/>
        </w:rPr>
        <w:t>Capacity estimates for mugs from the South Grove</w:t>
      </w:r>
      <w:r w:rsidR="002709F8">
        <w:rPr>
          <w:rFonts w:eastAsia="Times New Roman"/>
        </w:rPr>
        <w:t xml:space="preserve"> Midden</w:t>
      </w:r>
      <w:r w:rsidRPr="00355F58">
        <w:rPr>
          <w:rFonts w:eastAsia="Times New Roman"/>
        </w:rPr>
        <w:t>.</w:t>
      </w:r>
      <w:r w:rsidRPr="000B1E50">
        <w:rPr>
          <w:rFonts w:eastAsia="Times New Roman"/>
        </w:rPr>
        <w:t xml:space="preserve">  </w:t>
      </w:r>
    </w:p>
    <w:tbl>
      <w:tblPr>
        <w:tblW w:w="9377" w:type="dxa"/>
        <w:tblInd w:w="91" w:type="dxa"/>
        <w:tblLook w:val="04A0"/>
      </w:tblPr>
      <w:tblGrid>
        <w:gridCol w:w="1151"/>
        <w:gridCol w:w="2813"/>
        <w:gridCol w:w="1273"/>
        <w:gridCol w:w="990"/>
        <w:gridCol w:w="810"/>
        <w:gridCol w:w="2340"/>
      </w:tblGrid>
      <w:tr w:rsidR="000F7191" w:rsidRPr="00355F58" w:rsidTr="00E82578">
        <w:trPr>
          <w:trHeight w:val="570"/>
        </w:trPr>
        <w:tc>
          <w:tcPr>
            <w:tcW w:w="1151"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ObjectID</w:t>
            </w:r>
          </w:p>
        </w:tc>
        <w:tc>
          <w:tcPr>
            <w:tcW w:w="2813"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Ware</w:t>
            </w:r>
          </w:p>
        </w:tc>
        <w:tc>
          <w:tcPr>
            <w:tcW w:w="1273"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Volume (mm</w:t>
            </w:r>
            <w:r w:rsidRPr="00355F58">
              <w:rPr>
                <w:rFonts w:eastAsia="Times New Roman"/>
                <w:b/>
                <w:bCs/>
                <w:color w:val="000000"/>
                <w:sz w:val="20"/>
                <w:szCs w:val="20"/>
                <w:vertAlign w:val="superscript"/>
              </w:rPr>
              <w:t>3</w:t>
            </w:r>
            <w:r w:rsidRPr="00355F58">
              <w:rPr>
                <w:rFonts w:eastAsia="Times New Roman"/>
                <w:b/>
                <w:bCs/>
                <w:color w:val="000000"/>
                <w:sz w:val="20"/>
                <w:szCs w:val="20"/>
              </w:rPr>
              <w:t>)</w:t>
            </w:r>
          </w:p>
        </w:tc>
        <w:tc>
          <w:tcPr>
            <w:tcW w:w="99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Volume (in</w:t>
            </w:r>
            <w:r w:rsidRPr="00355F58">
              <w:rPr>
                <w:rFonts w:eastAsia="Times New Roman"/>
                <w:b/>
                <w:bCs/>
                <w:color w:val="000000"/>
                <w:sz w:val="20"/>
                <w:szCs w:val="20"/>
                <w:vertAlign w:val="superscript"/>
              </w:rPr>
              <w:t>3</w:t>
            </w:r>
            <w:r w:rsidRPr="00355F58">
              <w:rPr>
                <w:rFonts w:eastAsia="Times New Roman"/>
                <w:b/>
                <w:bCs/>
                <w:color w:val="000000"/>
                <w:sz w:val="20"/>
                <w:szCs w:val="20"/>
              </w:rPr>
              <w:t>)</w:t>
            </w:r>
          </w:p>
        </w:tc>
        <w:tc>
          <w:tcPr>
            <w:tcW w:w="81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UK Pint</w:t>
            </w:r>
          </w:p>
        </w:tc>
        <w:tc>
          <w:tcPr>
            <w:tcW w:w="2340" w:type="dxa"/>
            <w:tcBorders>
              <w:top w:val="single" w:sz="4" w:space="0" w:color="auto"/>
              <w:left w:val="nil"/>
              <w:bottom w:val="single" w:sz="4" w:space="0" w:color="auto"/>
              <w:right w:val="single" w:sz="4" w:space="0" w:color="auto"/>
            </w:tcBorders>
            <w:shd w:val="clear" w:color="000000" w:fill="D8D8D8"/>
            <w:vAlign w:val="bottom"/>
            <w:hideMark/>
          </w:tcPr>
          <w:p w:rsidR="000F7191" w:rsidRPr="00355F58" w:rsidRDefault="000F7191" w:rsidP="00E82578">
            <w:pPr>
              <w:jc w:val="center"/>
              <w:rPr>
                <w:rFonts w:eastAsia="Times New Roman"/>
                <w:b/>
                <w:bCs/>
                <w:color w:val="000000"/>
                <w:sz w:val="20"/>
                <w:szCs w:val="20"/>
              </w:rPr>
            </w:pPr>
            <w:r w:rsidRPr="00355F58">
              <w:rPr>
                <w:rFonts w:eastAsia="Times New Roman"/>
                <w:b/>
                <w:bCs/>
                <w:color w:val="000000"/>
                <w:sz w:val="20"/>
                <w:szCs w:val="20"/>
              </w:rPr>
              <w:t>Capacity</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2573</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Nottingham</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197820.00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12.07</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0.36</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gill</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2574</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Nottingham</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197820.00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12.07</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0.36</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gill</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2581</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Nottingham</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376957.00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23.00</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0.69</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half-pint</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2594</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Nottingham</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445978.13</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27.21</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0.82</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pint</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2592</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Nottingham</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527755.50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32.20</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0.97</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pint</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2572</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Slip Dip</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643072.00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39.24</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1.18</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pint</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2536</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Staffordshire Mottled Glaze</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678240.00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41.38</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1.24</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pint</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2652</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Redware</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745750.00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45.50</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1.37</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pint</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2568</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White Salt Glaze</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794812.50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48.49</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1.45</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pint and a half</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2577</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Nottingham</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816400.00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49.81</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1.49</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pint and a half</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2598</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William Roger's Stoneware</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973400.00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59.39</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1.78</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quart</w:t>
            </w:r>
          </w:p>
        </w:tc>
      </w:tr>
      <w:tr w:rsidR="000F7191" w:rsidRPr="00355F58" w:rsidTr="00E82578">
        <w:trPr>
          <w:trHeight w:val="255"/>
        </w:trPr>
        <w:tc>
          <w:tcPr>
            <w:tcW w:w="1151" w:type="dxa"/>
            <w:tcBorders>
              <w:top w:val="nil"/>
              <w:left w:val="single" w:sz="4" w:space="0" w:color="auto"/>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2569</w:t>
            </w:r>
          </w:p>
        </w:tc>
        <w:tc>
          <w:tcPr>
            <w:tcW w:w="281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White Salt Glaze</w:t>
            </w:r>
          </w:p>
        </w:tc>
        <w:tc>
          <w:tcPr>
            <w:tcW w:w="1273"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1567252.50</w:t>
            </w:r>
          </w:p>
        </w:tc>
        <w:tc>
          <w:tcPr>
            <w:tcW w:w="99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95.62</w:t>
            </w:r>
          </w:p>
        </w:tc>
        <w:tc>
          <w:tcPr>
            <w:tcW w:w="81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jc w:val="right"/>
              <w:rPr>
                <w:rFonts w:eastAsia="Times New Roman"/>
                <w:color w:val="000000"/>
                <w:sz w:val="20"/>
                <w:szCs w:val="20"/>
              </w:rPr>
            </w:pPr>
            <w:r w:rsidRPr="00355F58">
              <w:rPr>
                <w:rFonts w:eastAsia="Times New Roman"/>
                <w:color w:val="000000"/>
                <w:sz w:val="20"/>
                <w:szCs w:val="20"/>
              </w:rPr>
              <w:t>2.87</w:t>
            </w:r>
          </w:p>
        </w:tc>
        <w:tc>
          <w:tcPr>
            <w:tcW w:w="2340" w:type="dxa"/>
            <w:tcBorders>
              <w:top w:val="nil"/>
              <w:left w:val="nil"/>
              <w:bottom w:val="single" w:sz="4" w:space="0" w:color="auto"/>
              <w:right w:val="single" w:sz="4" w:space="0" w:color="auto"/>
            </w:tcBorders>
            <w:shd w:val="clear" w:color="auto" w:fill="auto"/>
            <w:vAlign w:val="bottom"/>
            <w:hideMark/>
          </w:tcPr>
          <w:p w:rsidR="000F7191" w:rsidRPr="00355F58" w:rsidRDefault="000F7191" w:rsidP="00E82578">
            <w:pPr>
              <w:rPr>
                <w:rFonts w:eastAsia="Times New Roman"/>
                <w:color w:val="000000"/>
                <w:sz w:val="20"/>
                <w:szCs w:val="20"/>
              </w:rPr>
            </w:pPr>
            <w:r w:rsidRPr="00355F58">
              <w:rPr>
                <w:rFonts w:eastAsia="Times New Roman"/>
                <w:color w:val="000000"/>
                <w:sz w:val="20"/>
                <w:szCs w:val="20"/>
              </w:rPr>
              <w:t>about a quart</w:t>
            </w:r>
          </w:p>
        </w:tc>
      </w:tr>
    </w:tbl>
    <w:p w:rsidR="000F7191" w:rsidRDefault="000F7191" w:rsidP="000F7191">
      <w:pPr>
        <w:ind w:firstLine="720"/>
        <w:rPr>
          <w:rFonts w:eastAsia="Times New Roman"/>
          <w:b/>
        </w:rPr>
      </w:pPr>
    </w:p>
    <w:p w:rsidR="000F7191" w:rsidRDefault="000F7191" w:rsidP="000F7191">
      <w:pPr>
        <w:ind w:firstLine="720"/>
        <w:rPr>
          <w:rFonts w:eastAsia="Times New Roman"/>
          <w:b/>
        </w:rPr>
      </w:pPr>
    </w:p>
    <w:p w:rsidR="000F7191" w:rsidRDefault="000F7191" w:rsidP="000F7191">
      <w:pPr>
        <w:ind w:firstLine="720"/>
        <w:rPr>
          <w:rFonts w:eastAsia="Times New Roman"/>
          <w:b/>
        </w:rPr>
      </w:pPr>
    </w:p>
    <w:p w:rsidR="000F7191" w:rsidRDefault="000F7191" w:rsidP="000F7191">
      <w:pPr>
        <w:spacing w:line="480" w:lineRule="auto"/>
        <w:rPr>
          <w:rFonts w:eastAsia="Times New Roman"/>
          <w:b/>
        </w:rPr>
      </w:pPr>
      <w:r>
        <w:rPr>
          <w:rFonts w:eastAsia="Times New Roman"/>
          <w:b/>
        </w:rPr>
        <w:t>Table 7-11</w:t>
      </w:r>
      <w:r w:rsidR="00EE3B58">
        <w:rPr>
          <w:rFonts w:eastAsia="Times New Roman"/>
          <w:b/>
        </w:rPr>
        <w:t>.</w:t>
      </w:r>
      <w:r w:rsidRPr="004D140B">
        <w:rPr>
          <w:rFonts w:eastAsia="Times New Roman"/>
          <w:b/>
        </w:rPr>
        <w:t xml:space="preserve"> </w:t>
      </w:r>
      <w:r w:rsidRPr="00355F58">
        <w:t>Ceramic mugs sent to George Washington, pre-1775.</w:t>
      </w:r>
    </w:p>
    <w:tbl>
      <w:tblPr>
        <w:tblW w:w="9287" w:type="dxa"/>
        <w:tblInd w:w="91" w:type="dxa"/>
        <w:tblLook w:val="04A0"/>
      </w:tblPr>
      <w:tblGrid>
        <w:gridCol w:w="1727"/>
        <w:gridCol w:w="3150"/>
        <w:gridCol w:w="2070"/>
        <w:gridCol w:w="1080"/>
        <w:gridCol w:w="1260"/>
      </w:tblGrid>
      <w:tr w:rsidR="000F7191" w:rsidRPr="0021515B" w:rsidTr="00E82578">
        <w:trPr>
          <w:trHeight w:val="255"/>
        </w:trPr>
        <w:tc>
          <w:tcPr>
            <w:tcW w:w="172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Invoice Year</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Invoice Description</w:t>
            </w:r>
          </w:p>
        </w:tc>
        <w:tc>
          <w:tcPr>
            <w:tcW w:w="2070"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Material</w:t>
            </w:r>
          </w:p>
        </w:tc>
        <w:tc>
          <w:tcPr>
            <w:tcW w:w="1080"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Quantity</w:t>
            </w:r>
          </w:p>
        </w:tc>
        <w:tc>
          <w:tcPr>
            <w:tcW w:w="1260"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Cost</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1757</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Quart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not recorded</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0.2.0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1757</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point Ditto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not recorded</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1761</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Emborsd China Mugs 3 sizes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porcelain</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1.10.0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1761</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Quart Mugs brown Stone</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brown stoneware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4</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0.1.8</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1761</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pints Ditto [brown stone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brown stoneware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4</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1761</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1/2 pints Do [brown stone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brown stoneware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4</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0.0.6</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1765</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blue &amp; white China Qt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porcelain</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0.8.0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1765</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pts Nankeen Ditto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porcelain</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0.8.0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1765</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Quart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stoneware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0.2.6</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1766</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fine painted Image Quart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porcelain</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4</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2.0.0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1767</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Pint stone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stoneware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3</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0.0.7 1/2</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1767</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Quart Ditto [stone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stoneware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0.2.6</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1767</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Pottle Do [stone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stoneware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3</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0.3.0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1770</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Pottle Mug</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creamware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0.1.9</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1770</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Quart Ditto[mug]</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creamware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0.1.8</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1770</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Pints Do[ mug]</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creamware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4</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0.2.0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1770</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1/2 pint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creamware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4</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1771</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1/2 pint cream Col[ore]d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creamware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1771</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Pint Do[mugs]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creamware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0.2.0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1771</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Quarts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creamware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6</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0.4.0</w:t>
            </w:r>
          </w:p>
        </w:tc>
      </w:tr>
      <w:tr w:rsidR="000F7191" w:rsidRPr="0021515B" w:rsidTr="00E82578">
        <w:trPr>
          <w:trHeight w:val="255"/>
        </w:trPr>
        <w:tc>
          <w:tcPr>
            <w:tcW w:w="1727"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1771</w:t>
            </w:r>
          </w:p>
        </w:tc>
        <w:tc>
          <w:tcPr>
            <w:tcW w:w="315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2 Quarts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creamware</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3</w:t>
            </w:r>
          </w:p>
        </w:tc>
        <w:tc>
          <w:tcPr>
            <w:tcW w:w="126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0.4.0</w:t>
            </w:r>
          </w:p>
        </w:tc>
      </w:tr>
    </w:tbl>
    <w:p w:rsidR="000F7191" w:rsidRDefault="000F7191" w:rsidP="000F7191">
      <w:pPr>
        <w:spacing w:line="480" w:lineRule="auto"/>
        <w:ind w:firstLine="720"/>
        <w:rPr>
          <w:rFonts w:eastAsia="Times New Roman"/>
          <w:b/>
        </w:rPr>
      </w:pPr>
    </w:p>
    <w:p w:rsidR="000F7191" w:rsidRDefault="000F7191" w:rsidP="000F7191">
      <w:pPr>
        <w:spacing w:line="480" w:lineRule="auto"/>
        <w:ind w:firstLine="720"/>
        <w:rPr>
          <w:rFonts w:eastAsia="Times New Roman"/>
          <w:b/>
        </w:rPr>
      </w:pPr>
    </w:p>
    <w:p w:rsidR="000F7191" w:rsidRDefault="000F7191" w:rsidP="000F7191">
      <w:pPr>
        <w:spacing w:line="480" w:lineRule="auto"/>
        <w:ind w:firstLine="720"/>
      </w:pPr>
      <w:r w:rsidRPr="000B1E50">
        <w:lastRenderedPageBreak/>
        <w:t xml:space="preserve">Alexander Henderson repeatedly ordered mugs, which he usually called cans, made of a variety of materials, ceramic, metal, and glass, and available in a variety of capacities, </w:t>
      </w:r>
      <w:r w:rsidRPr="000B1E50">
        <w:rPr>
          <w:rFonts w:eastAsia="Times New Roman"/>
        </w:rPr>
        <w:t>half-pints, pints, quarts, and pottles</w:t>
      </w:r>
      <w:r w:rsidRPr="000B1E50">
        <w:t xml:space="preserve"> (</w:t>
      </w:r>
      <w:r>
        <w:t>Table</w:t>
      </w:r>
      <w:r w:rsidRPr="00E048E5">
        <w:t xml:space="preserve"> </w:t>
      </w:r>
      <w:r>
        <w:t>7-12</w:t>
      </w:r>
      <w:r w:rsidRPr="000B1E50">
        <w:t xml:space="preserve">) </w:t>
      </w:r>
      <w:r w:rsidRPr="000B1E50">
        <w:rPr>
          <w:rFonts w:eastAsia="Times New Roman"/>
        </w:rPr>
        <w:t>(Mount Vernon Archaeology Department 2012b)</w:t>
      </w:r>
      <w:r w:rsidR="00EE3B58">
        <w:t xml:space="preserve">. </w:t>
      </w:r>
      <w:r w:rsidR="002709F8">
        <w:t>However, w</w:t>
      </w:r>
      <w:r w:rsidRPr="000B1E50">
        <w:t xml:space="preserve">ithin any given material, he never </w:t>
      </w:r>
      <w:r w:rsidR="00EE3B58">
        <w:t xml:space="preserve">offered more than three sizes. </w:t>
      </w:r>
      <w:r w:rsidRPr="000B1E50">
        <w:t>The order placed in 1764 was a repeat of a 1763 o</w:t>
      </w:r>
      <w:r w:rsidR="00EE3B58">
        <w:t xml:space="preserve">rder which was never received. </w:t>
      </w:r>
      <w:r w:rsidRPr="000B1E50">
        <w:t>These vessels must have been best sellers, as Henderson ordered 44</w:t>
      </w:r>
      <w:r>
        <w:t>4 (342 of which were ceramic).</w:t>
      </w:r>
    </w:p>
    <w:p w:rsidR="000F7191" w:rsidRDefault="000F7191" w:rsidP="000F7191">
      <w:pPr>
        <w:spacing w:line="480" w:lineRule="auto"/>
        <w:ind w:firstLine="720"/>
      </w:pPr>
      <w:r w:rsidRPr="000B1E50">
        <w:t>However, data from a store ledger in nearby Dumfries, Virginia, for the same period suggests that individuals most frequently purchased just one m</w:t>
      </w:r>
      <w:r w:rsidR="00EE3B58">
        <w:t xml:space="preserve">ug (Hamrick and Hamrick 2007). </w:t>
      </w:r>
      <w:r w:rsidRPr="000B1E50">
        <w:t xml:space="preserve">Between 1758 and 1764, mugs or cans were purchased on 40 different occasions.  Seventy percent of the time, customers bought only one mug.    </w:t>
      </w:r>
      <w:r>
        <w:t xml:space="preserve"> </w:t>
      </w:r>
    </w:p>
    <w:p w:rsidR="000F7191" w:rsidRDefault="000F7191" w:rsidP="000F7191">
      <w:pPr>
        <w:spacing w:line="480" w:lineRule="auto"/>
      </w:pPr>
    </w:p>
    <w:p w:rsidR="000F7191" w:rsidRPr="0021515B" w:rsidRDefault="000F7191" w:rsidP="000F7191">
      <w:pPr>
        <w:spacing w:line="480" w:lineRule="auto"/>
        <w:rPr>
          <w:b/>
        </w:rPr>
      </w:pPr>
      <w:r>
        <w:rPr>
          <w:b/>
        </w:rPr>
        <w:t>Table 7-12</w:t>
      </w:r>
      <w:r w:rsidRPr="004D140B">
        <w:rPr>
          <w:b/>
        </w:rPr>
        <w:t xml:space="preserve">. </w:t>
      </w:r>
      <w:r w:rsidRPr="0021515B">
        <w:t>Mugs stocked by Alexander Henderson.</w:t>
      </w:r>
    </w:p>
    <w:tbl>
      <w:tblPr>
        <w:tblW w:w="9193" w:type="dxa"/>
        <w:tblInd w:w="89" w:type="dxa"/>
        <w:tblLook w:val="04A0"/>
      </w:tblPr>
      <w:tblGrid>
        <w:gridCol w:w="661"/>
        <w:gridCol w:w="1028"/>
        <w:gridCol w:w="884"/>
        <w:gridCol w:w="3476"/>
        <w:gridCol w:w="2070"/>
        <w:gridCol w:w="1074"/>
      </w:tblGrid>
      <w:tr w:rsidR="000F7191" w:rsidRPr="0033425D" w:rsidTr="00E82578">
        <w:trPr>
          <w:trHeight w:val="255"/>
        </w:trPr>
        <w:tc>
          <w:tcPr>
            <w:tcW w:w="661"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0F7191" w:rsidRPr="0033425D" w:rsidRDefault="000F7191" w:rsidP="00E82578">
            <w:pPr>
              <w:rPr>
                <w:rFonts w:eastAsia="Times New Roman"/>
                <w:b/>
                <w:bCs/>
                <w:color w:val="000000"/>
                <w:sz w:val="20"/>
                <w:szCs w:val="20"/>
              </w:rPr>
            </w:pPr>
            <w:r w:rsidRPr="0033425D">
              <w:rPr>
                <w:rFonts w:eastAsia="Times New Roman"/>
                <w:b/>
                <w:bCs/>
                <w:color w:val="000000"/>
                <w:sz w:val="20"/>
                <w:szCs w:val="20"/>
              </w:rPr>
              <w:t>Year</w:t>
            </w:r>
          </w:p>
        </w:tc>
        <w:tc>
          <w:tcPr>
            <w:tcW w:w="1028"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33425D" w:rsidRDefault="000F7191" w:rsidP="00E82578">
            <w:pPr>
              <w:rPr>
                <w:rFonts w:eastAsia="Times New Roman"/>
                <w:b/>
                <w:bCs/>
                <w:color w:val="000000"/>
                <w:sz w:val="20"/>
                <w:szCs w:val="20"/>
              </w:rPr>
            </w:pPr>
            <w:r w:rsidRPr="0033425D">
              <w:rPr>
                <w:rFonts w:eastAsia="Times New Roman"/>
                <w:b/>
                <w:bCs/>
                <w:color w:val="000000"/>
                <w:sz w:val="20"/>
                <w:szCs w:val="20"/>
              </w:rPr>
              <w:t>Quantity</w:t>
            </w:r>
          </w:p>
        </w:tc>
        <w:tc>
          <w:tcPr>
            <w:tcW w:w="884"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33425D" w:rsidRDefault="000F7191" w:rsidP="00E82578">
            <w:pPr>
              <w:rPr>
                <w:rFonts w:eastAsia="Times New Roman"/>
                <w:b/>
                <w:bCs/>
                <w:color w:val="000000"/>
                <w:sz w:val="20"/>
                <w:szCs w:val="20"/>
              </w:rPr>
            </w:pPr>
            <w:r w:rsidRPr="0033425D">
              <w:rPr>
                <w:rFonts w:eastAsia="Times New Roman"/>
                <w:b/>
                <w:bCs/>
                <w:color w:val="000000"/>
                <w:sz w:val="20"/>
                <w:szCs w:val="20"/>
              </w:rPr>
              <w:t>Item</w:t>
            </w:r>
          </w:p>
        </w:tc>
        <w:tc>
          <w:tcPr>
            <w:tcW w:w="3476"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33425D" w:rsidRDefault="000F7191" w:rsidP="00E82578">
            <w:pPr>
              <w:rPr>
                <w:rFonts w:eastAsia="Times New Roman"/>
                <w:b/>
                <w:bCs/>
                <w:color w:val="000000"/>
                <w:sz w:val="20"/>
                <w:szCs w:val="20"/>
              </w:rPr>
            </w:pPr>
            <w:r w:rsidRPr="0033425D">
              <w:rPr>
                <w:rFonts w:eastAsia="Times New Roman"/>
                <w:b/>
                <w:bCs/>
                <w:color w:val="000000"/>
                <w:sz w:val="20"/>
                <w:szCs w:val="20"/>
              </w:rPr>
              <w:t>Item Description</w:t>
            </w:r>
          </w:p>
        </w:tc>
        <w:tc>
          <w:tcPr>
            <w:tcW w:w="2070"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33425D" w:rsidRDefault="000F7191" w:rsidP="00E82578">
            <w:pPr>
              <w:rPr>
                <w:rFonts w:eastAsia="Times New Roman"/>
                <w:b/>
                <w:bCs/>
                <w:color w:val="000000"/>
                <w:sz w:val="20"/>
                <w:szCs w:val="20"/>
              </w:rPr>
            </w:pPr>
            <w:r w:rsidRPr="0033425D">
              <w:rPr>
                <w:rFonts w:eastAsia="Times New Roman"/>
                <w:b/>
                <w:bCs/>
                <w:color w:val="000000"/>
                <w:sz w:val="20"/>
                <w:szCs w:val="20"/>
              </w:rPr>
              <w:t xml:space="preserve">Material </w:t>
            </w:r>
          </w:p>
        </w:tc>
        <w:tc>
          <w:tcPr>
            <w:tcW w:w="1074"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33425D" w:rsidRDefault="000F7191" w:rsidP="00E82578">
            <w:pPr>
              <w:rPr>
                <w:rFonts w:eastAsia="Times New Roman"/>
                <w:b/>
                <w:bCs/>
                <w:color w:val="000000"/>
                <w:sz w:val="20"/>
                <w:szCs w:val="20"/>
              </w:rPr>
            </w:pPr>
            <w:r w:rsidRPr="0033425D">
              <w:rPr>
                <w:rFonts w:eastAsia="Times New Roman"/>
                <w:b/>
                <w:bCs/>
                <w:color w:val="000000"/>
                <w:sz w:val="20"/>
                <w:szCs w:val="20"/>
              </w:rPr>
              <w:t>Cost (if known)</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48</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2 quart [pottle] Canns, blue &amp; White</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earthenware</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48</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pint Canns, blue &amp; White</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earthenware</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48</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half pint Canns, blue &amp; White</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earthenware</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48</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quart Canns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stoneware</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48</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pint Canns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stoneware</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48</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half-pint Canns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stoneware</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12</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mug</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Japan'd quart Mugs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tin or copper</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0.10.0</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6</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tankard</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quart Pewter Tankards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pewter</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0.15.0</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144</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tumbler</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Tumblers, sorted</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glass</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48</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blue &amp; white quart Cans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stoneware, possible</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1.0.0</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3</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quart Canns enamel'd</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Chinese porcelain</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3</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pint Canns enamel'd</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Chinese porcelain</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1761</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12</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Quart Tin Canns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 xml:space="preserve">tin  </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1761</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12</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pint Tin Canns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 xml:space="preserve">tin  </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 </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1762</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12</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Pint Tin Canns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 xml:space="preserve">tin  </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0.3.0</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1762</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12</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Quart Tin Canns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 xml:space="preserve">tin  </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0.4.6</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1764</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12</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Japan'd Quart Canns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tin or copper</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0.9.0</w:t>
            </w:r>
          </w:p>
        </w:tc>
      </w:tr>
      <w:tr w:rsidR="000F7191" w:rsidRPr="0033425D"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1764</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jc w:val="right"/>
              <w:rPr>
                <w:rFonts w:eastAsia="Times New Roman"/>
                <w:color w:val="000000"/>
                <w:sz w:val="20"/>
                <w:szCs w:val="20"/>
              </w:rPr>
            </w:pPr>
            <w:r w:rsidRPr="0033425D">
              <w:rPr>
                <w:rFonts w:eastAsia="Times New Roman"/>
                <w:color w:val="000000"/>
                <w:sz w:val="20"/>
                <w:szCs w:val="20"/>
              </w:rPr>
              <w:t>24</w:t>
            </w:r>
          </w:p>
        </w:tc>
        <w:tc>
          <w:tcPr>
            <w:tcW w:w="88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can</w:t>
            </w:r>
          </w:p>
        </w:tc>
        <w:tc>
          <w:tcPr>
            <w:tcW w:w="3476" w:type="dxa"/>
            <w:tcBorders>
              <w:top w:val="nil"/>
              <w:left w:val="nil"/>
              <w:bottom w:val="single" w:sz="4" w:space="0" w:color="auto"/>
              <w:right w:val="single" w:sz="4" w:space="0" w:color="auto"/>
            </w:tcBorders>
            <w:shd w:val="clear" w:color="auto" w:fill="auto"/>
            <w:vAlign w:val="bottom"/>
            <w:hideMark/>
          </w:tcPr>
          <w:p w:rsidR="000F7191" w:rsidRPr="0033425D" w:rsidRDefault="000F7191" w:rsidP="00E82578">
            <w:pPr>
              <w:rPr>
                <w:rFonts w:eastAsia="Times New Roman"/>
                <w:sz w:val="20"/>
                <w:szCs w:val="20"/>
              </w:rPr>
            </w:pPr>
            <w:r w:rsidRPr="0033425D">
              <w:rPr>
                <w:rFonts w:eastAsia="Times New Roman"/>
                <w:sz w:val="20"/>
                <w:szCs w:val="20"/>
              </w:rPr>
              <w:t>Japan'd Pint Canns</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color w:val="000000"/>
                <w:sz w:val="20"/>
                <w:szCs w:val="20"/>
              </w:rPr>
            </w:pPr>
            <w:r w:rsidRPr="0033425D">
              <w:rPr>
                <w:rFonts w:eastAsia="Times New Roman"/>
                <w:color w:val="000000"/>
                <w:sz w:val="20"/>
                <w:szCs w:val="20"/>
              </w:rPr>
              <w:t>tin or copper</w:t>
            </w:r>
          </w:p>
        </w:tc>
        <w:tc>
          <w:tcPr>
            <w:tcW w:w="1074" w:type="dxa"/>
            <w:tcBorders>
              <w:top w:val="nil"/>
              <w:left w:val="nil"/>
              <w:bottom w:val="single" w:sz="4" w:space="0" w:color="auto"/>
              <w:right w:val="single" w:sz="4" w:space="0" w:color="auto"/>
            </w:tcBorders>
            <w:shd w:val="clear" w:color="auto" w:fill="auto"/>
            <w:noWrap/>
            <w:vAlign w:val="bottom"/>
            <w:hideMark/>
          </w:tcPr>
          <w:p w:rsidR="000F7191" w:rsidRPr="0033425D" w:rsidRDefault="000F7191" w:rsidP="00E82578">
            <w:pPr>
              <w:rPr>
                <w:rFonts w:eastAsia="Times New Roman"/>
                <w:sz w:val="20"/>
                <w:szCs w:val="20"/>
              </w:rPr>
            </w:pPr>
            <w:r w:rsidRPr="0033425D">
              <w:rPr>
                <w:rFonts w:eastAsia="Times New Roman"/>
                <w:sz w:val="20"/>
                <w:szCs w:val="20"/>
              </w:rPr>
              <w:t>0.6.0</w:t>
            </w:r>
          </w:p>
        </w:tc>
      </w:tr>
    </w:tbl>
    <w:p w:rsidR="000F7191" w:rsidRDefault="000F7191" w:rsidP="000F7191">
      <w:pPr>
        <w:ind w:firstLine="720"/>
        <w:rPr>
          <w:b/>
        </w:rPr>
      </w:pPr>
    </w:p>
    <w:p w:rsidR="000F7191" w:rsidRDefault="000F7191" w:rsidP="000F7191">
      <w:pPr>
        <w:ind w:firstLine="720"/>
        <w:rPr>
          <w:b/>
        </w:rPr>
      </w:pPr>
    </w:p>
    <w:p w:rsidR="000F7191" w:rsidRDefault="000F7191" w:rsidP="000F7191">
      <w:pPr>
        <w:ind w:firstLine="720"/>
      </w:pPr>
    </w:p>
    <w:p w:rsidR="000F7191" w:rsidRPr="00A11BAB" w:rsidRDefault="000F7191" w:rsidP="000F7191">
      <w:pPr>
        <w:spacing w:line="480" w:lineRule="auto"/>
        <w:ind w:firstLine="720"/>
      </w:pPr>
      <w:r w:rsidRPr="000B1E50">
        <w:lastRenderedPageBreak/>
        <w:t>George Washington ordered and reordered mug</w:t>
      </w:r>
      <w:r w:rsidR="00EE3B58">
        <w:t xml:space="preserve">s from his factors in England. </w:t>
      </w:r>
      <w:r w:rsidRPr="000B1E50">
        <w:t>Alexander Henderson stocked and restocked his store w</w:t>
      </w:r>
      <w:r w:rsidR="00EE3B58">
        <w:t xml:space="preserve">ith large inventories of mugs. </w:t>
      </w:r>
      <w:r w:rsidRPr="000B1E50">
        <w:t xml:space="preserve">Based on these datasets, the difference appears to have been in the quantities in which individuals purchased these </w:t>
      </w:r>
      <w:r w:rsidR="00EE3B58">
        <w:t xml:space="preserve">items of beverage consumption. </w:t>
      </w:r>
      <w:r w:rsidRPr="000B1E50">
        <w:t xml:space="preserve">Consumers like Washington and his peers sought to foster hospitality amongst guests in a variety of social gatherings – large and small – that necessitated </w:t>
      </w:r>
      <w:r w:rsidRPr="00A11BAB">
        <w:t>a stock of multiple vessels of different capacities, pre</w:t>
      </w:r>
      <w:r w:rsidR="00EE3B58">
        <w:t xml:space="preserve">ferably of the same ware type. </w:t>
      </w:r>
      <w:r>
        <w:t>Much like non-elite punch takers, the free whites and enslaved blacks who frequented the local store did not desire to consume ale or beer in such a form</w:t>
      </w:r>
      <w:r w:rsidR="00F85877">
        <w:t>al</w:t>
      </w:r>
      <w:r w:rsidR="00EE3B58">
        <w:t xml:space="preserve"> setting. </w:t>
      </w:r>
      <w:r w:rsidRPr="00A11BAB">
        <w:t>Archaeologists can better study this consumer strategy on archaeological sites through the application of a formula to estimate capacity.</w:t>
      </w:r>
    </w:p>
    <w:p w:rsidR="000F7191" w:rsidRPr="003C3F11" w:rsidRDefault="000F7191" w:rsidP="000F7191">
      <w:pPr>
        <w:spacing w:line="480" w:lineRule="auto"/>
        <w:ind w:firstLine="720"/>
      </w:pPr>
      <w:r w:rsidRPr="00235C12">
        <w:rPr>
          <w:u w:val="single"/>
        </w:rPr>
        <w:t>Milk pans</w:t>
      </w:r>
      <w:r w:rsidRPr="003C3F11">
        <w:t xml:space="preserve"> are the final </w:t>
      </w:r>
      <w:r>
        <w:t>group</w:t>
      </w:r>
      <w:r w:rsidRPr="003C3F11">
        <w:t xml:space="preserve"> of goods </w:t>
      </w:r>
      <w:r>
        <w:t>explored in this foodways category and speak to the production side of the foodways process</w:t>
      </w:r>
      <w:r w:rsidR="00EE3B58">
        <w:t xml:space="preserve">. </w:t>
      </w:r>
      <w:r w:rsidRPr="003C3F11">
        <w:t>Though not visible on the landscape today, Mount Vernon once had a d</w:t>
      </w:r>
      <w:r>
        <w:t>airy located south west of the m</w:t>
      </w:r>
      <w:r w:rsidR="00EE3B58">
        <w:t xml:space="preserve">ansion. </w:t>
      </w:r>
      <w:r w:rsidRPr="003C3F11">
        <w:t>This building was demolished ca. 1775 to make room fo</w:t>
      </w:r>
      <w:r>
        <w:t>r the new kitchen and expanded m</w:t>
      </w:r>
      <w:r w:rsidRPr="003C3F11">
        <w:t>ansion (</w:t>
      </w:r>
      <w:r>
        <w:t>Dalzell and Dalzell 1998:106-107</w:t>
      </w:r>
      <w:r w:rsidR="00EE3B58">
        <w:t xml:space="preserve">). </w:t>
      </w:r>
      <w:r w:rsidRPr="003C3F11">
        <w:rPr>
          <w:rFonts w:eastAsia="Times New Roman"/>
        </w:rPr>
        <w:t xml:space="preserve">Records pertaining to the individuals assigned the </w:t>
      </w:r>
      <w:r w:rsidRPr="00404473">
        <w:rPr>
          <w:rFonts w:eastAsia="Times New Roman"/>
        </w:rPr>
        <w:t>task of dairying</w:t>
      </w:r>
      <w:r w:rsidR="00EE3B58">
        <w:rPr>
          <w:rFonts w:eastAsia="Times New Roman"/>
        </w:rPr>
        <w:t xml:space="preserve"> are similarly sparse. </w:t>
      </w:r>
      <w:r w:rsidRPr="003C3F11">
        <w:rPr>
          <w:rFonts w:eastAsia="Times New Roman"/>
        </w:rPr>
        <w:t xml:space="preserve">Most likely, enslaved women, under the supervision of the female head of the household, </w:t>
      </w:r>
      <w:r w:rsidRPr="003C3F11">
        <w:t>shared this plantation craft among the other daily duties to which they were assigned</w:t>
      </w:r>
      <w:r>
        <w:t xml:space="preserve"> (Yentsch 1991b)</w:t>
      </w:r>
      <w:r w:rsidRPr="003C3F11">
        <w:t xml:space="preserve">.  </w:t>
      </w:r>
      <w:r w:rsidRPr="003C3F11">
        <w:rPr>
          <w:rFonts w:eastAsia="Times New Roman"/>
        </w:rPr>
        <w:t xml:space="preserve">  </w:t>
      </w:r>
      <w:r w:rsidRPr="003C3F11">
        <w:t xml:space="preserve">     </w:t>
      </w:r>
    </w:p>
    <w:p w:rsidR="000F7191" w:rsidRDefault="000F7191" w:rsidP="000F7191">
      <w:pPr>
        <w:spacing w:line="480" w:lineRule="auto"/>
        <w:ind w:firstLine="720"/>
      </w:pPr>
      <w:r w:rsidRPr="003C3F11">
        <w:t xml:space="preserve">Our primary source of evidence for dairying in the South Grove Midden comes in the form of a ceramic </w:t>
      </w:r>
      <w:r w:rsidR="00EE3B58">
        <w:t xml:space="preserve">vessel type called a milk pan. </w:t>
      </w:r>
      <w:r w:rsidRPr="003C3F11">
        <w:t>Milk pans could have served a variety of kitchen-related tasks, but their shallow, wide (greater than 10 inches in diameter), straight-sided form traditionally promoted the rapid cooling of milk and separation of cream to the sur</w:t>
      </w:r>
      <w:r w:rsidR="00EE3B58">
        <w:t xml:space="preserve">face (Beaudry et al. 1988:65). </w:t>
      </w:r>
      <w:r w:rsidRPr="003C3F11">
        <w:t xml:space="preserve">As consumer goods, milk pans were in high demand on plantations where dairying was part of a self-sufficient and successful plantation. </w:t>
      </w:r>
    </w:p>
    <w:p w:rsidR="000F7191" w:rsidRPr="002657F7" w:rsidRDefault="000F7191" w:rsidP="000F7191">
      <w:pPr>
        <w:spacing w:line="480" w:lineRule="auto"/>
        <w:ind w:firstLine="720"/>
      </w:pPr>
      <w:r>
        <w:lastRenderedPageBreak/>
        <w:t xml:space="preserve">George Washington’s invoices document that he received </w:t>
      </w:r>
      <w:r w:rsidRPr="002657F7">
        <w:t xml:space="preserve">244 milk pans during the first half of the 1760s </w:t>
      </w:r>
      <w:r>
        <w:t>(Mount Vernon Archaeology Department 2012a)</w:t>
      </w:r>
      <w:r w:rsidR="00EE3B58">
        <w:t xml:space="preserve">. </w:t>
      </w:r>
      <w:r w:rsidRPr="002657F7">
        <w:t>While the invoices and orders continue through 1775, milk pan purchases from England end in 1765.</w:t>
      </w:r>
      <w:r w:rsidR="00EE3B58">
        <w:t xml:space="preserve"> </w:t>
      </w:r>
      <w:r w:rsidRPr="002657F7">
        <w:t xml:space="preserve">He asked for 72 earthen milk pans in 1760, 6 large and 6 small tin milk pans and 144 “midlg size &amp; not Deep” earthen milk pans in 1762, and 96 “Welch” milk pans in 1765.    </w:t>
      </w:r>
    </w:p>
    <w:p w:rsidR="000F7191" w:rsidRPr="002657F7" w:rsidRDefault="000F7191" w:rsidP="000F7191">
      <w:pPr>
        <w:spacing w:line="480" w:lineRule="auto"/>
        <w:ind w:firstLine="720"/>
      </w:pPr>
      <w:r w:rsidRPr="002657F7">
        <w:t>Vessel size, then, was a consideration for milk pans, at least to George Washington</w:t>
      </w:r>
      <w:r w:rsidR="00EE3B58">
        <w:t xml:space="preserve"> and his British factors.</w:t>
      </w:r>
      <w:r w:rsidRPr="002657F7">
        <w:t xml:space="preserve"> However, unlike mug or punch bowl capacity, these sizes were on a relative scale with no mention of exactly how much mi</w:t>
      </w:r>
      <w:r w:rsidR="00EE3B58">
        <w:t xml:space="preserve">lk a pan was intended to hold. </w:t>
      </w:r>
      <w:r>
        <w:t xml:space="preserve">The frustrum shape and volume formula applied to punch bowls can also </w:t>
      </w:r>
      <w:r w:rsidR="00F85877">
        <w:t xml:space="preserve">be </w:t>
      </w:r>
      <w:r>
        <w:t xml:space="preserve">used </w:t>
      </w:r>
      <w:r w:rsidR="00EE3B58">
        <w:t xml:space="preserve">for milk pans. </w:t>
      </w:r>
      <w:r>
        <w:t>The only modification is that internal rim diameter was used for those pans where the rim was flare</w:t>
      </w:r>
      <w:r w:rsidR="00EE3B58">
        <w:t xml:space="preserve">d (Buckley type, for example). </w:t>
      </w:r>
      <w:r w:rsidRPr="002657F7">
        <w:t>Of the minimum 381 ceramic vessels from the midden, 22 are milk pans, made from a variety of ware types including: Buckley; William Roger’s earthenware; Colonoware; North Devon Gravel-tempered; Post-medieval London-area Redware; North Midlands/Staffordshire Slipware; Staffordshire Mangane</w:t>
      </w:r>
      <w:r w:rsidR="00EE3B58">
        <w:t xml:space="preserve">se Mottled Glaze; and Redware. </w:t>
      </w:r>
      <w:r>
        <w:t>Eight of these had reliable rim measurements</w:t>
      </w:r>
      <w:r w:rsidR="00EE3B58">
        <w:t xml:space="preserve">. </w:t>
      </w:r>
      <w:r w:rsidRPr="002657F7">
        <w:t xml:space="preserve">It seems likely that planters like George Washington, who were committed to a successful and self-sufficient dairying enterprise, would have made an investment not only </w:t>
      </w:r>
      <w:r>
        <w:t>in high quantities of</w:t>
      </w:r>
      <w:r w:rsidRPr="002657F7">
        <w:t xml:space="preserve"> milk pans, but al</w:t>
      </w:r>
      <w:r w:rsidR="00EE3B58">
        <w:t xml:space="preserve">so ones of different capacity. </w:t>
      </w:r>
      <w:r>
        <w:t>M</w:t>
      </w:r>
      <w:r w:rsidRPr="002657F7">
        <w:t>ilk pans excavated from the midden cluster around two sizes – large (14 pints or nearly 2 gallons) and small (less than</w:t>
      </w:r>
      <w:r w:rsidR="00EE3B58">
        <w:t xml:space="preserve"> 10 pints or around 1 gallon). </w:t>
      </w:r>
      <w:r>
        <w:t>The one measureable milk pan from the House for Families (out of a minimum of four) has an estimated capacity of about 14 pints (Pogue</w:t>
      </w:r>
      <w:r w:rsidR="00EE3B58">
        <w:t xml:space="preserve"> and White 1991; DAACS 2013b). </w:t>
      </w:r>
      <w:r w:rsidRPr="002657F7">
        <w:t xml:space="preserve">Therefore, Mount Vernon’s dairy used two distinct sizes of milk pans for cooling milk – large and small.  </w:t>
      </w:r>
    </w:p>
    <w:p w:rsidR="000F7191" w:rsidRPr="002657F7" w:rsidRDefault="000F7191" w:rsidP="000F7191">
      <w:pPr>
        <w:spacing w:line="480" w:lineRule="auto"/>
        <w:ind w:firstLine="720"/>
      </w:pPr>
      <w:r w:rsidRPr="002657F7">
        <w:lastRenderedPageBreak/>
        <w:t>Accounts from Alexander Henderson’s store in Colchester, Virginia</w:t>
      </w:r>
      <w:r>
        <w:t xml:space="preserve"> </w:t>
      </w:r>
      <w:r w:rsidRPr="002657F7">
        <w:t xml:space="preserve">illustrate milk pans were regularly stocked </w:t>
      </w:r>
      <w:r>
        <w:t xml:space="preserve">and that size may have been a concern for his customers as well (Mount Vernon </w:t>
      </w:r>
      <w:r w:rsidR="00EE3B58">
        <w:t xml:space="preserve">Archaeology Department 2012a). </w:t>
      </w:r>
      <w:r>
        <w:t>Henderson re</w:t>
      </w:r>
      <w:r w:rsidRPr="002657F7">
        <w:t>ordered milk pans each year with the exception of the last for which there is documentation, 1765, although the 1763 order m</w:t>
      </w:r>
      <w:r w:rsidR="00EE3B58">
        <w:t xml:space="preserve">ay not have ever arrived. </w:t>
      </w:r>
      <w:r w:rsidRPr="002657F7">
        <w:t xml:space="preserve">Tin milk pans seem to </w:t>
      </w:r>
      <w:r>
        <w:t>have been the most regularly re</w:t>
      </w:r>
      <w:r w:rsidRPr="002657F7">
        <w:t>ordered and possibly came in two different sizes (also seen in Washington’s invoice of 1763) as reflected in the double listing for tin milk</w:t>
      </w:r>
      <w:r w:rsidR="00EE3B58">
        <w:t xml:space="preserve"> pans at two different prices. </w:t>
      </w:r>
      <w:r w:rsidRPr="002657F7">
        <w:t>Henderson also offered milk pans of coarse brown ware and white stoneware, with the latter being the only of a specified capacity: two gallons.</w:t>
      </w:r>
      <w:r w:rsidR="00EE3B58">
        <w:t xml:space="preserve"> </w:t>
      </w:r>
      <w:r>
        <w:t>This size fits the larger category of milk pans excavated from the South Grove and the House for Families.</w:t>
      </w:r>
      <w:r w:rsidRPr="002657F7">
        <w:t xml:space="preserve">  </w:t>
      </w:r>
    </w:p>
    <w:p w:rsidR="00671B52" w:rsidRDefault="000F7191" w:rsidP="000F7191">
      <w:pPr>
        <w:spacing w:line="480" w:lineRule="auto"/>
        <w:ind w:firstLine="720"/>
      </w:pPr>
      <w:r>
        <w:t>If size was a desired option to retail and consignment shoppers, it appears that quantity may have been the overriding factor that motivated large-scale planters to purchase these u</w:t>
      </w:r>
      <w:r w:rsidR="00EE3B58">
        <w:t xml:space="preserve">tilitarian items from England. </w:t>
      </w:r>
      <w:r w:rsidRPr="002657F7">
        <w:t xml:space="preserve">Though we do not know the quantity of milk pans ordered in 1759, using the price information, we can estimate that it was </w:t>
      </w:r>
      <w:r>
        <w:t>about</w:t>
      </w:r>
      <w:r w:rsidR="00EE3B58">
        <w:t xml:space="preserve"> 76. </w:t>
      </w:r>
      <w:r w:rsidRPr="002657F7">
        <w:t xml:space="preserve">Interestingly, Henderson stocked at least 250 milk pans in his </w:t>
      </w:r>
      <w:r w:rsidR="00EE3B58">
        <w:t xml:space="preserve">store over this 5 year period. </w:t>
      </w:r>
      <w:r w:rsidRPr="002657F7">
        <w:t>George Washington was invoiced for only a few less during an overlapping 4 ye</w:t>
      </w:r>
      <w:r w:rsidR="00EE3B58">
        <w:t xml:space="preserve">ar period. </w:t>
      </w:r>
      <w:r w:rsidRPr="002657F7">
        <w:t>In other words, it took as many milk pans to stock a diversified plantation as it did a local store.</w:t>
      </w:r>
      <w:r w:rsidR="00EE3B58">
        <w:t xml:space="preserve"> </w:t>
      </w:r>
      <w:r w:rsidRPr="002657F7">
        <w:t>George Washington’s targeted and relatively large orders for milk pans in the early 1760s represents a particular consumer strategy for this diversifying, large-scale plantation operation</w:t>
      </w:r>
      <w:r>
        <w:t>, one that can be best described as conspicuous production as opposed to conspicuous consumption (Bell 2000)</w:t>
      </w:r>
      <w:r w:rsidR="00EE3B58">
        <w:t xml:space="preserve">. </w:t>
      </w:r>
      <w:r>
        <w:t>Acts of conspicuous production, or material investments in plantation self-sufficiency and diversification towards economic success for current and future generations, have been interpreted as just as telling as acquisitio</w:t>
      </w:r>
      <w:r w:rsidR="00EE3B58">
        <w:t xml:space="preserve">n of luxury items (Bell 2000). </w:t>
      </w:r>
      <w:r w:rsidRPr="002657F7">
        <w:t xml:space="preserve">Alexander Henderson simply did not stock the </w:t>
      </w:r>
      <w:r w:rsidRPr="002657F7">
        <w:lastRenderedPageBreak/>
        <w:t>quantities of milk pans necessary to carry out signif</w:t>
      </w:r>
      <w:r>
        <w:t>icant dairying operations</w:t>
      </w:r>
      <w:r w:rsidRPr="002657F7">
        <w:t xml:space="preserve"> like that undertaken by Washington.</w:t>
      </w:r>
      <w:r w:rsidR="00EE3B58">
        <w:t xml:space="preserve"> </w:t>
      </w:r>
      <w:r w:rsidRPr="002657F7">
        <w:t xml:space="preserve">Henderson </w:t>
      </w:r>
      <w:r>
        <w:t>met the needs of his clientele who invested less significantly in dairying activities or who may have also used the convenient and sturdy pans as wash basins and for food preparation and cooking (Beaudry et al. 1988:65).</w:t>
      </w:r>
    </w:p>
    <w:p w:rsidR="000F7191" w:rsidRDefault="00671B52" w:rsidP="000F7191">
      <w:pPr>
        <w:spacing w:line="480" w:lineRule="auto"/>
        <w:ind w:firstLine="720"/>
      </w:pPr>
      <w:r>
        <w:t>Milk</w:t>
      </w:r>
      <w:r w:rsidR="00E54001">
        <w:t xml:space="preserve"> </w:t>
      </w:r>
      <w:r>
        <w:t>pans, and a few other vessel forms, open a window into the presence of informal and local avenues of access to goods f</w:t>
      </w:r>
      <w:r w:rsidR="00A617C7">
        <w:t xml:space="preserve">ound in plantation households. </w:t>
      </w:r>
      <w:r>
        <w:t>Both the South Grove Midden and the House for Families have Colonoware vessel assemblages with the former comprising 4.3 percent and the latter 5.7 percent of the to</w:t>
      </w:r>
      <w:r w:rsidR="00A617C7">
        <w:t xml:space="preserve">tal ceramic vessel assemblage. </w:t>
      </w:r>
      <w:r>
        <w:t>Both assemblages are dominated by bowl forms, used in foo</w:t>
      </w:r>
      <w:r w:rsidR="00A617C7">
        <w:t xml:space="preserve">d preparation and consumption. </w:t>
      </w:r>
      <w:r>
        <w:t>The South Grove assemblage also has milk pans suggesting that dairying, food preparation, and consumption activities occurring near the mansion incorporated import</w:t>
      </w:r>
      <w:r w:rsidR="00A617C7">
        <w:t xml:space="preserve">ed and locally made equipment. </w:t>
      </w:r>
      <w:r>
        <w:t>No evidence has been found to date that</w:t>
      </w:r>
      <w:r w:rsidR="003F6F13">
        <w:t xml:space="preserve"> </w:t>
      </w:r>
      <w:r w:rsidR="008E4381">
        <w:t xml:space="preserve">enslaved individuals made </w:t>
      </w:r>
      <w:r w:rsidR="003F6F13">
        <w:t>C</w:t>
      </w:r>
      <w:r>
        <w:t>olon</w:t>
      </w:r>
      <w:r w:rsidR="003F6F13">
        <w:t>o</w:t>
      </w:r>
      <w:r>
        <w:t xml:space="preserve">ware at Mount Vernon, but </w:t>
      </w:r>
      <w:r w:rsidR="003F6F13">
        <w:t>a growing body of data supports</w:t>
      </w:r>
      <w:r>
        <w:t xml:space="preserve"> the use of this locally manufactured ware type in the northern Virginia region (Shott 1978; Heath 1996; </w:t>
      </w:r>
      <w:r w:rsidR="00A617C7">
        <w:t xml:space="preserve">Higgins et al. 1997; Veech 1997; </w:t>
      </w:r>
      <w:r>
        <w:t xml:space="preserve">Mouer et al. 1999; </w:t>
      </w:r>
      <w:r w:rsidR="00A617C7">
        <w:t xml:space="preserve">Crowl 2006; </w:t>
      </w:r>
      <w:r>
        <w:t>Heath and Breen 2009</w:t>
      </w:r>
      <w:r w:rsidR="00A617C7">
        <w:t>)</w:t>
      </w:r>
      <w:r>
        <w:t>.</w:t>
      </w:r>
      <w:r w:rsidR="003F6F13">
        <w:t xml:space="preserve"> Colonowares could have made their way around the Upper Potomac region through informal modes of exchange</w:t>
      </w:r>
      <w:r w:rsidR="00E54001">
        <w:t xml:space="preserve"> by </w:t>
      </w:r>
      <w:r w:rsidR="003F6F13">
        <w:t>peddlers</w:t>
      </w:r>
      <w:r w:rsidR="00E54001">
        <w:t>, for example</w:t>
      </w:r>
      <w:r w:rsidR="00EE3B58">
        <w:t xml:space="preserve">. </w:t>
      </w:r>
      <w:r w:rsidR="003F6F13">
        <w:t xml:space="preserve">The presence of two milk pans (in addition to two mugs) made by the Yorktown, Virginia potter William </w:t>
      </w:r>
      <w:r w:rsidR="00E54001">
        <w:t xml:space="preserve">Rogers (in production from 1725 to </w:t>
      </w:r>
      <w:r w:rsidR="003F6F13">
        <w:t>1745) provides additional evidence for local access to goods, despite the fact that Rogers’ kiln was in violation of British laws against colonial industries</w:t>
      </w:r>
      <w:r w:rsidR="00E54001">
        <w:t xml:space="preserve"> (Barka 2004)</w:t>
      </w:r>
      <w:r w:rsidR="003F6F13">
        <w:t xml:space="preserve">.       </w:t>
      </w:r>
      <w:r>
        <w:t xml:space="preserve">   </w:t>
      </w:r>
      <w:r w:rsidR="000F7191">
        <w:t xml:space="preserve">   </w:t>
      </w:r>
    </w:p>
    <w:p w:rsidR="000F7191" w:rsidRPr="00234722" w:rsidRDefault="000F7191" w:rsidP="000F7191">
      <w:pPr>
        <w:spacing w:line="480" w:lineRule="auto"/>
        <w:rPr>
          <w:i/>
        </w:rPr>
      </w:pPr>
      <w:r>
        <w:tab/>
      </w:r>
      <w:r w:rsidRPr="00234722">
        <w:rPr>
          <w:i/>
        </w:rPr>
        <w:t>Adornment and Accessories.</w:t>
      </w:r>
      <w:r w:rsidR="00EE3B58">
        <w:t xml:space="preserve"> </w:t>
      </w:r>
      <w:r>
        <w:t xml:space="preserve">Consumer goods that fall into the categories of clothing, personal adornment, and accessories offered individuals a readily available, affordable, portable, and appealing means through which to communicate and define their identity and express </w:t>
      </w:r>
      <w:r>
        <w:lastRenderedPageBreak/>
        <w:t>important characteristics (Carson 1994; Heath 1999b; White 2005; Galle 2010).</w:t>
      </w:r>
      <w:r w:rsidR="00EE3B58">
        <w:t xml:space="preserve"> </w:t>
      </w:r>
      <w:r>
        <w:t>Individuals from all socio-economic levels consumed items of adornment and accessories that dialectically reinforced and destabili</w:t>
      </w:r>
      <w:r w:rsidR="00EE3B58">
        <w:t xml:space="preserve">zed the colonial social order. </w:t>
      </w:r>
      <w:r>
        <w:t xml:space="preserve">This section tackles the evidence of consumption of buttons, buckles, watches, fans, metallic threads, and beads.  </w:t>
      </w:r>
      <w:r w:rsidRPr="00234722">
        <w:rPr>
          <w:i/>
        </w:rPr>
        <w:t xml:space="preserve">  </w:t>
      </w:r>
    </w:p>
    <w:p w:rsidR="000F7191" w:rsidRPr="00DB499E" w:rsidRDefault="000F7191" w:rsidP="000F7191">
      <w:pPr>
        <w:spacing w:line="480" w:lineRule="auto"/>
        <w:ind w:firstLine="720"/>
      </w:pPr>
      <w:r w:rsidRPr="00DB499E">
        <w:t xml:space="preserve">In the eighteenth century, </w:t>
      </w:r>
      <w:r w:rsidRPr="00DB499E">
        <w:rPr>
          <w:u w:val="single"/>
        </w:rPr>
        <w:t>buttons</w:t>
      </w:r>
      <w:r>
        <w:t xml:space="preserve"> and buckles</w:t>
      </w:r>
      <w:r w:rsidRPr="00DB499E">
        <w:t xml:space="preserve"> were sold separately and therefore could be considered accessories to </w:t>
      </w:r>
      <w:r>
        <w:t xml:space="preserve">and opportunities for self-expression on </w:t>
      </w:r>
      <w:r w:rsidR="00EE3B58">
        <w:t xml:space="preserve">elite and non-elite clothing. </w:t>
      </w:r>
      <w:r>
        <w:t>They offer evidence of bulk consumer purchases relating to the outfitting (literally) of a diverse and self-sufficient pla</w:t>
      </w:r>
      <w:r w:rsidR="00EE3B58">
        <w:t xml:space="preserve">ntation on the part of elites. </w:t>
      </w:r>
      <w:r>
        <w:t>Additionally, by looking beyond count and function to the aesthetic variety present on button assemblages, we glimpse consumer motivations on t</w:t>
      </w:r>
      <w:r w:rsidR="00EE3B58">
        <w:t xml:space="preserve">he part of non-elites. </w:t>
      </w:r>
      <w:r w:rsidR="000E182D" w:rsidRPr="00DB499E">
        <w:t xml:space="preserve">In general, eighteenth-century buttons were most often associated with men’s clothing, appearing on outerwear such as coats and cloaks, but also on waistcoats, breeches, stocks (neckcloths), sleeves, </w:t>
      </w:r>
      <w:r w:rsidR="000E182D">
        <w:t xml:space="preserve">collars, and handkerchiefs. </w:t>
      </w:r>
      <w:r w:rsidR="000E182D" w:rsidRPr="00DB499E">
        <w:t>Women’s clothes were fastened using laces, hooks and eyes, buckles, and straight pins</w:t>
      </w:r>
      <w:r w:rsidR="000E182D">
        <w:t xml:space="preserve"> (Hinks 1988; White 2005), but they did use linked buttons to close shirt sleeves and collars (Cofield 2012)</w:t>
      </w:r>
      <w:r w:rsidR="000E182D" w:rsidRPr="00DB499E">
        <w:t xml:space="preserve">.    </w:t>
      </w:r>
    </w:p>
    <w:p w:rsidR="000F7191" w:rsidRPr="00DB499E" w:rsidRDefault="000F7191" w:rsidP="000F7191">
      <w:pPr>
        <w:spacing w:line="480" w:lineRule="auto"/>
        <w:ind w:firstLine="720"/>
      </w:pPr>
      <w:r>
        <w:t xml:space="preserve">The evidence for </w:t>
      </w:r>
      <w:r w:rsidRPr="00DB499E">
        <w:t>George Washington</w:t>
      </w:r>
      <w:r>
        <w:t xml:space="preserve">’s personal orders for buttons as well as the ones that he intended as provisions come from the data in the </w:t>
      </w:r>
      <w:r w:rsidRPr="00DB499E">
        <w:t>consistent</w:t>
      </w:r>
      <w:r>
        <w:t xml:space="preserve"> </w:t>
      </w:r>
      <w:r w:rsidRPr="00DB499E">
        <w:t>order</w:t>
      </w:r>
      <w:r>
        <w:t xml:space="preserve"> and invoice documentation dating from </w:t>
      </w:r>
      <w:r w:rsidRPr="00DB499E">
        <w:t xml:space="preserve">1754 through 1773 (Mount Vernon Archaeology </w:t>
      </w:r>
      <w:r>
        <w:t xml:space="preserve">Department </w:t>
      </w:r>
      <w:r w:rsidR="00EE3B58">
        <w:t xml:space="preserve">2012a). </w:t>
      </w:r>
      <w:r w:rsidRPr="00DB499E">
        <w:t>He was invoiced for buttons on 22 occasions, and placed orders for three additional shipments, though the invoices do no</w:t>
      </w:r>
      <w:r w:rsidR="00EE3B58">
        <w:t xml:space="preserve">t survive. </w:t>
      </w:r>
      <w:r>
        <w:t>Over this nearly 20-</w:t>
      </w:r>
      <w:r w:rsidRPr="00DB499E">
        <w:t>year period, Washington received shipments of no less than 8023 buttons in quantities ranging from a single pair to 6 double gross (or 1</w:t>
      </w:r>
      <w:r w:rsidR="00EF424C">
        <w:t>,</w:t>
      </w:r>
      <w:r w:rsidR="00EE3B58">
        <w:t xml:space="preserve">728). </w:t>
      </w:r>
      <w:r w:rsidRPr="00DB499E">
        <w:t>Some of these buttons were clearly intended for Washington himself, such as the breast and silk coat buttons for a fine blue suit (complete with coat, waistcoat, and breeches) for “a Tall Man” sent in 1759</w:t>
      </w:r>
      <w:r>
        <w:t xml:space="preserve"> (Abbot 1988[5]:111)</w:t>
      </w:r>
      <w:r w:rsidR="00EE3B58">
        <w:t xml:space="preserve">. </w:t>
      </w:r>
      <w:r w:rsidRPr="00DB499E">
        <w:t>Others like the 42 breast (or vest</w:t>
      </w:r>
      <w:r>
        <w:t xml:space="preserve">) and coat </w:t>
      </w:r>
      <w:r>
        <w:lastRenderedPageBreak/>
        <w:t>buttons sent in 1765</w:t>
      </w:r>
      <w:r w:rsidRPr="00DB499E">
        <w:t xml:space="preserve"> were specifically for house s</w:t>
      </w:r>
      <w:r>
        <w:t>lave</w:t>
      </w:r>
      <w:r w:rsidRPr="00DB499E">
        <w:t>s</w:t>
      </w:r>
      <w:r>
        <w:t>’</w:t>
      </w:r>
      <w:r w:rsidRPr="00DB499E">
        <w:t xml:space="preserve"> livery suit</w:t>
      </w:r>
      <w:r w:rsidR="00EE3B58">
        <w:t>s.</w:t>
      </w:r>
      <w:r>
        <w:t xml:space="preserve"> </w:t>
      </w:r>
      <w:r w:rsidRPr="00DB499E">
        <w:t>On average, Washington ordered</w:t>
      </w:r>
      <w:r w:rsidR="00EE3B58">
        <w:t xml:space="preserve"> buttons in quantities of 174. </w:t>
      </w:r>
      <w:r w:rsidRPr="00DB499E">
        <w:t>This includes the massive order for buttons placed in 1773 of 1</w:t>
      </w:r>
      <w:r w:rsidR="00EF424C">
        <w:t>,</w:t>
      </w:r>
      <w:r w:rsidR="00EE3B58">
        <w:t xml:space="preserve">728 buttons. </w:t>
      </w:r>
      <w:r w:rsidRPr="00DB499E">
        <w:t xml:space="preserve">This </w:t>
      </w:r>
      <w:r>
        <w:t xml:space="preserve">order </w:t>
      </w:r>
      <w:r w:rsidRPr="00DB499E">
        <w:t>is twice the second highest orde</w:t>
      </w:r>
      <w:r w:rsidR="00EE3B58">
        <w:t xml:space="preserve">r for buttons at 864. </w:t>
      </w:r>
      <w:r w:rsidRPr="00DB499E">
        <w:t>If we remove this outlier and recalculate the average, it appears that Washington on average ordered buttons by the gross</w:t>
      </w:r>
      <w:r>
        <w:t>,</w:t>
      </w:r>
      <w:r w:rsidRPr="00DB499E">
        <w:t xml:space="preserve"> more in line with </w:t>
      </w:r>
      <w:r w:rsidR="00EE3B58">
        <w:t xml:space="preserve">the mode for the dataset: 144. </w:t>
      </w:r>
      <w:r w:rsidRPr="00DB499E">
        <w:t xml:space="preserve">The median is 72.  </w:t>
      </w:r>
    </w:p>
    <w:p w:rsidR="000F7191" w:rsidRPr="00DB499E" w:rsidRDefault="000F7191" w:rsidP="000F7191">
      <w:pPr>
        <w:spacing w:line="480" w:lineRule="auto"/>
        <w:ind w:firstLine="720"/>
      </w:pPr>
      <w:r w:rsidRPr="00DB499E">
        <w:t>Using these descriptive statistics as a guide, we can break the dataset down into below average, average, and above average invoice entries and then overlie the o</w:t>
      </w:r>
      <w:r w:rsidR="00EE3B58">
        <w:t xml:space="preserve">rder and invoice descriptions. </w:t>
      </w:r>
      <w:r w:rsidRPr="00DB499E">
        <w:t>Below average orders of buttons from 1 pair to 72 appear most often associated with suits of clothes intended for Was</w:t>
      </w:r>
      <w:r w:rsidR="00EE3B58">
        <w:t>hington or for liveried slaves.</w:t>
      </w:r>
      <w:r w:rsidRPr="00DB499E">
        <w:t xml:space="preserve"> In fact, this range is probably more accurately</w:t>
      </w:r>
      <w:r w:rsidR="00EE3B58">
        <w:t xml:space="preserve"> represented from 1 pair to 54.</w:t>
      </w:r>
      <w:r w:rsidRPr="00DB499E">
        <w:t xml:space="preserve"> (Washington’s order for 1 gross of shirt buttons in 1758 was broken down into two invoiced items (72 buttons each), one slightly more expensive than the other, but representing a total order</w:t>
      </w:r>
      <w:r w:rsidR="00EE3B58">
        <w:t xml:space="preserve"> of a gross of shirt buttons.) </w:t>
      </w:r>
      <w:r w:rsidRPr="00DB499E">
        <w:t>These orders were almost always for coat or vest buttons; only once were sleeve buttons specified.</w:t>
      </w:r>
      <w:r w:rsidR="00EE3B58">
        <w:t xml:space="preserve"> </w:t>
      </w:r>
      <w:r>
        <w:t>The one pair of buttons that Washington ordered he most certai</w:t>
      </w:r>
      <w:r w:rsidR="00EE3B58">
        <w:t xml:space="preserve">nly intended for himself. </w:t>
      </w:r>
      <w:r>
        <w:t xml:space="preserve">Just after his order for a “best” hunting whip to be engraved with his name, Washington asked for a pair of fashionable gold enameled buttons </w:t>
      </w:r>
      <w:r w:rsidR="00EE3B58">
        <w:t xml:space="preserve">(Abbot and Twohig 1994[9]:67). </w:t>
      </w:r>
      <w:r>
        <w:t xml:space="preserve">When the bill came due in the fall of 1772, Washington owed £2.6.0 for the gold plated buttons, a huge sum compared to his other button charges.   </w:t>
      </w:r>
      <w:r w:rsidRPr="00DB499E">
        <w:t xml:space="preserve">    </w:t>
      </w:r>
    </w:p>
    <w:p w:rsidR="000F7191" w:rsidRPr="00DB499E" w:rsidRDefault="000F7191" w:rsidP="000F7191">
      <w:pPr>
        <w:spacing w:line="480" w:lineRule="auto"/>
        <w:ind w:firstLine="720"/>
      </w:pPr>
      <w:r w:rsidRPr="00DB499E">
        <w:t>The mode and average of 144 is reflective of the fact that on a near-annual basis, Washington placed button orders, coat</w:t>
      </w:r>
      <w:r w:rsidR="00EE3B58">
        <w:t xml:space="preserve">, vest, and shirt, of a gross. </w:t>
      </w:r>
      <w:r w:rsidRPr="00DB499E">
        <w:t>Buttons sent in quantities of 144 and above fall into three categories: metal (some</w:t>
      </w:r>
      <w:r w:rsidR="00EE3B58">
        <w:t xml:space="preserve">times plated); wire; and horn. </w:t>
      </w:r>
      <w:r w:rsidRPr="00DB499E">
        <w:t>When isolating the above average orders, they were for coat an</w:t>
      </w:r>
      <w:r w:rsidR="00EE3B58">
        <w:t xml:space="preserve">d vest buttons when specified. </w:t>
      </w:r>
      <w:r w:rsidRPr="00DB499E">
        <w:t xml:space="preserve">What these descriptive statistics and the button descriptions suggest is that Washington was purchasing </w:t>
      </w:r>
      <w:r w:rsidRPr="00DB499E">
        <w:lastRenderedPageBreak/>
        <w:t xml:space="preserve">buttons in quantities large enough to outfit slaves’ provisioned items of clothing being made at Mount Vernon.    </w:t>
      </w:r>
    </w:p>
    <w:p w:rsidR="000F7191" w:rsidRDefault="000F7191" w:rsidP="000F7191">
      <w:pPr>
        <w:spacing w:line="480" w:lineRule="auto"/>
        <w:ind w:firstLine="720"/>
      </w:pPr>
      <w:r w:rsidRPr="00DB499E">
        <w:t xml:space="preserve">Buttons were popular items at the </w:t>
      </w:r>
      <w:r>
        <w:t>Colchester store as well</w:t>
      </w:r>
      <w:r w:rsidR="00EE3B58">
        <w:t xml:space="preserve">. </w:t>
      </w:r>
      <w:r w:rsidRPr="00DB499E">
        <w:t>Contained in the store ledgers from 1759 to 1766 is evidence for the purchase of over 1</w:t>
      </w:r>
      <w:r w:rsidR="00EE3B58">
        <w:t>1,087 buttons (Reber 2003:122).</w:t>
      </w:r>
      <w:r w:rsidRPr="00DB499E">
        <w:t xml:space="preserve"> We cannot calculate the total number of buttons stocked in the store because they were sometimes ordered by bag instead of by count, but total inventory was well over</w:t>
      </w:r>
      <w:r w:rsidR="00EE3B58">
        <w:t xml:space="preserve"> 21,000 buttons. </w:t>
      </w:r>
      <w:r>
        <w:t>Despite this massive button inventory</w:t>
      </w:r>
      <w:r w:rsidRPr="00DB499E">
        <w:t>, some of George Washington’s orders for buttons were on par w</w:t>
      </w:r>
      <w:r>
        <w:t>ith individually stocked button types</w:t>
      </w:r>
      <w:r w:rsidRPr="00DB499E">
        <w:t xml:space="preserve"> in Henderson’s store, speaking to the sheer volume of buttons necessary to clothe a large plantation.</w:t>
      </w:r>
      <w:r w:rsidR="00EE3B58">
        <w:t xml:space="preserve"> </w:t>
      </w:r>
      <w:r>
        <w:t xml:space="preserve">In some years, Washington’s large scale orders for buttons destined for the work shirts worn by the enslaved community would have completely consumed Henderson’s supply of certain button types.  </w:t>
      </w:r>
    </w:p>
    <w:p w:rsidR="000F7191" w:rsidRPr="00DB499E" w:rsidRDefault="000F7191" w:rsidP="000F7191">
      <w:pPr>
        <w:spacing w:line="480" w:lineRule="auto"/>
        <w:ind w:firstLine="720"/>
      </w:pPr>
      <w:r w:rsidRPr="00DB499E">
        <w:t>I</w:t>
      </w:r>
      <w:r>
        <w:t>nterestingly, i</w:t>
      </w:r>
      <w:r w:rsidRPr="00DB499E">
        <w:t xml:space="preserve">t appears that Henderson initially underestimated the demands of his button consumers, stocking 19 varieties in 1759 and increasing that to 29 in </w:t>
      </w:r>
      <w:r w:rsidRPr="00B87679">
        <w:t xml:space="preserve">1760 </w:t>
      </w:r>
      <w:r>
        <w:t>(</w:t>
      </w:r>
      <w:r w:rsidRPr="00B87679">
        <w:t>Mount Vernon Archaeology Department 2012b</w:t>
      </w:r>
      <w:r>
        <w:t>)</w:t>
      </w:r>
      <w:r w:rsidR="00EE3B58">
        <w:t xml:space="preserve">. </w:t>
      </w:r>
      <w:r>
        <w:t>His clientele clearly wanted more options for buttons and the opportunity for self-expression that th</w:t>
      </w:r>
      <w:r w:rsidR="00EE3B58">
        <w:t xml:space="preserve">ey embodied. </w:t>
      </w:r>
      <w:r w:rsidRPr="00DB499E">
        <w:t>Within the orders, button descriptions were sent to suit every fabric option (including broad cloth, druggist, duroy, drab, serge), item of apparel (including vests, shirts, jackets, coats, sleeves), taste (wire, glass, pearl, textile, metal both plated and unplated), and price.</w:t>
      </w:r>
      <w:r w:rsidR="00EE3B58">
        <w:t xml:space="preserve"> </w:t>
      </w:r>
      <w:r>
        <w:t>In fact, the local store seems to have offered a much broader world of buttons than that needed by George Washington, who at most was invoiced for 7 different types in a given year, compared to the 29 available locall</w:t>
      </w:r>
      <w:r w:rsidR="00EE3B58">
        <w:t xml:space="preserve">y. </w:t>
      </w:r>
      <w:r>
        <w:t>Therefore, o</w:t>
      </w:r>
      <w:r w:rsidRPr="00DB499E">
        <w:t xml:space="preserve">ne need not be a consignment consumer to have access to the world of button options.  </w:t>
      </w:r>
      <w:r>
        <w:t xml:space="preserve"> </w:t>
      </w:r>
      <w:r w:rsidRPr="00DB499E">
        <w:t xml:space="preserve">    </w:t>
      </w:r>
    </w:p>
    <w:p w:rsidR="000F7191" w:rsidRDefault="000F7191" w:rsidP="000F7191">
      <w:pPr>
        <w:spacing w:line="480" w:lineRule="auto"/>
        <w:ind w:firstLine="720"/>
      </w:pPr>
      <w:r>
        <w:t xml:space="preserve">Within the archaeological assemblages of the South Grove and the House for Families, we can assume a mix of provisioned and purchased buttons, but how might we distinguish </w:t>
      </w:r>
      <w:r>
        <w:lastRenderedPageBreak/>
        <w:t xml:space="preserve">between the buttons that Washington </w:t>
      </w:r>
      <w:r w:rsidR="00EF424C">
        <w:t xml:space="preserve">provided to be </w:t>
      </w:r>
      <w:r>
        <w:t>sewn upon the slaves’ clothing and the choices that they may have</w:t>
      </w:r>
      <w:r w:rsidR="00EE3B58">
        <w:t xml:space="preserve"> expressed at the local store? </w:t>
      </w:r>
      <w:r>
        <w:t xml:space="preserve">An assemblage of </w:t>
      </w:r>
      <w:r w:rsidRPr="00DB499E">
        <w:t xml:space="preserve">26 buttons </w:t>
      </w:r>
      <w:r>
        <w:t>dating</w:t>
      </w:r>
      <w:r w:rsidRPr="00DB499E">
        <w:t xml:space="preserve"> to the eighteenth century </w:t>
      </w:r>
      <w:r>
        <w:t xml:space="preserve">was excavated from the </w:t>
      </w:r>
      <w:r w:rsidR="00EE3B58">
        <w:t>South Grove.</w:t>
      </w:r>
      <w:r>
        <w:t xml:space="preserve"> </w:t>
      </w:r>
      <w:r w:rsidRPr="00DB499E">
        <w:t xml:space="preserve">Three </w:t>
      </w:r>
      <w:r>
        <w:t>functional</w:t>
      </w:r>
      <w:r w:rsidRPr="00DB499E">
        <w:t xml:space="preserve"> button types are </w:t>
      </w:r>
      <w:r>
        <w:t>identifiable (based on size ranges published in Hinks 1988:91, table 5 and White 2005:55-56)</w:t>
      </w:r>
      <w:r w:rsidRPr="00DB499E">
        <w:t xml:space="preserve">: large buttons for outerwear like coats and waistcoats, also called vests, (n=8); small linked buttons used primarily for sleeves (n=7); </w:t>
      </w:r>
      <w:r w:rsidR="00EE3B58">
        <w:t xml:space="preserve">and small shirt buttons (n=7). </w:t>
      </w:r>
      <w:r>
        <w:t>The House for Families yielded a larger assemblage of 38 identifiable buttons with a similar function breakdown: outerwea</w:t>
      </w:r>
      <w:r w:rsidRPr="00DB499E">
        <w:t>r</w:t>
      </w:r>
      <w:r>
        <w:t xml:space="preserve"> (n=23); sleeve (n=7); and shirt (8) (DAACS 2013b).  </w:t>
      </w:r>
    </w:p>
    <w:p w:rsidR="000F7191" w:rsidRDefault="000F7191" w:rsidP="000F7191">
      <w:pPr>
        <w:spacing w:line="480" w:lineRule="auto"/>
      </w:pPr>
      <w:r>
        <w:tab/>
        <w:t>By focusing in on one button type, we can explore the variability between sites and potentially illuminate consumer beha</w:t>
      </w:r>
      <w:r w:rsidR="00EE3B58">
        <w:t>vior on the part of non-elites.</w:t>
      </w:r>
      <w:r>
        <w:t xml:space="preserve"> The fancy pair of gold plated buttons was George Washington’s only record</w:t>
      </w:r>
      <w:r w:rsidR="00EE3B58">
        <w:t xml:space="preserve">ed purchase of linked buttons. </w:t>
      </w:r>
      <w:r>
        <w:t>We can hypothesize that because Washington was not documented as provisioning sleeve buttons to the slaves, that those found archaeologically may have come through local retail outlets or were part of undocumented orders placed by Lawrence Washington (particularly in the case of</w:t>
      </w:r>
      <w:r w:rsidR="00EE3B58">
        <w:t xml:space="preserve"> the midden). </w:t>
      </w:r>
      <w:r>
        <w:t>Sleeve buttons are “among the most personal of personal adornment artifacts” because of the varieties available to consumers and because they offered an interchangeability that sew-on butto</w:t>
      </w:r>
      <w:r w:rsidR="00EE3B58">
        <w:t xml:space="preserve">ns did not (Cofield 2012:100). </w:t>
      </w:r>
      <w:r>
        <w:t>Today, cufflinks are associated with male displays of wealth and status, such a</w:t>
      </w:r>
      <w:r w:rsidR="00EE3B58">
        <w:t xml:space="preserve">s with Washington’s gold pair. </w:t>
      </w:r>
      <w:r>
        <w:t xml:space="preserve">However, historical and archaeological evidence suggests that this was not always the case in the eighteenth century when cheap versions were widely available and the buttons themselves </w:t>
      </w:r>
      <w:r w:rsidR="00EF424C">
        <w:t xml:space="preserve">were </w:t>
      </w:r>
      <w:r>
        <w:t>used to fasten the collars and sleeves of shirts worn by free and enslaved</w:t>
      </w:r>
      <w:r w:rsidR="00EE3B58">
        <w:t xml:space="preserve"> men and women (Cofield 2012). </w:t>
      </w:r>
      <w:r>
        <w:t>The store inventories are frustratingly lacking in detail with the types of sleeve links sold beyond descriptions of black/mourning and assorted varieties (</w:t>
      </w:r>
      <w:r w:rsidRPr="00B87679">
        <w:t xml:space="preserve">Mount Vernon Archaeology Department </w:t>
      </w:r>
      <w:r w:rsidRPr="00B87679">
        <w:lastRenderedPageBreak/>
        <w:t>2012b</w:t>
      </w:r>
      <w:r w:rsidR="00EE3B58">
        <w:t xml:space="preserve">). </w:t>
      </w:r>
      <w:r>
        <w:t>In the sleeve button assemblage present from the South Grove, the predominant type is the round faceted clear and blue paste jewel set in a copper alloy housing (n=4)</w:t>
      </w:r>
      <w:r w:rsidR="00482E4F">
        <w:t xml:space="preserve"> (similar to Figure 7-8</w:t>
      </w:r>
      <w:r w:rsidR="007F5CE5">
        <w:t>; top center and top center-right)</w:t>
      </w:r>
      <w:r w:rsidR="00EE3B58">
        <w:t xml:space="preserve">. </w:t>
      </w:r>
      <w:r>
        <w:t>This type is present within the House for Families assemblage as well (n=3), but an additional three intaglio glass disks exhibit an aesthetic variability that may have been chosen for the personal clothing of slaves</w:t>
      </w:r>
      <w:r w:rsidR="00482E4F">
        <w:t xml:space="preserve"> (Figure 7-8</w:t>
      </w:r>
      <w:r w:rsidR="007F5CE5">
        <w:t>)</w:t>
      </w:r>
      <w:r w:rsidR="00EE3B58">
        <w:t xml:space="preserve">. </w:t>
      </w:r>
      <w:r>
        <w:t>One is molded to resemble a shell while another bears what ap</w:t>
      </w:r>
      <w:r w:rsidR="00EE3B58">
        <w:t xml:space="preserve">pears to be a branch of coral. </w:t>
      </w:r>
      <w:r>
        <w:t>The final disk is intricately molded with a house, tree, and fence.</w:t>
      </w:r>
      <w:r w:rsidR="00EE3B58">
        <w:t xml:space="preserve"> </w:t>
      </w:r>
      <w:r w:rsidR="00F51D07">
        <w:t>A stamped copp</w:t>
      </w:r>
      <w:r w:rsidR="00EE3B58">
        <w:t xml:space="preserve">er alloy pair is also present. </w:t>
      </w:r>
      <w:r w:rsidR="00F51D07">
        <w:t>A stamped copper alloy pair is also present.</w:t>
      </w:r>
      <w:r>
        <w:t xml:space="preserve">  </w:t>
      </w:r>
    </w:p>
    <w:p w:rsidR="007F5CE5" w:rsidRDefault="007F5CE5" w:rsidP="000F7191">
      <w:pPr>
        <w:spacing w:line="480" w:lineRule="auto"/>
      </w:pPr>
    </w:p>
    <w:p w:rsidR="007F5CE5" w:rsidRDefault="007F5CE5" w:rsidP="007F5CE5">
      <w:r>
        <w:rPr>
          <w:noProof/>
        </w:rPr>
        <w:drawing>
          <wp:inline distT="0" distB="0" distL="0" distR="0">
            <wp:extent cx="4648643" cy="2250766"/>
            <wp:effectExtent l="19050" t="0" r="0" b="0"/>
            <wp:docPr id="47" name="Picture 46" descr="762.40.47.DAACS.1007.40E.WTS.00502.40E.WTS.00521.40BB.WTS.00666.40FF.WTS.00217.40CC.WTS.00036.40FF.WTS.00178.Img00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2.40.47.DAACS.1007.40E.WTS.00502.40E.WTS.00521.40BB.WTS.00666.40FF.WTS.00217.40CC.WTS.00036.40FF.WTS.00178.Img00989.jpg"/>
                    <pic:cNvPicPr/>
                  </pic:nvPicPr>
                  <pic:blipFill>
                    <a:blip r:embed="rId43" cstate="print"/>
                    <a:srcRect l="12000" t="22713" r="9000" b="21577"/>
                    <a:stretch>
                      <a:fillRect/>
                    </a:stretch>
                  </pic:blipFill>
                  <pic:spPr>
                    <a:xfrm>
                      <a:off x="0" y="0"/>
                      <a:ext cx="4648643" cy="2250766"/>
                    </a:xfrm>
                    <a:prstGeom prst="rect">
                      <a:avLst/>
                    </a:prstGeom>
                  </pic:spPr>
                </pic:pic>
              </a:graphicData>
            </a:graphic>
          </wp:inline>
        </w:drawing>
      </w:r>
    </w:p>
    <w:p w:rsidR="007F5CE5" w:rsidRDefault="00B527AF" w:rsidP="007F5CE5">
      <w:r>
        <w:rPr>
          <w:b/>
        </w:rPr>
        <w:t>Figure 7-8</w:t>
      </w:r>
      <w:r w:rsidR="007F5CE5" w:rsidRPr="007F5CE5">
        <w:rPr>
          <w:b/>
        </w:rPr>
        <w:t>.</w:t>
      </w:r>
      <w:r w:rsidR="00EE3B58">
        <w:t xml:space="preserve"> </w:t>
      </w:r>
      <w:r w:rsidR="007F5CE5">
        <w:t>An assortment of linked butto</w:t>
      </w:r>
      <w:r w:rsidR="00EE3B58">
        <w:t>ns from the House for Families.</w:t>
      </w:r>
      <w:r w:rsidR="007F5CE5">
        <w:t xml:space="preserve"> </w:t>
      </w:r>
      <w:proofErr w:type="gramStart"/>
      <w:r w:rsidR="007F5CE5" w:rsidRPr="00355F58">
        <w:t>(Photo by</w:t>
      </w:r>
      <w:r w:rsidR="007F5CE5">
        <w:t xml:space="preserve"> </w:t>
      </w:r>
      <w:r w:rsidR="00270BD0">
        <w:t>Karen Price</w:t>
      </w:r>
      <w:r w:rsidR="007F5CE5">
        <w:t>, 2013</w:t>
      </w:r>
      <w:r w:rsidR="007F5CE5" w:rsidRPr="00355F58">
        <w:t>; courtesy of Mount Vernon Ladies’ Association.)</w:t>
      </w:r>
      <w:proofErr w:type="gramEnd"/>
    </w:p>
    <w:p w:rsidR="007F5CE5" w:rsidRDefault="007F5CE5">
      <w:r>
        <w:br w:type="page"/>
      </w:r>
    </w:p>
    <w:p w:rsidR="000F7191" w:rsidRDefault="000F7191" w:rsidP="000F7191">
      <w:pPr>
        <w:spacing w:line="480" w:lineRule="auto"/>
        <w:ind w:firstLine="720"/>
      </w:pPr>
      <w:r>
        <w:lastRenderedPageBreak/>
        <w:t>Within the category of outerwear buttons, there appears to be a similar degree of aesthetic variability not present on in the</w:t>
      </w:r>
      <w:r w:rsidR="00EE3B58">
        <w:t xml:space="preserve"> South Grove Midden assemblage.</w:t>
      </w:r>
      <w:r>
        <w:t xml:space="preserve"> One is a gold-plated waistcoat button stam</w:t>
      </w:r>
      <w:r w:rsidR="00EE3B58">
        <w:t xml:space="preserve">ped with a basket weave motif. </w:t>
      </w:r>
      <w:r>
        <w:t>A silver plated coat button is stamped with a foliate and lattice work motif, while another has an intricately</w:t>
      </w:r>
      <w:r w:rsidR="00EE3B58">
        <w:t xml:space="preserve"> woven copper alloy wire face. </w:t>
      </w:r>
      <w:r>
        <w:t>The one decorated outerwear button from the South Grove is engra</w:t>
      </w:r>
      <w:r w:rsidR="00EE3B58">
        <w:t xml:space="preserve">ved with an eight-point start. </w:t>
      </w:r>
      <w:r>
        <w:t xml:space="preserve">This aesthetic variability may suggest consumer choices on the part of the enslaved on personal clothing, though the case is less clear than for sleeve buttons as George Washington did provision gilt, silver plated, and wire coat buttons.     </w:t>
      </w:r>
    </w:p>
    <w:p w:rsidR="000F7191" w:rsidRPr="00A11BAB" w:rsidRDefault="000F7191" w:rsidP="000F7191">
      <w:pPr>
        <w:spacing w:line="480" w:lineRule="auto"/>
        <w:ind w:firstLine="720"/>
        <w:rPr>
          <w:b/>
        </w:rPr>
      </w:pPr>
      <w:r w:rsidRPr="00C46854">
        <w:rPr>
          <w:u w:val="single"/>
        </w:rPr>
        <w:t>B</w:t>
      </w:r>
      <w:r w:rsidRPr="002D6751">
        <w:rPr>
          <w:u w:val="single"/>
        </w:rPr>
        <w:t>uckles</w:t>
      </w:r>
      <w:r w:rsidRPr="00A11BAB">
        <w:t xml:space="preserve"> </w:t>
      </w:r>
      <w:r>
        <w:t xml:space="preserve">too </w:t>
      </w:r>
      <w:r w:rsidRPr="00A11BAB">
        <w:t>were sold separately and therefore offered a way to enhance appearance and express status and individua</w:t>
      </w:r>
      <w:r w:rsidR="00EE3B58">
        <w:t xml:space="preserve">lity. </w:t>
      </w:r>
      <w:r w:rsidRPr="00A11BAB">
        <w:t>George Washington displayed both wealth and gentility when he wore a matching pair of decorated and “exceedingly handsome” shoe and knee buckles that he ordered from England in 1766</w:t>
      </w:r>
      <w:r>
        <w:t xml:space="preserve"> (Abbot and Twohig 1990[7]:449)</w:t>
      </w:r>
      <w:r w:rsidRPr="00A11BAB">
        <w:t>. Buckles were popular items at local stores as well, frequented by less wealthy planters, tradesmen, and slaves. Even among the more modest assortment of buckles offered at stores, one could choose among materials and quality. Field slaves were provisioned the most basic items of clothing, including s</w:t>
      </w:r>
      <w:r>
        <w:t xml:space="preserve">hoes without buckles, leaving </w:t>
      </w:r>
      <w:r w:rsidRPr="00A11BAB">
        <w:t>little room for personal expression except with what items of personal adornment they were able to procure on their own (Digital Encyclope</w:t>
      </w:r>
      <w:r w:rsidR="00EE3B58">
        <w:t>dia of George Washington 2012).</w:t>
      </w:r>
      <w:r w:rsidRPr="00A11BAB">
        <w:t xml:space="preserve"> Male sl</w:t>
      </w:r>
      <w:r>
        <w:t>aves assigned to duties in the m</w:t>
      </w:r>
      <w:r w:rsidRPr="00A11BAB">
        <w:t>ansion received suits of livery, which included knee and shoe buckles</w:t>
      </w:r>
      <w:r>
        <w:t xml:space="preserve"> (Mount Vernon Archaeology Department 2012a)</w:t>
      </w:r>
      <w:r w:rsidRPr="00A11BAB">
        <w:t>.</w:t>
      </w:r>
    </w:p>
    <w:p w:rsidR="000F7191" w:rsidRDefault="000F7191" w:rsidP="000F7191">
      <w:pPr>
        <w:spacing w:line="480" w:lineRule="auto"/>
        <w:ind w:firstLine="720"/>
      </w:pPr>
      <w:r w:rsidRPr="00A11BAB">
        <w:t>The assemblage of South Grove buckles consists of 18 buckles and buckle fragments, 14 of</w:t>
      </w:r>
      <w:r>
        <w:t xml:space="preserve"> which could be from eighteenth-</w:t>
      </w:r>
      <w:r w:rsidR="00EE3B58">
        <w:t xml:space="preserve">century clothing. </w:t>
      </w:r>
      <w:r w:rsidRPr="00A11BAB">
        <w:t>The assemblage of cl</w:t>
      </w:r>
      <w:r>
        <w:t>othing buckles is dominated by eight shoe buckles, with five</w:t>
      </w:r>
      <w:r w:rsidRPr="00A11BAB">
        <w:t xml:space="preserve"> of an unidentified, c</w:t>
      </w:r>
      <w:r>
        <w:t>lothing-related purpose (Table</w:t>
      </w:r>
      <w:r w:rsidRPr="00E048E5">
        <w:t xml:space="preserve"> 7-</w:t>
      </w:r>
      <w:r>
        <w:t>13</w:t>
      </w:r>
      <w:r w:rsidR="00EE3B58">
        <w:t xml:space="preserve">). </w:t>
      </w:r>
      <w:r w:rsidRPr="00A11BAB">
        <w:t>The remaining identifiable buckle is ass</w:t>
      </w:r>
      <w:r w:rsidR="00EE3B58">
        <w:t xml:space="preserve">ociated with women’s clothing. </w:t>
      </w:r>
      <w:r w:rsidRPr="00A11BAB">
        <w:t xml:space="preserve">This decorative </w:t>
      </w:r>
      <w:r w:rsidRPr="00A11BAB">
        <w:lastRenderedPageBreak/>
        <w:t>buckle would have secured a belt of ribbon, known as a girdle, around a woman’s waist, s</w:t>
      </w:r>
      <w:r w:rsidR="00EE3B58">
        <w:t xml:space="preserve">erving as a fashion accessory. </w:t>
      </w:r>
      <w:r w:rsidRPr="00A11BAB">
        <w:t>This breakdown is not unexpected as shoe buckles are the most commonly recovered buckle type within an archaeological context (White 200</w:t>
      </w:r>
      <w:r>
        <w:t>5:39</w:t>
      </w:r>
      <w:r w:rsidR="00EE3B58">
        <w:t xml:space="preserve">). </w:t>
      </w:r>
      <w:r>
        <w:t>One shoe buckle (2534) is possibly for a</w:t>
      </w:r>
      <w:r w:rsidR="00EE3B58">
        <w:t xml:space="preserve"> woman’s shoe (Fales 1995:55). </w:t>
      </w:r>
      <w:r>
        <w:t xml:space="preserve">Members of the Washington household and the enslaved individuals assigned to duties near the mansion wore these buckles.  </w:t>
      </w:r>
      <w:r w:rsidRPr="00A11BAB">
        <w:t xml:space="preserve"> </w:t>
      </w:r>
    </w:p>
    <w:p w:rsidR="000F7191" w:rsidRDefault="000F7191" w:rsidP="000F7191">
      <w:pPr>
        <w:spacing w:line="480" w:lineRule="auto"/>
        <w:ind w:firstLine="720"/>
      </w:pPr>
      <w:r w:rsidRPr="00A11BAB">
        <w:t>George Washington was charged for buckles in six differe</w:t>
      </w:r>
      <w:r>
        <w:t xml:space="preserve">nt invoices for pairs and sets, </w:t>
      </w:r>
      <w:r w:rsidRPr="00A11BAB">
        <w:t>which included matching shoe and knee buckles</w:t>
      </w:r>
      <w:r>
        <w:t xml:space="preserve"> (Table 7-14</w:t>
      </w:r>
      <w:r w:rsidRPr="00A11BAB">
        <w:t xml:space="preserve">) (Mount Vernon </w:t>
      </w:r>
      <w:r w:rsidR="00EE3B58">
        <w:t xml:space="preserve">Archaeology Department 2012a). </w:t>
      </w:r>
      <w:r w:rsidRPr="00A11BAB">
        <w:t xml:space="preserve">Most of the buckles were likely used to fasten </w:t>
      </w:r>
      <w:r>
        <w:t>his</w:t>
      </w:r>
      <w:r w:rsidR="00EE3B58">
        <w:t xml:space="preserve"> shoes and breeches. </w:t>
      </w:r>
      <w:r w:rsidRPr="00A11BAB">
        <w:t>One order, however, can specifically be linked to the provisioning of buckles for</w:t>
      </w:r>
      <w:r w:rsidR="00EE3B58">
        <w:t xml:space="preserve"> enslaved, male house servants.</w:t>
      </w:r>
      <w:r w:rsidRPr="00A11BAB">
        <w:t xml:space="preserve"> In 1759, Washin</w:t>
      </w:r>
      <w:r>
        <w:t>gton ordered a dozen sets of coa</w:t>
      </w:r>
      <w:r w:rsidRPr="00A11BAB">
        <w:t>rse shoe and knee buckles in addition to hats, hose, and fabric a</w:t>
      </w:r>
      <w:r w:rsidR="00EE3B58">
        <w:t xml:space="preserve">ppropriate for slave clothing. </w:t>
      </w:r>
      <w:r w:rsidRPr="00A11BAB">
        <w:t>The 1768 invoice for “strong Pinchbeck buckles” could also have been intended for liveried house servants, though the context of the order does not provide additiona</w:t>
      </w:r>
      <w:r w:rsidR="00EE3B58">
        <w:t xml:space="preserve">l support for this contention. </w:t>
      </w:r>
      <w:r w:rsidRPr="00A11BAB">
        <w:t>The term Pinchbeck referred to an alloy of copper and zinc used to make</w:t>
      </w:r>
      <w:r w:rsidR="00EE3B58">
        <w:t xml:space="preserve"> inexpensive</w:t>
      </w:r>
      <w:r w:rsidRPr="00A11BAB">
        <w:t xml:space="preserve"> clocks and jewelry and </w:t>
      </w:r>
      <w:r w:rsidR="00EE3B58">
        <w:t>came to be</w:t>
      </w:r>
      <w:r w:rsidRPr="00A11BAB">
        <w:t xml:space="preserve"> associated with anything of deceptive appearance or little value (Abbot and Twohig 1993[8]:136, footnote 6).      </w:t>
      </w:r>
    </w:p>
    <w:p w:rsidR="003F5327" w:rsidRDefault="000F7191" w:rsidP="000F7191">
      <w:pPr>
        <w:spacing w:line="480" w:lineRule="auto"/>
      </w:pPr>
      <w:r>
        <w:tab/>
      </w:r>
    </w:p>
    <w:p w:rsidR="003F5327" w:rsidRDefault="003F5327">
      <w:r>
        <w:br w:type="page"/>
      </w:r>
    </w:p>
    <w:p w:rsidR="000F7191" w:rsidRDefault="000F7191" w:rsidP="003F5327">
      <w:pPr>
        <w:spacing w:line="480" w:lineRule="auto"/>
        <w:ind w:firstLine="720"/>
      </w:pPr>
      <w:r w:rsidRPr="00A11BAB">
        <w:lastRenderedPageBreak/>
        <w:t xml:space="preserve">Buckles must have been popular items at Alexander Henderson’s store – he stocked a total of 612 pairs and had to replenish his inventory on 3 occasions within a span of 6 years </w:t>
      </w:r>
      <w:r>
        <w:t xml:space="preserve">(Table 7-15) </w:t>
      </w:r>
      <w:r w:rsidRPr="00A11BAB">
        <w:t>(Mount Vernon</w:t>
      </w:r>
      <w:r w:rsidR="00EE3B58">
        <w:t xml:space="preserve"> Archaeology Department 2012b).</w:t>
      </w:r>
      <w:r w:rsidRPr="00A11BAB">
        <w:t xml:space="preserve"> Interestingly, Henderson</w:t>
      </w:r>
      <w:r>
        <w:t xml:space="preserve"> only stocked one type of buckle –</w:t>
      </w:r>
      <w:r w:rsidRPr="00A11BAB">
        <w:t xml:space="preserve"> shoe </w:t>
      </w:r>
      <w:r>
        <w:t xml:space="preserve">– </w:t>
      </w:r>
      <w:r w:rsidRPr="00A11BAB">
        <w:t xml:space="preserve">although he offered an extensive selection </w:t>
      </w:r>
      <w:r>
        <w:t xml:space="preserve">within this one type </w:t>
      </w:r>
      <w:r w:rsidRPr="00A11BAB">
        <w:t>(black mourning, copper, steel, white metal, fine, strong, strong copper, strong steel, and wome</w:t>
      </w:r>
      <w:r>
        <w:t>n’s)</w:t>
      </w:r>
      <w:r w:rsidR="00EE3B58">
        <w:t xml:space="preserve">. </w:t>
      </w:r>
      <w:r w:rsidRPr="00A11BAB">
        <w:t>The repeated orders for “strong” shoe buckles suggest that they were meant for fas</w:t>
      </w:r>
      <w:r w:rsidR="00EE3B58">
        <w:t xml:space="preserve">tening utilitarian work shoes. </w:t>
      </w:r>
      <w:r w:rsidRPr="00A11BAB">
        <w:t xml:space="preserve">The description of a </w:t>
      </w:r>
      <w:r w:rsidRPr="00413F96">
        <w:t xml:space="preserve">dozen </w:t>
      </w:r>
      <w:r>
        <w:t>“</w:t>
      </w:r>
      <w:r w:rsidRPr="00413F96">
        <w:t>fine</w:t>
      </w:r>
      <w:r>
        <w:t>”</w:t>
      </w:r>
      <w:r w:rsidRPr="00413F96">
        <w:t xml:space="preserve"> shoe buckles hints that some buckles served as fashion accessories on dress, as opposed to work, shoes.</w:t>
      </w:r>
    </w:p>
    <w:p w:rsidR="000F7191" w:rsidRDefault="000F7191" w:rsidP="000F7191">
      <w:pPr>
        <w:rPr>
          <w:b/>
        </w:rPr>
      </w:pPr>
    </w:p>
    <w:p w:rsidR="003F5327" w:rsidRDefault="003F5327" w:rsidP="000F7191">
      <w:pPr>
        <w:rPr>
          <w:b/>
        </w:rPr>
      </w:pPr>
    </w:p>
    <w:p w:rsidR="000F7191" w:rsidRDefault="000F7191" w:rsidP="000F7191">
      <w:pPr>
        <w:spacing w:line="480" w:lineRule="auto"/>
      </w:pPr>
      <w:r>
        <w:rPr>
          <w:b/>
        </w:rPr>
        <w:t>Table 7-13</w:t>
      </w:r>
      <w:r w:rsidRPr="004D140B">
        <w:rPr>
          <w:b/>
        </w:rPr>
        <w:t xml:space="preserve">. </w:t>
      </w:r>
      <w:r w:rsidRPr="0021515B">
        <w:t>Buckles from the South Grove Midden.</w:t>
      </w:r>
      <w:r w:rsidRPr="00A11BAB">
        <w:t xml:space="preserve"> </w:t>
      </w:r>
    </w:p>
    <w:tbl>
      <w:tblPr>
        <w:tblW w:w="9287" w:type="dxa"/>
        <w:tblInd w:w="91" w:type="dxa"/>
        <w:tblLook w:val="04A0"/>
      </w:tblPr>
      <w:tblGrid>
        <w:gridCol w:w="1817"/>
        <w:gridCol w:w="2070"/>
        <w:gridCol w:w="1710"/>
        <w:gridCol w:w="3690"/>
      </w:tblGrid>
      <w:tr w:rsidR="000F7191" w:rsidRPr="0021515B" w:rsidTr="00067C6E">
        <w:trPr>
          <w:trHeight w:val="255"/>
        </w:trPr>
        <w:tc>
          <w:tcPr>
            <w:tcW w:w="181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ID</w:t>
            </w:r>
          </w:p>
        </w:tc>
        <w:tc>
          <w:tcPr>
            <w:tcW w:w="2070"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Type</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Material</w:t>
            </w:r>
          </w:p>
        </w:tc>
        <w:tc>
          <w:tcPr>
            <w:tcW w:w="3690"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Decoration</w:t>
            </w:r>
          </w:p>
        </w:tc>
      </w:tr>
      <w:tr w:rsidR="000F7191" w:rsidRPr="0021515B" w:rsidTr="00067C6E">
        <w:trPr>
          <w:trHeight w:val="510"/>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2706</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Clothing, unidentified</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Decorative rococo style scrollwork.</w:t>
            </w:r>
          </w:p>
        </w:tc>
      </w:tr>
      <w:tr w:rsidR="000F7191" w:rsidRPr="0021515B" w:rsidTr="00067C6E">
        <w:trPr>
          <w:trHeight w:val="510"/>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2713</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Clothing, unidentified</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Pewter</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Decorative rococo-style scrollwork.</w:t>
            </w:r>
          </w:p>
        </w:tc>
      </w:tr>
      <w:tr w:rsidR="000F7191" w:rsidRPr="0021515B" w:rsidTr="00067C6E">
        <w:trPr>
          <w:trHeight w:val="510"/>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2763</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Clothing, unidentified</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Undecorated.</w:t>
            </w:r>
          </w:p>
        </w:tc>
      </w:tr>
      <w:tr w:rsidR="000F7191" w:rsidRPr="0021515B" w:rsidTr="00067C6E">
        <w:trPr>
          <w:trHeight w:val="510"/>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1025-929N-FLT-1/4--00005</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Clothing, unidentified</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Undecorated.</w:t>
            </w:r>
          </w:p>
        </w:tc>
      </w:tr>
      <w:tr w:rsidR="000F7191" w:rsidRPr="0021515B" w:rsidTr="00067C6E">
        <w:trPr>
          <w:trHeight w:val="510"/>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1025-328H-FLT-1/4--00035</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Clothing, unidentified</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Iron</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Undecorated.</w:t>
            </w:r>
          </w:p>
        </w:tc>
      </w:tr>
      <w:tr w:rsidR="000F7191" w:rsidRPr="0021515B" w:rsidTr="00067C6E">
        <w:trPr>
          <w:trHeight w:val="800"/>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2757</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Girdle</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Iron</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Ornate, high style buckle, probably plated; botanical motif appears to have pears and round fruit, possibly apples.</w:t>
            </w:r>
          </w:p>
        </w:tc>
      </w:tr>
      <w:tr w:rsidR="000F7191" w:rsidRPr="0021515B" w:rsidTr="00067C6E">
        <w:trPr>
          <w:trHeight w:val="255"/>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2534</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Pewter</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 xml:space="preserve">Geometric design.  </w:t>
            </w:r>
          </w:p>
        </w:tc>
      </w:tr>
      <w:tr w:rsidR="000F7191" w:rsidRPr="0021515B" w:rsidTr="00067C6E">
        <w:trPr>
          <w:trHeight w:val="440"/>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2756</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 xml:space="preserve">Ornamental grooves with possible heart shaped motifs on either end of the frame. </w:t>
            </w:r>
          </w:p>
        </w:tc>
      </w:tr>
      <w:tr w:rsidR="000F7191" w:rsidRPr="0021515B" w:rsidTr="00067C6E">
        <w:trPr>
          <w:trHeight w:val="255"/>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2758</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Undecorated.</w:t>
            </w:r>
          </w:p>
        </w:tc>
      </w:tr>
      <w:tr w:rsidR="000F7191" w:rsidRPr="0021515B" w:rsidTr="00067C6E">
        <w:trPr>
          <w:trHeight w:val="260"/>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2759</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Ornamental grooves and linear design.</w:t>
            </w:r>
          </w:p>
        </w:tc>
      </w:tr>
      <w:tr w:rsidR="000F7191" w:rsidRPr="0021515B" w:rsidTr="00067C6E">
        <w:trPr>
          <w:trHeight w:val="255"/>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2760</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Geometric and linear decoration.</w:t>
            </w:r>
          </w:p>
        </w:tc>
      </w:tr>
      <w:tr w:rsidR="000F7191" w:rsidRPr="0021515B" w:rsidTr="00067C6E">
        <w:trPr>
          <w:trHeight w:val="510"/>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2761</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Molded scrollwork and foliate decoration.  Scalloped edges.</w:t>
            </w:r>
          </w:p>
        </w:tc>
      </w:tr>
      <w:tr w:rsidR="000F7191" w:rsidRPr="0021515B" w:rsidTr="00067C6E">
        <w:trPr>
          <w:trHeight w:val="255"/>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2762</w:t>
            </w:r>
          </w:p>
        </w:tc>
        <w:tc>
          <w:tcPr>
            <w:tcW w:w="207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Iron</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Undecorated.</w:t>
            </w:r>
          </w:p>
        </w:tc>
      </w:tr>
      <w:tr w:rsidR="000F7191" w:rsidRPr="0021515B" w:rsidTr="00067C6E">
        <w:trPr>
          <w:trHeight w:val="510"/>
        </w:trPr>
        <w:tc>
          <w:tcPr>
            <w:tcW w:w="1817"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jc w:val="right"/>
              <w:rPr>
                <w:rFonts w:eastAsia="Times New Roman"/>
                <w:color w:val="000000"/>
                <w:sz w:val="20"/>
                <w:szCs w:val="20"/>
              </w:rPr>
            </w:pPr>
            <w:r w:rsidRPr="0021515B">
              <w:rPr>
                <w:rFonts w:eastAsia="Times New Roman"/>
                <w:color w:val="000000"/>
                <w:sz w:val="20"/>
                <w:szCs w:val="20"/>
              </w:rPr>
              <w:t>1025-328H-FLT-1/4--00034</w:t>
            </w:r>
          </w:p>
        </w:tc>
        <w:tc>
          <w:tcPr>
            <w:tcW w:w="20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71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69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Ornamental grooves.</w:t>
            </w:r>
          </w:p>
        </w:tc>
      </w:tr>
    </w:tbl>
    <w:p w:rsidR="000F7191" w:rsidRDefault="000F7191" w:rsidP="000F7191">
      <w:pPr>
        <w:ind w:firstLine="720"/>
        <w:rPr>
          <w:b/>
        </w:rPr>
      </w:pPr>
    </w:p>
    <w:p w:rsidR="000F7191" w:rsidRDefault="000F7191" w:rsidP="000F7191">
      <w:pPr>
        <w:ind w:firstLine="720"/>
        <w:rPr>
          <w:b/>
        </w:rPr>
      </w:pPr>
    </w:p>
    <w:p w:rsidR="000F7191" w:rsidRDefault="000F7191" w:rsidP="000F7191">
      <w:pPr>
        <w:ind w:firstLine="720"/>
        <w:rPr>
          <w:b/>
        </w:rPr>
      </w:pPr>
    </w:p>
    <w:p w:rsidR="000F7191" w:rsidRDefault="000F7191" w:rsidP="000F7191">
      <w:r>
        <w:rPr>
          <w:b/>
        </w:rPr>
        <w:lastRenderedPageBreak/>
        <w:t>Table 7-14</w:t>
      </w:r>
      <w:r w:rsidRPr="004D140B">
        <w:rPr>
          <w:b/>
        </w:rPr>
        <w:t xml:space="preserve">. </w:t>
      </w:r>
      <w:r w:rsidRPr="0021515B">
        <w:t>Buckles from George Washington’s invoices and orders.</w:t>
      </w:r>
    </w:p>
    <w:p w:rsidR="000F7191" w:rsidRDefault="000F7191" w:rsidP="000F7191">
      <w:pPr>
        <w:rPr>
          <w:b/>
        </w:rPr>
      </w:pPr>
    </w:p>
    <w:tbl>
      <w:tblPr>
        <w:tblW w:w="9377" w:type="dxa"/>
        <w:tblInd w:w="91" w:type="dxa"/>
        <w:tblLook w:val="04A0"/>
      </w:tblPr>
      <w:tblGrid>
        <w:gridCol w:w="1300"/>
        <w:gridCol w:w="2612"/>
        <w:gridCol w:w="3664"/>
        <w:gridCol w:w="1028"/>
        <w:gridCol w:w="773"/>
      </w:tblGrid>
      <w:tr w:rsidR="000F7191" w:rsidRPr="0021515B" w:rsidTr="00E82578">
        <w:trPr>
          <w:trHeight w:val="255"/>
        </w:trPr>
        <w:tc>
          <w:tcPr>
            <w:tcW w:w="130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Invoice Date</w:t>
            </w:r>
          </w:p>
        </w:tc>
        <w:tc>
          <w:tcPr>
            <w:tcW w:w="2612" w:type="dxa"/>
            <w:tcBorders>
              <w:top w:val="single" w:sz="4" w:space="0" w:color="auto"/>
              <w:left w:val="nil"/>
              <w:bottom w:val="single" w:sz="4" w:space="0" w:color="auto"/>
              <w:right w:val="single" w:sz="4" w:space="0" w:color="auto"/>
            </w:tcBorders>
            <w:shd w:val="clear" w:color="000000" w:fill="C0C0C0"/>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Invoice Description</w:t>
            </w:r>
          </w:p>
        </w:tc>
        <w:tc>
          <w:tcPr>
            <w:tcW w:w="3664" w:type="dxa"/>
            <w:tcBorders>
              <w:top w:val="single" w:sz="4" w:space="0" w:color="auto"/>
              <w:left w:val="nil"/>
              <w:bottom w:val="single" w:sz="4" w:space="0" w:color="auto"/>
              <w:right w:val="single" w:sz="4" w:space="0" w:color="auto"/>
            </w:tcBorders>
            <w:shd w:val="clear" w:color="000000" w:fill="C0C0C0"/>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Order Description</w:t>
            </w:r>
          </w:p>
        </w:tc>
        <w:tc>
          <w:tcPr>
            <w:tcW w:w="1028"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Quantity</w:t>
            </w:r>
          </w:p>
        </w:tc>
        <w:tc>
          <w:tcPr>
            <w:tcW w:w="773" w:type="dxa"/>
            <w:tcBorders>
              <w:top w:val="single" w:sz="4" w:space="0" w:color="auto"/>
              <w:left w:val="nil"/>
              <w:bottom w:val="single" w:sz="4" w:space="0" w:color="auto"/>
              <w:right w:val="single" w:sz="4" w:space="0" w:color="auto"/>
            </w:tcBorders>
            <w:shd w:val="clear" w:color="000000" w:fill="C0C0C0"/>
            <w:noWrap/>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Cost</w:t>
            </w:r>
          </w:p>
        </w:tc>
      </w:tr>
      <w:tr w:rsidR="000F7191" w:rsidRPr="0021515B" w:rsidTr="00E82578">
        <w:trPr>
          <w:trHeight w:val="255"/>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3/15/1760</w:t>
            </w:r>
          </w:p>
        </w:tc>
        <w:tc>
          <w:tcPr>
            <w:tcW w:w="2612"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Setts mettal Buckles</w:t>
            </w:r>
          </w:p>
        </w:tc>
        <w:tc>
          <w:tcPr>
            <w:tcW w:w="3664"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 dozn pr course Shoe &amp; knee buckles</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12 sets</w:t>
            </w:r>
          </w:p>
        </w:tc>
        <w:tc>
          <w:tcPr>
            <w:tcW w:w="773"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0.10.0</w:t>
            </w:r>
          </w:p>
        </w:tc>
      </w:tr>
      <w:tr w:rsidR="000F7191" w:rsidRPr="0021515B" w:rsidTr="00E82578">
        <w:trPr>
          <w:trHeight w:val="255"/>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2/13/1764</w:t>
            </w:r>
          </w:p>
        </w:tc>
        <w:tc>
          <w:tcPr>
            <w:tcW w:w="2612"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Oval Stone knee Buckles</w:t>
            </w:r>
          </w:p>
        </w:tc>
        <w:tc>
          <w:tcPr>
            <w:tcW w:w="3664"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 pr midling large Ovalstone knee Buckles</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 pair</w:t>
            </w:r>
          </w:p>
        </w:tc>
        <w:tc>
          <w:tcPr>
            <w:tcW w:w="773"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w:t>
            </w:r>
          </w:p>
        </w:tc>
      </w:tr>
      <w:tr w:rsidR="000F7191" w:rsidRPr="0021515B" w:rsidTr="00E82578">
        <w:trPr>
          <w:trHeight w:val="24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2/13/1764</w:t>
            </w:r>
          </w:p>
        </w:tc>
        <w:tc>
          <w:tcPr>
            <w:tcW w:w="2612"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large steel knee buckles</w:t>
            </w:r>
          </w:p>
        </w:tc>
        <w:tc>
          <w:tcPr>
            <w:tcW w:w="3664"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 pr Knee buckles proper for Do[buckskin breeches]</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 pair</w:t>
            </w:r>
          </w:p>
        </w:tc>
        <w:tc>
          <w:tcPr>
            <w:tcW w:w="773"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0.1.0</w:t>
            </w:r>
          </w:p>
        </w:tc>
      </w:tr>
      <w:tr w:rsidR="000F7191" w:rsidRPr="0021515B" w:rsidTr="00E82578">
        <w:trPr>
          <w:trHeight w:val="255"/>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12/20/1765</w:t>
            </w:r>
          </w:p>
        </w:tc>
        <w:tc>
          <w:tcPr>
            <w:tcW w:w="2612"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diamd Cut Steel Buckles</w:t>
            </w:r>
          </w:p>
        </w:tc>
        <w:tc>
          <w:tcPr>
            <w:tcW w:w="3664"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2 pr Strong steel shoe &amp; knee buckles</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2 sets</w:t>
            </w:r>
          </w:p>
        </w:tc>
        <w:tc>
          <w:tcPr>
            <w:tcW w:w="773"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0.3.4</w:t>
            </w:r>
          </w:p>
        </w:tc>
      </w:tr>
      <w:tr w:rsidR="000F7191" w:rsidRPr="0021515B" w:rsidTr="00E82578">
        <w:trPr>
          <w:trHeight w:val="255"/>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11/17/1766</w:t>
            </w:r>
          </w:p>
        </w:tc>
        <w:tc>
          <w:tcPr>
            <w:tcW w:w="2612"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strong Diamd cut steel Buckles</w:t>
            </w:r>
          </w:p>
        </w:tc>
        <w:tc>
          <w:tcPr>
            <w:tcW w:w="3664"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2 Setts strong Steel Shoe &amp; knee Buckles</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2 sets</w:t>
            </w:r>
          </w:p>
        </w:tc>
        <w:tc>
          <w:tcPr>
            <w:tcW w:w="773"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0.3.0</w:t>
            </w:r>
          </w:p>
        </w:tc>
      </w:tr>
      <w:tr w:rsidR="000F7191" w:rsidRPr="0021515B" w:rsidTr="00E82578">
        <w:trPr>
          <w:trHeight w:val="255"/>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11/17/1766</w:t>
            </w:r>
          </w:p>
        </w:tc>
        <w:tc>
          <w:tcPr>
            <w:tcW w:w="2612"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A pair of Silver knee Buckles</w:t>
            </w:r>
          </w:p>
        </w:tc>
        <w:tc>
          <w:tcPr>
            <w:tcW w:w="3664"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a pair of plain Oval Silver knee buckles</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 pair</w:t>
            </w:r>
          </w:p>
        </w:tc>
        <w:tc>
          <w:tcPr>
            <w:tcW w:w="773"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0.7.0</w:t>
            </w:r>
          </w:p>
        </w:tc>
      </w:tr>
      <w:tr w:rsidR="000F7191" w:rsidRPr="0021515B" w:rsidTr="00E82578">
        <w:trPr>
          <w:trHeight w:val="51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11/17/1766</w:t>
            </w:r>
          </w:p>
        </w:tc>
        <w:tc>
          <w:tcPr>
            <w:tcW w:w="2612"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A Sett of Filligree Metal gilt Buckles in a case</w:t>
            </w:r>
          </w:p>
        </w:tc>
        <w:tc>
          <w:tcPr>
            <w:tcW w:w="3664"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 Sett of exceedg handsome (yellow) Philigree Shoe &amp; knee buckles not to cost ab[ov]e 15 or 20/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 sett</w:t>
            </w:r>
          </w:p>
        </w:tc>
        <w:tc>
          <w:tcPr>
            <w:tcW w:w="773"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0.17.0</w:t>
            </w:r>
          </w:p>
        </w:tc>
      </w:tr>
      <w:tr w:rsidR="000F7191" w:rsidRPr="0021515B" w:rsidTr="00E82578">
        <w:trPr>
          <w:trHeight w:val="255"/>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9/28/1768</w:t>
            </w:r>
          </w:p>
        </w:tc>
        <w:tc>
          <w:tcPr>
            <w:tcW w:w="2612"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[s]tro[n]g Pinchbeck buck.</w:t>
            </w:r>
          </w:p>
        </w:tc>
        <w:tc>
          <w:tcPr>
            <w:tcW w:w="3664"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3 Setts strong Shoe &amp; knee Buckles</w:t>
            </w:r>
            <w:r w:rsidRPr="0021515B">
              <w:rPr>
                <w:rFonts w:eastAsia="Times New Roman"/>
                <w:color w:val="000000"/>
                <w:sz w:val="20"/>
                <w:szCs w:val="20"/>
              </w:rPr>
              <w:t> </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3 setts</w:t>
            </w:r>
          </w:p>
        </w:tc>
        <w:tc>
          <w:tcPr>
            <w:tcW w:w="773"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0.7.6</w:t>
            </w:r>
          </w:p>
        </w:tc>
      </w:tr>
      <w:tr w:rsidR="000F7191" w:rsidRPr="0021515B" w:rsidTr="00E82578">
        <w:trPr>
          <w:trHeight w:val="255"/>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12/3/1771</w:t>
            </w:r>
          </w:p>
        </w:tc>
        <w:tc>
          <w:tcPr>
            <w:tcW w:w="2612"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best mettle Sho. B[uckles]</w:t>
            </w:r>
          </w:p>
        </w:tc>
        <w:tc>
          <w:tcPr>
            <w:tcW w:w="3664"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 pr Men’s fashe Shoe Buckles not to excd 21/</w:t>
            </w:r>
            <w:r w:rsidRPr="0021515B">
              <w:rPr>
                <w:rFonts w:eastAsia="Times New Roman"/>
                <w:color w:val="000000"/>
                <w:sz w:val="20"/>
                <w:szCs w:val="20"/>
              </w:rPr>
              <w:t> </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 pair</w:t>
            </w:r>
          </w:p>
        </w:tc>
        <w:tc>
          <w:tcPr>
            <w:tcW w:w="773"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0.10.6</w:t>
            </w:r>
          </w:p>
        </w:tc>
      </w:tr>
    </w:tbl>
    <w:p w:rsidR="000F7191" w:rsidRDefault="000F7191" w:rsidP="000F7191">
      <w:pPr>
        <w:spacing w:line="480" w:lineRule="auto"/>
      </w:pPr>
    </w:p>
    <w:p w:rsidR="000F7191" w:rsidRPr="0021515B" w:rsidRDefault="00EE3B58" w:rsidP="000F7191">
      <w:pPr>
        <w:spacing w:line="480" w:lineRule="auto"/>
        <w:rPr>
          <w:b/>
        </w:rPr>
      </w:pPr>
      <w:r>
        <w:rPr>
          <w:b/>
        </w:rPr>
        <w:t>Table 7-15.</w:t>
      </w:r>
      <w:r w:rsidR="000F7191">
        <w:rPr>
          <w:b/>
        </w:rPr>
        <w:t xml:space="preserve"> </w:t>
      </w:r>
      <w:r w:rsidR="000F7191" w:rsidRPr="0021515B">
        <w:t>Buckles ordered for Alexander Henderson’s store.</w:t>
      </w:r>
      <w:r w:rsidR="000F7191">
        <w:rPr>
          <w:b/>
        </w:rPr>
        <w:t xml:space="preserve">  </w:t>
      </w:r>
      <w:r w:rsidR="000F7191" w:rsidRPr="00413F96">
        <w:t xml:space="preserve"> </w:t>
      </w:r>
    </w:p>
    <w:tbl>
      <w:tblPr>
        <w:tblW w:w="5867" w:type="dxa"/>
        <w:tblInd w:w="91" w:type="dxa"/>
        <w:tblLook w:val="04A0"/>
      </w:tblPr>
      <w:tblGrid>
        <w:gridCol w:w="661"/>
        <w:gridCol w:w="1028"/>
        <w:gridCol w:w="3008"/>
        <w:gridCol w:w="1170"/>
      </w:tblGrid>
      <w:tr w:rsidR="000F7191" w:rsidRPr="0021515B" w:rsidTr="00E82578">
        <w:trPr>
          <w:trHeight w:val="255"/>
        </w:trPr>
        <w:tc>
          <w:tcPr>
            <w:tcW w:w="661"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191" w:rsidRPr="0021515B" w:rsidRDefault="000F7191" w:rsidP="00E82578">
            <w:pPr>
              <w:rPr>
                <w:rFonts w:eastAsia="Times New Roman"/>
                <w:b/>
                <w:bCs/>
                <w:sz w:val="20"/>
                <w:szCs w:val="20"/>
              </w:rPr>
            </w:pPr>
            <w:r w:rsidRPr="0021515B">
              <w:rPr>
                <w:rFonts w:eastAsia="Times New Roman"/>
                <w:b/>
                <w:bCs/>
                <w:sz w:val="20"/>
                <w:szCs w:val="20"/>
              </w:rPr>
              <w:t>Year</w:t>
            </w:r>
          </w:p>
        </w:tc>
        <w:tc>
          <w:tcPr>
            <w:tcW w:w="1028"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21515B" w:rsidRDefault="000F7191" w:rsidP="00E82578">
            <w:pPr>
              <w:rPr>
                <w:rFonts w:eastAsia="Times New Roman"/>
                <w:b/>
                <w:bCs/>
                <w:sz w:val="20"/>
                <w:szCs w:val="20"/>
              </w:rPr>
            </w:pPr>
            <w:r w:rsidRPr="0021515B">
              <w:rPr>
                <w:rFonts w:eastAsia="Times New Roman"/>
                <w:b/>
                <w:bCs/>
                <w:sz w:val="20"/>
                <w:szCs w:val="20"/>
              </w:rPr>
              <w:t>Quantity</w:t>
            </w:r>
          </w:p>
        </w:tc>
        <w:tc>
          <w:tcPr>
            <w:tcW w:w="3008" w:type="dxa"/>
            <w:tcBorders>
              <w:top w:val="single" w:sz="4" w:space="0" w:color="auto"/>
              <w:left w:val="nil"/>
              <w:bottom w:val="single" w:sz="4" w:space="0" w:color="auto"/>
              <w:right w:val="single" w:sz="4" w:space="0" w:color="auto"/>
            </w:tcBorders>
            <w:shd w:val="clear" w:color="000000" w:fill="BFBFBF"/>
            <w:vAlign w:val="bottom"/>
            <w:hideMark/>
          </w:tcPr>
          <w:p w:rsidR="000F7191" w:rsidRPr="0021515B" w:rsidRDefault="000F7191" w:rsidP="00E82578">
            <w:pPr>
              <w:rPr>
                <w:rFonts w:eastAsia="Times New Roman"/>
                <w:b/>
                <w:bCs/>
                <w:sz w:val="20"/>
                <w:szCs w:val="20"/>
              </w:rPr>
            </w:pPr>
            <w:r w:rsidRPr="0021515B">
              <w:rPr>
                <w:rFonts w:eastAsia="Times New Roman"/>
                <w:b/>
                <w:bCs/>
                <w:sz w:val="20"/>
                <w:szCs w:val="20"/>
              </w:rPr>
              <w:t>Inventory Description</w:t>
            </w:r>
          </w:p>
        </w:tc>
        <w:tc>
          <w:tcPr>
            <w:tcW w:w="1170"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21515B" w:rsidRDefault="000F7191" w:rsidP="00E82578">
            <w:pPr>
              <w:rPr>
                <w:rFonts w:eastAsia="Times New Roman"/>
                <w:b/>
                <w:bCs/>
                <w:sz w:val="20"/>
                <w:szCs w:val="20"/>
              </w:rPr>
            </w:pPr>
            <w:r w:rsidRPr="0021515B">
              <w:rPr>
                <w:rFonts w:eastAsia="Times New Roman"/>
                <w:b/>
                <w:bCs/>
                <w:sz w:val="20"/>
                <w:szCs w:val="20"/>
              </w:rPr>
              <w:t>Cost</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12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Black mourning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0.6.0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36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Copper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0.9.0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1759</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36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Steel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0.12.0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12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white mettal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0.10.0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12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fine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0.10.0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Copper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0.5.0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Copper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0.6.4</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Copper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0.9.0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Steel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0.9.0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white mettal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0.13.0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36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0.12.0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1760</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36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0.15.0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1764</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 xml:space="preserve">Strong Copper Shoe Buckles                                                                                      </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0.5.0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1764</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Steele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0.8.0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1764</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Steele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0.5.0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1764</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Women's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0.5.0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1764</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Steele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0.6.0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1765</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0.6.0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1765</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24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0.6.0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1765</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36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0.13.6</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1765</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36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0.13.6</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1765</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36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0.9.0</w:t>
            </w:r>
          </w:p>
        </w:tc>
      </w:tr>
      <w:tr w:rsidR="000F7191" w:rsidRPr="0021515B" w:rsidTr="00E82578">
        <w:trPr>
          <w:trHeight w:val="255"/>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jc w:val="right"/>
              <w:rPr>
                <w:rFonts w:eastAsia="Times New Roman"/>
                <w:sz w:val="20"/>
                <w:szCs w:val="20"/>
              </w:rPr>
            </w:pPr>
            <w:r w:rsidRPr="0021515B">
              <w:rPr>
                <w:rFonts w:eastAsia="Times New Roman"/>
                <w:sz w:val="20"/>
                <w:szCs w:val="20"/>
              </w:rPr>
              <w:t>1765</w:t>
            </w:r>
          </w:p>
        </w:tc>
        <w:tc>
          <w:tcPr>
            <w:tcW w:w="1028"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36 pair</w:t>
            </w:r>
          </w:p>
        </w:tc>
        <w:tc>
          <w:tcPr>
            <w:tcW w:w="3008"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sz w:val="20"/>
                <w:szCs w:val="20"/>
              </w:rPr>
            </w:pPr>
            <w:r w:rsidRPr="0021515B">
              <w:rPr>
                <w:rFonts w:eastAsia="Times New Roman"/>
                <w:sz w:val="20"/>
                <w:szCs w:val="20"/>
              </w:rPr>
              <w:t>Strong shoe Buckles</w:t>
            </w:r>
          </w:p>
        </w:tc>
        <w:tc>
          <w:tcPr>
            <w:tcW w:w="1170" w:type="dxa"/>
            <w:tcBorders>
              <w:top w:val="nil"/>
              <w:left w:val="nil"/>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sz w:val="20"/>
                <w:szCs w:val="20"/>
              </w:rPr>
            </w:pPr>
            <w:r w:rsidRPr="0021515B">
              <w:rPr>
                <w:rFonts w:eastAsia="Times New Roman"/>
                <w:sz w:val="20"/>
                <w:szCs w:val="20"/>
              </w:rPr>
              <w:t>0.9.0</w:t>
            </w:r>
          </w:p>
        </w:tc>
      </w:tr>
    </w:tbl>
    <w:p w:rsidR="000F7191" w:rsidRDefault="000F7191" w:rsidP="000F7191">
      <w:pPr>
        <w:ind w:firstLine="720"/>
        <w:rPr>
          <w:b/>
        </w:rPr>
      </w:pPr>
    </w:p>
    <w:p w:rsidR="000F7191" w:rsidRDefault="000F7191" w:rsidP="000F7191">
      <w:pPr>
        <w:ind w:firstLine="720"/>
        <w:rPr>
          <w:b/>
        </w:rPr>
      </w:pPr>
    </w:p>
    <w:p w:rsidR="000F7191" w:rsidRDefault="000F7191" w:rsidP="000F7191">
      <w:pPr>
        <w:ind w:firstLine="720"/>
        <w:rPr>
          <w:b/>
        </w:rPr>
      </w:pPr>
    </w:p>
    <w:p w:rsidR="000F7191" w:rsidRDefault="000F7191" w:rsidP="000F7191">
      <w:pPr>
        <w:spacing w:line="480" w:lineRule="auto"/>
        <w:ind w:firstLine="720"/>
      </w:pPr>
      <w:r>
        <w:lastRenderedPageBreak/>
        <w:t>The House for Families cellar contained 11 identifiable, clothing-related buckl</w:t>
      </w:r>
      <w:r w:rsidR="00EE3B58">
        <w:t xml:space="preserve">es (DAACS 2013b) (Table 7-16). </w:t>
      </w:r>
      <w:r>
        <w:t>Many bear rococo-style decorative attributes, similar to those recovered at the South Grove, representing the predominance of that fashion trend in the second and third quarters of the eighteen</w:t>
      </w:r>
      <w:r w:rsidR="00EE3B58">
        <w:t xml:space="preserve">th century (White 2005:40-41). </w:t>
      </w:r>
      <w:r>
        <w:t xml:space="preserve">Most of the buckles fastened shoes, with the exception of a small, complete iron buckle </w:t>
      </w:r>
      <w:r w:rsidR="00822152">
        <w:t xml:space="preserve">that </w:t>
      </w:r>
      <w:r>
        <w:t>was most likely used to secure breeches, possibly provisioned by George Washington for one of his liveried m</w:t>
      </w:r>
      <w:r w:rsidR="00EE3B58">
        <w:t xml:space="preserve">ale slaves. </w:t>
      </w:r>
      <w:r>
        <w:t>An additional two buckles stand out in the assemblage in terms of their method of manu</w:t>
      </w:r>
      <w:r w:rsidR="00EE3B58">
        <w:t xml:space="preserve">facture and possible function. </w:t>
      </w:r>
      <w:r>
        <w:t xml:space="preserve">Their frames are rectangular with the </w:t>
      </w:r>
      <w:r w:rsidR="00EE3B58">
        <w:t xml:space="preserve">pin cast as part of the frame. </w:t>
      </w:r>
      <w:r>
        <w:t>The frames are about the same length, around 63mm, which is about the size of a common shoe buckle in the 1760s (White 2005:41</w:t>
      </w:r>
      <w:r w:rsidRPr="00482E4F">
        <w:t>)</w:t>
      </w:r>
      <w:r w:rsidR="008E4381" w:rsidRPr="00482E4F">
        <w:t xml:space="preserve"> </w:t>
      </w:r>
      <w:r w:rsidR="00482E4F">
        <w:t>(Figure 7-9</w:t>
      </w:r>
      <w:r w:rsidR="008E4381" w:rsidRPr="00482E4F">
        <w:t>)</w:t>
      </w:r>
      <w:r w:rsidRPr="00482E4F">
        <w:t>. Both</w:t>
      </w:r>
      <w:r>
        <w:t xml:space="preserve"> exhibit flat profiles, as opposed to a profile curved to accommodate the top of a foot usually but not always a feature of</w:t>
      </w:r>
      <w:r w:rsidR="00EE3B58">
        <w:t xml:space="preserve"> shoe buckles (White 2005:40). </w:t>
      </w:r>
      <w:r>
        <w:t xml:space="preserve">The research on </w:t>
      </w:r>
      <w:r w:rsidR="00032000">
        <w:t xml:space="preserve">these buckles’ function of </w:t>
      </w:r>
      <w:r w:rsidR="00EE3B58">
        <w:t xml:space="preserve">is slim. </w:t>
      </w:r>
      <w:r>
        <w:t>DAACS catalogued them as harness buckles presumably because of the cast pin and flat profile, despite the fact that they are rarely dec</w:t>
      </w:r>
      <w:r w:rsidR="00EE3B58">
        <w:t xml:space="preserve">orated (Grillo et al. 2003:5). </w:t>
      </w:r>
      <w:r>
        <w:t>Whitehead (2003:61, 71) groups buckles of this type</w:t>
      </w:r>
      <w:r w:rsidR="00822152">
        <w:t xml:space="preserve"> (including one identical to</w:t>
      </w:r>
      <w:r w:rsidR="00822152" w:rsidRPr="00822152">
        <w:t xml:space="preserve"> </w:t>
      </w:r>
      <w:r w:rsidR="00822152" w:rsidRPr="00822152">
        <w:rPr>
          <w:rFonts w:eastAsia="Times New Roman"/>
          <w:color w:val="000000"/>
        </w:rPr>
        <w:t>1007-47K-FLT--00053</w:t>
      </w:r>
      <w:r w:rsidR="00822152">
        <w:rPr>
          <w:rFonts w:eastAsia="Times New Roman"/>
          <w:color w:val="000000"/>
        </w:rPr>
        <w:t xml:space="preserve"> (Whitehead 2003:65, no.402)</w:t>
      </w:r>
      <w:r>
        <w:t xml:space="preserve"> into a category of </w:t>
      </w:r>
      <w:r w:rsidR="00822152">
        <w:t>“</w:t>
      </w:r>
      <w:r>
        <w:t>spectacle,</w:t>
      </w:r>
      <w:r w:rsidR="00822152">
        <w:t>”</w:t>
      </w:r>
      <w:r>
        <w:t xml:space="preserve"> decorative buckles used to secure leather straps, as opp</w:t>
      </w:r>
      <w:r w:rsidR="00EE3B58">
        <w:t xml:space="preserve">osed to knee and shoe buckles. </w:t>
      </w:r>
      <w:r w:rsidR="00822152">
        <w:t>One end of a leather strap could have been sewn onto</w:t>
      </w:r>
      <w:r w:rsidR="00EE3B58">
        <w:t xml:space="preserve"> the cast pin. </w:t>
      </w:r>
      <w:r>
        <w:t>In fact, a buckl</w:t>
      </w:r>
      <w:r w:rsidRPr="00285EDA">
        <w:t xml:space="preserve">e </w:t>
      </w:r>
      <w:r>
        <w:t xml:space="preserve">identical </w:t>
      </w:r>
      <w:r w:rsidRPr="00285EDA">
        <w:t xml:space="preserve">to </w:t>
      </w:r>
      <w:r w:rsidRPr="00285EDA">
        <w:rPr>
          <w:rFonts w:eastAsia="Times New Roman"/>
          <w:color w:val="000000"/>
        </w:rPr>
        <w:t>1007-40BB-WTS--00082</w:t>
      </w:r>
      <w:r>
        <w:t xml:space="preserve"> was excavated from the eighteenth-century site</w:t>
      </w:r>
      <w:r w:rsidRPr="00285EDA">
        <w:t xml:space="preserve"> of Wetherburn’s Tavern in Williamsburg, Virginia and identified as a belt buckle (Noël Hume</w:t>
      </w:r>
      <w:r>
        <w:t xml:space="preserve"> 1971:figure 2, number 9)</w:t>
      </w:r>
      <w:r w:rsidR="00822152">
        <w:t>, though period illustrations of similar buckles used on belts have not been found (Carolyn White 2013, pers. comm.)</w:t>
      </w:r>
      <w:r w:rsidR="00B73111">
        <w:t xml:space="preserve">. </w:t>
      </w:r>
      <w:r w:rsidR="008E4381" w:rsidRPr="00285EDA">
        <w:t>Noël Hume</w:t>
      </w:r>
      <w:r w:rsidR="008E4381">
        <w:t xml:space="preserve"> (1969:85, figure 20, numbers 1, 2, 4) also identifies these types of buc</w:t>
      </w:r>
      <w:r w:rsidR="00B73111">
        <w:t xml:space="preserve">kles as associated with belts. </w:t>
      </w:r>
      <w:r>
        <w:t xml:space="preserve">While the shoe buckle assemblage most likely represents a combination of provisioned and purchased or otherwise procured buckles, these two possible </w:t>
      </w:r>
      <w:r w:rsidR="00822152">
        <w:lastRenderedPageBreak/>
        <w:t>strap</w:t>
      </w:r>
      <w:r>
        <w:t xml:space="preserve"> buckles may offer evidence of consumer choice and expression of style on otherwise standard issue </w:t>
      </w:r>
      <w:r w:rsidR="00822152">
        <w:t>clothing</w:t>
      </w:r>
      <w:r>
        <w:t>.</w:t>
      </w:r>
    </w:p>
    <w:p w:rsidR="00270BD0" w:rsidRDefault="00270BD0" w:rsidP="00270BD0">
      <w:pPr>
        <w:spacing w:line="480" w:lineRule="auto"/>
        <w:ind w:firstLine="720"/>
      </w:pPr>
      <w:r>
        <w:t xml:space="preserve">Buttons and buckles offer evidence of a variety of consumer motivations on the part of individuals living in colonial Virginia. Elite planters bought buttons and buckles as accessories both for their own suits of clothes and for liveried slaves. Additionally, George Washington had buttons sewn onto the clothes provisioned to the enslaved community. Within the documentary record of George Washington’s invoices and orders, these motivations are best distinguished by the factors of quantity, price, and quality. However, both the store schemes of goods and the archaeological record of acts of consumerism suggest that even within a fairly limited sample, enslaved individuals sought out buttons and buckles for their intrinsic appeal and opportunity to individualize a provisioned wardrobe. Clothing and accessories also appear high on the list of what enslaved individuals purchased when store accounts are examined (Heath 1999). </w:t>
      </w:r>
    </w:p>
    <w:p w:rsidR="000F7191" w:rsidRDefault="000F7191" w:rsidP="000F7191">
      <w:pPr>
        <w:spacing w:line="480" w:lineRule="auto"/>
        <w:ind w:firstLine="720"/>
      </w:pPr>
    </w:p>
    <w:p w:rsidR="00270BD0" w:rsidRDefault="00270BD0">
      <w:pPr>
        <w:rPr>
          <w:b/>
        </w:rPr>
      </w:pPr>
      <w:r>
        <w:rPr>
          <w:b/>
        </w:rPr>
        <w:br w:type="page"/>
      </w:r>
    </w:p>
    <w:p w:rsidR="000F7191" w:rsidRPr="0021515B" w:rsidRDefault="000F7191" w:rsidP="000F7191">
      <w:pPr>
        <w:spacing w:line="480" w:lineRule="auto"/>
        <w:rPr>
          <w:b/>
        </w:rPr>
      </w:pPr>
      <w:r>
        <w:rPr>
          <w:b/>
        </w:rPr>
        <w:lastRenderedPageBreak/>
        <w:t>Table 7-16</w:t>
      </w:r>
      <w:r w:rsidRPr="004D140B">
        <w:rPr>
          <w:b/>
        </w:rPr>
        <w:t xml:space="preserve">. </w:t>
      </w:r>
      <w:r w:rsidRPr="0021515B">
        <w:t>Identifiable clothing buckles from the House for Families slave quarter.</w:t>
      </w:r>
    </w:p>
    <w:tbl>
      <w:tblPr>
        <w:tblW w:w="9377" w:type="dxa"/>
        <w:tblInd w:w="91" w:type="dxa"/>
        <w:tblLook w:val="04A0"/>
      </w:tblPr>
      <w:tblGrid>
        <w:gridCol w:w="2600"/>
        <w:gridCol w:w="1467"/>
        <w:gridCol w:w="1530"/>
        <w:gridCol w:w="3780"/>
      </w:tblGrid>
      <w:tr w:rsidR="000F7191" w:rsidRPr="0021515B" w:rsidTr="00E82578">
        <w:trPr>
          <w:trHeight w:val="255"/>
        </w:trPr>
        <w:tc>
          <w:tcPr>
            <w:tcW w:w="2600"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ID</w:t>
            </w:r>
          </w:p>
        </w:tc>
        <w:tc>
          <w:tcPr>
            <w:tcW w:w="1467" w:type="dxa"/>
            <w:tcBorders>
              <w:top w:val="single" w:sz="4" w:space="0" w:color="auto"/>
              <w:left w:val="nil"/>
              <w:bottom w:val="single" w:sz="4" w:space="0" w:color="auto"/>
              <w:right w:val="single" w:sz="4" w:space="0" w:color="auto"/>
            </w:tcBorders>
            <w:shd w:val="clear" w:color="000000" w:fill="D8D8D8"/>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Type</w:t>
            </w:r>
          </w:p>
        </w:tc>
        <w:tc>
          <w:tcPr>
            <w:tcW w:w="1530" w:type="dxa"/>
            <w:tcBorders>
              <w:top w:val="single" w:sz="4" w:space="0" w:color="auto"/>
              <w:left w:val="nil"/>
              <w:bottom w:val="single" w:sz="4" w:space="0" w:color="auto"/>
              <w:right w:val="single" w:sz="4" w:space="0" w:color="auto"/>
            </w:tcBorders>
            <w:shd w:val="clear" w:color="000000" w:fill="D8D8D8"/>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Material</w:t>
            </w:r>
          </w:p>
        </w:tc>
        <w:tc>
          <w:tcPr>
            <w:tcW w:w="3780" w:type="dxa"/>
            <w:tcBorders>
              <w:top w:val="single" w:sz="4" w:space="0" w:color="auto"/>
              <w:left w:val="nil"/>
              <w:bottom w:val="single" w:sz="4" w:space="0" w:color="auto"/>
              <w:right w:val="single" w:sz="4" w:space="0" w:color="auto"/>
            </w:tcBorders>
            <w:shd w:val="clear" w:color="000000" w:fill="D8D8D8"/>
            <w:vAlign w:val="bottom"/>
            <w:hideMark/>
          </w:tcPr>
          <w:p w:rsidR="000F7191" w:rsidRPr="0021515B" w:rsidRDefault="000F7191" w:rsidP="00E82578">
            <w:pPr>
              <w:jc w:val="center"/>
              <w:rPr>
                <w:rFonts w:eastAsia="Times New Roman"/>
                <w:b/>
                <w:bCs/>
                <w:color w:val="000000"/>
                <w:sz w:val="20"/>
                <w:szCs w:val="20"/>
              </w:rPr>
            </w:pPr>
            <w:r w:rsidRPr="0021515B">
              <w:rPr>
                <w:rFonts w:eastAsia="Times New Roman"/>
                <w:b/>
                <w:bCs/>
                <w:color w:val="000000"/>
                <w:sz w:val="20"/>
                <w:szCs w:val="20"/>
              </w:rPr>
              <w:t>Decoration</w:t>
            </w:r>
          </w:p>
        </w:tc>
      </w:tr>
      <w:tr w:rsidR="000F7191" w:rsidRPr="0021515B" w:rsidTr="00E82578">
        <w:trPr>
          <w:trHeight w:val="25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1007-40E-WTS--00092</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Knee</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Iron</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Indeterminate.</w:t>
            </w:r>
          </w:p>
        </w:tc>
      </w:tr>
      <w:tr w:rsidR="000F7191" w:rsidRPr="0021515B" w:rsidTr="00E82578">
        <w:trPr>
          <w:trHeight w:val="25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1007-40FF-WTS--00022</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Linear decoration.</w:t>
            </w:r>
          </w:p>
        </w:tc>
      </w:tr>
      <w:tr w:rsidR="000F7191" w:rsidRPr="0021515B" w:rsidTr="00E82578">
        <w:trPr>
          <w:trHeight w:val="25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1007-40E-WTS--00089</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Decorative rococo-style open scrollwork.</w:t>
            </w:r>
          </w:p>
        </w:tc>
      </w:tr>
      <w:tr w:rsidR="000F7191" w:rsidRPr="0021515B" w:rsidTr="00E82578">
        <w:trPr>
          <w:trHeight w:val="25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1007-40EE-WTS--00013</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Iron</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Undecorated.</w:t>
            </w:r>
          </w:p>
        </w:tc>
      </w:tr>
      <w:tr w:rsidR="000F7191" w:rsidRPr="0021515B" w:rsidTr="00E82578">
        <w:trPr>
          <w:trHeight w:val="25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1007-47DELTA-WTS--00218</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Decorative rococo-style scrollwork.</w:t>
            </w:r>
          </w:p>
        </w:tc>
      </w:tr>
      <w:tr w:rsidR="000F7191" w:rsidRPr="0021515B" w:rsidTr="00E82578">
        <w:trPr>
          <w:trHeight w:val="25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1007-40E-WTS--00112</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Iron</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Undecorated.</w:t>
            </w:r>
          </w:p>
        </w:tc>
      </w:tr>
      <w:tr w:rsidR="000F7191" w:rsidRPr="0021515B" w:rsidTr="00E82578">
        <w:trPr>
          <w:trHeight w:val="25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1007-40FF-WTS--00023</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Iron</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Undecorated.</w:t>
            </w:r>
          </w:p>
        </w:tc>
      </w:tr>
      <w:tr w:rsidR="000F7191" w:rsidRPr="0021515B" w:rsidTr="00E82578">
        <w:trPr>
          <w:trHeight w:val="76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1007-40FF-WTS--00196; 1007-47AA-FLT--00113; 1007-47X-FLT--00049</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Decorative rococo-style scrollwork.</w:t>
            </w:r>
          </w:p>
        </w:tc>
      </w:tr>
      <w:tr w:rsidR="000F7191" w:rsidRPr="0021515B" w:rsidTr="00E82578">
        <w:trPr>
          <w:trHeight w:val="255"/>
        </w:trPr>
        <w:tc>
          <w:tcPr>
            <w:tcW w:w="2600" w:type="dxa"/>
            <w:tcBorders>
              <w:top w:val="nil"/>
              <w:left w:val="single" w:sz="4" w:space="0" w:color="auto"/>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1007-47AA-FLT--00116</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Shoe</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Decorative rococo-style open scrollwork.</w:t>
            </w:r>
          </w:p>
        </w:tc>
      </w:tr>
      <w:tr w:rsidR="000F7191" w:rsidRPr="0021515B" w:rsidTr="00E82578">
        <w:trPr>
          <w:trHeight w:val="255"/>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1007-40BB-WTS--00082</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822152">
            <w:pPr>
              <w:rPr>
                <w:rFonts w:eastAsia="Times New Roman"/>
                <w:color w:val="000000"/>
                <w:sz w:val="20"/>
                <w:szCs w:val="20"/>
              </w:rPr>
            </w:pPr>
            <w:r>
              <w:rPr>
                <w:rFonts w:eastAsia="Times New Roman"/>
                <w:color w:val="000000"/>
                <w:sz w:val="20"/>
                <w:szCs w:val="20"/>
              </w:rPr>
              <w:t xml:space="preserve">Shoe or </w:t>
            </w:r>
            <w:r w:rsidR="00822152">
              <w:rPr>
                <w:rFonts w:eastAsia="Times New Roman"/>
                <w:color w:val="000000"/>
                <w:sz w:val="20"/>
                <w:szCs w:val="20"/>
              </w:rPr>
              <w:t>Strap</w:t>
            </w:r>
            <w:r w:rsidRPr="0021515B">
              <w:rPr>
                <w:rFonts w:eastAsia="Times New Roman"/>
                <w:color w:val="000000"/>
                <w:sz w:val="20"/>
                <w:szCs w:val="20"/>
              </w:rPr>
              <w:t>?</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Rococo-style shell and diamond motif.</w:t>
            </w:r>
          </w:p>
        </w:tc>
      </w:tr>
      <w:tr w:rsidR="000F7191" w:rsidRPr="0021515B" w:rsidTr="00E82578">
        <w:trPr>
          <w:trHeight w:val="255"/>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1007-47K-FLT--00053</w:t>
            </w:r>
          </w:p>
        </w:tc>
        <w:tc>
          <w:tcPr>
            <w:tcW w:w="1467"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822152">
            <w:pPr>
              <w:rPr>
                <w:rFonts w:eastAsia="Times New Roman"/>
                <w:color w:val="000000"/>
                <w:sz w:val="20"/>
                <w:szCs w:val="20"/>
              </w:rPr>
            </w:pPr>
            <w:r>
              <w:rPr>
                <w:rFonts w:eastAsia="Times New Roman"/>
                <w:color w:val="000000"/>
                <w:sz w:val="20"/>
                <w:szCs w:val="20"/>
              </w:rPr>
              <w:t xml:space="preserve">Shoe or </w:t>
            </w:r>
            <w:r w:rsidR="00822152">
              <w:rPr>
                <w:rFonts w:eastAsia="Times New Roman"/>
                <w:color w:val="000000"/>
                <w:sz w:val="20"/>
                <w:szCs w:val="20"/>
              </w:rPr>
              <w:t>Strap</w:t>
            </w:r>
            <w:r w:rsidRPr="0021515B">
              <w:rPr>
                <w:rFonts w:eastAsia="Times New Roman"/>
                <w:color w:val="000000"/>
                <w:sz w:val="20"/>
                <w:szCs w:val="20"/>
              </w:rPr>
              <w:t>?</w:t>
            </w:r>
          </w:p>
        </w:tc>
        <w:tc>
          <w:tcPr>
            <w:tcW w:w="153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Copper Alloy</w:t>
            </w:r>
          </w:p>
        </w:tc>
        <w:tc>
          <w:tcPr>
            <w:tcW w:w="3780" w:type="dxa"/>
            <w:tcBorders>
              <w:top w:val="nil"/>
              <w:left w:val="nil"/>
              <w:bottom w:val="single" w:sz="4" w:space="0" w:color="auto"/>
              <w:right w:val="single" w:sz="4" w:space="0" w:color="auto"/>
            </w:tcBorders>
            <w:shd w:val="clear" w:color="auto" w:fill="auto"/>
            <w:vAlign w:val="bottom"/>
            <w:hideMark/>
          </w:tcPr>
          <w:p w:rsidR="000F7191" w:rsidRPr="0021515B" w:rsidRDefault="000F7191" w:rsidP="00E82578">
            <w:pPr>
              <w:rPr>
                <w:rFonts w:eastAsia="Times New Roman"/>
                <w:color w:val="000000"/>
                <w:sz w:val="20"/>
                <w:szCs w:val="20"/>
              </w:rPr>
            </w:pPr>
            <w:r w:rsidRPr="0021515B">
              <w:rPr>
                <w:rFonts w:eastAsia="Times New Roman"/>
                <w:color w:val="000000"/>
                <w:sz w:val="20"/>
                <w:szCs w:val="20"/>
              </w:rPr>
              <w:t>Rococo-style shell motif.</w:t>
            </w:r>
          </w:p>
        </w:tc>
      </w:tr>
    </w:tbl>
    <w:p w:rsidR="00D70B8B" w:rsidRDefault="00D70B8B" w:rsidP="003F5327"/>
    <w:p w:rsidR="003F5327" w:rsidRDefault="003F5327" w:rsidP="003F5327"/>
    <w:p w:rsidR="003F5327" w:rsidRDefault="003F5327" w:rsidP="003F5327"/>
    <w:p w:rsidR="008E4381" w:rsidRDefault="008E4381" w:rsidP="00D70B8B">
      <w:r>
        <w:rPr>
          <w:noProof/>
        </w:rPr>
        <w:drawing>
          <wp:inline distT="0" distB="0" distL="0" distR="0">
            <wp:extent cx="4742955" cy="3435631"/>
            <wp:effectExtent l="19050" t="0" r="495" b="0"/>
            <wp:docPr id="49" name="Picture 48" descr="762.40.47.DAACS.1007.47K.FLT.00053.1007.40BB.WTS.00082.Img0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2.40.47.DAACS.1007.47K.FLT.00053.1007.40BB.WTS.00082.Img00833.jpg"/>
                    <pic:cNvPicPr/>
                  </pic:nvPicPr>
                  <pic:blipFill>
                    <a:blip r:embed="rId44" cstate="print"/>
                    <a:srcRect l="10500" t="10169" r="9000" b="10169"/>
                    <a:stretch>
                      <a:fillRect/>
                    </a:stretch>
                  </pic:blipFill>
                  <pic:spPr>
                    <a:xfrm>
                      <a:off x="0" y="0"/>
                      <a:ext cx="4742955" cy="3435631"/>
                    </a:xfrm>
                    <a:prstGeom prst="rect">
                      <a:avLst/>
                    </a:prstGeom>
                  </pic:spPr>
                </pic:pic>
              </a:graphicData>
            </a:graphic>
          </wp:inline>
        </w:drawing>
      </w:r>
    </w:p>
    <w:p w:rsidR="00270BD0" w:rsidRDefault="00B527AF" w:rsidP="00270BD0">
      <w:r>
        <w:rPr>
          <w:b/>
        </w:rPr>
        <w:t>Figure 7-9</w:t>
      </w:r>
      <w:r w:rsidR="00D70B8B" w:rsidRPr="00D70B8B">
        <w:rPr>
          <w:b/>
        </w:rPr>
        <w:t>.</w:t>
      </w:r>
      <w:r w:rsidR="00D70B8B">
        <w:t xml:space="preserve"> Buc</w:t>
      </w:r>
      <w:r w:rsidR="00D70B8B" w:rsidRPr="00D70B8B">
        <w:t xml:space="preserve">kles from the House for Families (left, </w:t>
      </w:r>
      <w:r w:rsidR="00270BD0">
        <w:rPr>
          <w:rFonts w:eastAsia="Times New Roman"/>
          <w:color w:val="000000"/>
        </w:rPr>
        <w:t>1007-40BB-WTS--00082; right, 1007-47K-FLT--</w:t>
      </w:r>
      <w:r w:rsidR="00D70B8B" w:rsidRPr="00D70B8B">
        <w:rPr>
          <w:rFonts w:eastAsia="Times New Roman"/>
          <w:color w:val="000000"/>
        </w:rPr>
        <w:t>00053).</w:t>
      </w:r>
      <w:r w:rsidR="00270BD0">
        <w:rPr>
          <w:rFonts w:eastAsia="Times New Roman"/>
          <w:color w:val="000000"/>
        </w:rPr>
        <w:t xml:space="preserve"> </w:t>
      </w:r>
      <w:proofErr w:type="gramStart"/>
      <w:r w:rsidR="00270BD0" w:rsidRPr="00355F58">
        <w:t>(Photo by</w:t>
      </w:r>
      <w:r w:rsidR="00270BD0">
        <w:t xml:space="preserve"> Karen Price, 2013</w:t>
      </w:r>
      <w:r w:rsidR="00270BD0" w:rsidRPr="00355F58">
        <w:t>; courtesy of Mount Vernon Ladies’ Association.)</w:t>
      </w:r>
      <w:proofErr w:type="gramEnd"/>
    </w:p>
    <w:p w:rsidR="008E4381" w:rsidRDefault="00D70B8B" w:rsidP="00D70B8B">
      <w:r>
        <w:rPr>
          <w:rFonts w:eastAsia="Times New Roman"/>
          <w:color w:val="000000"/>
        </w:rPr>
        <w:t xml:space="preserve"> </w:t>
      </w:r>
      <w:r>
        <w:t xml:space="preserve"> </w:t>
      </w:r>
    </w:p>
    <w:p w:rsidR="00270BD0" w:rsidRDefault="00270BD0">
      <w:r>
        <w:br w:type="page"/>
      </w:r>
    </w:p>
    <w:p w:rsidR="000F7191" w:rsidRDefault="000F7191" w:rsidP="000F7191">
      <w:pPr>
        <w:spacing w:line="480" w:lineRule="auto"/>
        <w:ind w:firstLine="720"/>
      </w:pPr>
      <w:r>
        <w:lastRenderedPageBreak/>
        <w:t xml:space="preserve">Moving from adornment to accessories, while a variety of </w:t>
      </w:r>
      <w:r w:rsidRPr="007E05F5">
        <w:rPr>
          <w:u w:val="single"/>
        </w:rPr>
        <w:t>fans</w:t>
      </w:r>
      <w:r>
        <w:t xml:space="preserve"> were available to George Washington and to local consumers, </w:t>
      </w:r>
      <w:r w:rsidRPr="00303987">
        <w:t xml:space="preserve">the exact types are not </w:t>
      </w:r>
      <w:r>
        <w:t>discernible from the documentary records</w:t>
      </w:r>
      <w:r w:rsidR="00B73111">
        <w:t xml:space="preserve">. </w:t>
      </w:r>
      <w:r w:rsidRPr="00303987">
        <w:t>Washington purchased at least 10 fans</w:t>
      </w:r>
      <w:r>
        <w:t>, most likely for Martha,</w:t>
      </w:r>
      <w:r w:rsidRPr="00303987">
        <w:t xml:space="preserve"> between 1760 and 1773</w:t>
      </w:r>
      <w:r>
        <w:t xml:space="preserve"> </w:t>
      </w:r>
      <w:r w:rsidRPr="00303987">
        <w:t>including two fashionable fans made of ivory, two cheap fashionable fans, one handsome fan</w:t>
      </w:r>
      <w:r>
        <w:t xml:space="preserve"> (the most costly)</w:t>
      </w:r>
      <w:r w:rsidRPr="00303987">
        <w:t>, one neat fan, three India fans, and a</w:t>
      </w:r>
      <w:r w:rsidR="00B73111">
        <w:t xml:space="preserve"> fan appropriate for mourning. </w:t>
      </w:r>
      <w:r>
        <w:t>They ranged in price from cheap (about a shilling) to expensive (over £3)</w:t>
      </w:r>
      <w:r w:rsidRPr="00DC2740">
        <w:t xml:space="preserve"> </w:t>
      </w:r>
      <w:r>
        <w:t xml:space="preserve">(Mount Vernon </w:t>
      </w:r>
      <w:r w:rsidR="00B73111">
        <w:t xml:space="preserve">Archaeology Department 2012a). </w:t>
      </w:r>
      <w:r w:rsidRPr="00303987">
        <w:t xml:space="preserve">Alexander Henderson also offered mourning fans </w:t>
      </w:r>
      <w:r>
        <w:t>in addition to regular and fashionable fan</w:t>
      </w:r>
      <w:r w:rsidR="00B73111">
        <w:t xml:space="preserve">s in 1759 (for a total of 60). </w:t>
      </w:r>
      <w:r>
        <w:t>Fans do not seem to have been in high demand among Henderson’s clientele as he only restocked them once, in 1763, when he ordered 36 more (Mount Vernon Archaeology Department 2012b)</w:t>
      </w:r>
      <w:r w:rsidR="00B73111">
        <w:t>.</w:t>
      </w:r>
      <w:r w:rsidRPr="00303987">
        <w:t xml:space="preserve"> </w:t>
      </w:r>
      <w:r>
        <w:t xml:space="preserve">Henderson’s selection of three fans never cost him more than a shilling each and even if they were marked up for sale, would have fallen into the cheaper category of fans purchased by Washington.  </w:t>
      </w:r>
    </w:p>
    <w:p w:rsidR="000F7191" w:rsidRPr="000F7191" w:rsidRDefault="000F7191" w:rsidP="000F7191">
      <w:pPr>
        <w:spacing w:line="480" w:lineRule="auto"/>
        <w:ind w:firstLine="720"/>
      </w:pPr>
      <w:r w:rsidRPr="00303987">
        <w:t xml:space="preserve">Archaeologists recovered 29 hand-carved, bone folding fan fragments </w:t>
      </w:r>
      <w:r>
        <w:t xml:space="preserve">(minimum n=1) </w:t>
      </w:r>
      <w:r w:rsidRPr="00303987">
        <w:t>from the midden feature. Of the total, 24 exhibit decorative, symmetrically carved edges</w:t>
      </w:r>
      <w:r>
        <w:t xml:space="preserve"> (Figure</w:t>
      </w:r>
      <w:r w:rsidRPr="009F6EE3">
        <w:t xml:space="preserve"> 7-</w:t>
      </w:r>
      <w:r>
        <w:t>8)</w:t>
      </w:r>
      <w:r w:rsidRPr="00303987">
        <w:t xml:space="preserve">. </w:t>
      </w:r>
      <w:r>
        <w:t>The sturdier outer blades, called guards, also appear to have been carved on the</w:t>
      </w:r>
      <w:r w:rsidRPr="00303987">
        <w:t xml:space="preserve"> face of </w:t>
      </w:r>
      <w:r>
        <w:t>with</w:t>
      </w:r>
      <w:r w:rsidRPr="00303987">
        <w:t xml:space="preserve"> a herringbone pattern. The rest are undecorated. Though archaeologists excavated individual blades of fans made of bone from the midden, the more treasured and perhaps more expensive </w:t>
      </w:r>
      <w:r>
        <w:t xml:space="preserve">fans </w:t>
      </w:r>
      <w:r w:rsidRPr="00303987">
        <w:t>had their lives extended through repair. Martha Washington’s fans were mended and fixed on four different occasions in the 1760s and early 1770s (</w:t>
      </w:r>
      <w:r>
        <w:t>Abbot 1988[6]:406; Abbot and Twohig 1990[7]:478; Abbot and Twohig 1993[8]:454; Abbot and Twohig 1994[9]:20</w:t>
      </w:r>
      <w:r w:rsidRPr="00303987">
        <w:t xml:space="preserve">). This practice was common because </w:t>
      </w:r>
      <w:r>
        <w:t xml:space="preserve">some </w:t>
      </w:r>
      <w:r w:rsidRPr="00303987">
        <w:t xml:space="preserve">fans were expensive, personal, yet fragile items (White 2005:124). In Mount Vernon’s museum collections, five fans are attributed to Martha Washington (Cadou </w:t>
      </w:r>
      <w:r w:rsidRPr="00303987">
        <w:lastRenderedPageBreak/>
        <w:t>2006:258). This act of maintaining and curating fans may explain why archaeologists tend t</w:t>
      </w:r>
      <w:r>
        <w:t xml:space="preserve">o </w:t>
      </w:r>
      <w:r w:rsidRPr="000F7191">
        <w:t>most often find the cheapest fan parts for everyday use.</w:t>
      </w:r>
    </w:p>
    <w:p w:rsidR="000F7191" w:rsidRPr="000F7191" w:rsidRDefault="000F7191" w:rsidP="000F7191">
      <w:pPr>
        <w:pStyle w:val="NormalWeb"/>
        <w:spacing w:before="0" w:beforeAutospacing="0" w:after="0" w:afterAutospacing="0" w:line="480" w:lineRule="auto"/>
        <w:rPr>
          <w:rFonts w:ascii="Times New Roman" w:hAnsi="Times New Roman"/>
          <w:sz w:val="24"/>
          <w:szCs w:val="24"/>
        </w:rPr>
      </w:pPr>
      <w:r w:rsidRPr="000F7191">
        <w:rPr>
          <w:rFonts w:ascii="Times New Roman" w:hAnsi="Times New Roman"/>
          <w:sz w:val="24"/>
          <w:szCs w:val="24"/>
        </w:rPr>
        <w:tab/>
        <w:t>Fans functioned as props of gentility and fashion accessories and they also offered women a way to communicate without even speaking (Armstrong 1974; Deagan 2002; White 2005). A quick flick of the fan might impart her agitation; while a slow fluttering of the fan suggested flirtation. Books were published to aid women in learning the language of the fan and her ability to master this language spoke to her fine manners and pedigree (Armstrong 1974). In fact, the main female prop featured in a popular eighteenth-century book of manners, or courtesy books as they were called, was the fan (Nivelon 1737). This type of prescriptive literature offered a guide to genteel behavior and appropriate comportment in social situations. The illustrated book describes and shows how a woman should curtsy, give or receive an object, and even properly walk, all while hold a fan.</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Non-elites including enslaved individuals too acquired and used fans, but for what specific purpose, we can only begin to speculate. Comparable documentary sources detailing the function of fans in non-elite households do not exist, but analyses of fan fragments from other archaeological sites allows for better understandings of their prevalence and popularity from a</w:t>
      </w:r>
      <w:r w:rsidR="00B73111">
        <w:rPr>
          <w:rFonts w:ascii="Times New Roman" w:hAnsi="Times New Roman"/>
          <w:sz w:val="24"/>
          <w:szCs w:val="24"/>
        </w:rPr>
        <w:t xml:space="preserve"> variety of contexts over time.</w:t>
      </w:r>
      <w:r w:rsidRPr="000F7191">
        <w:rPr>
          <w:rFonts w:ascii="Times New Roman" w:hAnsi="Times New Roman"/>
          <w:sz w:val="24"/>
          <w:szCs w:val="24"/>
        </w:rPr>
        <w:t xml:space="preserve"> In the study of a non-elite widow’s (Elizabeth Pratt) houselot in colonial Newport, Rhode Island, Hodge (2010:231) found evidence of a folding fan that she interprets as the appropriation of “feminine qualities once the territory of leisured upper-status </w:t>
      </w:r>
      <w:r w:rsidR="00B73111">
        <w:rPr>
          <w:rFonts w:ascii="Times New Roman" w:hAnsi="Times New Roman"/>
          <w:sz w:val="24"/>
          <w:szCs w:val="24"/>
        </w:rPr>
        <w:t xml:space="preserve">women.” </w:t>
      </w:r>
      <w:r w:rsidRPr="000F7191">
        <w:rPr>
          <w:rFonts w:ascii="Times New Roman" w:hAnsi="Times New Roman"/>
          <w:sz w:val="24"/>
          <w:szCs w:val="24"/>
        </w:rPr>
        <w:t>Hodge (2010:230-231) suggests that the fan acted as a prop of empowerment for this nontraditional female head of a middling household and busines</w:t>
      </w:r>
      <w:r w:rsidR="00EF424C">
        <w:rPr>
          <w:rFonts w:ascii="Times New Roman" w:hAnsi="Times New Roman"/>
          <w:sz w:val="24"/>
          <w:szCs w:val="24"/>
        </w:rPr>
        <w:t>s woma</w:t>
      </w:r>
      <w:r w:rsidRPr="000F7191">
        <w:rPr>
          <w:rFonts w:ascii="Times New Roman" w:hAnsi="Times New Roman"/>
          <w:sz w:val="24"/>
          <w:szCs w:val="24"/>
        </w:rPr>
        <w:t xml:space="preserve">n.  </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Was this the motivation behind slave</w:t>
      </w:r>
      <w:r w:rsidR="00B73111">
        <w:rPr>
          <w:rFonts w:ascii="Times New Roman" w:hAnsi="Times New Roman"/>
          <w:sz w:val="24"/>
          <w:szCs w:val="24"/>
        </w:rPr>
        <w:t xml:space="preserve"> consumption of fans, as well? </w:t>
      </w:r>
      <w:r w:rsidRPr="000F7191">
        <w:rPr>
          <w:rFonts w:ascii="Times New Roman" w:hAnsi="Times New Roman"/>
          <w:sz w:val="24"/>
          <w:szCs w:val="24"/>
        </w:rPr>
        <w:t xml:space="preserve">Fans found at sites associated with slaves suggest that they were uncommon but not unknown; out of 48 sites </w:t>
      </w:r>
      <w:r w:rsidRPr="000F7191">
        <w:rPr>
          <w:rFonts w:ascii="Times New Roman" w:hAnsi="Times New Roman"/>
          <w:sz w:val="24"/>
          <w:szCs w:val="24"/>
        </w:rPr>
        <w:lastRenderedPageBreak/>
        <w:t>queried, 5 had evidence of fans (DAACS 2012a). Two buildings along Monticello’s Mulberry Row (slave quarters and outbuildings located near Thomas Jefferson’s mansion) had one fan fragment each.</w:t>
      </w:r>
      <w:r w:rsidR="00B73111">
        <w:rPr>
          <w:rFonts w:ascii="Times New Roman" w:hAnsi="Times New Roman"/>
          <w:sz w:val="24"/>
          <w:szCs w:val="24"/>
        </w:rPr>
        <w:t xml:space="preserve"> </w:t>
      </w:r>
      <w:r w:rsidR="00281F36">
        <w:rPr>
          <w:rFonts w:ascii="Times New Roman" w:hAnsi="Times New Roman"/>
          <w:sz w:val="24"/>
          <w:szCs w:val="24"/>
        </w:rPr>
        <w:t>One was from B</w:t>
      </w:r>
      <w:r w:rsidRPr="000F7191">
        <w:rPr>
          <w:rFonts w:ascii="Times New Roman" w:hAnsi="Times New Roman"/>
          <w:sz w:val="24"/>
          <w:szCs w:val="24"/>
        </w:rPr>
        <w:t>uilding m, interpreted as a smokehouse/dairy (Smith and Massey 2011); however</w:t>
      </w:r>
      <w:r w:rsidR="002709F8">
        <w:rPr>
          <w:rFonts w:ascii="Times New Roman" w:hAnsi="Times New Roman"/>
          <w:sz w:val="24"/>
          <w:szCs w:val="24"/>
        </w:rPr>
        <w:t>,</w:t>
      </w:r>
      <w:r w:rsidRPr="000F7191">
        <w:rPr>
          <w:rFonts w:ascii="Times New Roman" w:hAnsi="Times New Roman"/>
          <w:sz w:val="24"/>
          <w:szCs w:val="24"/>
        </w:rPr>
        <w:t xml:space="preserve"> it was discovered in topsoil and therefore its direct relationship to the late eighteenth- or early nineteenth-century activities that occurre</w:t>
      </w:r>
      <w:r w:rsidR="00B73111">
        <w:rPr>
          <w:rFonts w:ascii="Times New Roman" w:hAnsi="Times New Roman"/>
          <w:sz w:val="24"/>
          <w:szCs w:val="24"/>
        </w:rPr>
        <w:t xml:space="preserve">d at the site is questionable. </w:t>
      </w:r>
      <w:r w:rsidRPr="000F7191">
        <w:rPr>
          <w:rFonts w:ascii="Times New Roman" w:hAnsi="Times New Roman"/>
          <w:sz w:val="24"/>
          <w:szCs w:val="24"/>
        </w:rPr>
        <w:t>The second fragment was excavated f</w:t>
      </w:r>
      <w:r w:rsidR="00281F36">
        <w:rPr>
          <w:rFonts w:ascii="Times New Roman" w:hAnsi="Times New Roman"/>
          <w:sz w:val="24"/>
          <w:szCs w:val="24"/>
        </w:rPr>
        <w:t>rom a ca. 1790-1826 context at B</w:t>
      </w:r>
      <w:r w:rsidRPr="000F7191">
        <w:rPr>
          <w:rFonts w:ascii="Times New Roman" w:hAnsi="Times New Roman"/>
          <w:sz w:val="24"/>
          <w:szCs w:val="24"/>
        </w:rPr>
        <w:t>uilding l, a multi-purpose structure that served as the site of nail production and possibly a residence for enslaved teenage boys (Galle</w:t>
      </w:r>
      <w:r w:rsidR="00B73111">
        <w:rPr>
          <w:rFonts w:ascii="Times New Roman" w:hAnsi="Times New Roman"/>
          <w:sz w:val="24"/>
          <w:szCs w:val="24"/>
        </w:rPr>
        <w:t xml:space="preserve"> 2006:136-137; Galle 2010:34). </w:t>
      </w:r>
      <w:r w:rsidRPr="000F7191">
        <w:rPr>
          <w:rFonts w:ascii="Times New Roman" w:hAnsi="Times New Roman"/>
          <w:sz w:val="24"/>
          <w:szCs w:val="24"/>
        </w:rPr>
        <w:t>Richneck Quarter (68AP) outside Williamsburg had four fan blade fragments excavated from the fill of a cellar dating to the second quar</w:t>
      </w:r>
      <w:r w:rsidR="00B73111">
        <w:rPr>
          <w:rFonts w:ascii="Times New Roman" w:hAnsi="Times New Roman"/>
          <w:sz w:val="24"/>
          <w:szCs w:val="24"/>
        </w:rPr>
        <w:t xml:space="preserve">ter of the eighteenth century. </w:t>
      </w:r>
      <w:r w:rsidRPr="000F7191">
        <w:rPr>
          <w:rFonts w:ascii="Times New Roman" w:hAnsi="Times New Roman"/>
          <w:sz w:val="24"/>
          <w:szCs w:val="24"/>
        </w:rPr>
        <w:t>The large cellar may have actually housed an overseer or driver and the fill, therefore, could have originated from either enslaved or free ho</w:t>
      </w:r>
      <w:r w:rsidR="00B73111">
        <w:rPr>
          <w:rFonts w:ascii="Times New Roman" w:hAnsi="Times New Roman"/>
          <w:sz w:val="24"/>
          <w:szCs w:val="24"/>
        </w:rPr>
        <w:t xml:space="preserve">useholds (Galle 2006:124-125). </w:t>
      </w:r>
      <w:r w:rsidRPr="000F7191">
        <w:rPr>
          <w:rFonts w:ascii="Times New Roman" w:hAnsi="Times New Roman"/>
          <w:sz w:val="24"/>
          <w:szCs w:val="24"/>
        </w:rPr>
        <w:t xml:space="preserve">The outlier is Palace Lands, a slave quarter located approximately a mile from the center of the </w:t>
      </w:r>
      <w:r w:rsidR="00EF424C">
        <w:rPr>
          <w:rFonts w:ascii="Times New Roman" w:hAnsi="Times New Roman"/>
          <w:sz w:val="24"/>
          <w:szCs w:val="24"/>
        </w:rPr>
        <w:t>city of Williamsburg and near</w:t>
      </w:r>
      <w:r w:rsidRPr="000F7191">
        <w:rPr>
          <w:rFonts w:ascii="Times New Roman" w:hAnsi="Times New Roman"/>
          <w:sz w:val="24"/>
          <w:szCs w:val="24"/>
        </w:rPr>
        <w:t xml:space="preserve"> the owner’s residence, which yielded 18 fan blade f</w:t>
      </w:r>
      <w:r w:rsidR="00B73111">
        <w:rPr>
          <w:rFonts w:ascii="Times New Roman" w:hAnsi="Times New Roman"/>
          <w:sz w:val="24"/>
          <w:szCs w:val="24"/>
        </w:rPr>
        <w:t xml:space="preserve">ragments (Galle 2006:128-129). </w:t>
      </w:r>
      <w:r w:rsidRPr="000F7191">
        <w:rPr>
          <w:rFonts w:ascii="Times New Roman" w:hAnsi="Times New Roman"/>
          <w:sz w:val="24"/>
          <w:szCs w:val="24"/>
        </w:rPr>
        <w:t xml:space="preserve">The fragments were excavated from the fill of a sub-floor pit located underneath a structure believed to have been occupied by a kin-group including a mother and her children (Franklin 2007).  </w:t>
      </w:r>
    </w:p>
    <w:p w:rsid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 xml:space="preserve">Mount Vernon’s House for Families slave quarter also had a fan blade fragment whose possible post-manufacture modification, in the form of a carved decoration on the face of the blade, suggests that it may have been used differently than those excavated from the nearby </w:t>
      </w:r>
      <w:r w:rsidR="00482E4F">
        <w:rPr>
          <w:rFonts w:ascii="Times New Roman" w:hAnsi="Times New Roman"/>
          <w:sz w:val="24"/>
          <w:szCs w:val="24"/>
        </w:rPr>
        <w:t>midden site (Figure 7-10</w:t>
      </w:r>
      <w:r w:rsidR="00B73111">
        <w:rPr>
          <w:rFonts w:ascii="Times New Roman" w:hAnsi="Times New Roman"/>
          <w:sz w:val="24"/>
          <w:szCs w:val="24"/>
        </w:rPr>
        <w:t xml:space="preserve">). </w:t>
      </w:r>
      <w:r w:rsidRPr="000F7191">
        <w:rPr>
          <w:rFonts w:ascii="Times New Roman" w:hAnsi="Times New Roman"/>
          <w:sz w:val="24"/>
          <w:szCs w:val="24"/>
        </w:rPr>
        <w:t>This particular fan blade was a guard, more thickly made to provide structure and protection for an otherwise fragile item, decorated on the face with a geometric motif comprised of notches, parallel lines, and cross-hatching dissimilar to the rococo-inspired carved fragments found at the South Grove and othe</w:t>
      </w:r>
      <w:r w:rsidR="00B73111">
        <w:rPr>
          <w:rFonts w:ascii="Times New Roman" w:hAnsi="Times New Roman"/>
          <w:sz w:val="24"/>
          <w:szCs w:val="24"/>
        </w:rPr>
        <w:t xml:space="preserve">r sites (White 2005:123, 127). </w:t>
      </w:r>
      <w:r w:rsidRPr="000F7191">
        <w:rPr>
          <w:rFonts w:ascii="Times New Roman" w:hAnsi="Times New Roman"/>
          <w:sz w:val="24"/>
          <w:szCs w:val="24"/>
        </w:rPr>
        <w:t>While cross-</w:t>
      </w:r>
      <w:r w:rsidRPr="000F7191">
        <w:rPr>
          <w:rFonts w:ascii="Times New Roman" w:hAnsi="Times New Roman"/>
          <w:sz w:val="24"/>
          <w:szCs w:val="24"/>
        </w:rPr>
        <w:lastRenderedPageBreak/>
        <w:t>hatching is a familiar decorative attribute seen on bone-handled utensils, the motif bears a slight resemblance to a carved bone artifact excavated from a slave quarter structure (Structure 1) on the Utopia II complex in James City County, Virginia (</w:t>
      </w:r>
      <w:r w:rsidR="00B73111">
        <w:rPr>
          <w:rFonts w:ascii="Times New Roman" w:hAnsi="Times New Roman"/>
          <w:sz w:val="24"/>
          <w:szCs w:val="24"/>
        </w:rPr>
        <w:t xml:space="preserve">Samford 2007:168, figure 8.6). </w:t>
      </w:r>
      <w:r w:rsidRPr="000F7191">
        <w:rPr>
          <w:rFonts w:ascii="Times New Roman" w:hAnsi="Times New Roman"/>
          <w:sz w:val="24"/>
          <w:szCs w:val="24"/>
        </w:rPr>
        <w:t>Clear</w:t>
      </w:r>
      <w:r w:rsidR="007F5CE5">
        <w:rPr>
          <w:rFonts w:ascii="Times New Roman" w:hAnsi="Times New Roman"/>
          <w:sz w:val="24"/>
          <w:szCs w:val="24"/>
        </w:rPr>
        <w:t>l</w:t>
      </w:r>
      <w:r w:rsidRPr="000F7191">
        <w:rPr>
          <w:rFonts w:ascii="Times New Roman" w:hAnsi="Times New Roman"/>
          <w:sz w:val="24"/>
          <w:szCs w:val="24"/>
        </w:rPr>
        <w:t xml:space="preserve">y, more systematic research is needed on archaeologically-recovered fan parts and in museum collections to definitively make the argument that the decoration on the House for Families blade was made by an enslaved individual residing in that dwelling, but the possibility is intriguing. </w:t>
      </w:r>
    </w:p>
    <w:p w:rsidR="00270BD0" w:rsidRPr="000F7191" w:rsidRDefault="00270BD0" w:rsidP="000F7191">
      <w:pPr>
        <w:pStyle w:val="NormalWeb"/>
        <w:spacing w:before="0" w:beforeAutospacing="0" w:after="0" w:afterAutospacing="0" w:line="480" w:lineRule="auto"/>
        <w:ind w:firstLine="720"/>
        <w:rPr>
          <w:rFonts w:ascii="Times New Roman" w:hAnsi="Times New Roman"/>
          <w:sz w:val="24"/>
          <w:szCs w:val="24"/>
        </w:rPr>
      </w:pPr>
    </w:p>
    <w:p w:rsidR="000F7191" w:rsidRDefault="000F7191" w:rsidP="000F7191">
      <w:r>
        <w:rPr>
          <w:noProof/>
        </w:rPr>
        <w:drawing>
          <wp:inline distT="0" distB="0" distL="0" distR="0">
            <wp:extent cx="3146708" cy="3657600"/>
            <wp:effectExtent l="19050" t="0" r="0" b="0"/>
            <wp:docPr id="15" name="Picture 13" descr="762.17.DAACS.2516.2701.2700.2517.Img7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2.17.DAACS.2516.2701.2700.2517.Img7850.jpg"/>
                    <pic:cNvPicPr/>
                  </pic:nvPicPr>
                  <pic:blipFill>
                    <a:blip r:embed="rId45" cstate="print"/>
                    <a:stretch>
                      <a:fillRect/>
                    </a:stretch>
                  </pic:blipFill>
                  <pic:spPr>
                    <a:xfrm>
                      <a:off x="0" y="0"/>
                      <a:ext cx="3146708" cy="3657600"/>
                    </a:xfrm>
                    <a:prstGeom prst="rect">
                      <a:avLst/>
                    </a:prstGeom>
                  </pic:spPr>
                </pic:pic>
              </a:graphicData>
            </a:graphic>
          </wp:inline>
        </w:drawing>
      </w:r>
      <w:r>
        <w:rPr>
          <w:noProof/>
        </w:rPr>
        <w:drawing>
          <wp:inline distT="0" distB="0" distL="0" distR="0">
            <wp:extent cx="1914845" cy="3657600"/>
            <wp:effectExtent l="19050" t="0" r="9205" b="0"/>
            <wp:docPr id="16" name="Picture 12" descr="762.40.47.DAACS.Obj1.img0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2.40.47.DAACS.Obj1.img0172.jpg"/>
                    <pic:cNvPicPr/>
                  </pic:nvPicPr>
                  <pic:blipFill>
                    <a:blip r:embed="rId46" cstate="print"/>
                    <a:stretch>
                      <a:fillRect/>
                    </a:stretch>
                  </pic:blipFill>
                  <pic:spPr>
                    <a:xfrm>
                      <a:off x="0" y="0"/>
                      <a:ext cx="1914845" cy="3657600"/>
                    </a:xfrm>
                    <a:prstGeom prst="rect">
                      <a:avLst/>
                    </a:prstGeom>
                  </pic:spPr>
                </pic:pic>
              </a:graphicData>
            </a:graphic>
          </wp:inline>
        </w:drawing>
      </w:r>
      <w:r>
        <w:t xml:space="preserve">     </w:t>
      </w:r>
    </w:p>
    <w:p w:rsidR="000F7191" w:rsidRPr="00CB6641" w:rsidRDefault="000F7191" w:rsidP="000F7191">
      <w:pPr>
        <w:rPr>
          <w:b/>
        </w:rPr>
      </w:pPr>
      <w:r>
        <w:rPr>
          <w:b/>
        </w:rPr>
        <w:t>Figure 7-</w:t>
      </w:r>
      <w:r w:rsidR="00482E4F">
        <w:rPr>
          <w:b/>
        </w:rPr>
        <w:t>10</w:t>
      </w:r>
      <w:r w:rsidRPr="00CB6641">
        <w:rPr>
          <w:b/>
        </w:rPr>
        <w:t xml:space="preserve">. </w:t>
      </w:r>
      <w:r w:rsidRPr="0021515B">
        <w:t>Carved bone fan blades excavated from the South Grove Midden (left) and t</w:t>
      </w:r>
      <w:r w:rsidR="00B73111">
        <w:t xml:space="preserve">he House for Families (right). </w:t>
      </w:r>
      <w:proofErr w:type="gramStart"/>
      <w:r w:rsidRPr="00482B91">
        <w:t>(</w:t>
      </w:r>
      <w:r w:rsidRPr="0021515B">
        <w:t xml:space="preserve">Photo by </w:t>
      </w:r>
      <w:r w:rsidR="00270BD0">
        <w:t>Karen Price</w:t>
      </w:r>
      <w:r w:rsidRPr="0021515B">
        <w:t>, 2012; courtesy of Mount Vernon Ladies’ Association.)</w:t>
      </w:r>
      <w:proofErr w:type="gramEnd"/>
    </w:p>
    <w:p w:rsidR="000F7191" w:rsidRDefault="000F7191" w:rsidP="000F7191"/>
    <w:p w:rsidR="000F7191" w:rsidRDefault="000F7191" w:rsidP="000F7191">
      <w:r w:rsidRPr="00C9000B">
        <w:t xml:space="preserve">   </w:t>
      </w:r>
    </w:p>
    <w:p w:rsidR="000F7191" w:rsidRPr="00C9000B" w:rsidRDefault="000F7191" w:rsidP="000F7191"/>
    <w:p w:rsidR="00270BD0" w:rsidRDefault="00270BD0">
      <w:r>
        <w:br w:type="page"/>
      </w:r>
    </w:p>
    <w:p w:rsidR="000F7191" w:rsidRPr="00AC6ECC" w:rsidRDefault="000F7191" w:rsidP="000F7191">
      <w:pPr>
        <w:spacing w:line="480" w:lineRule="auto"/>
        <w:ind w:firstLine="720"/>
      </w:pPr>
      <w:r>
        <w:lastRenderedPageBreak/>
        <w:t>For elite women, fans as social props were central to communicating the u</w:t>
      </w:r>
      <w:r w:rsidR="00B73111">
        <w:t xml:space="preserve">nspoken language of gentility. </w:t>
      </w:r>
      <w:r>
        <w:t>Given the relatively small supply of fans stocked by Alexander Henderson and their infrequent recovery on sites associated with enslaved individuals, we can speculate that they were not an integral part of the material ret</w:t>
      </w:r>
      <w:r w:rsidR="00B73111">
        <w:t xml:space="preserve">inue of African-American life. </w:t>
      </w:r>
      <w:r>
        <w:t>However, their excavation from non-elite households including sites associated with enslaved communities suggests that fans did play a role in everyday life in ways that may have depended on the site-s</w:t>
      </w:r>
      <w:r w:rsidR="00B73111">
        <w:t xml:space="preserve">pecific context (Heath 1999b). </w:t>
      </w:r>
      <w:r>
        <w:t xml:space="preserve">The excavation of multiple fan fragments from the Palace Lands quarter may indicate that the female head of household appropriated this item of material culture that she had seen in use by elite women in the environs of urban Williamsburg, just as the widow </w:t>
      </w:r>
      <w:r w:rsidR="00B73111">
        <w:t xml:space="preserve">Pratt had in colonial Newport. </w:t>
      </w:r>
      <w:r>
        <w:t>The s</w:t>
      </w:r>
      <w:r w:rsidR="00281F36">
        <w:t>ingle fragments excavated from B</w:t>
      </w:r>
      <w:r>
        <w:t>uilding l and the House for Familie</w:t>
      </w:r>
      <w:r w:rsidRPr="00AC6ECC">
        <w:t xml:space="preserve">s may indicate that these fans were valued for their parts and not their original, intended use.      </w:t>
      </w:r>
    </w:p>
    <w:p w:rsidR="000F7191" w:rsidRDefault="000F7191" w:rsidP="000F7191">
      <w:pPr>
        <w:spacing w:line="480" w:lineRule="auto"/>
        <w:ind w:firstLine="720"/>
      </w:pPr>
      <w:r w:rsidRPr="00AC6ECC">
        <w:t xml:space="preserve">Another even rarer find on archaeological sites are watches and their accessories including chains, fobs, keys, and </w:t>
      </w:r>
      <w:r>
        <w:t>seals</w:t>
      </w:r>
      <w:r w:rsidR="00B73111">
        <w:t xml:space="preserve">. </w:t>
      </w:r>
      <w:r w:rsidRPr="00AC6ECC">
        <w:t>“The watch was the most valuable and most prominent item, but the other trinkets were an important part of the watch ensemble” (White 2005:131).</w:t>
      </w:r>
      <w:r w:rsidR="00B73111">
        <w:t xml:space="preserve"> </w:t>
      </w:r>
      <w:r>
        <w:t>Only three watch related artifacts are indentified in DAACS, two of which are from the House for Families site (DAACS 2013d</w:t>
      </w:r>
      <w:r w:rsidRPr="00E2718F">
        <w:t>).</w:t>
      </w:r>
      <w:r w:rsidR="00B73111">
        <w:t xml:space="preserve"> </w:t>
      </w:r>
      <w:r>
        <w:t>The other watch part, what appears to be a p</w:t>
      </w:r>
      <w:r w:rsidR="00281F36">
        <w:t>artial key, was excavated from B</w:t>
      </w:r>
      <w:r>
        <w:t>uilding o on Monticello’s Mulberry Row, a dwelling for enslaved individuals in the last quarter of the e</w:t>
      </w:r>
      <w:r w:rsidR="00B73111">
        <w:t xml:space="preserve">ighteenth century (Hill 2003). </w:t>
      </w:r>
      <w:r>
        <w:t>Discovery of the artifact in topsoil, however, raises some issues in associating th</w:t>
      </w:r>
      <w:r w:rsidR="00B73111">
        <w:t xml:space="preserve">e key with its original owner. </w:t>
      </w:r>
      <w:r>
        <w:t>The two watch-related artifacts from the House for Families were excavat</w:t>
      </w:r>
      <w:r w:rsidR="00B73111">
        <w:t xml:space="preserve">ed from Phase 1 of the cellar. </w:t>
      </w:r>
      <w:r>
        <w:t xml:space="preserve">Both are seals, one of which still houses the original glass intaglio bearing the </w:t>
      </w:r>
      <w:r w:rsidR="00B73111">
        <w:t xml:space="preserve">profile of a classical figure. </w:t>
      </w:r>
      <w:r>
        <w:t xml:space="preserve">Seal iconography varied from highly individualized (coats of arms and initials) to generic (anchors or </w:t>
      </w:r>
      <w:r>
        <w:lastRenderedPageBreak/>
        <w:t xml:space="preserve">sentimental sayings) (White 2004:60-61, figure </w:t>
      </w:r>
      <w:r w:rsidR="00B73111">
        <w:t xml:space="preserve">20-21, 2005:133; Paresi 2013). </w:t>
      </w:r>
      <w:r>
        <w:t xml:space="preserve">The copper alloy bezel is all that remains of the second example.  </w:t>
      </w:r>
    </w:p>
    <w:p w:rsidR="000F7191" w:rsidRDefault="000F7191" w:rsidP="000F7191">
      <w:pPr>
        <w:spacing w:line="480" w:lineRule="auto"/>
        <w:ind w:firstLine="720"/>
      </w:pPr>
      <w:r>
        <w:t>Though no watch parts or related accessories were excavated from the midden, the Washingtons appreciated the commun</w:t>
      </w:r>
      <w:r w:rsidR="00B73111">
        <w:t xml:space="preserve">icative properties of watches. </w:t>
      </w:r>
      <w:r>
        <w:t>The final entry in Lawrence Washington’s probate inventory is for one silver watch, valued at no less than</w:t>
      </w:r>
      <w:r w:rsidR="00B73111">
        <w:t xml:space="preserve"> six pounds (Washington 1753). </w:t>
      </w:r>
      <w:r>
        <w:t xml:space="preserve">Like his older brother, George Washington made investments in this artifact of adornment as early as 1758 when he ordered crystals for a watch for which he was charged six shillings (Mount Vernon </w:t>
      </w:r>
      <w:r w:rsidR="00B73111">
        <w:t xml:space="preserve">Archaeology Department 2012a). </w:t>
      </w:r>
      <w:r>
        <w:t>A few years later, in 1764, he paid about half a pound for his watch to be fi</w:t>
      </w:r>
      <w:r w:rsidR="00B73111">
        <w:t xml:space="preserve">xed and for a watch key. </w:t>
      </w:r>
      <w:r>
        <w:t>He paid to have his watch chain fixed in 1771, in addit</w:t>
      </w:r>
      <w:r w:rsidR="00B73111">
        <w:t xml:space="preserve">ion to another order for keys. </w:t>
      </w:r>
      <w:r>
        <w:t>There is additional evidence for watch repair, performed locally, in the plantation ledger (Washington 1750-1774) suggesting that watches were treated much like folding fans, extending the lives of these personal objects through rep</w:t>
      </w:r>
      <w:r w:rsidR="00B73111">
        <w:t xml:space="preserve">air as opposed to replacement. </w:t>
      </w:r>
      <w:r>
        <w:t xml:space="preserve">At this time, Washington also paid to have a seal made of stone reset in a gold bezel and purchases a new seal, both engraved with the Washington crest. </w:t>
      </w:r>
      <w:r w:rsidR="00EF424C">
        <w:t>A year later, Washington ordered</w:t>
      </w:r>
      <w:r>
        <w:t xml:space="preserve"> a gold seal fit for a woman’s watch (Mount Vernon Archaeology Department 2012a).          </w:t>
      </w:r>
    </w:p>
    <w:p w:rsidR="000F7191" w:rsidRDefault="000F7191" w:rsidP="000F7191">
      <w:pPr>
        <w:spacing w:line="480" w:lineRule="auto"/>
        <w:ind w:firstLine="720"/>
      </w:pPr>
      <w:r>
        <w:t>Watches and accessories, much like folding fans, are considered clear signals of status, luxury, display, education, and distinction (Carr and Walsh 1994:69; Fales 1995; White 2005:130-133) or, in the case of the House for Families, possibly an appropriation of the values em</w:t>
      </w:r>
      <w:r w:rsidR="00B73111">
        <w:t xml:space="preserve">bodied in this small artifact. </w:t>
      </w:r>
      <w:r>
        <w:t>How one or more of the slaves living at Mount Vernon came to a</w:t>
      </w:r>
      <w:r w:rsidR="00B73111">
        <w:t>cquire this item is unknown.</w:t>
      </w:r>
      <w:r>
        <w:t xml:space="preserve"> Alexander Henderson’s store did not stock watches, their parts, or accessories, perhaps instead relying on a local watchmaker </w:t>
      </w:r>
      <w:r w:rsidR="002709F8">
        <w:t xml:space="preserve">to </w:t>
      </w:r>
      <w:r>
        <w:t>meet t</w:t>
      </w:r>
      <w:r w:rsidR="00B73111">
        <w:t xml:space="preserve">his (minimal) consumer demand. </w:t>
      </w:r>
      <w:r w:rsidRPr="0027553F">
        <w:t xml:space="preserve">The appropriation of this element of genteel material culture </w:t>
      </w:r>
      <w:r>
        <w:t xml:space="preserve">emphasizes the fact that </w:t>
      </w:r>
      <w:r>
        <w:lastRenderedPageBreak/>
        <w:t xml:space="preserve">despite elite attempts to reinforce their claim to cultural legitimacy through barriers of access to consumer goods, </w:t>
      </w:r>
      <w:r w:rsidRPr="0027553F">
        <w:t>enslaved individuals living in the quarter nearest to the</w:t>
      </w:r>
      <w:r>
        <w:t xml:space="preserve"> mansion sought some material equity through acts of consumption.    </w:t>
      </w:r>
    </w:p>
    <w:p w:rsidR="000F7191" w:rsidRDefault="000F7191" w:rsidP="000F7191">
      <w:pPr>
        <w:spacing w:line="480" w:lineRule="auto"/>
        <w:ind w:firstLine="720"/>
      </w:pPr>
      <w:r>
        <w:t>The next category of adornment artifacts once decorated the shoes a</w:t>
      </w:r>
      <w:r w:rsidR="00B73111">
        <w:t xml:space="preserve">nd clothes of elite consumers. </w:t>
      </w:r>
      <w:r>
        <w:t xml:space="preserve">The presence of </w:t>
      </w:r>
      <w:r w:rsidRPr="00095560">
        <w:rPr>
          <w:u w:val="single"/>
        </w:rPr>
        <w:t>metallic threads</w:t>
      </w:r>
      <w:r>
        <w:t xml:space="preserve"> offers evidence that elite consumers had open access to certain goods that would have been less available to</w:t>
      </w:r>
      <w:r w:rsidR="00B73111">
        <w:t xml:space="preserve"> retail shoppers. </w:t>
      </w:r>
      <w:r>
        <w:t xml:space="preserve">Though archaeologists rarely deal in textiles, a growing body of archaeological evidence from seventeenth and eighteenth-century sites in Maryland, Virginia, Florida, and Newfoundland suggests that spun </w:t>
      </w:r>
      <w:r w:rsidRPr="00095560">
        <w:t>threads</w:t>
      </w:r>
      <w:r>
        <w:t xml:space="preserve"> wrapped in flattened strips of metallic wire survive (Tuck et al. 1999:153; Deagan 2002:177; White 2005:127; Cofield 2011; </w:t>
      </w:r>
      <w:r w:rsidRPr="00D5353A">
        <w:t>DAACS 2013e</w:t>
      </w:r>
      <w:r w:rsidR="00B73111">
        <w:t xml:space="preserve">). </w:t>
      </w:r>
      <w:r>
        <w:t>The embellishment of articles of men’s and women’s clothing and apparel with metallic threads was just one of a number of embroidery techniques that transformed everyday garments into luxury items fo</w:t>
      </w:r>
      <w:r w:rsidR="00B73111">
        <w:t>r elite consumers (Marsh 2006).</w:t>
      </w:r>
      <w:r>
        <w:t xml:space="preserve"> Archaeologists recovered gold and silver metallic threads in 18 contexts from the South Grove Midden, while none were fo</w:t>
      </w:r>
      <w:r w:rsidR="00B73111">
        <w:t xml:space="preserve">und in the House for Families. </w:t>
      </w:r>
      <w:r>
        <w:t xml:space="preserve">Within George Washington’s invoices and orders for goods (Mount Vernon Archaeology Department 2012a) and his correspondence with his </w:t>
      </w:r>
      <w:r w:rsidRPr="00F02C06">
        <w:t>English tailor (Abbot and Twohig 1993[8]:501; Abbot and Twohig 1994[9]:62-63</w:t>
      </w:r>
      <w:r>
        <w:t>), we see evidence</w:t>
      </w:r>
      <w:r w:rsidRPr="00F02C06">
        <w:t xml:space="preserve"> for orders of raw metallic textiles and gold and silver embroide</w:t>
      </w:r>
      <w:r w:rsidR="00B73111">
        <w:t xml:space="preserve">red waistcoats and petticoats. </w:t>
      </w:r>
      <w:r>
        <w:t>Martha Washington herself wore a silver trimmed petticoat and shoes to her wed</w:t>
      </w:r>
      <w:r w:rsidR="00B73111">
        <w:t xml:space="preserve">ding in 1759 (Cadou 2006:234). </w:t>
      </w:r>
      <w:r w:rsidRPr="00F02C06">
        <w:t>Alexander Henderson did not supply metallic textiles or metallic threads in his shop (Mount Vernon Archaeology Department 2012b)</w:t>
      </w:r>
      <w:r>
        <w:t xml:space="preserve"> leaving local consumers to seek out tailors in </w:t>
      </w:r>
      <w:r w:rsidRPr="00F02C06">
        <w:t>larger towns like Williamsburg</w:t>
      </w:r>
      <w:r>
        <w:t xml:space="preserve"> to complete these fashionable garments if desired and/or financially </w:t>
      </w:r>
      <w:r w:rsidR="00B73111">
        <w:lastRenderedPageBreak/>
        <w:t xml:space="preserve">feasible. </w:t>
      </w:r>
      <w:r>
        <w:t xml:space="preserve">As with matched table settings, exclusive access to some goods may have motivated elite participation in the consignment system.  </w:t>
      </w:r>
    </w:p>
    <w:p w:rsidR="000F7191" w:rsidRDefault="000F7191" w:rsidP="000F7191">
      <w:pPr>
        <w:spacing w:line="480" w:lineRule="auto"/>
        <w:ind w:firstLine="720"/>
      </w:pPr>
      <w:r>
        <w:t xml:space="preserve">The complexities involved in understanding the avenues of access to another artifact category, </w:t>
      </w:r>
      <w:r w:rsidRPr="00BB22D1">
        <w:rPr>
          <w:u w:val="single"/>
        </w:rPr>
        <w:t>beads</w:t>
      </w:r>
      <w:r>
        <w:t>, arise from a lack of documentary evidence, at least in this upper Potomac region, and the lack of survivals of period beadwork on anything but</w:t>
      </w:r>
      <w:r w:rsidR="00B73111">
        <w:t xml:space="preserve"> the most high style of items. </w:t>
      </w:r>
      <w:r>
        <w:t>Fundamental questions remain specifically about beads from the South Grove and more generally about beads in colonial Virginia: who used them; how were they used; and h</w:t>
      </w:r>
      <w:r w:rsidR="00B73111">
        <w:t xml:space="preserve">ow were they obtained. </w:t>
      </w:r>
      <w:r>
        <w:t>From documentary evidence and museum collections, we know beads were used on high-style elite clothing, pockets, purses, shoes, and items such as fork and knife handles (Vic</w:t>
      </w:r>
      <w:r w:rsidR="00B73111">
        <w:t xml:space="preserve">toria and Albert Museum 2012). </w:t>
      </w:r>
      <w:r>
        <w:t>Additionally, beads were worn by non-elites, particularly enslaved men and women, as jewelry (encircling necks or waists, dangling from ears), hair ornamentation, and possibly as embroid</w:t>
      </w:r>
      <w:r w:rsidR="00B73111">
        <w:t xml:space="preserve">ery on clothing (Heath 1999b). </w:t>
      </w:r>
      <w:r>
        <w:t>This addresses the first two questions – everyone (men, women, elite, and enslaved) used</w:t>
      </w:r>
      <w:r w:rsidR="00B73111">
        <w:t xml:space="preserve"> beads in many different ways. </w:t>
      </w:r>
      <w:r>
        <w:t>In a mixed elite and enslaved context like the South Grove Midden, the beads could have been associated with either group</w:t>
      </w:r>
      <w:r w:rsidR="00EF424C">
        <w:t>,</w:t>
      </w:r>
      <w:r>
        <w:t xml:space="preserve"> complicating our ability to get from a single bead to the original object it o</w:t>
      </w:r>
      <w:r w:rsidR="00B73111">
        <w:t xml:space="preserve">nce adorned. </w:t>
      </w:r>
      <w:r>
        <w:t xml:space="preserve">However, archaeological evidence has shown distinct preferences for beads, and presumably the items to which they were once affixed, existed, even between households on the </w:t>
      </w:r>
      <w:r w:rsidR="00B73111">
        <w:t xml:space="preserve">same plantation (Heath 1999b). </w:t>
      </w:r>
      <w:r>
        <w:t xml:space="preserve">These findings highlight the need for comparative bead research on sites with similar excavation methods, artifact recovery techniques, and cataloguing protocols.  </w:t>
      </w:r>
    </w:p>
    <w:p w:rsidR="000F7191" w:rsidRDefault="000F7191" w:rsidP="000F7191">
      <w:pPr>
        <w:spacing w:line="480" w:lineRule="auto"/>
        <w:ind w:firstLine="720"/>
      </w:pPr>
      <w:r>
        <w:t>This brings us to the third question, what was the primary method of obtaining be</w:t>
      </w:r>
      <w:r w:rsidR="00B73111">
        <w:t xml:space="preserve">ads in the eighteenth century? </w:t>
      </w:r>
      <w:r>
        <w:t>Like most other items of material culture in the colonies, glass bea</w:t>
      </w:r>
      <w:r w:rsidR="00B73111">
        <w:t xml:space="preserve">ds were imported from England. </w:t>
      </w:r>
      <w:r>
        <w:t xml:space="preserve">Unfortunately, George Washington’s invoices and orders and </w:t>
      </w:r>
      <w:r>
        <w:lastRenderedPageBreak/>
        <w:t>Alexander Henderson’s schemes of goods are silent on the matter (Mount Vernon Archaeology Department 2012a, 2012</w:t>
      </w:r>
      <w:r w:rsidR="00B73111">
        <w:t xml:space="preserve">b). </w:t>
      </w:r>
      <w:r>
        <w:t>Neither Washington nor Henderso</w:t>
      </w:r>
      <w:r w:rsidR="00B73111">
        <w:t xml:space="preserve">n ordered beads by the bagful. </w:t>
      </w:r>
      <w:r>
        <w:t>In fact, this research has not identified a single store in Virginia that stocked beads in the eighteenth century, though this is an</w:t>
      </w:r>
      <w:r w:rsidR="00B73111">
        <w:t xml:space="preserve"> area for additional research. </w:t>
      </w:r>
      <w:r>
        <w:t>Based on objects in museum collections</w:t>
      </w:r>
      <w:r w:rsidRPr="00CD62BF">
        <w:t>,</w:t>
      </w:r>
      <w:r>
        <w:t xml:space="preserve"> we can speculate that some of the formal articles of clothing and jewelry ordered by Washington came decorated with beads of the smallest var</w:t>
      </w:r>
      <w:r w:rsidR="00B73111">
        <w:t xml:space="preserve">iety (White 2005; Cadou 2006). </w:t>
      </w:r>
      <w:r>
        <w:t>This cannot account for all the beads in the midden, especially the long, tubular t</w:t>
      </w:r>
      <w:r w:rsidR="00B73111">
        <w:t xml:space="preserve">ype associated with necklaces. </w:t>
      </w:r>
      <w:r>
        <w:t>Does the presence of some beads on archaeological sites, then, represent an undocumented avenue of access to goods through an informal economy</w:t>
      </w:r>
      <w:r w:rsidR="008E4381">
        <w:t>, as with Colonoware</w:t>
      </w:r>
      <w:r w:rsidR="00B73111">
        <w:t>?</w:t>
      </w:r>
      <w:r>
        <w:t xml:space="preserve"> If so, how might we tease out access to and choice and function of beads in the archaeological record?</w:t>
      </w:r>
    </w:p>
    <w:p w:rsidR="000F7191" w:rsidRDefault="000F7191" w:rsidP="000F7191">
      <w:pPr>
        <w:spacing w:line="480" w:lineRule="auto"/>
        <w:ind w:firstLine="720"/>
      </w:pPr>
      <w:r>
        <w:t xml:space="preserve">Generations of archaeologists have grappled with the conundrum of bead typology (summarized in </w:t>
      </w:r>
      <w:r w:rsidR="00B73111">
        <w:t xml:space="preserve">Karklins 1985 and White 2005). </w:t>
      </w:r>
      <w:r>
        <w:t>Based on the previous artifact category case studies presented in this dissertation wherein size has proven to be both a historically significant factor in consumerism and one that is identifiable archaeologically, I approached the archaeological assemblages with the assumption that bead size is loosely correlated with bead function (Stone 1</w:t>
      </w:r>
      <w:r w:rsidR="00B73111">
        <w:t xml:space="preserve">974; Heath 1999b; White 2005). </w:t>
      </w:r>
      <w:r>
        <w:t xml:space="preserve">Additionally, since most of the beads from both sites are undecorated, bead color offered an additional option for aesthetic expression.   </w:t>
      </w:r>
    </w:p>
    <w:p w:rsidR="000F7191" w:rsidRDefault="000F7191" w:rsidP="000F7191">
      <w:pPr>
        <w:spacing w:line="480" w:lineRule="auto"/>
        <w:ind w:firstLine="720"/>
      </w:pPr>
      <w:r>
        <w:t>Seed or small beads (below 6 mm) are most commonly associated with embroidered clothing or other objects while larger, tubular beads (above 6mm) are associated with neck, waist, or wrist strands (</w:t>
      </w:r>
      <w:r w:rsidR="00F83483">
        <w:t xml:space="preserve">Karklins 1985; </w:t>
      </w:r>
      <w:r w:rsidR="00B73111">
        <w:t xml:space="preserve">Heath 1999b; White 2005). </w:t>
      </w:r>
      <w:r>
        <w:t>Of the 224 measureable beads from the South Grove, 139 (62%) are below 6mm and 85 (38%) are 6mm and above (Figure</w:t>
      </w:r>
      <w:r w:rsidRPr="009F6EE3">
        <w:t xml:space="preserve"> 7-</w:t>
      </w:r>
      <w:r w:rsidR="00482E4F">
        <w:lastRenderedPageBreak/>
        <w:t>11</w:t>
      </w:r>
      <w:r w:rsidR="00B73111">
        <w:t xml:space="preserve">). </w:t>
      </w:r>
      <w:r>
        <w:t>The histogram suggests that there are at least two clusters with means around 1.5 and 10mm, with the smaller cluster exhibiting a tighter range.</w:t>
      </w:r>
    </w:p>
    <w:p w:rsidR="000F7191" w:rsidRDefault="000F7191" w:rsidP="000F7191">
      <w:pPr>
        <w:spacing w:line="480" w:lineRule="auto"/>
        <w:ind w:firstLine="720"/>
      </w:pPr>
      <w:r>
        <w:t>The House for Families assemblage is smaller with 51 measurable beads that breakdown more distinctly into two clusters with mea</w:t>
      </w:r>
      <w:r w:rsidR="00B73111">
        <w:t xml:space="preserve">ns similar to the South Grove. </w:t>
      </w:r>
      <w:r>
        <w:t>Of the total, most (n=48 or 94%) tightly cluster around a mean between 1.5 to 2mm in length with only 3 beads (6%) tightly clustering around 10mm (</w:t>
      </w:r>
      <w:r w:rsidRPr="00312139">
        <w:t>Figure 7-</w:t>
      </w:r>
      <w:r w:rsidR="00482E4F">
        <w:t>12</w:t>
      </w:r>
      <w:r w:rsidR="00B73111">
        <w:t xml:space="preserve">). </w:t>
      </w:r>
      <w:r>
        <w:t xml:space="preserve">In addition to the lower percentage of strung beads, a more limited color palette is represented by the House for Families assemblage with a predominance of green beads as opposed to the clear and red more frequently discarded in the South Grove </w:t>
      </w:r>
      <w:r w:rsidRPr="002E7091">
        <w:t>(</w:t>
      </w:r>
      <w:r>
        <w:t>Table 7-17</w:t>
      </w:r>
      <w:r w:rsidRPr="002E7091">
        <w:t>).</w:t>
      </w:r>
      <w:r>
        <w:t xml:space="preserve">           </w:t>
      </w:r>
    </w:p>
    <w:p w:rsidR="000F7191" w:rsidRDefault="000F7191" w:rsidP="000F7191">
      <w:r w:rsidRPr="000613A9">
        <w:rPr>
          <w:noProof/>
        </w:rPr>
        <w:drawing>
          <wp:inline distT="0" distB="0" distL="0" distR="0">
            <wp:extent cx="5879805" cy="3615070"/>
            <wp:effectExtent l="0" t="0" r="0" b="0"/>
            <wp:docPr id="1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F7191" w:rsidRDefault="00B527AF" w:rsidP="000F7191">
      <w:r>
        <w:rPr>
          <w:b/>
        </w:rPr>
        <w:t>Figure 7-11</w:t>
      </w:r>
      <w:r w:rsidR="000F7191" w:rsidRPr="000613A9">
        <w:rPr>
          <w:b/>
        </w:rPr>
        <w:t xml:space="preserve">. </w:t>
      </w:r>
      <w:r w:rsidR="000F7191" w:rsidRPr="0021515B">
        <w:t>Histogram of beads by length from the South Grove Midden.</w:t>
      </w:r>
    </w:p>
    <w:p w:rsidR="000F7191" w:rsidRDefault="000F7191" w:rsidP="000F7191">
      <w:r>
        <w:t xml:space="preserve"> </w:t>
      </w:r>
    </w:p>
    <w:p w:rsidR="000F7191" w:rsidRDefault="000F7191" w:rsidP="000F7191"/>
    <w:p w:rsidR="000F7191" w:rsidRDefault="000F7191" w:rsidP="000F7191"/>
    <w:p w:rsidR="000F7191" w:rsidRDefault="000F7191" w:rsidP="00032000">
      <w:r w:rsidRPr="006D527A">
        <w:rPr>
          <w:noProof/>
        </w:rPr>
        <w:lastRenderedPageBreak/>
        <w:drawing>
          <wp:inline distT="0" distB="0" distL="0" distR="0">
            <wp:extent cx="5220586" cy="3455581"/>
            <wp:effectExtent l="0" t="0" r="0" b="0"/>
            <wp:docPr id="18"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0F7191" w:rsidRDefault="00B527AF" w:rsidP="00032000">
      <w:r>
        <w:rPr>
          <w:b/>
        </w:rPr>
        <w:t>Figure 7-12</w:t>
      </w:r>
      <w:r w:rsidR="000F7191" w:rsidRPr="000613A9">
        <w:rPr>
          <w:b/>
        </w:rPr>
        <w:t xml:space="preserve">. </w:t>
      </w:r>
      <w:r w:rsidR="000F7191" w:rsidRPr="0021515B">
        <w:t>Histogram of beads by length from the House for Families.</w:t>
      </w:r>
    </w:p>
    <w:p w:rsidR="00B73111" w:rsidRDefault="00B73111" w:rsidP="000F7191">
      <w:pPr>
        <w:rPr>
          <w:b/>
        </w:rPr>
      </w:pPr>
    </w:p>
    <w:p w:rsidR="00B73111" w:rsidRDefault="00B73111" w:rsidP="000F7191">
      <w:pPr>
        <w:rPr>
          <w:b/>
        </w:rPr>
      </w:pPr>
    </w:p>
    <w:p w:rsidR="00B73111" w:rsidRDefault="00B73111" w:rsidP="000F7191">
      <w:pPr>
        <w:rPr>
          <w:b/>
        </w:rPr>
      </w:pPr>
    </w:p>
    <w:p w:rsidR="000F7191" w:rsidRDefault="000F7191" w:rsidP="000F7191">
      <w:r>
        <w:rPr>
          <w:b/>
        </w:rPr>
        <w:t>Table 7-17</w:t>
      </w:r>
      <w:r w:rsidRPr="00222A95">
        <w:rPr>
          <w:b/>
        </w:rPr>
        <w:t xml:space="preserve">.  </w:t>
      </w:r>
      <w:r w:rsidRPr="0021515B">
        <w:t xml:space="preserve">Breakdown of bead color from the South Grove Midden and the House for Families.  </w:t>
      </w:r>
    </w:p>
    <w:p w:rsidR="000F7191" w:rsidRPr="00872817" w:rsidRDefault="000F7191" w:rsidP="000F7191"/>
    <w:tbl>
      <w:tblPr>
        <w:tblW w:w="5867" w:type="dxa"/>
        <w:tblInd w:w="91" w:type="dxa"/>
        <w:tblLook w:val="04A0"/>
      </w:tblPr>
      <w:tblGrid>
        <w:gridCol w:w="1428"/>
        <w:gridCol w:w="1829"/>
        <w:gridCol w:w="2610"/>
      </w:tblGrid>
      <w:tr w:rsidR="000F7191" w:rsidRPr="00872817" w:rsidTr="00E82578">
        <w:trPr>
          <w:trHeight w:val="300"/>
        </w:trPr>
        <w:tc>
          <w:tcPr>
            <w:tcW w:w="1428"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0F7191" w:rsidRPr="00872817" w:rsidRDefault="000F7191" w:rsidP="00E82578">
            <w:pPr>
              <w:rPr>
                <w:rFonts w:eastAsia="Times New Roman"/>
                <w:b/>
                <w:bCs/>
                <w:color w:val="000000"/>
                <w:sz w:val="20"/>
                <w:szCs w:val="20"/>
              </w:rPr>
            </w:pPr>
            <w:r w:rsidRPr="00872817">
              <w:rPr>
                <w:rFonts w:eastAsia="Times New Roman"/>
                <w:b/>
                <w:bCs/>
                <w:color w:val="000000"/>
                <w:sz w:val="20"/>
                <w:szCs w:val="20"/>
              </w:rPr>
              <w:t>Color</w:t>
            </w:r>
          </w:p>
        </w:tc>
        <w:tc>
          <w:tcPr>
            <w:tcW w:w="1829"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872817" w:rsidRDefault="000F7191" w:rsidP="00E82578">
            <w:pPr>
              <w:rPr>
                <w:rFonts w:eastAsia="Times New Roman"/>
                <w:b/>
                <w:bCs/>
                <w:color w:val="000000"/>
                <w:sz w:val="20"/>
                <w:szCs w:val="20"/>
              </w:rPr>
            </w:pPr>
            <w:r w:rsidRPr="00872817">
              <w:rPr>
                <w:rFonts w:eastAsia="Times New Roman"/>
                <w:b/>
                <w:bCs/>
                <w:color w:val="000000"/>
                <w:sz w:val="20"/>
                <w:szCs w:val="20"/>
              </w:rPr>
              <w:t>South Grove (n)</w:t>
            </w:r>
          </w:p>
        </w:tc>
        <w:tc>
          <w:tcPr>
            <w:tcW w:w="2610"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872817" w:rsidRDefault="000F7191" w:rsidP="00E82578">
            <w:pPr>
              <w:rPr>
                <w:rFonts w:eastAsia="Times New Roman"/>
                <w:b/>
                <w:bCs/>
                <w:color w:val="000000"/>
                <w:sz w:val="20"/>
                <w:szCs w:val="20"/>
              </w:rPr>
            </w:pPr>
            <w:r w:rsidRPr="00872817">
              <w:rPr>
                <w:rFonts w:eastAsia="Times New Roman"/>
                <w:b/>
                <w:bCs/>
                <w:color w:val="000000"/>
                <w:sz w:val="20"/>
                <w:szCs w:val="20"/>
              </w:rPr>
              <w:t>House for Families (n)</w:t>
            </w:r>
          </w:p>
        </w:tc>
      </w:tr>
      <w:tr w:rsidR="000F7191" w:rsidRPr="00872817" w:rsidTr="00E82578">
        <w:trPr>
          <w:trHeight w:val="300"/>
        </w:trPr>
        <w:tc>
          <w:tcPr>
            <w:tcW w:w="1428" w:type="dxa"/>
            <w:tcBorders>
              <w:top w:val="nil"/>
              <w:left w:val="single" w:sz="4" w:space="0" w:color="auto"/>
              <w:bottom w:val="single" w:sz="4" w:space="0" w:color="auto"/>
              <w:right w:val="single" w:sz="4" w:space="0" w:color="auto"/>
            </w:tcBorders>
            <w:shd w:val="clear" w:color="auto" w:fill="auto"/>
            <w:vAlign w:val="center"/>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Unidentifiable</w:t>
            </w:r>
          </w:p>
        </w:tc>
        <w:tc>
          <w:tcPr>
            <w:tcW w:w="1829"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w:t>
            </w:r>
          </w:p>
        </w:tc>
        <w:tc>
          <w:tcPr>
            <w:tcW w:w="261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6</w:t>
            </w:r>
          </w:p>
        </w:tc>
      </w:tr>
      <w:tr w:rsidR="000F7191" w:rsidRPr="00872817" w:rsidTr="00E82578">
        <w:trPr>
          <w:trHeight w:val="300"/>
        </w:trPr>
        <w:tc>
          <w:tcPr>
            <w:tcW w:w="1428" w:type="dxa"/>
            <w:tcBorders>
              <w:top w:val="nil"/>
              <w:left w:val="single" w:sz="4" w:space="0" w:color="auto"/>
              <w:bottom w:val="single" w:sz="4" w:space="0" w:color="auto"/>
              <w:right w:val="single" w:sz="4" w:space="0" w:color="auto"/>
            </w:tcBorders>
            <w:shd w:val="clear" w:color="auto" w:fill="auto"/>
            <w:vAlign w:val="center"/>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Pink</w:t>
            </w:r>
          </w:p>
        </w:tc>
        <w:tc>
          <w:tcPr>
            <w:tcW w:w="1829"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2</w:t>
            </w:r>
          </w:p>
        </w:tc>
        <w:tc>
          <w:tcPr>
            <w:tcW w:w="261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w:t>
            </w:r>
          </w:p>
        </w:tc>
      </w:tr>
      <w:tr w:rsidR="000F7191" w:rsidRPr="00872817" w:rsidTr="00E82578">
        <w:trPr>
          <w:trHeight w:val="300"/>
        </w:trPr>
        <w:tc>
          <w:tcPr>
            <w:tcW w:w="1428" w:type="dxa"/>
            <w:tcBorders>
              <w:top w:val="nil"/>
              <w:left w:val="single" w:sz="4" w:space="0" w:color="auto"/>
              <w:bottom w:val="single" w:sz="4" w:space="0" w:color="auto"/>
              <w:right w:val="single" w:sz="4" w:space="0" w:color="auto"/>
            </w:tcBorders>
            <w:shd w:val="clear" w:color="auto" w:fill="auto"/>
            <w:vAlign w:val="center"/>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White</w:t>
            </w:r>
          </w:p>
        </w:tc>
        <w:tc>
          <w:tcPr>
            <w:tcW w:w="1829"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7</w:t>
            </w:r>
          </w:p>
        </w:tc>
        <w:tc>
          <w:tcPr>
            <w:tcW w:w="261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w:t>
            </w:r>
          </w:p>
        </w:tc>
      </w:tr>
      <w:tr w:rsidR="000F7191" w:rsidRPr="00872817" w:rsidTr="00E82578">
        <w:trPr>
          <w:trHeight w:val="300"/>
        </w:trPr>
        <w:tc>
          <w:tcPr>
            <w:tcW w:w="1428" w:type="dxa"/>
            <w:tcBorders>
              <w:top w:val="nil"/>
              <w:left w:val="single" w:sz="4" w:space="0" w:color="auto"/>
              <w:bottom w:val="single" w:sz="4" w:space="0" w:color="auto"/>
              <w:right w:val="single" w:sz="4" w:space="0" w:color="auto"/>
            </w:tcBorders>
            <w:shd w:val="clear" w:color="auto" w:fill="auto"/>
            <w:vAlign w:val="center"/>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Blue</w:t>
            </w:r>
          </w:p>
        </w:tc>
        <w:tc>
          <w:tcPr>
            <w:tcW w:w="1829"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14</w:t>
            </w:r>
          </w:p>
        </w:tc>
        <w:tc>
          <w:tcPr>
            <w:tcW w:w="261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4</w:t>
            </w:r>
          </w:p>
        </w:tc>
      </w:tr>
      <w:tr w:rsidR="000F7191" w:rsidRPr="00872817" w:rsidTr="00E82578">
        <w:trPr>
          <w:trHeight w:val="300"/>
        </w:trPr>
        <w:tc>
          <w:tcPr>
            <w:tcW w:w="1428" w:type="dxa"/>
            <w:tcBorders>
              <w:top w:val="nil"/>
              <w:left w:val="single" w:sz="4" w:space="0" w:color="auto"/>
              <w:bottom w:val="single" w:sz="4" w:space="0" w:color="auto"/>
              <w:right w:val="single" w:sz="4" w:space="0" w:color="auto"/>
            </w:tcBorders>
            <w:shd w:val="clear" w:color="auto" w:fill="auto"/>
            <w:vAlign w:val="center"/>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Green</w:t>
            </w:r>
          </w:p>
        </w:tc>
        <w:tc>
          <w:tcPr>
            <w:tcW w:w="1829"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15</w:t>
            </w:r>
          </w:p>
        </w:tc>
        <w:tc>
          <w:tcPr>
            <w:tcW w:w="261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38</w:t>
            </w:r>
          </w:p>
        </w:tc>
      </w:tr>
      <w:tr w:rsidR="000F7191" w:rsidRPr="00872817" w:rsidTr="00E82578">
        <w:trPr>
          <w:trHeight w:val="300"/>
        </w:trPr>
        <w:tc>
          <w:tcPr>
            <w:tcW w:w="1428" w:type="dxa"/>
            <w:tcBorders>
              <w:top w:val="nil"/>
              <w:left w:val="single" w:sz="4" w:space="0" w:color="auto"/>
              <w:bottom w:val="single" w:sz="4" w:space="0" w:color="auto"/>
              <w:right w:val="single" w:sz="4" w:space="0" w:color="auto"/>
            </w:tcBorders>
            <w:shd w:val="clear" w:color="auto" w:fill="auto"/>
            <w:vAlign w:val="center"/>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Black</w:t>
            </w:r>
          </w:p>
        </w:tc>
        <w:tc>
          <w:tcPr>
            <w:tcW w:w="1829"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43</w:t>
            </w:r>
          </w:p>
        </w:tc>
        <w:tc>
          <w:tcPr>
            <w:tcW w:w="261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w:t>
            </w:r>
          </w:p>
        </w:tc>
      </w:tr>
      <w:tr w:rsidR="000F7191" w:rsidRPr="00872817" w:rsidTr="00E82578">
        <w:trPr>
          <w:trHeight w:val="300"/>
        </w:trPr>
        <w:tc>
          <w:tcPr>
            <w:tcW w:w="1428" w:type="dxa"/>
            <w:tcBorders>
              <w:top w:val="nil"/>
              <w:left w:val="single" w:sz="4" w:space="0" w:color="auto"/>
              <w:bottom w:val="single" w:sz="4" w:space="0" w:color="auto"/>
              <w:right w:val="single" w:sz="4" w:space="0" w:color="auto"/>
            </w:tcBorders>
            <w:shd w:val="clear" w:color="auto" w:fill="auto"/>
            <w:vAlign w:val="center"/>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Red</w:t>
            </w:r>
          </w:p>
        </w:tc>
        <w:tc>
          <w:tcPr>
            <w:tcW w:w="1829"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52</w:t>
            </w:r>
          </w:p>
        </w:tc>
        <w:tc>
          <w:tcPr>
            <w:tcW w:w="261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3</w:t>
            </w:r>
          </w:p>
        </w:tc>
      </w:tr>
      <w:tr w:rsidR="000F7191" w:rsidRPr="00872817" w:rsidTr="00E82578">
        <w:trPr>
          <w:trHeight w:val="300"/>
        </w:trPr>
        <w:tc>
          <w:tcPr>
            <w:tcW w:w="1428" w:type="dxa"/>
            <w:tcBorders>
              <w:top w:val="nil"/>
              <w:left w:val="single" w:sz="4" w:space="0" w:color="auto"/>
              <w:bottom w:val="single" w:sz="4" w:space="0" w:color="auto"/>
              <w:right w:val="single" w:sz="4" w:space="0" w:color="auto"/>
            </w:tcBorders>
            <w:shd w:val="clear" w:color="auto" w:fill="auto"/>
            <w:vAlign w:val="center"/>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Clear</w:t>
            </w:r>
          </w:p>
        </w:tc>
        <w:tc>
          <w:tcPr>
            <w:tcW w:w="1829"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90</w:t>
            </w:r>
          </w:p>
        </w:tc>
        <w:tc>
          <w:tcPr>
            <w:tcW w:w="261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w:t>
            </w:r>
          </w:p>
        </w:tc>
      </w:tr>
    </w:tbl>
    <w:p w:rsidR="000F7191" w:rsidRDefault="000F7191" w:rsidP="000F7191"/>
    <w:p w:rsidR="000F7191" w:rsidRDefault="000F7191" w:rsidP="000F7191">
      <w:pPr>
        <w:spacing w:line="480" w:lineRule="auto"/>
      </w:pPr>
      <w:r>
        <w:tab/>
      </w:r>
    </w:p>
    <w:p w:rsidR="00270BD0" w:rsidRDefault="00270BD0">
      <w:r>
        <w:br w:type="page"/>
      </w:r>
    </w:p>
    <w:p w:rsidR="000F7191" w:rsidRPr="006D527A" w:rsidRDefault="000F7191" w:rsidP="000F7191">
      <w:pPr>
        <w:spacing w:line="480" w:lineRule="auto"/>
        <w:ind w:firstLine="720"/>
      </w:pPr>
      <w:r>
        <w:lastRenderedPageBreak/>
        <w:t>Beads represent expressions of consumer choice on the part of an enslaved community whose access to goods extended beyond the</w:t>
      </w:r>
      <w:r w:rsidR="00B73111">
        <w:t xml:space="preserve"> bounds of the formal economy. </w:t>
      </w:r>
      <w:r>
        <w:t xml:space="preserve">These colorful glass items of adornment evince a community in transition – with one foot in an informal economy and the other in the marketplace where they </w:t>
      </w:r>
      <w:r w:rsidR="00F83483">
        <w:t xml:space="preserve">were </w:t>
      </w:r>
      <w:r>
        <w:t xml:space="preserve">given access to wider world of consumer goods, but not yet with </w:t>
      </w:r>
      <w:r w:rsidR="00B73111">
        <w:t xml:space="preserve">the bounds of legal sanctions. </w:t>
      </w:r>
      <w:r>
        <w:t>Calculating the trajectory of buckles and buttons over time versus that of beads from slave-related sites might graphically show this tra</w:t>
      </w:r>
      <w:r w:rsidR="00B73111">
        <w:t xml:space="preserve">nsition from beginning to end. </w:t>
      </w:r>
      <w:r>
        <w:t>The different choices (preferences for certain sizes and colors) made by these individuals are embodied in the bead assemblage of the South Grove Midd</w:t>
      </w:r>
      <w:r w:rsidR="00B73111">
        <w:t xml:space="preserve">en and the House for Families. </w:t>
      </w:r>
      <w:r>
        <w:t>These modes of personal adornment were more frequently expressed by enslaved individuals, but elites also, though less extensively, valued beadwork on cert</w:t>
      </w:r>
      <w:r w:rsidR="00B73111">
        <w:t xml:space="preserve">ain items of material culture. </w:t>
      </w:r>
      <w:r>
        <w:t xml:space="preserve">In the case for the midden, some of these beads may have once been affixed to elite clothing and other items of material culture, though the numbers that can be attributed to this function are likely few. </w:t>
      </w:r>
      <w:r w:rsidRPr="006D527A">
        <w:tab/>
      </w:r>
    </w:p>
    <w:p w:rsidR="000F7191" w:rsidRPr="0090783C" w:rsidRDefault="000F7191" w:rsidP="000F7191">
      <w:pPr>
        <w:spacing w:line="480" w:lineRule="auto"/>
        <w:ind w:firstLine="720"/>
        <w:rPr>
          <w:i/>
        </w:rPr>
      </w:pPr>
      <w:r w:rsidRPr="0090783C">
        <w:rPr>
          <w:i/>
        </w:rPr>
        <w:t>Other Consumer Goods.</w:t>
      </w:r>
      <w:r w:rsidR="00B73111">
        <w:t xml:space="preserve"> </w:t>
      </w:r>
      <w:r>
        <w:t>This broad category encompasses the remainder of systematic object studies and includes: marked objects; books; medicine; chamber pots; combs; toys; tacks; tobacco pipes; shot</w:t>
      </w:r>
      <w:r w:rsidR="00B73111">
        <w:t xml:space="preserve">; thimbles; and straight pins. </w:t>
      </w:r>
      <w:r>
        <w:t>Some of these items are unique and others are prosa</w:t>
      </w:r>
      <w:r w:rsidR="00B73111">
        <w:t xml:space="preserve">ic staples of plantation life. </w:t>
      </w:r>
      <w:r>
        <w:t>Artifact groups mirror differential access to consumer goods seen in the realms of foodways and personal adornment: access to goods simply not available locally (as seen with matched sets of table and glassware and ornately embroidered clothing) and access to the sheer inventory of certain goods necessary to fuel a large-scale, diversified plantation (milk pans and some t</w:t>
      </w:r>
      <w:r w:rsidR="00B73111">
        <w:t xml:space="preserve">ypes of buttons, for example). </w:t>
      </w:r>
      <w:r>
        <w:t xml:space="preserve">The array of choices offered to local store-goers was sometimes as extensive, if not more so, than what George Washington opted for (as evident with buttons), but some of the examples discussed below show major </w:t>
      </w:r>
      <w:r>
        <w:lastRenderedPageBreak/>
        <w:t>constraints to expressions of free choice within the bounds of the ret</w:t>
      </w:r>
      <w:r w:rsidR="00B73111">
        <w:t xml:space="preserve">ail trade. </w:t>
      </w:r>
      <w:r>
        <w:t xml:space="preserve">Even within these boundaries, non-elite consumers expressed motivations all their own.       </w:t>
      </w:r>
      <w:r w:rsidRPr="0090783C">
        <w:rPr>
          <w:i/>
        </w:rPr>
        <w:t xml:space="preserve">  </w:t>
      </w:r>
    </w:p>
    <w:p w:rsidR="000F7191" w:rsidRDefault="000F7191" w:rsidP="000F7191">
      <w:pPr>
        <w:spacing w:line="480" w:lineRule="auto"/>
        <w:ind w:firstLine="720"/>
      </w:pPr>
      <w:r>
        <w:t>As the array of goods became increasingly available to all levels eighteenth-century consumers, one way that George Washington and other members of colonial Virginia’s gentry could distinguish shared items of material cu</w:t>
      </w:r>
      <w:r w:rsidR="00B73111">
        <w:t xml:space="preserve">lture was to have them marked. </w:t>
      </w:r>
      <w:r>
        <w:t>Pewte</w:t>
      </w:r>
      <w:r w:rsidR="00991B7C">
        <w:t xml:space="preserve">r plates offer a good example. </w:t>
      </w:r>
      <w:r>
        <w:t>As discussed, Alexander Henderson stocked his shelves with plates and dishes in hi</w:t>
      </w:r>
      <w:r w:rsidR="00991B7C">
        <w:t xml:space="preserve">gh demand among his clientele. </w:t>
      </w:r>
      <w:r>
        <w:t xml:space="preserve">A simple pewter plate could be elevated and distinguished with the placement of a family crest, as George Washington requested be done with his set of 96 pewter dishes in 1759 (Mount Vernon </w:t>
      </w:r>
      <w:r w:rsidR="00991B7C">
        <w:t xml:space="preserve">Archaeology Department 2012a). </w:t>
      </w:r>
      <w:r>
        <w:t>Eighteenth-century marks made by engraving or impressing included names and initials, but also symbols such as family cre</w:t>
      </w:r>
      <w:r w:rsidR="00991B7C">
        <w:t xml:space="preserve">sts and coats of arms. </w:t>
      </w:r>
      <w:r>
        <w:t>The significance of these formally marked objects related to expressions of gentility, status, and identity (Hancock 2009; White and Beaudry 2009:218-219) and evidence the use of material culture as a bridge back to the source of power drawn from tradition and heritage and an exclusionary tactic towards non-elites without access to these common yet distinguished items (Douglas and Is</w:t>
      </w:r>
      <w:r w:rsidR="00991B7C">
        <w:t xml:space="preserve">herwood 1979; McCracken 1988). </w:t>
      </w:r>
      <w:r>
        <w:t xml:space="preserve">The need to confer ownership on items of significance crossed socio-economic boundaries and non-elites developed their own recognizable systems.     </w:t>
      </w:r>
    </w:p>
    <w:p w:rsidR="000F7191" w:rsidRDefault="00482E4F" w:rsidP="000F7191">
      <w:pPr>
        <w:spacing w:line="480" w:lineRule="auto"/>
        <w:ind w:firstLine="720"/>
      </w:pPr>
      <w:r>
        <w:t>Figure 7-13</w:t>
      </w:r>
      <w:r w:rsidR="000F7191">
        <w:t xml:space="preserve"> depicts a</w:t>
      </w:r>
      <w:r w:rsidR="000F7191" w:rsidRPr="009A367E">
        <w:t xml:space="preserve"> small, silver </w:t>
      </w:r>
      <w:r w:rsidR="000F7191" w:rsidRPr="009A367E">
        <w:rPr>
          <w:u w:val="single"/>
        </w:rPr>
        <w:t>marked object</w:t>
      </w:r>
      <w:r w:rsidR="000F7191" w:rsidRPr="009A367E">
        <w:t xml:space="preserve"> </w:t>
      </w:r>
      <w:r w:rsidR="000F7191">
        <w:t xml:space="preserve">that </w:t>
      </w:r>
      <w:r w:rsidR="000F7191" w:rsidRPr="009A367E">
        <w:t>once adorned a sword scabbard, or sheath</w:t>
      </w:r>
      <w:r w:rsidR="00991B7C">
        <w:t>.</w:t>
      </w:r>
      <w:r w:rsidR="000F7191">
        <w:t xml:space="preserve"> </w:t>
      </w:r>
      <w:r w:rsidR="000F7191" w:rsidRPr="009A367E">
        <w:t xml:space="preserve">Scabbards commonly had two fittings, also called collars or mounts, one at the opening where the sword was inserted (the top mount) and one around </w:t>
      </w:r>
      <w:r w:rsidR="00991B7C">
        <w:t xml:space="preserve">the middle (the middle mount). </w:t>
      </w:r>
      <w:r w:rsidR="000F7191" w:rsidRPr="009A367E">
        <w:t>The midden object attached to the c</w:t>
      </w:r>
      <w:r w:rsidR="00991B7C">
        <w:t xml:space="preserve">ollar at the scabbard opening. </w:t>
      </w:r>
      <w:r w:rsidR="000F7191" w:rsidRPr="009A367E">
        <w:t xml:space="preserve">The fragment is complete on the two decorated edges, but exhibits possible cut and tear marks on the top where it was detached (purposefully or </w:t>
      </w:r>
      <w:r w:rsidR="00991B7C">
        <w:t xml:space="preserve">accidentally) from the collar. </w:t>
      </w:r>
      <w:r w:rsidR="000F7191" w:rsidRPr="009A367E">
        <w:t xml:space="preserve">The collars were simultaneously </w:t>
      </w:r>
      <w:r w:rsidR="000F7191" w:rsidRPr="009A367E">
        <w:lastRenderedPageBreak/>
        <w:t>functional and decorative</w:t>
      </w:r>
      <w:r w:rsidR="000F7191">
        <w:t xml:space="preserve"> </w:t>
      </w:r>
      <w:r w:rsidR="000F7191" w:rsidRPr="009A367E">
        <w:t>– secured to a strap by a ring, they allowed the sw</w:t>
      </w:r>
      <w:r w:rsidR="00991B7C">
        <w:t xml:space="preserve">ord to hang from the shoulder. </w:t>
      </w:r>
      <w:r w:rsidR="000F7191" w:rsidRPr="009A367E">
        <w:t>The top mounts were often engraved with the names and initials of owners or makers and sometimes both on opposing sides</w:t>
      </w:r>
      <w:r w:rsidR="000F7191">
        <w:t xml:space="preserve"> (Hartzler 2000)</w:t>
      </w:r>
      <w:r w:rsidR="00991B7C">
        <w:t xml:space="preserve">. </w:t>
      </w:r>
      <w:r w:rsidR="000F7191" w:rsidRPr="009A367E">
        <w:t xml:space="preserve">In fact, this fragment bears the bottom of an engraved </w:t>
      </w:r>
      <w:r w:rsidR="000F7191">
        <w:t>monogram</w:t>
      </w:r>
      <w:r w:rsidR="000F7191" w:rsidRPr="009A367E">
        <w:t xml:space="preserve"> which </w:t>
      </w:r>
      <w:r w:rsidR="000F7191">
        <w:t xml:space="preserve">is </w:t>
      </w:r>
      <w:r w:rsidR="000F7191" w:rsidRPr="009A367E">
        <w:t>believe</w:t>
      </w:r>
      <w:r w:rsidR="000F7191">
        <w:t>d</w:t>
      </w:r>
      <w:r w:rsidR="000F7191" w:rsidRPr="009A367E">
        <w:t xml:space="preserve"> to be George Washington’s based on its similarity to marked objects in </w:t>
      </w:r>
      <w:r w:rsidR="000F7191">
        <w:t>Mount Vernon’s</w:t>
      </w:r>
      <w:r w:rsidR="000F7191" w:rsidRPr="009A367E">
        <w:t xml:space="preserve"> collection such as his monogramm</w:t>
      </w:r>
      <w:r w:rsidR="000F7191" w:rsidRPr="008B41AB">
        <w:t xml:space="preserve">ed hunting whip </w:t>
      </w:r>
      <w:r w:rsidR="000F7191" w:rsidRPr="009F6EE3">
        <w:t>(</w:t>
      </w:r>
      <w:r w:rsidR="000F7191">
        <w:t>Figure</w:t>
      </w:r>
      <w:r w:rsidR="000F7191" w:rsidRPr="009F6EE3">
        <w:t xml:space="preserve"> 7-</w:t>
      </w:r>
      <w:r>
        <w:t>13</w:t>
      </w:r>
      <w:r w:rsidR="000F7191">
        <w:t xml:space="preserve">) </w:t>
      </w:r>
      <w:r w:rsidR="000F7191" w:rsidRPr="008B41AB">
        <w:t>(Cadou 2006:64-65)</w:t>
      </w:r>
      <w:r w:rsidR="000F7191">
        <w:t>.</w:t>
      </w:r>
    </w:p>
    <w:p w:rsidR="000F7191" w:rsidRDefault="000F7191" w:rsidP="000F7191">
      <w:r>
        <w:rPr>
          <w:noProof/>
        </w:rPr>
        <w:drawing>
          <wp:inline distT="0" distB="0" distL="0" distR="0">
            <wp:extent cx="5701266" cy="3891504"/>
            <wp:effectExtent l="19050" t="0" r="0" b="0"/>
            <wp:docPr id="20" name="Picture 1" descr="S:\Restoration\Restoration\Grounds\44FX762.17 South Grove\images\Artifacts\ACO Photos\Resized\Top 400 resized\762.17.DAACS.26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estoration\Restoration\Grounds\44FX762.17 South Grove\images\Artifacts\ACO Photos\Resized\Top 400 resized\762.17.DAACS.2696.4.jpg"/>
                    <pic:cNvPicPr>
                      <a:picLocks noChangeAspect="1" noChangeArrowheads="1"/>
                    </pic:cNvPicPr>
                  </pic:nvPicPr>
                  <pic:blipFill>
                    <a:blip r:embed="rId49" cstate="print"/>
                    <a:srcRect l="4167" t="7860" b="9956"/>
                    <a:stretch>
                      <a:fillRect/>
                    </a:stretch>
                  </pic:blipFill>
                  <pic:spPr bwMode="auto">
                    <a:xfrm>
                      <a:off x="0" y="0"/>
                      <a:ext cx="5701266" cy="3891504"/>
                    </a:xfrm>
                    <a:prstGeom prst="rect">
                      <a:avLst/>
                    </a:prstGeom>
                    <a:noFill/>
                    <a:ln w="9525">
                      <a:noFill/>
                      <a:miter lim="800000"/>
                      <a:headEnd/>
                      <a:tailEnd/>
                    </a:ln>
                  </pic:spPr>
                </pic:pic>
              </a:graphicData>
            </a:graphic>
          </wp:inline>
        </w:drawing>
      </w:r>
    </w:p>
    <w:p w:rsidR="000F7191" w:rsidRDefault="00B527AF" w:rsidP="000F7191">
      <w:r>
        <w:rPr>
          <w:b/>
        </w:rPr>
        <w:t>Figure 7-13</w:t>
      </w:r>
      <w:r w:rsidR="000F7191" w:rsidRPr="001045E8">
        <w:rPr>
          <w:b/>
        </w:rPr>
        <w:t xml:space="preserve">. </w:t>
      </w:r>
      <w:r w:rsidR="000F7191" w:rsidRPr="00872817">
        <w:t xml:space="preserve">George Washington’s monogram as engraved on a scabbard mount fragment (left) and the butt </w:t>
      </w:r>
      <w:r w:rsidR="00991B7C">
        <w:t xml:space="preserve">end of a hunting whip (right). </w:t>
      </w:r>
      <w:proofErr w:type="gramStart"/>
      <w:r w:rsidR="000F7191" w:rsidRPr="00872817">
        <w:t xml:space="preserve">(Photo by </w:t>
      </w:r>
      <w:r w:rsidR="00270BD0">
        <w:t>Karen Price</w:t>
      </w:r>
      <w:r w:rsidR="000F7191" w:rsidRPr="00872817">
        <w:t>, 2012; courtesy of Mount Vernon Ladies’ Association.)</w:t>
      </w:r>
      <w:proofErr w:type="gramEnd"/>
      <w:r w:rsidR="000F7191" w:rsidRPr="00872817">
        <w:t xml:space="preserve">  </w:t>
      </w:r>
    </w:p>
    <w:p w:rsidR="000F7191" w:rsidRPr="00872817" w:rsidRDefault="000F7191" w:rsidP="000F7191"/>
    <w:p w:rsidR="000F7191" w:rsidRPr="008B41AB" w:rsidRDefault="000F7191" w:rsidP="000F7191"/>
    <w:p w:rsidR="000F7191" w:rsidRDefault="000F7191" w:rsidP="000F7191">
      <w:pPr>
        <w:ind w:firstLine="720"/>
      </w:pPr>
    </w:p>
    <w:p w:rsidR="00270BD0" w:rsidRDefault="00270BD0">
      <w:r>
        <w:br w:type="page"/>
      </w:r>
    </w:p>
    <w:p w:rsidR="000F7191" w:rsidRPr="008B41AB" w:rsidRDefault="000F7191" w:rsidP="000F7191">
      <w:pPr>
        <w:spacing w:line="480" w:lineRule="auto"/>
        <w:ind w:firstLine="720"/>
      </w:pPr>
      <w:r w:rsidRPr="008B41AB">
        <w:lastRenderedPageBreak/>
        <w:t>From George Washington’s invoices and orders, we h</w:t>
      </w:r>
      <w:r>
        <w:t xml:space="preserve">ave evidence </w:t>
      </w:r>
      <w:r w:rsidRPr="009A367E">
        <w:t xml:space="preserve">that he </w:t>
      </w:r>
      <w:r>
        <w:t>requested</w:t>
      </w:r>
      <w:r w:rsidRPr="009A367E">
        <w:t xml:space="preserve"> </w:t>
      </w:r>
      <w:r>
        <w:t>two</w:t>
      </w:r>
      <w:r w:rsidRPr="009A367E">
        <w:t xml:space="preserve"> swords</w:t>
      </w:r>
      <w:r>
        <w:t xml:space="preserve">: a small one with spare scabbards in 1757 and a genteel mourning sword in 1773 </w:t>
      </w:r>
      <w:r w:rsidRPr="000B1E50">
        <w:t>(Mount Vernon Archaeology</w:t>
      </w:r>
      <w:r>
        <w:t xml:space="preserve"> Department 2012a</w:t>
      </w:r>
      <w:r w:rsidRPr="000B1E50">
        <w:t>)</w:t>
      </w:r>
      <w:r w:rsidR="00991B7C">
        <w:t xml:space="preserve">. </w:t>
      </w:r>
      <w:r>
        <w:t>T</w:t>
      </w:r>
      <w:r w:rsidRPr="008B41AB">
        <w:t>his fragment</w:t>
      </w:r>
      <w:r>
        <w:t>, however,</w:t>
      </w:r>
      <w:r w:rsidRPr="008B41AB">
        <w:t xml:space="preserve"> </w:t>
      </w:r>
      <w:r>
        <w:t>appears to be</w:t>
      </w:r>
      <w:r w:rsidRPr="008B41AB">
        <w:t xml:space="preserve"> the work of John Bailey, an English immigrant who made swords</w:t>
      </w:r>
      <w:r w:rsidR="00991B7C">
        <w:t xml:space="preserve"> in New York (Bezdek 1994:77). </w:t>
      </w:r>
      <w:r w:rsidRPr="008B41AB">
        <w:t>The style of the scabbard mountings made by Bailey is nearly identical to the midden o</w:t>
      </w:r>
      <w:r w:rsidR="00991B7C">
        <w:t>bject (Hartzler 2000:19, 150). </w:t>
      </w:r>
      <w:r w:rsidRPr="008B41AB">
        <w:t>In fact, as Washington’s participation in the consignment system ended, evidence suggests that he was seeking to buy a sword made locally in 1778 (Hoth 2006[16]</w:t>
      </w:r>
      <w:r w:rsidR="00991B7C">
        <w:t>:243, Chase 2008[17]:245-246). </w:t>
      </w:r>
      <w:r w:rsidRPr="008B41AB">
        <w:t>Writing from Fishkill, New York, Washington asked a Philadelphia merchant for “a Cut &amp; thrust Sword – genteel, but not costly – with Chain &amp; swivels – str</w:t>
      </w:r>
      <w:r w:rsidR="00991B7C">
        <w:t>ong” (Chase 2008[17]:245-246). </w:t>
      </w:r>
      <w:r w:rsidRPr="008B41AB">
        <w:t xml:space="preserve">The Smithsonian owns a </w:t>
      </w:r>
      <w:r w:rsidRPr="00736D58">
        <w:t>sword</w:t>
      </w:r>
      <w:r w:rsidRPr="008B41AB">
        <w:t>, referred to as Washington’s service sword, and with a top mount inscribed “J. Bailey, Fish Kill” suggesting that his request was fulfilled (Mount Vernon La</w:t>
      </w:r>
      <w:r w:rsidR="00991B7C">
        <w:t>dies’ Association 1963:31-32). </w:t>
      </w:r>
      <w:r w:rsidRPr="008B41AB">
        <w:t>A visit to view the sword in comparison with the artifact revealed that it does not fi</w:t>
      </w:r>
      <w:r w:rsidR="00991B7C">
        <w:t>t onto the existing top mount. </w:t>
      </w:r>
      <w:r w:rsidRPr="008B41AB">
        <w:t>Perhaps the midden artifact is from a second scabbard, as they frequently wore out from use</w:t>
      </w:r>
      <w:r>
        <w:t xml:space="preserve"> as suggested from the 1757 order and invoice</w:t>
      </w:r>
      <w:r w:rsidRPr="008B41AB">
        <w:t>.     </w:t>
      </w:r>
    </w:p>
    <w:p w:rsidR="000F7191" w:rsidRPr="000B1E50" w:rsidRDefault="000F7191" w:rsidP="000F7191">
      <w:pPr>
        <w:spacing w:line="480" w:lineRule="auto"/>
        <w:ind w:firstLine="720"/>
      </w:pPr>
      <w:r w:rsidRPr="009A367E">
        <w:t>Alexander Henderson did stock swords at his store, but on a very limited basis</w:t>
      </w:r>
      <w:r>
        <w:t xml:space="preserve"> </w:t>
      </w:r>
      <w:r w:rsidRPr="000B1E50">
        <w:t>(Mount Vernon Archaeology</w:t>
      </w:r>
      <w:r>
        <w:t xml:space="preserve"> Department 2012b</w:t>
      </w:r>
      <w:r w:rsidRPr="000B1E50">
        <w:t>)</w:t>
      </w:r>
      <w:r w:rsidR="00991B7C">
        <w:t xml:space="preserve">. </w:t>
      </w:r>
      <w:r w:rsidRPr="009A367E">
        <w:t xml:space="preserve">In 1760, he offered a single sword with a belt for £1.  </w:t>
      </w:r>
      <w:r w:rsidR="00EF424C">
        <w:t>S</w:t>
      </w:r>
      <w:r w:rsidRPr="009A367E">
        <w:t xml:space="preserve">words were available, then, to anyone who could afford one, </w:t>
      </w:r>
      <w:r>
        <w:t xml:space="preserve">but formally marking them was not.  </w:t>
      </w:r>
      <w:r w:rsidRPr="000B1E50">
        <w:t>Washington was not al</w:t>
      </w:r>
      <w:r w:rsidR="00991B7C">
        <w:t xml:space="preserve">one in his marking of objects. </w:t>
      </w:r>
      <w:r w:rsidRPr="000B1E50">
        <w:t xml:space="preserve">Prominent Virginia families such as the Fitzhughs, the Carters, and the Wormeleys all had silver engraved with </w:t>
      </w:r>
      <w:r w:rsidR="00991B7C">
        <w:t xml:space="preserve">coats of arms (Rozbicki 1998). </w:t>
      </w:r>
      <w:r w:rsidRPr="000B1E50">
        <w:t>The Fairfaxes of nearby Belvoir plantation, true English nobility, served wine</w:t>
      </w:r>
      <w:r w:rsidR="00991B7C">
        <w:t xml:space="preserve"> from crest-impressed bottles. </w:t>
      </w:r>
      <w:r w:rsidRPr="000B1E50">
        <w:t xml:space="preserve">One room </w:t>
      </w:r>
      <w:r>
        <w:t xml:space="preserve">of the Belvoir estate </w:t>
      </w:r>
      <w:r w:rsidRPr="000B1E50">
        <w:t xml:space="preserve">was heated with a massive, 300 pound fireplace back cast with the Fairfax coat of arms (Rasmussen and Tilton 1999:20).  </w:t>
      </w:r>
    </w:p>
    <w:p w:rsidR="000F7191" w:rsidRPr="000B1E50" w:rsidRDefault="000F7191" w:rsidP="000F7191">
      <w:pPr>
        <w:spacing w:line="480" w:lineRule="auto"/>
        <w:ind w:firstLine="720"/>
      </w:pPr>
      <w:r w:rsidRPr="000B1E50">
        <w:lastRenderedPageBreak/>
        <w:t xml:space="preserve">Archaeologists rarely find such </w:t>
      </w:r>
      <w:r>
        <w:t xml:space="preserve">formally </w:t>
      </w:r>
      <w:r w:rsidR="00991B7C">
        <w:t xml:space="preserve">personalized objects. </w:t>
      </w:r>
      <w:r w:rsidRPr="000B1E50">
        <w:t>The silver scabbard ornament is one of the few artifacts that we have found with George Washington’s name engraved upon it. The other object excavated from the South Grove Midden that can be linked directly to Washington is a trunk pl</w:t>
      </w:r>
      <w:r w:rsidR="00991B7C">
        <w:t>ate engraved “Gen: Washington.”</w:t>
      </w:r>
      <w:r w:rsidRPr="000B1E50">
        <w:t xml:space="preserve"> Wine bottle seals with the </w:t>
      </w:r>
      <w:r>
        <w:t>coat of arms</w:t>
      </w:r>
      <w:r w:rsidRPr="000B1E50">
        <w:t xml:space="preserve">, name, or initials of their past owners are encountered </w:t>
      </w:r>
      <w:r>
        <w:t xml:space="preserve">more frequently </w:t>
      </w:r>
      <w:r w:rsidRPr="000B1E50">
        <w:t>in the archaeological record at Mount Vernon and on other historic sites of the colonial period (</w:t>
      </w:r>
      <w:r w:rsidRPr="00B83F14">
        <w:t>White and Beaudry</w:t>
      </w:r>
      <w:r w:rsidRPr="000B1E50">
        <w:t xml:space="preserve"> 2009:218-219); however, it appears that Lawrence and George Washington did not have their own.</w:t>
      </w:r>
      <w:r w:rsidR="00991B7C">
        <w:t xml:space="preserve"> </w:t>
      </w:r>
      <w:r>
        <w:t xml:space="preserve">A growing body of data suggests that non-elites, particularly enslaved individuals, found some meaning (spiritual, aesthetic, or personal) in objects with informal marks, </w:t>
      </w:r>
      <w:r w:rsidRPr="00E511BD">
        <w:t>often added post-manufacture (</w:t>
      </w:r>
      <w:r>
        <w:t>Schroedl and Ahlman 2002; Franklin 2004:126; Heath et al. 2005; Samford 2007; Brock 2012:289-292</w:t>
      </w:r>
      <w:r w:rsidRPr="00E511BD">
        <w:t>).</w:t>
      </w:r>
      <w:r w:rsidR="00991B7C">
        <w:t xml:space="preserve"> </w:t>
      </w:r>
      <w:r>
        <w:t xml:space="preserve">Sometimes these marks were similar to those made during manufacture, such as the plated copper alloy button etched “P A” excavated from the site of Washington’s whiskey distillery – a plantation operation associated with hired white </w:t>
      </w:r>
      <w:r w:rsidR="00991B7C">
        <w:t xml:space="preserve">and enslaved men. </w:t>
      </w:r>
      <w:r>
        <w:t xml:space="preserve">Development of a dataset of marked objects excavated from non-elite sites is the next step in systematically studying the variety of marks used and the interpretation of the meaning behind these marks.        </w:t>
      </w:r>
      <w:r w:rsidRPr="000B1E50">
        <w:t xml:space="preserve">       </w:t>
      </w:r>
    </w:p>
    <w:p w:rsidR="000F7191" w:rsidRDefault="000F7191" w:rsidP="000F7191">
      <w:pPr>
        <w:spacing w:line="480" w:lineRule="auto"/>
        <w:ind w:firstLine="720"/>
      </w:pPr>
      <w:r w:rsidRPr="000B1E50">
        <w:t xml:space="preserve">The ways in which </w:t>
      </w:r>
      <w:r>
        <w:t xml:space="preserve">Washington </w:t>
      </w:r>
      <w:r w:rsidRPr="000B1E50">
        <w:t xml:space="preserve">chose to </w:t>
      </w:r>
      <w:r>
        <w:t xml:space="preserve">formally </w:t>
      </w:r>
      <w:r w:rsidRPr="000B1E50">
        <w:t>mark objects appears to have changed over time</w:t>
      </w:r>
      <w:r>
        <w:t xml:space="preserve"> and future research should test this transformation on a broader scale</w:t>
      </w:r>
      <w:r w:rsidR="00991B7C">
        <w:t xml:space="preserve">. </w:t>
      </w:r>
      <w:r>
        <w:t>Utilizing a material culture approach,</w:t>
      </w:r>
      <w:r w:rsidRPr="000B1E50">
        <w:t xml:space="preserve"> data on marks referenced in documents, on objects, and on archaeological artifacts </w:t>
      </w:r>
      <w:r>
        <w:t xml:space="preserve">were compiled </w:t>
      </w:r>
      <w:r w:rsidRPr="000B1E50">
        <w:t>to explore th</w:t>
      </w:r>
      <w:r>
        <w:t>e phenomenon – for a total of 48</w:t>
      </w:r>
      <w:r w:rsidRPr="000B1E50">
        <w:t xml:space="preserve"> datable occurrences</w:t>
      </w:r>
      <w:r>
        <w:t xml:space="preserve"> (Figure</w:t>
      </w:r>
      <w:r w:rsidRPr="009F6EE3">
        <w:t xml:space="preserve"> 7-</w:t>
      </w:r>
      <w:r w:rsidR="00482E4F">
        <w:t>14</w:t>
      </w:r>
      <w:r>
        <w:t>)</w:t>
      </w:r>
      <w:r w:rsidR="00991B7C">
        <w:t xml:space="preserve">. </w:t>
      </w:r>
      <w:r w:rsidRPr="000B1E50">
        <w:t xml:space="preserve">Initially, it seems that George Washington exclusively favored the use of his family’s </w:t>
      </w:r>
      <w:r>
        <w:t>coat of arms</w:t>
      </w:r>
      <w:r w:rsidR="0078512B">
        <w:t xml:space="preserve"> </w:t>
      </w:r>
      <w:r w:rsidR="00482E4F">
        <w:t>(Figure 7-15</w:t>
      </w:r>
      <w:r w:rsidR="0078512B" w:rsidRPr="00B527AF">
        <w:t>)</w:t>
      </w:r>
      <w:r w:rsidR="00991B7C" w:rsidRPr="00B527AF">
        <w:t>.</w:t>
      </w:r>
      <w:r w:rsidR="00991B7C">
        <w:t xml:space="preserve"> </w:t>
      </w:r>
      <w:r w:rsidRPr="000B1E50">
        <w:t xml:space="preserve">Washington ordered pewter and silver dining pieces and horse furniture with the Washington </w:t>
      </w:r>
      <w:r>
        <w:t>coat of arms – or its elements such as</w:t>
      </w:r>
      <w:r w:rsidRPr="000B1E50">
        <w:t xml:space="preserve"> a griffin issuing </w:t>
      </w:r>
      <w:r w:rsidRPr="000B1E50">
        <w:lastRenderedPageBreak/>
        <w:t>from</w:t>
      </w:r>
      <w:r w:rsidR="00991B7C">
        <w:t xml:space="preserve"> a coronet – as early as 1755. </w:t>
      </w:r>
      <w:r w:rsidRPr="000B1E50">
        <w:t xml:space="preserve">In 1765, however, Washington began to incorporate his </w:t>
      </w:r>
      <w:r>
        <w:t>monogram</w:t>
      </w:r>
      <w:r w:rsidRPr="000B1E50">
        <w:t xml:space="preserve"> on objects like a hunting whip and his p</w:t>
      </w:r>
      <w:r w:rsidR="00991B7C">
        <w:t xml:space="preserve">ew at Pohick Church. </w:t>
      </w:r>
      <w:r w:rsidRPr="000B1E50">
        <w:t xml:space="preserve">Rarer were instances </w:t>
      </w:r>
      <w:r w:rsidR="00991B7C">
        <w:t xml:space="preserve">when he used his full name. </w:t>
      </w:r>
      <w:r w:rsidRPr="000B1E50">
        <w:t xml:space="preserve">Despite the reliance on his </w:t>
      </w:r>
      <w:r>
        <w:t>monogram</w:t>
      </w:r>
      <w:r w:rsidRPr="000B1E50">
        <w:t xml:space="preserve"> to mark objects, Washington never ceased to use the crest to adorn punch ladles or mark his carriage.   </w:t>
      </w:r>
    </w:p>
    <w:p w:rsidR="00270BD0" w:rsidRDefault="00270BD0" w:rsidP="000F7191">
      <w:pPr>
        <w:spacing w:line="480" w:lineRule="auto"/>
        <w:ind w:firstLine="720"/>
      </w:pPr>
    </w:p>
    <w:p w:rsidR="000F7191" w:rsidRDefault="000F7191" w:rsidP="000F7191">
      <w:r w:rsidRPr="00737F78">
        <w:rPr>
          <w:noProof/>
        </w:rPr>
        <w:drawing>
          <wp:inline distT="0" distB="0" distL="0" distR="0">
            <wp:extent cx="5886450" cy="4076700"/>
            <wp:effectExtent l="0" t="0" r="0" b="0"/>
            <wp:docPr id="3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0F7191" w:rsidRDefault="00B527AF" w:rsidP="000F7191">
      <w:pPr>
        <w:rPr>
          <w:b/>
        </w:rPr>
      </w:pPr>
      <w:r>
        <w:rPr>
          <w:b/>
        </w:rPr>
        <w:t>Figure 7-14</w:t>
      </w:r>
      <w:r w:rsidR="000F7191" w:rsidRPr="00BC4024">
        <w:rPr>
          <w:b/>
        </w:rPr>
        <w:t xml:space="preserve">. </w:t>
      </w:r>
      <w:r w:rsidR="000F7191" w:rsidRPr="00872817">
        <w:t>Objects marked with George Washington’s name, coat of arms and/or monogram from the earliest known date of occurrence to his death in 1799.</w:t>
      </w:r>
      <w:r w:rsidR="000F7191" w:rsidRPr="00BC4024">
        <w:rPr>
          <w:b/>
        </w:rPr>
        <w:t xml:space="preserve">    </w:t>
      </w:r>
    </w:p>
    <w:p w:rsidR="000F7191" w:rsidRPr="00BC4024" w:rsidRDefault="000F7191" w:rsidP="000F7191">
      <w:pPr>
        <w:rPr>
          <w:b/>
        </w:rPr>
      </w:pPr>
    </w:p>
    <w:p w:rsidR="000F7191" w:rsidRDefault="000F7191" w:rsidP="000F7191"/>
    <w:p w:rsidR="000F7191" w:rsidRDefault="000F7191" w:rsidP="000F7191"/>
    <w:p w:rsidR="009A752F" w:rsidRDefault="009A752F" w:rsidP="009A752F">
      <w:r>
        <w:rPr>
          <w:noProof/>
        </w:rPr>
        <w:lastRenderedPageBreak/>
        <w:drawing>
          <wp:inline distT="0" distB="0" distL="0" distR="0">
            <wp:extent cx="3094593" cy="4389120"/>
            <wp:effectExtent l="19050" t="0" r="0" b="0"/>
            <wp:docPr id="50" name="Picture 49" descr="03_07_2013_MVLA_ML264W_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07_2013_MVLA_ML264W_073.jpg"/>
                    <pic:cNvPicPr/>
                  </pic:nvPicPr>
                  <pic:blipFill>
                    <a:blip r:embed="rId51" cstate="print"/>
                    <a:srcRect l="2500" t="5000" r="2500" b="5000"/>
                    <a:stretch>
                      <a:fillRect/>
                    </a:stretch>
                  </pic:blipFill>
                  <pic:spPr>
                    <a:xfrm>
                      <a:off x="0" y="0"/>
                      <a:ext cx="3094593" cy="4389120"/>
                    </a:xfrm>
                    <a:prstGeom prst="rect">
                      <a:avLst/>
                    </a:prstGeom>
                  </pic:spPr>
                </pic:pic>
              </a:graphicData>
            </a:graphic>
          </wp:inline>
        </w:drawing>
      </w:r>
    </w:p>
    <w:p w:rsidR="009A752F" w:rsidRDefault="009A752F" w:rsidP="009A752F">
      <w:r w:rsidRPr="009A752F">
        <w:rPr>
          <w:b/>
        </w:rPr>
        <w:t>Figure 7-</w:t>
      </w:r>
      <w:r w:rsidR="00B527AF">
        <w:rPr>
          <w:b/>
        </w:rPr>
        <w:t>15</w:t>
      </w:r>
      <w:r>
        <w:t>. Washington family crest as seen on a bookplate, 1783. (C</w:t>
      </w:r>
      <w:r w:rsidRPr="00872817">
        <w:t xml:space="preserve">ourtesy of Mount Vernon Ladies’ Association.)  </w:t>
      </w:r>
      <w:r>
        <w:t xml:space="preserve">   </w:t>
      </w:r>
    </w:p>
    <w:p w:rsidR="009A752F" w:rsidRDefault="009A752F" w:rsidP="009A752F"/>
    <w:p w:rsidR="009A752F" w:rsidRDefault="009A752F" w:rsidP="000F7191">
      <w:pPr>
        <w:spacing w:line="480" w:lineRule="auto"/>
        <w:ind w:firstLine="720"/>
      </w:pPr>
    </w:p>
    <w:p w:rsidR="000F7191" w:rsidRPr="00E11CC5" w:rsidRDefault="000F7191" w:rsidP="000F7191">
      <w:pPr>
        <w:spacing w:line="480" w:lineRule="auto"/>
        <w:ind w:firstLine="720"/>
      </w:pPr>
      <w:r w:rsidRPr="000B1E50">
        <w:t xml:space="preserve">What did it mean to people in the past, like George Washington, to set the dining table for </w:t>
      </w:r>
      <w:r>
        <w:t>guests</w:t>
      </w:r>
      <w:r w:rsidRPr="000B1E50">
        <w:t xml:space="preserve"> with crest-engraved silver or mono</w:t>
      </w:r>
      <w:r w:rsidR="00DB0937">
        <w:t xml:space="preserve">grammed French porcelain? </w:t>
      </w:r>
      <w:r>
        <w:t>Coats of arms were</w:t>
      </w:r>
      <w:r w:rsidRPr="000B1E50">
        <w:t xml:space="preserve"> an ancient symbol of ancestry and lineage in England that carried a certain patina of power passed down through the generations (McCracken1988; Shackel 1992; Rozbicki 1998; Good</w:t>
      </w:r>
      <w:r w:rsidR="00DB0937">
        <w:t xml:space="preserve">win 1999; Beaudry 2008, 2010). </w:t>
      </w:r>
      <w:r w:rsidRPr="000B1E50">
        <w:t>Objects with patina conveyed a sense of history, antiquity, and memory that legi</w:t>
      </w:r>
      <w:r w:rsidR="00DB0937">
        <w:t xml:space="preserve">timized claims to high status. </w:t>
      </w:r>
      <w:r w:rsidRPr="000B1E50">
        <w:t xml:space="preserve">The conditions of colonization in eighteenth-century Virginia afforded myriad opportunities and avenues </w:t>
      </w:r>
      <w:r w:rsidR="00DB0937">
        <w:t xml:space="preserve">to success beyond noble birth. </w:t>
      </w:r>
      <w:r w:rsidRPr="000B1E50">
        <w:t>Eighteenth-century Virginia</w:t>
      </w:r>
      <w:r w:rsidR="00F83483">
        <w:t>n</w:t>
      </w:r>
      <w:r w:rsidRPr="000B1E50">
        <w:t xml:space="preserve">s were constantly negotiating their positions in relation to their social </w:t>
      </w:r>
      <w:r w:rsidRPr="000B1E50">
        <w:lastRenderedPageBreak/>
        <w:t>counterparts by running for elected office, serving in the military, pursuing advantageous marriages and social alliances, investing in land and labor, and inherit</w:t>
      </w:r>
      <w:r w:rsidR="00DB0937">
        <w:t>ing family wealth and prestige.</w:t>
      </w:r>
      <w:r w:rsidRPr="000B1E50">
        <w:t xml:space="preserve"> Eventually, objects imbued with patina, valued for their ability to prove antique lineage and familial continuity, fell out of favor over the course of the eighteenth century as items were increasingly desired for their fashionability, valued for their new or novel qualities</w:t>
      </w:r>
      <w:r>
        <w:t xml:space="preserve"> </w:t>
      </w:r>
      <w:r w:rsidRPr="000B1E50">
        <w:t>(McCracken1988; Goodwin 1999</w:t>
      </w:r>
      <w:r>
        <w:t>)</w:t>
      </w:r>
      <w:r w:rsidR="00DB0937">
        <w:t xml:space="preserve">. </w:t>
      </w:r>
      <w:r w:rsidRPr="000B1E50">
        <w:t>However, the tran</w:t>
      </w:r>
      <w:r w:rsidRPr="00E11CC5">
        <w:t xml:space="preserve">sition from patina to fashion, from pedigree to gentility, was complex and in the case of Washington’s use of crests and </w:t>
      </w:r>
      <w:r>
        <w:t>monogra</w:t>
      </w:r>
      <w:r w:rsidR="00DB0937">
        <w:t xml:space="preserve">ms, never fully completed. </w:t>
      </w:r>
      <w:r>
        <w:t>Sometimes Washington</w:t>
      </w:r>
      <w:r w:rsidRPr="00E11CC5">
        <w:t xml:space="preserve"> chose to draw on symbols of family tradition, other times the power was in his name, or a creative melding of both as seen on the commanding fireplace backs dating to 1787</w:t>
      </w:r>
      <w:r>
        <w:t xml:space="preserve"> (Mount Vernon Ladies’ Association 2009)</w:t>
      </w:r>
      <w:r w:rsidRPr="00E11CC5">
        <w:t>.</w:t>
      </w:r>
      <w:r w:rsidR="00DB0937">
        <w:t xml:space="preserve"> </w:t>
      </w:r>
      <w:r>
        <w:t xml:space="preserve">This finding bolsters Yokota’s (2011) contention that just as they had before the Revolutionary War, Americans continued to look back across the Atlantic for cultural inspiration.  </w:t>
      </w:r>
    </w:p>
    <w:p w:rsidR="000F7191" w:rsidRDefault="000F7191" w:rsidP="000F7191">
      <w:pPr>
        <w:spacing w:line="480" w:lineRule="auto"/>
        <w:ind w:firstLine="720"/>
      </w:pPr>
      <w:r w:rsidRPr="00E11CC5">
        <w:t xml:space="preserve">How might we </w:t>
      </w:r>
      <w:r>
        <w:t xml:space="preserve">draw broader conclusions </w:t>
      </w:r>
      <w:r w:rsidRPr="00E11CC5">
        <w:t xml:space="preserve">based on </w:t>
      </w:r>
      <w:r>
        <w:t xml:space="preserve">this </w:t>
      </w:r>
      <w:r w:rsidRPr="00E11CC5">
        <w:t>Washington-specific data</w:t>
      </w:r>
      <w:r>
        <w:t>set</w:t>
      </w:r>
      <w:r w:rsidR="00DB0937">
        <w:t xml:space="preserve">? </w:t>
      </w:r>
      <w:r>
        <w:t xml:space="preserve">Wine bottles seals seem like an ideal </w:t>
      </w:r>
      <w:r w:rsidRPr="00E11CC5">
        <w:t xml:space="preserve">candidate </w:t>
      </w:r>
      <w:r>
        <w:t xml:space="preserve">to test the shifting cultural values of patina and fashion </w:t>
      </w:r>
      <w:r w:rsidRPr="00E11CC5">
        <w:t>– a robust dataset found in abundance on sites in colonial Virginia all marked wi</w:t>
      </w:r>
      <w:r w:rsidR="00DB0937">
        <w:t xml:space="preserve">th a diverse array of symbols. </w:t>
      </w:r>
      <w:r>
        <w:t xml:space="preserve">Mount Vernon’s preservation staff is </w:t>
      </w:r>
      <w:r w:rsidRPr="00E11CC5">
        <w:t>currently in the process of develo</w:t>
      </w:r>
      <w:r>
        <w:t>ping a crowd-sourced, online database (based on research in the field of wildlife biology (Harris 2012))</w:t>
      </w:r>
      <w:r w:rsidRPr="00E11CC5">
        <w:t xml:space="preserve"> to facilitate a study of seals with the hypothesis that their marks reflect the same pattern seen within Washington’s material culture – a slow and steady seriation away from crests and coast of arms towards names and initials.</w:t>
      </w:r>
    </w:p>
    <w:p w:rsidR="000F7191" w:rsidRPr="000B1E50" w:rsidRDefault="000F7191" w:rsidP="000F7191">
      <w:pPr>
        <w:spacing w:line="480" w:lineRule="auto"/>
        <w:ind w:firstLine="720"/>
      </w:pPr>
      <w:r>
        <w:t>In addition to marked objects, a</w:t>
      </w:r>
      <w:r w:rsidRPr="000B1E50">
        <w:t xml:space="preserve">ccess to </w:t>
      </w:r>
      <w:r w:rsidRPr="000B1E50">
        <w:rPr>
          <w:u w:val="single"/>
        </w:rPr>
        <w:t>books</w:t>
      </w:r>
      <w:r w:rsidRPr="000B1E50">
        <w:t xml:space="preserve"> in colonial Virginia provides one of the most compelling examples of the differences in one’s ability to acquire consumer goods dependi</w:t>
      </w:r>
      <w:r w:rsidR="00DB0937">
        <w:t>ng upon socio-economic status. </w:t>
      </w:r>
      <w:r w:rsidRPr="000B1E50">
        <w:t xml:space="preserve">Large-scale, wealthy planters like Lawrence and George </w:t>
      </w:r>
      <w:r w:rsidRPr="000B1E50">
        <w:lastRenderedPageBreak/>
        <w:t xml:space="preserve">Washington had access to the most recently published books on a vast range of subjects.  In the eighteenth century, books served to educate, but were also a symbol of luxury </w:t>
      </w:r>
      <w:r w:rsidR="00DB0937">
        <w:t xml:space="preserve">communicating status and </w:t>
      </w:r>
      <w:r w:rsidR="000E182D">
        <w:t>taste.</w:t>
      </w:r>
      <w:r w:rsidR="000E182D" w:rsidRPr="000B1E50">
        <w:t xml:space="preserve"> They</w:t>
      </w:r>
      <w:r w:rsidRPr="000B1E50">
        <w:t xml:space="preserve"> required money to purchase, of course, but also rooms and furniture to keep</w:t>
      </w:r>
      <w:r>
        <w:t>,</w:t>
      </w:r>
      <w:r w:rsidRPr="000B1E50">
        <w:t xml:space="preserve"> store</w:t>
      </w:r>
      <w:r>
        <w:t>, or showcase</w:t>
      </w:r>
      <w:r w:rsidRPr="000B1E50">
        <w:t xml:space="preserve"> (Kern</w:t>
      </w:r>
      <w:r w:rsidR="00DB0937">
        <w:t xml:space="preserve"> 2010). </w:t>
      </w:r>
      <w:r w:rsidRPr="000B1E50">
        <w:t>Over-sized books like quartos (</w:t>
      </w:r>
      <w:r>
        <w:t>at 9x12</w:t>
      </w:r>
      <w:r w:rsidRPr="007500BD">
        <w:t xml:space="preserve"> </w:t>
      </w:r>
      <w:r>
        <w:t>in.) and folios (at 12x16-18</w:t>
      </w:r>
      <w:r w:rsidRPr="007500BD">
        <w:t xml:space="preserve"> </w:t>
      </w:r>
      <w:r>
        <w:t>in.</w:t>
      </w:r>
      <w:r w:rsidRPr="000B1E50">
        <w:t>) were “serious, impressive books” that required a special space outside of the bookshelf on a table, bookstand, or larg</w:t>
      </w:r>
      <w:r w:rsidR="00DB0937">
        <w:t>e reading desk (Kern 2010:36). </w:t>
      </w:r>
      <w:r w:rsidRPr="000B1E50">
        <w:t>The metal hardware of these important texts left behind signatures</w:t>
      </w:r>
      <w:r w:rsidR="00DB0937">
        <w:t xml:space="preserve"> in the archaeological record. </w:t>
      </w:r>
      <w:r w:rsidRPr="000B1E50">
        <w:t xml:space="preserve">These were books that made a statement to anyone invited into the intimate spaces of a study or required to </w:t>
      </w:r>
      <w:r w:rsidR="00DB0937">
        <w:t xml:space="preserve">visit as part of daily chores. </w:t>
      </w:r>
      <w:r w:rsidRPr="000B1E50">
        <w:t xml:space="preserve">The local store also offered books, but in </w:t>
      </w:r>
      <w:r w:rsidR="00DB0937">
        <w:t>a much more limited selection. </w:t>
      </w:r>
      <w:r w:rsidRPr="000B1E50">
        <w:t>This discrepancy in availability vested a “special authority… in those who had facility in writing and were conversant</w:t>
      </w:r>
      <w:r w:rsidR="00DB0937">
        <w:t xml:space="preserve"> with books” (Isaac 1983:230). </w:t>
      </w:r>
      <w:r w:rsidRPr="000B1E50">
        <w:t>Literacy, education, and a tightly-held access to knowledge allowed the colonial gentry to legitimize and maintain their place in the social hierarchy.</w:t>
      </w:r>
      <w:r w:rsidR="00DB0937">
        <w:t xml:space="preserve"> </w:t>
      </w:r>
      <w:r>
        <w:t xml:space="preserve">Non-elites, however, appear to have expressed a voracious appetite for self-education in the realms of spelling and grammar, religion, and history. </w:t>
      </w:r>
      <w:r w:rsidRPr="000B1E50">
        <w:t xml:space="preserve"> </w:t>
      </w:r>
    </w:p>
    <w:p w:rsidR="000F7191" w:rsidRDefault="000F7191" w:rsidP="000F7191">
      <w:pPr>
        <w:spacing w:line="480" w:lineRule="auto"/>
        <w:ind w:firstLine="720"/>
      </w:pPr>
      <w:r w:rsidRPr="000B1E50">
        <w:t>Lawrence Washington’s books were valued at £15.8.0 in the inventory taken upon his death (</w:t>
      </w:r>
      <w:r>
        <w:t>Table</w:t>
      </w:r>
      <w:r w:rsidRPr="00E048E5">
        <w:t xml:space="preserve"> 7-</w:t>
      </w:r>
      <w:r>
        <w:t>18</w:t>
      </w:r>
      <w:r w:rsidR="00DB0937">
        <w:t>) (Washington 1753).</w:t>
      </w:r>
      <w:r w:rsidRPr="000B1E50">
        <w:t xml:space="preserve"> His inventory also included a book case for displaying his extensive co</w:t>
      </w:r>
      <w:r w:rsidR="00DB0937">
        <w:t>llection, valued at nearly £6. </w:t>
      </w:r>
      <w:r w:rsidRPr="000B1E50">
        <w:t>Over his lifetime he amassed a library of 65 individual and multi-volume titles</w:t>
      </w:r>
      <w:r w:rsidR="00DB0937">
        <w:t xml:space="preserve"> representing about 124 books. </w:t>
      </w:r>
      <w:r w:rsidRPr="000B1E50">
        <w:t>They fell into 13 identifiable subjects: biography/memoir; dictionary; geography; history/politics; language; literature; medicine; military; music; navigation</w:t>
      </w:r>
      <w:r w:rsidR="00DB0937">
        <w:t>; plays; poetry; and religion. </w:t>
      </w:r>
      <w:r w:rsidRPr="000B1E50">
        <w:t xml:space="preserve">Most of the books were of an unspecified size; however, he did have two folios and a quarto.  </w:t>
      </w:r>
    </w:p>
    <w:p w:rsidR="000F7191" w:rsidRDefault="000F7191" w:rsidP="000F7191">
      <w:r>
        <w:br w:type="page"/>
      </w:r>
    </w:p>
    <w:p w:rsidR="000F7191" w:rsidRDefault="000F7191" w:rsidP="000F7191">
      <w:pPr>
        <w:spacing w:line="480" w:lineRule="auto"/>
      </w:pPr>
      <w:r>
        <w:rPr>
          <w:b/>
        </w:rPr>
        <w:lastRenderedPageBreak/>
        <w:t>Table 7-18</w:t>
      </w:r>
      <w:r w:rsidRPr="0065291B">
        <w:rPr>
          <w:b/>
        </w:rPr>
        <w:t xml:space="preserve">. </w:t>
      </w:r>
      <w:r w:rsidRPr="00872817">
        <w:t xml:space="preserve">Lawrence Washington’s library at the time of his death (book size in bold).  </w:t>
      </w:r>
    </w:p>
    <w:tbl>
      <w:tblPr>
        <w:tblW w:w="6760" w:type="dxa"/>
        <w:tblInd w:w="91" w:type="dxa"/>
        <w:tblLook w:val="04A0"/>
      </w:tblPr>
      <w:tblGrid>
        <w:gridCol w:w="4000"/>
        <w:gridCol w:w="316"/>
        <w:gridCol w:w="438"/>
        <w:gridCol w:w="420"/>
        <w:gridCol w:w="1761"/>
      </w:tblGrid>
      <w:tr w:rsidR="00F573AA" w:rsidRPr="00F573AA" w:rsidTr="00F573AA">
        <w:trPr>
          <w:trHeight w:val="255"/>
        </w:trPr>
        <w:tc>
          <w:tcPr>
            <w:tcW w:w="4000"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F573AA" w:rsidRPr="00F573AA" w:rsidRDefault="00F573AA" w:rsidP="00F573AA">
            <w:pPr>
              <w:rPr>
                <w:rFonts w:eastAsia="Times New Roman"/>
                <w:b/>
                <w:bCs/>
                <w:color w:val="000000"/>
                <w:sz w:val="20"/>
                <w:szCs w:val="20"/>
              </w:rPr>
            </w:pPr>
            <w:r w:rsidRPr="00F573AA">
              <w:rPr>
                <w:rFonts w:eastAsia="Times New Roman"/>
                <w:b/>
                <w:bCs/>
                <w:color w:val="000000"/>
                <w:sz w:val="20"/>
                <w:szCs w:val="20"/>
              </w:rPr>
              <w:t>Inventory Entry</w:t>
            </w:r>
          </w:p>
        </w:tc>
        <w:tc>
          <w:tcPr>
            <w:tcW w:w="220" w:type="dxa"/>
            <w:tcBorders>
              <w:top w:val="single" w:sz="4" w:space="0" w:color="auto"/>
              <w:left w:val="nil"/>
              <w:bottom w:val="single" w:sz="4" w:space="0" w:color="auto"/>
              <w:right w:val="single" w:sz="4" w:space="0" w:color="auto"/>
            </w:tcBorders>
            <w:shd w:val="clear" w:color="000000" w:fill="D8D8D8"/>
            <w:noWrap/>
            <w:vAlign w:val="bottom"/>
            <w:hideMark/>
          </w:tcPr>
          <w:p w:rsidR="00F573AA" w:rsidRPr="00F573AA" w:rsidRDefault="00F573AA" w:rsidP="00F573AA">
            <w:pPr>
              <w:rPr>
                <w:rFonts w:eastAsia="Times New Roman"/>
                <w:b/>
                <w:bCs/>
                <w:color w:val="000000"/>
                <w:sz w:val="20"/>
                <w:szCs w:val="20"/>
              </w:rPr>
            </w:pPr>
            <w:r w:rsidRPr="00F573AA">
              <w:rPr>
                <w:rFonts w:eastAsia="Times New Roman"/>
                <w:b/>
                <w:bCs/>
                <w:color w:val="000000"/>
                <w:sz w:val="20"/>
                <w:szCs w:val="20"/>
              </w:rPr>
              <w:t>£</w:t>
            </w:r>
          </w:p>
        </w:tc>
        <w:tc>
          <w:tcPr>
            <w:tcW w:w="420" w:type="dxa"/>
            <w:tcBorders>
              <w:top w:val="single" w:sz="4" w:space="0" w:color="auto"/>
              <w:left w:val="nil"/>
              <w:bottom w:val="single" w:sz="4" w:space="0" w:color="auto"/>
              <w:right w:val="single" w:sz="4" w:space="0" w:color="auto"/>
            </w:tcBorders>
            <w:shd w:val="clear" w:color="000000" w:fill="D8D8D8"/>
            <w:noWrap/>
            <w:vAlign w:val="bottom"/>
            <w:hideMark/>
          </w:tcPr>
          <w:p w:rsidR="00F573AA" w:rsidRPr="00F573AA" w:rsidRDefault="00F573AA" w:rsidP="00F573AA">
            <w:pPr>
              <w:rPr>
                <w:rFonts w:eastAsia="Times New Roman"/>
                <w:b/>
                <w:bCs/>
                <w:color w:val="000000"/>
                <w:sz w:val="20"/>
                <w:szCs w:val="20"/>
              </w:rPr>
            </w:pPr>
            <w:r w:rsidRPr="00F573AA">
              <w:rPr>
                <w:rFonts w:eastAsia="Times New Roman"/>
                <w:b/>
                <w:bCs/>
                <w:color w:val="000000"/>
                <w:sz w:val="20"/>
                <w:szCs w:val="20"/>
              </w:rPr>
              <w:t>s</w:t>
            </w:r>
          </w:p>
        </w:tc>
        <w:tc>
          <w:tcPr>
            <w:tcW w:w="420" w:type="dxa"/>
            <w:tcBorders>
              <w:top w:val="single" w:sz="4" w:space="0" w:color="auto"/>
              <w:left w:val="nil"/>
              <w:bottom w:val="single" w:sz="4" w:space="0" w:color="auto"/>
              <w:right w:val="single" w:sz="4" w:space="0" w:color="auto"/>
            </w:tcBorders>
            <w:shd w:val="clear" w:color="000000" w:fill="D8D8D8"/>
            <w:noWrap/>
            <w:vAlign w:val="bottom"/>
            <w:hideMark/>
          </w:tcPr>
          <w:p w:rsidR="00F573AA" w:rsidRPr="00F573AA" w:rsidRDefault="00F573AA" w:rsidP="00F573AA">
            <w:pPr>
              <w:rPr>
                <w:rFonts w:eastAsia="Times New Roman"/>
                <w:b/>
                <w:bCs/>
                <w:color w:val="000000"/>
                <w:sz w:val="20"/>
                <w:szCs w:val="20"/>
              </w:rPr>
            </w:pPr>
            <w:r w:rsidRPr="00F573AA">
              <w:rPr>
                <w:rFonts w:eastAsia="Times New Roman"/>
                <w:b/>
                <w:bCs/>
                <w:color w:val="000000"/>
                <w:sz w:val="20"/>
                <w:szCs w:val="20"/>
              </w:rPr>
              <w:t>d</w:t>
            </w:r>
          </w:p>
        </w:tc>
        <w:tc>
          <w:tcPr>
            <w:tcW w:w="1700" w:type="dxa"/>
            <w:tcBorders>
              <w:top w:val="single" w:sz="4" w:space="0" w:color="auto"/>
              <w:left w:val="nil"/>
              <w:bottom w:val="single" w:sz="4" w:space="0" w:color="auto"/>
              <w:right w:val="single" w:sz="4" w:space="0" w:color="auto"/>
            </w:tcBorders>
            <w:shd w:val="clear" w:color="000000" w:fill="D8D8D8"/>
            <w:noWrap/>
            <w:vAlign w:val="bottom"/>
            <w:hideMark/>
          </w:tcPr>
          <w:p w:rsidR="00F573AA" w:rsidRPr="00F573AA" w:rsidRDefault="00F573AA" w:rsidP="00F573AA">
            <w:pPr>
              <w:rPr>
                <w:rFonts w:eastAsia="Times New Roman"/>
                <w:b/>
                <w:bCs/>
                <w:color w:val="000000"/>
                <w:sz w:val="20"/>
                <w:szCs w:val="20"/>
              </w:rPr>
            </w:pPr>
            <w:r w:rsidRPr="00F573AA">
              <w:rPr>
                <w:rFonts w:eastAsia="Times New Roman"/>
                <w:b/>
                <w:bCs/>
                <w:color w:val="000000"/>
                <w:sz w:val="20"/>
                <w:szCs w:val="20"/>
              </w:rPr>
              <w:t>Subject</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Life of Mahamit</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3</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Biography/Memoir</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Life of Socrates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3</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Biography/Memoir</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Welwoods Memoirs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Biography/Memoir</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Baily Dictionary</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8</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Dictionary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Boyers Dictionary</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14</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Dictionary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xml:space="preserve">Harris' Lexicon  2 Vol. </w:t>
            </w:r>
            <w:r w:rsidRPr="00F573AA">
              <w:rPr>
                <w:rFonts w:eastAsia="Times New Roman"/>
                <w:b/>
                <w:bCs/>
                <w:sz w:val="20"/>
                <w:szCs w:val="20"/>
              </w:rPr>
              <w:t>Folio</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1</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15</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Dictionary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Littleton's Dictionary</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12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Dictionary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Gazetteer</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Geography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Gordons Grammer</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Geography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1 Vol. of the History of the Rebn</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Bangors Committee</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3</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Browns Roman History</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Conquest of Syria &amp; McSarat</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3</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English Expositon</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History of [illegible]</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History of England by way of Ques[illegible]</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xml:space="preserve">History of Virginia  </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3</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Mannings Dion Cassins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Mercers Abridgd</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Present State of [illegible] at Bond [illegible]</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xml:space="preserve">Rapin's History  2 Vol. </w:t>
            </w:r>
            <w:r w:rsidRPr="00F573AA">
              <w:rPr>
                <w:rFonts w:eastAsia="Times New Roman"/>
                <w:b/>
                <w:bCs/>
                <w:sz w:val="20"/>
                <w:szCs w:val="20"/>
              </w:rPr>
              <w:t>Folio</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The History of the Five Nations Ind[ians]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7</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Travels into Turkey</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Virginia Justice</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8</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History/Politics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11 Latin Books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1</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12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9</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Language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8 Latin Books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Language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1 Tom Jones in the Married State</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Literature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xml:space="preserve">Don Quixote 4 Vol.       </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8</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Literature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Drydens Works 9 Vol.</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7</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Literature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xml:space="preserve">Gil Blas 4 Vol.               </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8</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Literature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London Magazine for 1744</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Literature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One Vol. of Telemachus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Literature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Swifts Work 2 Vol. of it</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5</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Literature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Tom Jones 4 Vol.</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10</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Literature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Voyages of Frenchman</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Literature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Winters Evening confereren</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3</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Literature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Quinseys Dispensatory</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8</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Medicine</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Bland Military Discipline</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9</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Military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Beggars Opera</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Music</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Musick 2 Vol.</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Music</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xml:space="preserve">Songs 1 Vol.    </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Music</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Atkinsons Epitome</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Navigation</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Peerage of Ingland</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3</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Navigation</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1 Vol. French plays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Plays</w:t>
            </w:r>
          </w:p>
        </w:tc>
      </w:tr>
      <w:tr w:rsidR="00F573AA" w:rsidRPr="00F573AA" w:rsidTr="00F573AA">
        <w:trPr>
          <w:trHeight w:val="255"/>
        </w:trPr>
        <w:tc>
          <w:tcPr>
            <w:tcW w:w="4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Congreeves Plays 1 Vol.</w:t>
            </w:r>
          </w:p>
        </w:tc>
        <w:tc>
          <w:tcPr>
            <w:tcW w:w="220" w:type="dxa"/>
            <w:tcBorders>
              <w:top w:val="single" w:sz="4" w:space="0" w:color="auto"/>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single" w:sz="4" w:space="0" w:color="auto"/>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4</w:t>
            </w:r>
          </w:p>
        </w:tc>
        <w:tc>
          <w:tcPr>
            <w:tcW w:w="420" w:type="dxa"/>
            <w:tcBorders>
              <w:top w:val="single" w:sz="4" w:space="0" w:color="auto"/>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Plays</w:t>
            </w:r>
          </w:p>
        </w:tc>
      </w:tr>
      <w:tr w:rsidR="00F573AA" w:rsidRPr="00F573AA" w:rsidTr="00F573AA">
        <w:trPr>
          <w:trHeight w:val="315"/>
        </w:trPr>
        <w:tc>
          <w:tcPr>
            <w:tcW w:w="4000" w:type="dxa"/>
            <w:tcBorders>
              <w:top w:val="nil"/>
              <w:left w:val="nil"/>
              <w:bottom w:val="nil"/>
              <w:right w:val="nil"/>
            </w:tcBorders>
            <w:shd w:val="clear" w:color="auto" w:fill="auto"/>
            <w:noWrap/>
            <w:vAlign w:val="bottom"/>
            <w:hideMark/>
          </w:tcPr>
          <w:p w:rsidR="00F573AA" w:rsidRPr="00F573AA" w:rsidRDefault="00F573AA" w:rsidP="00F573AA">
            <w:pPr>
              <w:rPr>
                <w:rFonts w:eastAsia="Times New Roman"/>
                <w:b/>
                <w:bCs/>
                <w:color w:val="000000"/>
              </w:rPr>
            </w:pPr>
            <w:r w:rsidRPr="00F573AA">
              <w:rPr>
                <w:rFonts w:eastAsia="Times New Roman"/>
                <w:b/>
                <w:bCs/>
                <w:color w:val="000000"/>
              </w:rPr>
              <w:lastRenderedPageBreak/>
              <w:t>Table 7-18 (continued).</w:t>
            </w:r>
          </w:p>
        </w:tc>
        <w:tc>
          <w:tcPr>
            <w:tcW w:w="220" w:type="dxa"/>
            <w:tcBorders>
              <w:top w:val="nil"/>
              <w:left w:val="nil"/>
              <w:bottom w:val="nil"/>
              <w:right w:val="nil"/>
            </w:tcBorders>
            <w:shd w:val="clear" w:color="auto" w:fill="auto"/>
            <w:noWrap/>
            <w:vAlign w:val="bottom"/>
            <w:hideMark/>
          </w:tcPr>
          <w:p w:rsidR="00F573AA" w:rsidRPr="00F573AA" w:rsidRDefault="00F573AA" w:rsidP="00F573AA">
            <w:pPr>
              <w:rPr>
                <w:rFonts w:eastAsia="Times New Roman"/>
                <w:sz w:val="20"/>
                <w:szCs w:val="20"/>
              </w:rPr>
            </w:pPr>
          </w:p>
        </w:tc>
        <w:tc>
          <w:tcPr>
            <w:tcW w:w="420" w:type="dxa"/>
            <w:tcBorders>
              <w:top w:val="nil"/>
              <w:left w:val="nil"/>
              <w:bottom w:val="nil"/>
              <w:right w:val="nil"/>
            </w:tcBorders>
            <w:shd w:val="clear" w:color="auto" w:fill="auto"/>
            <w:noWrap/>
            <w:vAlign w:val="bottom"/>
            <w:hideMark/>
          </w:tcPr>
          <w:p w:rsidR="00F573AA" w:rsidRPr="00F573AA" w:rsidRDefault="00F573AA" w:rsidP="00F573AA">
            <w:pPr>
              <w:rPr>
                <w:rFonts w:eastAsia="Times New Roman"/>
                <w:sz w:val="20"/>
                <w:szCs w:val="20"/>
              </w:rPr>
            </w:pPr>
          </w:p>
        </w:tc>
        <w:tc>
          <w:tcPr>
            <w:tcW w:w="420" w:type="dxa"/>
            <w:tcBorders>
              <w:top w:val="nil"/>
              <w:left w:val="nil"/>
              <w:bottom w:val="nil"/>
              <w:right w:val="nil"/>
            </w:tcBorders>
            <w:shd w:val="clear" w:color="auto" w:fill="auto"/>
            <w:noWrap/>
            <w:vAlign w:val="bottom"/>
            <w:hideMark/>
          </w:tcPr>
          <w:p w:rsidR="00F573AA" w:rsidRPr="00F573AA" w:rsidRDefault="00F573AA" w:rsidP="00F573AA">
            <w:pPr>
              <w:rPr>
                <w:rFonts w:eastAsia="Times New Roman"/>
                <w:sz w:val="20"/>
                <w:szCs w:val="20"/>
              </w:rPr>
            </w:pPr>
          </w:p>
        </w:tc>
        <w:tc>
          <w:tcPr>
            <w:tcW w:w="1700" w:type="dxa"/>
            <w:tcBorders>
              <w:top w:val="nil"/>
              <w:left w:val="nil"/>
              <w:bottom w:val="nil"/>
              <w:right w:val="nil"/>
            </w:tcBorders>
            <w:shd w:val="clear" w:color="auto" w:fill="auto"/>
            <w:noWrap/>
            <w:vAlign w:val="bottom"/>
            <w:hideMark/>
          </w:tcPr>
          <w:p w:rsidR="00F573AA" w:rsidRPr="00F573AA" w:rsidRDefault="00F573AA" w:rsidP="00F573AA">
            <w:pPr>
              <w:rPr>
                <w:rFonts w:eastAsia="Times New Roman"/>
                <w:color w:val="000000"/>
                <w:sz w:val="20"/>
                <w:szCs w:val="20"/>
              </w:rPr>
            </w:pPr>
          </w:p>
        </w:tc>
      </w:tr>
      <w:tr w:rsidR="00F573AA" w:rsidRPr="00F573AA" w:rsidTr="00F573AA">
        <w:trPr>
          <w:trHeight w:val="255"/>
        </w:trPr>
        <w:tc>
          <w:tcPr>
            <w:tcW w:w="4000" w:type="dxa"/>
            <w:tcBorders>
              <w:top w:val="nil"/>
              <w:left w:val="nil"/>
              <w:bottom w:val="nil"/>
              <w:right w:val="nil"/>
            </w:tcBorders>
            <w:shd w:val="clear" w:color="auto" w:fill="auto"/>
            <w:noWrap/>
            <w:vAlign w:val="bottom"/>
            <w:hideMark/>
          </w:tcPr>
          <w:p w:rsidR="00F573AA" w:rsidRPr="00F573AA" w:rsidRDefault="00F573AA" w:rsidP="00F573AA">
            <w:pPr>
              <w:rPr>
                <w:rFonts w:eastAsia="Times New Roman"/>
                <w:sz w:val="20"/>
                <w:szCs w:val="20"/>
              </w:rPr>
            </w:pPr>
          </w:p>
        </w:tc>
        <w:tc>
          <w:tcPr>
            <w:tcW w:w="220" w:type="dxa"/>
            <w:tcBorders>
              <w:top w:val="nil"/>
              <w:left w:val="nil"/>
              <w:bottom w:val="nil"/>
              <w:right w:val="nil"/>
            </w:tcBorders>
            <w:shd w:val="clear" w:color="auto" w:fill="auto"/>
            <w:noWrap/>
            <w:vAlign w:val="bottom"/>
            <w:hideMark/>
          </w:tcPr>
          <w:p w:rsidR="00F573AA" w:rsidRPr="00F573AA" w:rsidRDefault="00F573AA" w:rsidP="00F573AA">
            <w:pPr>
              <w:rPr>
                <w:rFonts w:eastAsia="Times New Roman"/>
                <w:sz w:val="20"/>
                <w:szCs w:val="20"/>
              </w:rPr>
            </w:pPr>
          </w:p>
        </w:tc>
        <w:tc>
          <w:tcPr>
            <w:tcW w:w="420" w:type="dxa"/>
            <w:tcBorders>
              <w:top w:val="nil"/>
              <w:left w:val="nil"/>
              <w:bottom w:val="nil"/>
              <w:right w:val="nil"/>
            </w:tcBorders>
            <w:shd w:val="clear" w:color="auto" w:fill="auto"/>
            <w:noWrap/>
            <w:vAlign w:val="bottom"/>
            <w:hideMark/>
          </w:tcPr>
          <w:p w:rsidR="00F573AA" w:rsidRPr="00F573AA" w:rsidRDefault="00F573AA" w:rsidP="00F573AA">
            <w:pPr>
              <w:rPr>
                <w:rFonts w:eastAsia="Times New Roman"/>
                <w:sz w:val="20"/>
                <w:szCs w:val="20"/>
              </w:rPr>
            </w:pPr>
          </w:p>
        </w:tc>
        <w:tc>
          <w:tcPr>
            <w:tcW w:w="420" w:type="dxa"/>
            <w:tcBorders>
              <w:top w:val="nil"/>
              <w:left w:val="nil"/>
              <w:bottom w:val="nil"/>
              <w:right w:val="nil"/>
            </w:tcBorders>
            <w:shd w:val="clear" w:color="auto" w:fill="auto"/>
            <w:noWrap/>
            <w:vAlign w:val="bottom"/>
            <w:hideMark/>
          </w:tcPr>
          <w:p w:rsidR="00F573AA" w:rsidRPr="00F573AA" w:rsidRDefault="00F573AA" w:rsidP="00F573AA">
            <w:pPr>
              <w:rPr>
                <w:rFonts w:eastAsia="Times New Roman"/>
                <w:sz w:val="20"/>
                <w:szCs w:val="20"/>
              </w:rPr>
            </w:pPr>
          </w:p>
        </w:tc>
        <w:tc>
          <w:tcPr>
            <w:tcW w:w="1700" w:type="dxa"/>
            <w:tcBorders>
              <w:top w:val="nil"/>
              <w:left w:val="nil"/>
              <w:bottom w:val="nil"/>
              <w:right w:val="nil"/>
            </w:tcBorders>
            <w:shd w:val="clear" w:color="auto" w:fill="auto"/>
            <w:noWrap/>
            <w:vAlign w:val="bottom"/>
            <w:hideMark/>
          </w:tcPr>
          <w:p w:rsidR="00F573AA" w:rsidRPr="00F573AA" w:rsidRDefault="00F573AA" w:rsidP="00F573AA">
            <w:pPr>
              <w:rPr>
                <w:rFonts w:eastAsia="Times New Roman"/>
                <w:color w:val="000000"/>
                <w:sz w:val="20"/>
                <w:szCs w:val="20"/>
              </w:rPr>
            </w:pPr>
          </w:p>
        </w:tc>
      </w:tr>
      <w:tr w:rsidR="00F573AA" w:rsidRPr="00F573AA" w:rsidTr="00F573AA">
        <w:trPr>
          <w:trHeight w:val="255"/>
        </w:trPr>
        <w:tc>
          <w:tcPr>
            <w:tcW w:w="4000"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F573AA" w:rsidRPr="00F573AA" w:rsidRDefault="00F573AA" w:rsidP="00F573AA">
            <w:pPr>
              <w:rPr>
                <w:rFonts w:eastAsia="Times New Roman"/>
                <w:b/>
                <w:bCs/>
                <w:color w:val="000000"/>
                <w:sz w:val="20"/>
                <w:szCs w:val="20"/>
              </w:rPr>
            </w:pPr>
            <w:r w:rsidRPr="00F573AA">
              <w:rPr>
                <w:rFonts w:eastAsia="Times New Roman"/>
                <w:b/>
                <w:bCs/>
                <w:color w:val="000000"/>
                <w:sz w:val="20"/>
                <w:szCs w:val="20"/>
              </w:rPr>
              <w:t>Inventory Entry</w:t>
            </w:r>
          </w:p>
        </w:tc>
        <w:tc>
          <w:tcPr>
            <w:tcW w:w="220" w:type="dxa"/>
            <w:tcBorders>
              <w:top w:val="single" w:sz="4" w:space="0" w:color="auto"/>
              <w:left w:val="nil"/>
              <w:bottom w:val="single" w:sz="4" w:space="0" w:color="auto"/>
              <w:right w:val="single" w:sz="4" w:space="0" w:color="auto"/>
            </w:tcBorders>
            <w:shd w:val="clear" w:color="000000" w:fill="D8D8D8"/>
            <w:noWrap/>
            <w:vAlign w:val="bottom"/>
            <w:hideMark/>
          </w:tcPr>
          <w:p w:rsidR="00F573AA" w:rsidRPr="00F573AA" w:rsidRDefault="00F573AA" w:rsidP="00F573AA">
            <w:pPr>
              <w:rPr>
                <w:rFonts w:eastAsia="Times New Roman"/>
                <w:b/>
                <w:bCs/>
                <w:color w:val="000000"/>
                <w:sz w:val="20"/>
                <w:szCs w:val="20"/>
              </w:rPr>
            </w:pPr>
            <w:r w:rsidRPr="00F573AA">
              <w:rPr>
                <w:rFonts w:eastAsia="Times New Roman"/>
                <w:b/>
                <w:bCs/>
                <w:color w:val="000000"/>
                <w:sz w:val="20"/>
                <w:szCs w:val="20"/>
              </w:rPr>
              <w:t>£</w:t>
            </w:r>
          </w:p>
        </w:tc>
        <w:tc>
          <w:tcPr>
            <w:tcW w:w="420" w:type="dxa"/>
            <w:tcBorders>
              <w:top w:val="single" w:sz="4" w:space="0" w:color="auto"/>
              <w:left w:val="nil"/>
              <w:bottom w:val="single" w:sz="4" w:space="0" w:color="auto"/>
              <w:right w:val="single" w:sz="4" w:space="0" w:color="auto"/>
            </w:tcBorders>
            <w:shd w:val="clear" w:color="000000" w:fill="D8D8D8"/>
            <w:noWrap/>
            <w:vAlign w:val="bottom"/>
            <w:hideMark/>
          </w:tcPr>
          <w:p w:rsidR="00F573AA" w:rsidRPr="00F573AA" w:rsidRDefault="00F573AA" w:rsidP="00F573AA">
            <w:pPr>
              <w:rPr>
                <w:rFonts w:eastAsia="Times New Roman"/>
                <w:b/>
                <w:bCs/>
                <w:color w:val="000000"/>
                <w:sz w:val="20"/>
                <w:szCs w:val="20"/>
              </w:rPr>
            </w:pPr>
            <w:r w:rsidRPr="00F573AA">
              <w:rPr>
                <w:rFonts w:eastAsia="Times New Roman"/>
                <w:b/>
                <w:bCs/>
                <w:color w:val="000000"/>
                <w:sz w:val="20"/>
                <w:szCs w:val="20"/>
              </w:rPr>
              <w:t>s</w:t>
            </w:r>
          </w:p>
        </w:tc>
        <w:tc>
          <w:tcPr>
            <w:tcW w:w="420" w:type="dxa"/>
            <w:tcBorders>
              <w:top w:val="single" w:sz="4" w:space="0" w:color="auto"/>
              <w:left w:val="nil"/>
              <w:bottom w:val="single" w:sz="4" w:space="0" w:color="auto"/>
              <w:right w:val="single" w:sz="4" w:space="0" w:color="auto"/>
            </w:tcBorders>
            <w:shd w:val="clear" w:color="000000" w:fill="D8D8D8"/>
            <w:noWrap/>
            <w:vAlign w:val="bottom"/>
            <w:hideMark/>
          </w:tcPr>
          <w:p w:rsidR="00F573AA" w:rsidRPr="00F573AA" w:rsidRDefault="00F573AA" w:rsidP="00F573AA">
            <w:pPr>
              <w:rPr>
                <w:rFonts w:eastAsia="Times New Roman"/>
                <w:b/>
                <w:bCs/>
                <w:color w:val="000000"/>
                <w:sz w:val="20"/>
                <w:szCs w:val="20"/>
              </w:rPr>
            </w:pPr>
            <w:r w:rsidRPr="00F573AA">
              <w:rPr>
                <w:rFonts w:eastAsia="Times New Roman"/>
                <w:b/>
                <w:bCs/>
                <w:color w:val="000000"/>
                <w:sz w:val="20"/>
                <w:szCs w:val="20"/>
              </w:rPr>
              <w:t>d</w:t>
            </w:r>
          </w:p>
        </w:tc>
        <w:tc>
          <w:tcPr>
            <w:tcW w:w="1700" w:type="dxa"/>
            <w:tcBorders>
              <w:top w:val="single" w:sz="4" w:space="0" w:color="auto"/>
              <w:left w:val="nil"/>
              <w:bottom w:val="single" w:sz="4" w:space="0" w:color="auto"/>
              <w:right w:val="single" w:sz="4" w:space="0" w:color="auto"/>
            </w:tcBorders>
            <w:shd w:val="clear" w:color="000000" w:fill="D8D8D8"/>
            <w:noWrap/>
            <w:vAlign w:val="bottom"/>
            <w:hideMark/>
          </w:tcPr>
          <w:p w:rsidR="00F573AA" w:rsidRPr="00F573AA" w:rsidRDefault="00F573AA" w:rsidP="00F573AA">
            <w:pPr>
              <w:rPr>
                <w:rFonts w:eastAsia="Times New Roman"/>
                <w:b/>
                <w:bCs/>
                <w:color w:val="000000"/>
                <w:sz w:val="20"/>
                <w:szCs w:val="20"/>
              </w:rPr>
            </w:pPr>
            <w:r w:rsidRPr="00F573AA">
              <w:rPr>
                <w:rFonts w:eastAsia="Times New Roman"/>
                <w:b/>
                <w:bCs/>
                <w:color w:val="000000"/>
                <w:sz w:val="20"/>
                <w:szCs w:val="20"/>
              </w:rPr>
              <w:t>Subject</w:t>
            </w:r>
          </w:p>
        </w:tc>
      </w:tr>
      <w:tr w:rsidR="00F573AA" w:rsidRPr="00F573AA" w:rsidTr="00F573AA">
        <w:trPr>
          <w:trHeight w:val="255"/>
        </w:trPr>
        <w:tc>
          <w:tcPr>
            <w:tcW w:w="4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xml:space="preserve">Farquhars Works 2 Vol.            </w:t>
            </w:r>
          </w:p>
        </w:tc>
        <w:tc>
          <w:tcPr>
            <w:tcW w:w="220" w:type="dxa"/>
            <w:tcBorders>
              <w:top w:val="single" w:sz="4" w:space="0" w:color="auto"/>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single" w:sz="4" w:space="0" w:color="auto"/>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7</w:t>
            </w:r>
          </w:p>
        </w:tc>
        <w:tc>
          <w:tcPr>
            <w:tcW w:w="420" w:type="dxa"/>
            <w:tcBorders>
              <w:top w:val="single" w:sz="4" w:space="0" w:color="auto"/>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Plays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French Plays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Plays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French Plays 5 Vol.</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Plays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Mount for the Plays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Plays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xml:space="preserve">Plays 2 Vol.      </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8</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Plays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Shakespears Plays 7 Vol.</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14</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Plays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Vole French Plays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Plays</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Gays Poems 2 Vol.</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7</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Poetry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Hudibras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3</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9</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Poetry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Popes Dunciad</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Poetry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Virgil</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Poetry</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xml:space="preserve">1 </w:t>
            </w:r>
            <w:r w:rsidRPr="00F573AA">
              <w:rPr>
                <w:rFonts w:eastAsia="Times New Roman"/>
                <w:b/>
                <w:bCs/>
                <w:sz w:val="20"/>
                <w:szCs w:val="20"/>
              </w:rPr>
              <w:t>Quarto</w:t>
            </w:r>
            <w:r w:rsidRPr="00F573AA">
              <w:rPr>
                <w:rFonts w:eastAsia="Times New Roman"/>
                <w:sz w:val="20"/>
                <w:szCs w:val="20"/>
              </w:rPr>
              <w:t xml:space="preserve"> Bible</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17</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Religion</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Gospel Church</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Religion</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Ibbots Sermons</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5</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Religion</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State of the Church</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Religion</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[illegible]  7 Vol one wanting</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14</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Unidentified</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3 Vol. Roman E…..gy</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6</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Unidentified</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Craftsman</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3</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Unidentified</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Gentlemen Instructed</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3</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Unidentified</w:t>
            </w:r>
          </w:p>
        </w:tc>
      </w:tr>
      <w:tr w:rsidR="00F573AA" w:rsidRPr="00F573AA" w:rsidTr="00F573AA">
        <w:trPr>
          <w:trHeight w:val="255"/>
        </w:trPr>
        <w:tc>
          <w:tcPr>
            <w:tcW w:w="4000" w:type="dxa"/>
            <w:tcBorders>
              <w:top w:val="nil"/>
              <w:left w:val="single" w:sz="4" w:space="0" w:color="auto"/>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Kennets Anti</w:t>
            </w:r>
          </w:p>
        </w:tc>
        <w:tc>
          <w:tcPr>
            <w:tcW w:w="2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jc w:val="right"/>
              <w:rPr>
                <w:rFonts w:eastAsia="Times New Roman"/>
                <w:sz w:val="20"/>
                <w:szCs w:val="20"/>
              </w:rPr>
            </w:pPr>
            <w:r w:rsidRPr="00F573AA">
              <w:rPr>
                <w:rFonts w:eastAsia="Times New Roman"/>
                <w:sz w:val="20"/>
                <w:szCs w:val="20"/>
              </w:rPr>
              <w:t>2</w:t>
            </w:r>
          </w:p>
        </w:tc>
        <w:tc>
          <w:tcPr>
            <w:tcW w:w="42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sz w:val="20"/>
                <w:szCs w:val="20"/>
              </w:rPr>
            </w:pPr>
            <w:r w:rsidRPr="00F573AA">
              <w:rPr>
                <w:rFonts w:eastAsia="Times New Roman"/>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F573AA" w:rsidRPr="00F573AA" w:rsidRDefault="00F573AA" w:rsidP="00F573AA">
            <w:pPr>
              <w:rPr>
                <w:rFonts w:eastAsia="Times New Roman"/>
                <w:color w:val="000000"/>
                <w:sz w:val="20"/>
                <w:szCs w:val="20"/>
              </w:rPr>
            </w:pPr>
            <w:r w:rsidRPr="00F573AA">
              <w:rPr>
                <w:rFonts w:eastAsia="Times New Roman"/>
                <w:color w:val="000000"/>
                <w:sz w:val="20"/>
                <w:szCs w:val="20"/>
              </w:rPr>
              <w:t>Unidentified</w:t>
            </w:r>
          </w:p>
        </w:tc>
      </w:tr>
    </w:tbl>
    <w:p w:rsidR="000F7191" w:rsidRDefault="000F7191" w:rsidP="000F7191">
      <w:pPr>
        <w:pStyle w:val="NormalWeb"/>
        <w:spacing w:before="0" w:beforeAutospacing="0" w:after="0" w:afterAutospacing="0"/>
        <w:ind w:firstLine="720"/>
      </w:pPr>
    </w:p>
    <w:p w:rsidR="000F7191" w:rsidRDefault="000F7191" w:rsidP="000F7191">
      <w:pPr>
        <w:pStyle w:val="NormalWeb"/>
        <w:spacing w:before="0" w:beforeAutospacing="0" w:after="0" w:afterAutospacing="0"/>
        <w:ind w:firstLine="720"/>
      </w:pPr>
    </w:p>
    <w:p w:rsidR="000F7191" w:rsidRDefault="000F7191" w:rsidP="000F7191">
      <w:pPr>
        <w:pStyle w:val="NormalWeb"/>
        <w:spacing w:before="0" w:beforeAutospacing="0" w:after="0" w:afterAutospacing="0"/>
        <w:ind w:firstLine="720"/>
      </w:pP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 xml:space="preserve">The consignment system provided the means for Lawrence and George Washington, and others of colonial Virginia’s gentry, to purchase goods in a global market, which appears to have afforded them access to expensive books as well as </w:t>
      </w:r>
      <w:r w:rsidR="00EF424C">
        <w:rPr>
          <w:rFonts w:ascii="Times New Roman" w:hAnsi="Times New Roman"/>
          <w:sz w:val="24"/>
          <w:szCs w:val="24"/>
        </w:rPr>
        <w:t xml:space="preserve">to </w:t>
      </w:r>
      <w:r w:rsidR="00DB0937">
        <w:rPr>
          <w:rFonts w:ascii="Times New Roman" w:hAnsi="Times New Roman"/>
          <w:sz w:val="24"/>
          <w:szCs w:val="24"/>
        </w:rPr>
        <w:t>a wide selection. </w:t>
      </w:r>
      <w:r w:rsidRPr="000F7191">
        <w:rPr>
          <w:rFonts w:ascii="Times New Roman" w:hAnsi="Times New Roman"/>
          <w:sz w:val="24"/>
          <w:szCs w:val="24"/>
        </w:rPr>
        <w:t xml:space="preserve">During the period represented by the invoices and orders, George Washington requested 21 titles, but only 18 of those orders (for an estimated total of 44 books) were fulfilled for a total of nearly £14 (Table 7-19) (Mount Vernon </w:t>
      </w:r>
      <w:r w:rsidR="00DB0937">
        <w:rPr>
          <w:rFonts w:ascii="Times New Roman" w:hAnsi="Times New Roman"/>
          <w:sz w:val="24"/>
          <w:szCs w:val="24"/>
        </w:rPr>
        <w:t>Archaeology Department 2012a). </w:t>
      </w:r>
      <w:r w:rsidRPr="000F7191">
        <w:rPr>
          <w:rFonts w:ascii="Times New Roman" w:hAnsi="Times New Roman"/>
          <w:sz w:val="24"/>
          <w:szCs w:val="24"/>
        </w:rPr>
        <w:t>These books fall into 9 subjects including: agriculture/gardening; animal husbandry; cooking; current events; history/politics; medicine; mili</w:t>
      </w:r>
      <w:r w:rsidR="00DB0937">
        <w:rPr>
          <w:rFonts w:ascii="Times New Roman" w:hAnsi="Times New Roman"/>
          <w:sz w:val="24"/>
          <w:szCs w:val="24"/>
        </w:rPr>
        <w:t>tary; reference; and religion. </w:t>
      </w:r>
      <w:r w:rsidRPr="000F7191">
        <w:rPr>
          <w:rFonts w:ascii="Times New Roman" w:hAnsi="Times New Roman"/>
          <w:sz w:val="24"/>
          <w:szCs w:val="24"/>
        </w:rPr>
        <w:t>Three of these subject categories overlap with Lawrence Washington’s (history/politics, military, and religion) showing the particular interests and personalities of these two brothers. </w:t>
      </w:r>
    </w:p>
    <w:p w:rsidR="000F7191" w:rsidRPr="000F7191" w:rsidRDefault="000F7191" w:rsidP="000F7191">
      <w:pPr>
        <w:rPr>
          <w:rFonts w:eastAsia="Times New Roman"/>
        </w:rPr>
      </w:pPr>
      <w:r w:rsidRPr="000F7191">
        <w:br w:type="page"/>
      </w:r>
    </w:p>
    <w:p w:rsidR="000F7191" w:rsidRPr="000F7191" w:rsidRDefault="000F7191" w:rsidP="000F7191">
      <w:pPr>
        <w:pStyle w:val="NormalWeb"/>
        <w:spacing w:before="0" w:beforeAutospacing="0" w:after="0" w:afterAutospacing="0"/>
        <w:rPr>
          <w:rFonts w:ascii="Times New Roman" w:hAnsi="Times New Roman"/>
          <w:sz w:val="24"/>
          <w:szCs w:val="24"/>
        </w:rPr>
      </w:pPr>
      <w:r w:rsidRPr="000F7191">
        <w:rPr>
          <w:rFonts w:ascii="Times New Roman" w:hAnsi="Times New Roman"/>
          <w:b/>
          <w:sz w:val="24"/>
          <w:szCs w:val="24"/>
        </w:rPr>
        <w:lastRenderedPageBreak/>
        <w:t xml:space="preserve">Table 7-19. </w:t>
      </w:r>
      <w:r w:rsidRPr="000F7191">
        <w:rPr>
          <w:rFonts w:ascii="Times New Roman" w:hAnsi="Times New Roman"/>
          <w:sz w:val="24"/>
          <w:szCs w:val="24"/>
        </w:rPr>
        <w:t xml:space="preserve">George Washington’s charges for books (book size in bold).         </w:t>
      </w:r>
    </w:p>
    <w:p w:rsidR="000F7191" w:rsidRPr="000F7191" w:rsidRDefault="000F7191" w:rsidP="000F7191">
      <w:pPr>
        <w:pStyle w:val="NormalWeb"/>
        <w:spacing w:before="0" w:beforeAutospacing="0" w:after="0" w:afterAutospacing="0"/>
        <w:rPr>
          <w:rFonts w:ascii="Times New Roman" w:hAnsi="Times New Roman"/>
          <w:sz w:val="24"/>
          <w:szCs w:val="24"/>
        </w:rPr>
      </w:pPr>
      <w:r w:rsidRPr="000F7191">
        <w:rPr>
          <w:rFonts w:ascii="Times New Roman" w:hAnsi="Times New Roman"/>
          <w:sz w:val="24"/>
          <w:szCs w:val="24"/>
        </w:rPr>
        <w:t xml:space="preserve">    </w:t>
      </w:r>
    </w:p>
    <w:tbl>
      <w:tblPr>
        <w:tblW w:w="9287" w:type="dxa"/>
        <w:tblInd w:w="91" w:type="dxa"/>
        <w:tblLook w:val="04A0"/>
      </w:tblPr>
      <w:tblGrid>
        <w:gridCol w:w="917"/>
        <w:gridCol w:w="5130"/>
        <w:gridCol w:w="2340"/>
        <w:gridCol w:w="900"/>
      </w:tblGrid>
      <w:tr w:rsidR="000F7191" w:rsidRPr="00872817" w:rsidTr="00E82578">
        <w:trPr>
          <w:trHeight w:val="255"/>
        </w:trPr>
        <w:tc>
          <w:tcPr>
            <w:tcW w:w="917"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Invoice Year</w:t>
            </w:r>
          </w:p>
        </w:tc>
        <w:tc>
          <w:tcPr>
            <w:tcW w:w="5130"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Invoice Description</w:t>
            </w:r>
          </w:p>
        </w:tc>
        <w:tc>
          <w:tcPr>
            <w:tcW w:w="2340"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Subject</w:t>
            </w:r>
          </w:p>
        </w:tc>
        <w:tc>
          <w:tcPr>
            <w:tcW w:w="900"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Cost</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1759</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Lisles Husbandry  2 vols.</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Agriculture/Gardening</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0.10.0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1759</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xml:space="preserve">Langley's Gardg 4to </w:t>
            </w:r>
            <w:r w:rsidRPr="00872817">
              <w:rPr>
                <w:rFonts w:eastAsia="Times New Roman"/>
                <w:b/>
                <w:bCs/>
                <w:color w:val="000000"/>
                <w:sz w:val="20"/>
                <w:szCs w:val="20"/>
              </w:rPr>
              <w:t>[quarto]</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Agriculture/Gardening</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0.15.0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1759</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Home on Agriculture</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Agriculture/Gardening</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0.3.0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1759</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System of Agriculture</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Agriculture/Gardening</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0.3.0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1761</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xml:space="preserve">Hales Compleat Body of Husby 4 Vols. </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Agriculture/Gardening</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1.4.0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1759</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Gibson on Farriery 4to</w:t>
            </w:r>
            <w:r w:rsidRPr="00872817">
              <w:rPr>
                <w:rFonts w:eastAsia="Times New Roman"/>
                <w:b/>
                <w:bCs/>
                <w:color w:val="000000"/>
                <w:sz w:val="20"/>
                <w:szCs w:val="20"/>
              </w:rPr>
              <w:t xml:space="preserve"> [quarto]</w:t>
            </w:r>
            <w:r w:rsidRPr="00872817">
              <w:rPr>
                <w:rFonts w:eastAsia="Times New Roman"/>
                <w:color w:val="000000"/>
                <w:sz w:val="20"/>
                <w:szCs w:val="20"/>
              </w:rPr>
              <w:t xml:space="preserve"> (the only one in London)</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Animal Husbandry</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1.1.0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1771</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Glass's Cookery</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Cooking</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0.5.0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1763</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Dodsleys Annl Register 4 Vols.</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Current Events</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1.4.0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1763</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Smallets History of England 11 Vols in Calf</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History/Politics</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3.3.0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1768</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Beverly's Histy of Virga</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History/Politics</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0.5.0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1771</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Burnes Justice 4 Vol. 8to</w:t>
            </w:r>
            <w:r w:rsidRPr="00872817">
              <w:rPr>
                <w:rFonts w:eastAsia="Times New Roman"/>
                <w:b/>
                <w:bCs/>
                <w:color w:val="000000"/>
                <w:sz w:val="20"/>
                <w:szCs w:val="20"/>
              </w:rPr>
              <w:t xml:space="preserve"> [possibly octavo]</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History/Politics</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1.4.0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1771</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Tissets Practice Physk</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Medicine</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0.7.0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1756</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Blands Military Discipline</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Military</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0.6.0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1766</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Larboratory or School of Arts</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Reference</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1.19.0*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1766</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out of Print Museum Rusticum 33 Nos. bound in 6 Vol.</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Reference</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1.19.0*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1766</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Handmaid to the Arts 2 Vols.</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Reference</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0.12.0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1766</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Gilbert Bishop of Sarums Exposi[tio]n of the 39 Articles</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Religion</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0.6.0</w:t>
            </w:r>
          </w:p>
        </w:tc>
      </w:tr>
      <w:tr w:rsidR="000F7191" w:rsidRPr="00872817" w:rsidTr="00E82578">
        <w:trPr>
          <w:trHeight w:val="25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1771</w:t>
            </w:r>
          </w:p>
        </w:tc>
        <w:tc>
          <w:tcPr>
            <w:tcW w:w="51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xml:space="preserve">18to </w:t>
            </w:r>
            <w:r w:rsidRPr="00872817">
              <w:rPr>
                <w:rFonts w:eastAsia="Times New Roman"/>
                <w:b/>
                <w:bCs/>
                <w:color w:val="000000"/>
                <w:sz w:val="20"/>
                <w:szCs w:val="20"/>
              </w:rPr>
              <w:t>[unknown size]</w:t>
            </w:r>
            <w:r w:rsidRPr="00872817">
              <w:rPr>
                <w:rFonts w:eastAsia="Times New Roman"/>
                <w:color w:val="000000"/>
                <w:sz w:val="20"/>
                <w:szCs w:val="20"/>
              </w:rPr>
              <w:t xml:space="preserve"> Prayer Book Tate Psalms red Morrocco </w:t>
            </w:r>
          </w:p>
        </w:tc>
        <w:tc>
          <w:tcPr>
            <w:tcW w:w="23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Religion</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0.8.0</w:t>
            </w:r>
          </w:p>
        </w:tc>
      </w:tr>
    </w:tbl>
    <w:p w:rsidR="000F7191" w:rsidRPr="000F7191" w:rsidRDefault="000F7191" w:rsidP="000F7191">
      <w:pPr>
        <w:pStyle w:val="NormalWeb"/>
        <w:spacing w:before="0" w:beforeAutospacing="0" w:after="0" w:afterAutospacing="0"/>
        <w:rPr>
          <w:rFonts w:ascii="Times New Roman" w:hAnsi="Times New Roman"/>
          <w:sz w:val="24"/>
          <w:szCs w:val="24"/>
        </w:rPr>
      </w:pPr>
      <w:r w:rsidRPr="000F7191">
        <w:rPr>
          <w:rFonts w:ascii="Times New Roman" w:hAnsi="Times New Roman"/>
          <w:color w:val="000000"/>
          <w:sz w:val="24"/>
          <w:szCs w:val="24"/>
        </w:rPr>
        <w:t>*These two books were invoiced together for a total value of £1.19.0.</w:t>
      </w:r>
    </w:p>
    <w:p w:rsidR="000F7191" w:rsidRPr="000F7191" w:rsidRDefault="000F7191" w:rsidP="000F7191">
      <w:pPr>
        <w:pStyle w:val="NormalWeb"/>
        <w:spacing w:before="0" w:beforeAutospacing="0" w:after="0" w:afterAutospacing="0"/>
        <w:rPr>
          <w:rFonts w:ascii="Times New Roman" w:hAnsi="Times New Roman"/>
          <w:b/>
          <w:sz w:val="24"/>
          <w:szCs w:val="24"/>
        </w:rPr>
      </w:pPr>
    </w:p>
    <w:p w:rsidR="000F7191" w:rsidRPr="000F7191" w:rsidRDefault="000F7191" w:rsidP="000F7191">
      <w:pPr>
        <w:pStyle w:val="NormalWeb"/>
        <w:spacing w:before="0" w:beforeAutospacing="0" w:after="0" w:afterAutospacing="0"/>
        <w:rPr>
          <w:rFonts w:ascii="Times New Roman" w:hAnsi="Times New Roman"/>
          <w:sz w:val="24"/>
          <w:szCs w:val="24"/>
        </w:rPr>
      </w:pPr>
    </w:p>
    <w:p w:rsidR="000F7191" w:rsidRPr="000F7191" w:rsidRDefault="000F7191" w:rsidP="000F7191">
      <w:pPr>
        <w:pStyle w:val="NormalWeb"/>
        <w:spacing w:before="0" w:beforeAutospacing="0" w:after="0" w:afterAutospacing="0"/>
        <w:ind w:firstLine="720"/>
        <w:rPr>
          <w:rFonts w:ascii="Times New Roman" w:hAnsi="Times New Roman"/>
          <w:sz w:val="24"/>
          <w:szCs w:val="24"/>
        </w:rPr>
      </w:pP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The invoices and orders alone do not capture the entirety of George Washingto</w:t>
      </w:r>
      <w:r w:rsidR="00DB0937">
        <w:rPr>
          <w:rFonts w:ascii="Times New Roman" w:hAnsi="Times New Roman"/>
          <w:sz w:val="24"/>
          <w:szCs w:val="24"/>
        </w:rPr>
        <w:t>n’s pre-Revolutionary library. </w:t>
      </w:r>
      <w:r w:rsidRPr="000F7191">
        <w:rPr>
          <w:rFonts w:ascii="Times New Roman" w:hAnsi="Times New Roman"/>
          <w:sz w:val="24"/>
          <w:szCs w:val="24"/>
        </w:rPr>
        <w:t>An extensive list of books was recorded in 1764 to differentiate between and keep track of those titles owned by George Washington and by his new stepson John Parke Custis (Abbo</w:t>
      </w:r>
      <w:r w:rsidR="00DB0937">
        <w:rPr>
          <w:rFonts w:ascii="Times New Roman" w:hAnsi="Times New Roman"/>
          <w:sz w:val="24"/>
          <w:szCs w:val="24"/>
        </w:rPr>
        <w:t>t and Twohig 1990[7]:343-350). </w:t>
      </w:r>
      <w:r w:rsidRPr="000F7191">
        <w:rPr>
          <w:rFonts w:ascii="Times New Roman" w:hAnsi="Times New Roman"/>
          <w:sz w:val="24"/>
          <w:szCs w:val="24"/>
        </w:rPr>
        <w:t>If we add the titles listed in this document owned by Washington to the ones for which he was invoiced, the library grows to 64 titles (for an estimated total of 113 books) on 16 subjects including: agriculture/gardening; animal husbandry; astronomy; biography/memoir; cooking; current events; economics; geography; history/politics; law; literature; medicine; military; po</w:t>
      </w:r>
      <w:r w:rsidR="00DB0937">
        <w:rPr>
          <w:rFonts w:ascii="Times New Roman" w:hAnsi="Times New Roman"/>
          <w:sz w:val="24"/>
          <w:szCs w:val="24"/>
        </w:rPr>
        <w:t>etry; reference; and religion. </w:t>
      </w:r>
      <w:r w:rsidRPr="000F7191">
        <w:rPr>
          <w:rFonts w:ascii="Times New Roman" w:hAnsi="Times New Roman"/>
          <w:sz w:val="24"/>
          <w:szCs w:val="24"/>
        </w:rPr>
        <w:t>How the 46 books not accounted for in the invoices and orders documentation came under George Washin</w:t>
      </w:r>
      <w:r w:rsidR="00DB0937">
        <w:rPr>
          <w:rFonts w:ascii="Times New Roman" w:hAnsi="Times New Roman"/>
          <w:sz w:val="24"/>
          <w:szCs w:val="24"/>
        </w:rPr>
        <w:t>gton’s ownership is not known. </w:t>
      </w:r>
      <w:r w:rsidRPr="000F7191">
        <w:rPr>
          <w:rFonts w:ascii="Times New Roman" w:hAnsi="Times New Roman"/>
          <w:sz w:val="24"/>
          <w:szCs w:val="24"/>
        </w:rPr>
        <w:t>It is possible that some were inher</w:t>
      </w:r>
      <w:r w:rsidR="00DB0937">
        <w:rPr>
          <w:rFonts w:ascii="Times New Roman" w:hAnsi="Times New Roman"/>
          <w:sz w:val="24"/>
          <w:szCs w:val="24"/>
        </w:rPr>
        <w:t>ited from Lawrence Washington.</w:t>
      </w:r>
      <w:r w:rsidRPr="000F7191">
        <w:rPr>
          <w:rFonts w:ascii="Times New Roman" w:hAnsi="Times New Roman"/>
          <w:sz w:val="24"/>
          <w:szCs w:val="24"/>
        </w:rPr>
        <w:t xml:space="preserve"> In fact, five of the books appearing in George Washington’s 1764 list for which we have no </w:t>
      </w:r>
      <w:r w:rsidRPr="000F7191">
        <w:rPr>
          <w:rFonts w:ascii="Times New Roman" w:hAnsi="Times New Roman"/>
          <w:sz w:val="24"/>
          <w:szCs w:val="24"/>
        </w:rPr>
        <w:lastRenderedPageBreak/>
        <w:t xml:space="preserve">invoices were also </w:t>
      </w:r>
      <w:r w:rsidR="00DB0937">
        <w:rPr>
          <w:rFonts w:ascii="Times New Roman" w:hAnsi="Times New Roman"/>
          <w:sz w:val="24"/>
          <w:szCs w:val="24"/>
        </w:rPr>
        <w:t>found in Lawrence’s inventory. </w:t>
      </w:r>
      <w:r w:rsidRPr="000F7191">
        <w:rPr>
          <w:rFonts w:ascii="Times New Roman" w:hAnsi="Times New Roman"/>
          <w:sz w:val="24"/>
          <w:szCs w:val="24"/>
        </w:rPr>
        <w:t>Table A-4 in the Appendix presents a comprehensive list of books known to have been at Mount Vernon before the Revolutionary War.     </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Alexander Henderson stocked a total of 891 books for his customers for a total of £32 falling into only 3 subjects: religion; history; grammar and spelling (Table 7-20) (Mount Vernon Archaeology Departme</w:t>
      </w:r>
      <w:r w:rsidR="00DB0937">
        <w:rPr>
          <w:rFonts w:ascii="Times New Roman" w:hAnsi="Times New Roman"/>
          <w:sz w:val="24"/>
          <w:szCs w:val="24"/>
        </w:rPr>
        <w:t>nt 2012b). </w:t>
      </w:r>
      <w:r w:rsidRPr="000F7191">
        <w:rPr>
          <w:rFonts w:ascii="Times New Roman" w:hAnsi="Times New Roman"/>
          <w:sz w:val="24"/>
          <w:szCs w:val="24"/>
        </w:rPr>
        <w:t>These were not expensive books; on average, Lawrence Washington’s individual book titles were valued 6 times higher than Henderson’s.</w:t>
      </w:r>
      <w:r w:rsidRPr="000F7191">
        <w:rPr>
          <w:rStyle w:val="FootnoteReference"/>
          <w:rFonts w:ascii="Times New Roman" w:hAnsi="Times New Roman"/>
          <w:sz w:val="24"/>
          <w:szCs w:val="24"/>
        </w:rPr>
        <w:footnoteReference w:id="10"/>
      </w:r>
      <w:r w:rsidR="00DB0937">
        <w:rPr>
          <w:rFonts w:ascii="Times New Roman" w:hAnsi="Times New Roman"/>
          <w:sz w:val="24"/>
          <w:szCs w:val="24"/>
        </w:rPr>
        <w:t> </w:t>
      </w:r>
      <w:r w:rsidRPr="000F7191">
        <w:rPr>
          <w:rFonts w:ascii="Times New Roman" w:hAnsi="Times New Roman"/>
          <w:sz w:val="24"/>
          <w:szCs w:val="24"/>
        </w:rPr>
        <w:t>However, the fact that Henderson’s repeatedly ordered books every year except 1764 suggests their popularity and that non-elites valued the information contain</w:t>
      </w:r>
      <w:r w:rsidR="00DB0937">
        <w:rPr>
          <w:rFonts w:ascii="Times New Roman" w:hAnsi="Times New Roman"/>
          <w:sz w:val="24"/>
          <w:szCs w:val="24"/>
        </w:rPr>
        <w:t>ed in these affordable volumes.</w:t>
      </w:r>
      <w:r w:rsidRPr="000F7191">
        <w:rPr>
          <w:rFonts w:ascii="Times New Roman" w:hAnsi="Times New Roman"/>
          <w:sz w:val="24"/>
          <w:szCs w:val="24"/>
        </w:rPr>
        <w:t xml:space="preserve"> In fact, when Henderson opened his doors in 1759, he had nearly 300 books on hand (5 types of books on religion, 3 on grammar and spelling, and 2 on history), anticipating a strong demand in t</w:t>
      </w:r>
      <w:r w:rsidR="00DB0937">
        <w:rPr>
          <w:rFonts w:ascii="Times New Roman" w:hAnsi="Times New Roman"/>
          <w:sz w:val="24"/>
          <w:szCs w:val="24"/>
        </w:rPr>
        <w:t xml:space="preserve">his category of consumer good. </w:t>
      </w:r>
      <w:r w:rsidRPr="000F7191">
        <w:rPr>
          <w:rFonts w:ascii="Times New Roman" w:hAnsi="Times New Roman"/>
          <w:sz w:val="24"/>
          <w:szCs w:val="24"/>
        </w:rPr>
        <w:t>Henderson may have even under-anticipated his consumers’ desire for knowledge as seen in his order of 1760 for another 267 books and more choices wi</w:t>
      </w:r>
      <w:r w:rsidR="00DB0937">
        <w:rPr>
          <w:rFonts w:ascii="Times New Roman" w:hAnsi="Times New Roman"/>
          <w:sz w:val="24"/>
          <w:szCs w:val="24"/>
        </w:rPr>
        <w:t xml:space="preserve">thin the category of religion. </w:t>
      </w:r>
      <w:r w:rsidRPr="000F7191">
        <w:rPr>
          <w:rFonts w:ascii="Times New Roman" w:hAnsi="Times New Roman"/>
          <w:sz w:val="24"/>
          <w:szCs w:val="24"/>
        </w:rPr>
        <w:t>He most commonly ordered his books by the dozen and by subject as oppose</w:t>
      </w:r>
      <w:r w:rsidR="00DB0937">
        <w:rPr>
          <w:rFonts w:ascii="Times New Roman" w:hAnsi="Times New Roman"/>
          <w:sz w:val="24"/>
          <w:szCs w:val="24"/>
        </w:rPr>
        <w:t>d to specific title or author. </w:t>
      </w:r>
      <w:r w:rsidRPr="000F7191">
        <w:rPr>
          <w:rFonts w:ascii="Times New Roman" w:hAnsi="Times New Roman"/>
          <w:sz w:val="24"/>
          <w:szCs w:val="24"/>
        </w:rPr>
        <w:t xml:space="preserve">Henderson did request specific sizes of books, </w:t>
      </w:r>
      <w:r w:rsidR="00DB0937">
        <w:rPr>
          <w:rFonts w:ascii="Times New Roman" w:hAnsi="Times New Roman"/>
          <w:sz w:val="24"/>
          <w:szCs w:val="24"/>
        </w:rPr>
        <w:t>though only on four occasions. </w:t>
      </w:r>
      <w:r w:rsidRPr="000F7191">
        <w:rPr>
          <w:rFonts w:ascii="Times New Roman" w:hAnsi="Times New Roman"/>
          <w:sz w:val="24"/>
          <w:szCs w:val="24"/>
        </w:rPr>
        <w:t>The smallest were octavo (at 6x9 in.), though he also ordered bibles and a history book in folio.</w:t>
      </w:r>
      <w:r w:rsidR="00DB0937">
        <w:rPr>
          <w:rFonts w:ascii="Times New Roman" w:hAnsi="Times New Roman"/>
          <w:sz w:val="24"/>
          <w:szCs w:val="24"/>
        </w:rPr>
        <w:t> </w:t>
      </w:r>
      <w:r w:rsidRPr="000F7191">
        <w:rPr>
          <w:rFonts w:ascii="Times New Roman" w:hAnsi="Times New Roman"/>
          <w:sz w:val="24"/>
          <w:szCs w:val="24"/>
        </w:rPr>
        <w:t xml:space="preserve">Two of these orders for books in specific sizes represent exceptions </w:t>
      </w:r>
      <w:r w:rsidR="00DB0937">
        <w:rPr>
          <w:rFonts w:ascii="Times New Roman" w:hAnsi="Times New Roman"/>
          <w:sz w:val="24"/>
          <w:szCs w:val="24"/>
        </w:rPr>
        <w:t>to the normal store operations.</w:t>
      </w:r>
      <w:r w:rsidRPr="000F7191">
        <w:rPr>
          <w:rFonts w:ascii="Times New Roman" w:hAnsi="Times New Roman"/>
          <w:sz w:val="24"/>
          <w:szCs w:val="24"/>
        </w:rPr>
        <w:t xml:space="preserve"> In 1760, Henderson placed an order for a “Folio Bible with Apachrypha good large print &amp; good Paper” and “Josephees’s</w:t>
      </w:r>
      <w:r w:rsidR="00DB0937">
        <w:rPr>
          <w:rFonts w:ascii="Times New Roman" w:hAnsi="Times New Roman"/>
          <w:sz w:val="24"/>
          <w:szCs w:val="24"/>
        </w:rPr>
        <w:t xml:space="preserve"> History in Folio good print.” </w:t>
      </w:r>
      <w:r w:rsidRPr="000F7191">
        <w:rPr>
          <w:rFonts w:ascii="Times New Roman" w:hAnsi="Times New Roman"/>
          <w:sz w:val="24"/>
          <w:szCs w:val="24"/>
        </w:rPr>
        <w:t xml:space="preserve">The comment next to these two books reads, “I am desired to order these for a customer” (Hamrick and Hamrick 1999:48; Mount Vernon </w:t>
      </w:r>
      <w:r w:rsidR="00DB0937">
        <w:rPr>
          <w:rFonts w:ascii="Times New Roman" w:hAnsi="Times New Roman"/>
          <w:sz w:val="24"/>
          <w:szCs w:val="24"/>
        </w:rPr>
        <w:t>Archaeology Department 2012b). </w:t>
      </w:r>
      <w:r w:rsidRPr="000F7191">
        <w:rPr>
          <w:rFonts w:ascii="Times New Roman" w:hAnsi="Times New Roman"/>
          <w:sz w:val="24"/>
          <w:szCs w:val="24"/>
        </w:rPr>
        <w:t xml:space="preserve">While we do not know the identity of the consumer, presumably they were wealthy enough to afford the most costly books (at nearly </w:t>
      </w:r>
      <w:r w:rsidRPr="000F7191">
        <w:rPr>
          <w:rFonts w:ascii="Times New Roman" w:hAnsi="Times New Roman"/>
          <w:sz w:val="24"/>
          <w:szCs w:val="24"/>
        </w:rPr>
        <w:lastRenderedPageBreak/>
        <w:t>£2.0.0 each</w:t>
      </w:r>
      <w:r w:rsidR="00DB0937">
        <w:rPr>
          <w:rFonts w:ascii="Times New Roman" w:hAnsi="Times New Roman"/>
          <w:sz w:val="24"/>
          <w:szCs w:val="24"/>
        </w:rPr>
        <w:t>) that Henderson ever ordered. </w:t>
      </w:r>
      <w:r w:rsidRPr="000F7191">
        <w:rPr>
          <w:rFonts w:ascii="Times New Roman" w:hAnsi="Times New Roman"/>
          <w:sz w:val="24"/>
          <w:szCs w:val="24"/>
        </w:rPr>
        <w:t xml:space="preserve">With the exception of an order of four dozen spelling books in 1763, these single books were individually more expensive than </w:t>
      </w:r>
      <w:r w:rsidR="00DB0937">
        <w:rPr>
          <w:rFonts w:ascii="Times New Roman" w:hAnsi="Times New Roman"/>
          <w:sz w:val="24"/>
          <w:szCs w:val="24"/>
        </w:rPr>
        <w:t>the most expensive bulk order. </w:t>
      </w:r>
      <w:r w:rsidRPr="000F7191">
        <w:rPr>
          <w:rFonts w:ascii="Times New Roman" w:hAnsi="Times New Roman"/>
          <w:sz w:val="24"/>
          <w:szCs w:val="24"/>
        </w:rPr>
        <w:t xml:space="preserve">The only other time that Henderson made special orders of this nature was for guns (Mount Vernon </w:t>
      </w:r>
      <w:r w:rsidR="00DB0937">
        <w:rPr>
          <w:rFonts w:ascii="Times New Roman" w:hAnsi="Times New Roman"/>
          <w:sz w:val="24"/>
          <w:szCs w:val="24"/>
        </w:rPr>
        <w:t>Archaeology Department 2012b). </w:t>
      </w:r>
      <w:r w:rsidRPr="000F7191">
        <w:rPr>
          <w:rFonts w:ascii="Times New Roman" w:hAnsi="Times New Roman"/>
          <w:sz w:val="24"/>
          <w:szCs w:val="24"/>
        </w:rPr>
        <w:t>These two comments suggest that while Henderson generally catered to small and middling planters, tradesmen, and enslaved individuals, customers of means could use their local merchant as a personal factor on occasion.</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The majority of Henderson’s book inventory (by value) was on the subject of religion at nearly 60 percent, followed by grammar and spelling at 24 perce</w:t>
      </w:r>
      <w:r w:rsidR="00DB0937">
        <w:rPr>
          <w:rFonts w:ascii="Times New Roman" w:hAnsi="Times New Roman"/>
          <w:sz w:val="24"/>
          <w:szCs w:val="24"/>
        </w:rPr>
        <w:t>nt, and history at 17 percent. </w:t>
      </w:r>
      <w:r w:rsidRPr="000F7191">
        <w:rPr>
          <w:rFonts w:ascii="Times New Roman" w:hAnsi="Times New Roman"/>
          <w:sz w:val="24"/>
          <w:szCs w:val="24"/>
        </w:rPr>
        <w:t>In actuality, the proportion of books by value represented by religi</w:t>
      </w:r>
      <w:r w:rsidR="00DB0937">
        <w:rPr>
          <w:rFonts w:ascii="Times New Roman" w:hAnsi="Times New Roman"/>
          <w:sz w:val="24"/>
          <w:szCs w:val="24"/>
        </w:rPr>
        <w:t>on was higher (when recorded). </w:t>
      </w:r>
      <w:r w:rsidRPr="000F7191">
        <w:rPr>
          <w:rFonts w:ascii="Times New Roman" w:hAnsi="Times New Roman"/>
          <w:sz w:val="24"/>
          <w:szCs w:val="24"/>
        </w:rPr>
        <w:t>When analyzing Henderson’s book inventory by counts of books, most (44 percent) fell into the subject of grammar and spelling followed by religion (41 percent</w:t>
      </w:r>
      <w:r w:rsidR="00DB0937">
        <w:rPr>
          <w:rFonts w:ascii="Times New Roman" w:hAnsi="Times New Roman"/>
          <w:sz w:val="24"/>
          <w:szCs w:val="24"/>
        </w:rPr>
        <w:t>) and history (15 percent). </w:t>
      </w:r>
      <w:r w:rsidRPr="000F7191">
        <w:rPr>
          <w:rFonts w:ascii="Times New Roman" w:hAnsi="Times New Roman"/>
          <w:sz w:val="24"/>
          <w:szCs w:val="24"/>
        </w:rPr>
        <w:t>In other words, the religious books were valued more highly but probably purchased less frequently than grammar and spelling books.</w:t>
      </w:r>
    </w:p>
    <w:p w:rsidR="000F7191" w:rsidRPr="000F7191" w:rsidRDefault="000F7191" w:rsidP="000F7191">
      <w:pPr>
        <w:pStyle w:val="NormalWeb"/>
        <w:spacing w:before="0" w:beforeAutospacing="0" w:after="0" w:afterAutospacing="0" w:line="480" w:lineRule="auto"/>
        <w:rPr>
          <w:rFonts w:ascii="Times New Roman" w:hAnsi="Times New Roman"/>
          <w:sz w:val="24"/>
          <w:szCs w:val="24"/>
        </w:rPr>
      </w:pPr>
      <w:r w:rsidRPr="000F7191">
        <w:rPr>
          <w:rFonts w:ascii="Times New Roman" w:hAnsi="Times New Roman"/>
          <w:sz w:val="24"/>
          <w:szCs w:val="24"/>
        </w:rPr>
        <w:t>  </w:t>
      </w:r>
    </w:p>
    <w:p w:rsidR="000F7191" w:rsidRPr="000F7191" w:rsidRDefault="000F7191" w:rsidP="000F7191">
      <w:pPr>
        <w:pStyle w:val="NormalWeb"/>
        <w:spacing w:before="0" w:beforeAutospacing="0" w:after="0" w:afterAutospacing="0" w:line="480" w:lineRule="auto"/>
        <w:rPr>
          <w:rFonts w:ascii="Times New Roman" w:hAnsi="Times New Roman"/>
          <w:sz w:val="24"/>
          <w:szCs w:val="24"/>
        </w:rPr>
      </w:pPr>
    </w:p>
    <w:p w:rsidR="000F7191" w:rsidRPr="000F7191" w:rsidRDefault="000F7191" w:rsidP="000F7191">
      <w:pPr>
        <w:rPr>
          <w:rFonts w:eastAsia="Times New Roman"/>
          <w:b/>
        </w:rPr>
      </w:pPr>
      <w:r w:rsidRPr="000F7191">
        <w:rPr>
          <w:b/>
        </w:rPr>
        <w:br w:type="page"/>
      </w:r>
    </w:p>
    <w:p w:rsidR="000F7191" w:rsidRDefault="000F7191" w:rsidP="000F7191">
      <w:pPr>
        <w:pStyle w:val="NormalWeb"/>
        <w:spacing w:before="0" w:beforeAutospacing="0" w:after="0" w:afterAutospacing="0" w:line="480" w:lineRule="auto"/>
      </w:pPr>
      <w:r w:rsidRPr="000F7191">
        <w:rPr>
          <w:rFonts w:ascii="Times New Roman" w:hAnsi="Times New Roman"/>
          <w:b/>
          <w:sz w:val="24"/>
          <w:szCs w:val="24"/>
        </w:rPr>
        <w:lastRenderedPageBreak/>
        <w:t xml:space="preserve">Table 7-20. </w:t>
      </w:r>
      <w:r w:rsidRPr="000F7191">
        <w:rPr>
          <w:rFonts w:ascii="Times New Roman" w:hAnsi="Times New Roman"/>
          <w:sz w:val="24"/>
          <w:szCs w:val="24"/>
        </w:rPr>
        <w:t>Books stocked by Alexander Henderson (book size in bold).</w:t>
      </w:r>
      <w:r w:rsidRPr="000F7191">
        <w:rPr>
          <w:rFonts w:ascii="Times New Roman" w:hAnsi="Times New Roman"/>
          <w:b/>
          <w:sz w:val="24"/>
          <w:szCs w:val="24"/>
        </w:rPr>
        <w:t xml:space="preserve">                  </w:t>
      </w:r>
      <w:r w:rsidRPr="000F7191">
        <w:rPr>
          <w:rFonts w:ascii="Times New Roman" w:hAnsi="Times New Roman"/>
          <w:sz w:val="24"/>
          <w:szCs w:val="24"/>
        </w:rPr>
        <w:t xml:space="preserve">    </w:t>
      </w:r>
    </w:p>
    <w:tbl>
      <w:tblPr>
        <w:tblW w:w="8220" w:type="dxa"/>
        <w:tblInd w:w="91" w:type="dxa"/>
        <w:tblLook w:val="04A0"/>
      </w:tblPr>
      <w:tblGrid>
        <w:gridCol w:w="638"/>
        <w:gridCol w:w="983"/>
        <w:gridCol w:w="3511"/>
        <w:gridCol w:w="2028"/>
        <w:gridCol w:w="316"/>
        <w:gridCol w:w="416"/>
        <w:gridCol w:w="328"/>
      </w:tblGrid>
      <w:tr w:rsidR="000F7191" w:rsidRPr="00872817" w:rsidTr="00E82578">
        <w:trPr>
          <w:trHeight w:val="255"/>
        </w:trPr>
        <w:tc>
          <w:tcPr>
            <w:tcW w:w="54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191" w:rsidRPr="00872817" w:rsidRDefault="000F7191" w:rsidP="00E82578">
            <w:pPr>
              <w:rPr>
                <w:rFonts w:eastAsia="Times New Roman"/>
                <w:b/>
                <w:bCs/>
                <w:sz w:val="20"/>
                <w:szCs w:val="20"/>
              </w:rPr>
            </w:pPr>
            <w:r w:rsidRPr="00872817">
              <w:rPr>
                <w:rFonts w:eastAsia="Times New Roman"/>
                <w:b/>
                <w:bCs/>
                <w:sz w:val="20"/>
                <w:szCs w:val="20"/>
              </w:rPr>
              <w:t>Year</w:t>
            </w:r>
          </w:p>
        </w:tc>
        <w:tc>
          <w:tcPr>
            <w:tcW w:w="900"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872817" w:rsidRDefault="000F7191" w:rsidP="00E82578">
            <w:pPr>
              <w:rPr>
                <w:rFonts w:eastAsia="Times New Roman"/>
                <w:b/>
                <w:bCs/>
                <w:sz w:val="20"/>
                <w:szCs w:val="20"/>
              </w:rPr>
            </w:pPr>
            <w:r w:rsidRPr="00872817">
              <w:rPr>
                <w:rFonts w:eastAsia="Times New Roman"/>
                <w:b/>
                <w:bCs/>
                <w:sz w:val="20"/>
                <w:szCs w:val="20"/>
              </w:rPr>
              <w:t>Quantity</w:t>
            </w:r>
          </w:p>
        </w:tc>
        <w:tc>
          <w:tcPr>
            <w:tcW w:w="3880" w:type="dxa"/>
            <w:tcBorders>
              <w:top w:val="single" w:sz="4" w:space="0" w:color="auto"/>
              <w:left w:val="nil"/>
              <w:bottom w:val="single" w:sz="4" w:space="0" w:color="auto"/>
              <w:right w:val="single" w:sz="4" w:space="0" w:color="auto"/>
            </w:tcBorders>
            <w:shd w:val="clear" w:color="000000" w:fill="BFBFBF"/>
            <w:vAlign w:val="bottom"/>
            <w:hideMark/>
          </w:tcPr>
          <w:p w:rsidR="000F7191" w:rsidRPr="00872817" w:rsidRDefault="000F7191" w:rsidP="00E82578">
            <w:pPr>
              <w:rPr>
                <w:rFonts w:eastAsia="Times New Roman"/>
                <w:b/>
                <w:bCs/>
                <w:sz w:val="20"/>
                <w:szCs w:val="20"/>
              </w:rPr>
            </w:pPr>
            <w:r w:rsidRPr="00872817">
              <w:rPr>
                <w:rFonts w:eastAsia="Times New Roman"/>
                <w:b/>
                <w:bCs/>
                <w:sz w:val="20"/>
                <w:szCs w:val="20"/>
              </w:rPr>
              <w:t>Store Inventory Description</w:t>
            </w:r>
          </w:p>
        </w:tc>
        <w:tc>
          <w:tcPr>
            <w:tcW w:w="2080" w:type="dxa"/>
            <w:tcBorders>
              <w:top w:val="single" w:sz="4" w:space="0" w:color="auto"/>
              <w:left w:val="nil"/>
              <w:bottom w:val="single" w:sz="4" w:space="0" w:color="auto"/>
              <w:right w:val="single" w:sz="4" w:space="0" w:color="auto"/>
            </w:tcBorders>
            <w:shd w:val="clear" w:color="000000" w:fill="BFBFBF"/>
            <w:vAlign w:val="bottom"/>
            <w:hideMark/>
          </w:tcPr>
          <w:p w:rsidR="000F7191" w:rsidRPr="00872817" w:rsidRDefault="000F7191" w:rsidP="00E82578">
            <w:pPr>
              <w:rPr>
                <w:rFonts w:eastAsia="Times New Roman"/>
                <w:b/>
                <w:bCs/>
                <w:sz w:val="20"/>
                <w:szCs w:val="20"/>
              </w:rPr>
            </w:pPr>
            <w:r w:rsidRPr="00872817">
              <w:rPr>
                <w:rFonts w:eastAsia="Times New Roman"/>
                <w:b/>
                <w:bCs/>
                <w:sz w:val="20"/>
                <w:szCs w:val="20"/>
              </w:rPr>
              <w:t>Subject</w:t>
            </w:r>
          </w:p>
        </w:tc>
        <w:tc>
          <w:tcPr>
            <w:tcW w:w="280"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872817" w:rsidRDefault="000F7191" w:rsidP="00E82578">
            <w:pPr>
              <w:rPr>
                <w:rFonts w:eastAsia="Times New Roman"/>
                <w:b/>
                <w:bCs/>
                <w:sz w:val="20"/>
                <w:szCs w:val="20"/>
              </w:rPr>
            </w:pPr>
            <w:r w:rsidRPr="00872817">
              <w:rPr>
                <w:rFonts w:eastAsia="Times New Roman"/>
                <w:b/>
                <w:bCs/>
                <w:sz w:val="20"/>
                <w:szCs w:val="20"/>
              </w:rPr>
              <w:t xml:space="preserve">£ </w:t>
            </w:r>
          </w:p>
        </w:tc>
        <w:tc>
          <w:tcPr>
            <w:tcW w:w="320"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872817" w:rsidRDefault="000F7191" w:rsidP="00E82578">
            <w:pPr>
              <w:rPr>
                <w:rFonts w:eastAsia="Times New Roman"/>
                <w:b/>
                <w:bCs/>
                <w:sz w:val="20"/>
                <w:szCs w:val="20"/>
              </w:rPr>
            </w:pPr>
            <w:r w:rsidRPr="00872817">
              <w:rPr>
                <w:rFonts w:eastAsia="Times New Roman"/>
                <w:b/>
                <w:bCs/>
                <w:sz w:val="20"/>
                <w:szCs w:val="20"/>
              </w:rPr>
              <w:t>s</w:t>
            </w:r>
          </w:p>
        </w:tc>
        <w:tc>
          <w:tcPr>
            <w:tcW w:w="220"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872817" w:rsidRDefault="000F7191" w:rsidP="00E82578">
            <w:pPr>
              <w:rPr>
                <w:rFonts w:eastAsia="Times New Roman"/>
                <w:b/>
                <w:bCs/>
                <w:sz w:val="20"/>
                <w:szCs w:val="20"/>
              </w:rPr>
            </w:pPr>
            <w:r w:rsidRPr="00872817">
              <w:rPr>
                <w:rFonts w:eastAsia="Times New Roman"/>
                <w:b/>
                <w:bCs/>
                <w:sz w:val="20"/>
                <w:szCs w:val="20"/>
              </w:rPr>
              <w:t>d</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1759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24</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horn Books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Grammar/Spelling</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1759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72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Royal Primers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Grammar/Spelling</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15</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1759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Spelling Books (Dyckes)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Grammar/Spelling</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10</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1759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Dutys of Man</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History</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10</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1759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48</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 xml:space="preserve"> Historys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History</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4</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1759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Testaments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6</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6</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1759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Plain prayer books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15</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1759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Psalters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18</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1759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Common Bibles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19</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1759</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Gilt prayer books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24</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horn Books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Grammar/Spelling</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4</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72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Primers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Grammar/Spelling</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15</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Dylches Spelling Books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Grammar/Spelling</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7</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Dutys of Man</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History</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10</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 xml:space="preserve">Josephees's History in </w:t>
            </w:r>
            <w:r w:rsidRPr="00872817">
              <w:rPr>
                <w:rFonts w:eastAsia="Times New Roman"/>
                <w:b/>
                <w:bCs/>
                <w:sz w:val="20"/>
                <w:szCs w:val="20"/>
              </w:rPr>
              <w:t>Folio</w:t>
            </w:r>
            <w:r w:rsidRPr="00872817">
              <w:rPr>
                <w:rFonts w:eastAsia="Times New Roman"/>
                <w:sz w:val="20"/>
                <w:szCs w:val="20"/>
              </w:rPr>
              <w:t xml:space="preserve"> good print</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History</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15</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plain prayer Books in twelves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15</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Psalters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16</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6</w:t>
            </w:r>
          </w:p>
        </w:tc>
      </w:tr>
      <w:tr w:rsidR="000F7191" w:rsidRPr="00872817" w:rsidTr="00E82578">
        <w:trPr>
          <w:trHeight w:val="51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24</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Bibles good print &amp; paper Neatly bound without Psalms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 xml:space="preserve">Neat prayer Books in </w:t>
            </w:r>
            <w:r w:rsidRPr="00872817">
              <w:rPr>
                <w:rFonts w:eastAsia="Times New Roman"/>
                <w:b/>
                <w:bCs/>
                <w:sz w:val="20"/>
                <w:szCs w:val="20"/>
              </w:rPr>
              <w:t>Octavo</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18</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Testaments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18</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Bible without Psalms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18</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Gilt prayer Books in twelves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6</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r>
      <w:tr w:rsidR="000F7191" w:rsidRPr="00872817" w:rsidTr="00E82578">
        <w:trPr>
          <w:trHeight w:val="51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1760</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b/>
                <w:bCs/>
                <w:sz w:val="20"/>
                <w:szCs w:val="20"/>
              </w:rPr>
              <w:t>Folio</w:t>
            </w:r>
            <w:r w:rsidRPr="00872817">
              <w:rPr>
                <w:rFonts w:eastAsia="Times New Roman"/>
                <w:sz w:val="20"/>
                <w:szCs w:val="20"/>
              </w:rPr>
              <w:t xml:space="preserve"> Bible with Apachrypha good large print &amp; good Paper</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15</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1761</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Common Bibles w'tout Psalms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19</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1762</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24</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Spelling Books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Grammar/Spelling</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r>
      <w:tr w:rsidR="000F7191" w:rsidRPr="00872817" w:rsidTr="00E82578">
        <w:trPr>
          <w:trHeight w:val="51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1762</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 xml:space="preserve">Bibles in </w:t>
            </w:r>
            <w:r w:rsidRPr="00872817">
              <w:rPr>
                <w:rFonts w:eastAsia="Times New Roman"/>
                <w:b/>
                <w:bCs/>
                <w:sz w:val="20"/>
                <w:szCs w:val="20"/>
              </w:rPr>
              <w:t>Quarto</w:t>
            </w:r>
            <w:r w:rsidRPr="00872817">
              <w:rPr>
                <w:rFonts w:eastAsia="Times New Roman"/>
                <w:sz w:val="20"/>
                <w:szCs w:val="20"/>
              </w:rPr>
              <w:t xml:space="preserve"> with Apochrypha &amp; books of Common Prayer</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1762</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24</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Psalters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1762</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Testaments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1762</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Common Bibles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19</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1763</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24</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horn Books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Grammar/Spelling</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1763</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36</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Common Primmers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Grammar/Spelling</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7</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6</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1763</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48</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Spelling Books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Grammar/Spelling</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16</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1763</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72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Common Historys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History</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10</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1763</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24</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Testaments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14</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1763</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Bibles without Psalms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19</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1765</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common prayer Books</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15</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r w:rsidR="000F7191" w:rsidRPr="00872817" w:rsidTr="00E82578">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1765</w:t>
            </w:r>
          </w:p>
        </w:tc>
        <w:tc>
          <w:tcPr>
            <w:tcW w:w="90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12</w:t>
            </w:r>
          </w:p>
        </w:tc>
        <w:tc>
          <w:tcPr>
            <w:tcW w:w="38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gilt prayer Books large</w:t>
            </w:r>
          </w:p>
        </w:tc>
        <w:tc>
          <w:tcPr>
            <w:tcW w:w="2080" w:type="dxa"/>
            <w:tcBorders>
              <w:top w:val="nil"/>
              <w:left w:val="nil"/>
              <w:bottom w:val="single" w:sz="4" w:space="0" w:color="auto"/>
              <w:right w:val="single" w:sz="4" w:space="0" w:color="auto"/>
            </w:tcBorders>
            <w:shd w:val="clear" w:color="auto" w:fill="auto"/>
            <w:vAlign w:val="bottom"/>
            <w:hideMark/>
          </w:tcPr>
          <w:p w:rsidR="000F7191" w:rsidRPr="00872817" w:rsidRDefault="000F7191" w:rsidP="00E82578">
            <w:pPr>
              <w:rPr>
                <w:rFonts w:eastAsia="Times New Roman"/>
                <w:sz w:val="20"/>
                <w:szCs w:val="20"/>
              </w:rPr>
            </w:pPr>
            <w:r w:rsidRPr="00872817">
              <w:rPr>
                <w:rFonts w:eastAsia="Times New Roman"/>
                <w:sz w:val="20"/>
                <w:szCs w:val="20"/>
              </w:rPr>
              <w:t>Religion</w:t>
            </w:r>
          </w:p>
        </w:tc>
        <w:tc>
          <w:tcPr>
            <w:tcW w:w="2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3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4</w:t>
            </w:r>
          </w:p>
        </w:tc>
        <w:tc>
          <w:tcPr>
            <w:tcW w:w="22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w:t>
            </w:r>
          </w:p>
        </w:tc>
      </w:tr>
    </w:tbl>
    <w:p w:rsidR="000F7191" w:rsidRDefault="000F7191" w:rsidP="000F7191">
      <w:pPr>
        <w:pStyle w:val="NormalWeb"/>
        <w:spacing w:before="0" w:beforeAutospacing="0" w:after="0" w:afterAutospacing="0" w:line="480" w:lineRule="auto"/>
        <w:ind w:firstLine="720"/>
        <w:rPr>
          <w:b/>
        </w:rPr>
      </w:pPr>
    </w:p>
    <w:p w:rsidR="000F7191" w:rsidRDefault="000F7191" w:rsidP="000F7191">
      <w:pPr>
        <w:rPr>
          <w:rFonts w:eastAsia="Times New Roman"/>
        </w:rPr>
      </w:pPr>
      <w:r>
        <w:br w:type="page"/>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lastRenderedPageBreak/>
        <w:t>It appears that Henderson’s limited selection, especially when compared to the offerings available through the c</w:t>
      </w:r>
      <w:r w:rsidR="00DB0937">
        <w:rPr>
          <w:rFonts w:ascii="Times New Roman" w:hAnsi="Times New Roman"/>
          <w:sz w:val="24"/>
          <w:szCs w:val="24"/>
        </w:rPr>
        <w:t>onsignment system, was common. </w:t>
      </w:r>
      <w:r w:rsidRPr="000F7191">
        <w:rPr>
          <w:rFonts w:ascii="Times New Roman" w:hAnsi="Times New Roman"/>
          <w:sz w:val="24"/>
          <w:szCs w:val="24"/>
        </w:rPr>
        <w:t>Historians note, “Other Virginia merchants sold books in their stores, but the number and variety of titles they had on hand were always small” (Stiv</w:t>
      </w:r>
      <w:r w:rsidR="00DB0937">
        <w:rPr>
          <w:rFonts w:ascii="Times New Roman" w:hAnsi="Times New Roman"/>
          <w:sz w:val="24"/>
          <w:szCs w:val="24"/>
        </w:rPr>
        <w:t>erson and Stiverson 1983:141). </w:t>
      </w:r>
      <w:r w:rsidRPr="000F7191">
        <w:rPr>
          <w:rFonts w:ascii="Times New Roman" w:hAnsi="Times New Roman"/>
          <w:sz w:val="24"/>
          <w:szCs w:val="24"/>
        </w:rPr>
        <w:t>The issues of access, desire, and consumer motivations raised by this one category o</w:t>
      </w:r>
      <w:r w:rsidR="00DB0937">
        <w:rPr>
          <w:rFonts w:ascii="Times New Roman" w:hAnsi="Times New Roman"/>
          <w:sz w:val="24"/>
          <w:szCs w:val="24"/>
        </w:rPr>
        <w:t xml:space="preserve">f goods are decidedly complex. </w:t>
      </w:r>
      <w:r w:rsidRPr="000F7191">
        <w:rPr>
          <w:rFonts w:ascii="Times New Roman" w:hAnsi="Times New Roman"/>
          <w:sz w:val="24"/>
          <w:szCs w:val="24"/>
        </w:rPr>
        <w:t>The motivations on the part of the elite in their book-buying habits, I believe, are clear – patrons of the consignment system like George and Lawrence Washington benefitted from the unlimited access to knowledge imparted via printed texts th</w:t>
      </w:r>
      <w:r w:rsidR="00DB0937">
        <w:rPr>
          <w:rFonts w:ascii="Times New Roman" w:hAnsi="Times New Roman"/>
          <w:sz w:val="24"/>
          <w:szCs w:val="24"/>
        </w:rPr>
        <w:t xml:space="preserve">at their wealth afforded them. </w:t>
      </w:r>
      <w:r w:rsidRPr="000F7191">
        <w:rPr>
          <w:rFonts w:ascii="Times New Roman" w:hAnsi="Times New Roman"/>
          <w:sz w:val="24"/>
          <w:szCs w:val="24"/>
        </w:rPr>
        <w:t xml:space="preserve">They were familiar with the sonnets of Shakespeare, referenced advice on gardening and farming in Batty Langley’s </w:t>
      </w:r>
      <w:r w:rsidRPr="000F7191">
        <w:rPr>
          <w:rFonts w:ascii="Times New Roman" w:hAnsi="Times New Roman"/>
          <w:i/>
          <w:sz w:val="24"/>
          <w:szCs w:val="24"/>
        </w:rPr>
        <w:t>New Principles of Gardening</w:t>
      </w:r>
      <w:r w:rsidRPr="000F7191">
        <w:rPr>
          <w:rFonts w:ascii="Times New Roman" w:hAnsi="Times New Roman"/>
          <w:sz w:val="24"/>
          <w:szCs w:val="24"/>
        </w:rPr>
        <w:t xml:space="preserve">, and got lost in the adventures of Don Quixote, all the while building cultural bridges back to their peers in England who were assuredly reading the same texts and erecting information barriers around their genteel subculture (Douglas and Ishwerood 1979; McCracken 1988).  </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 xml:space="preserve">The question, then, arises: when non-elites visited Alexander Henderson’s store, were they disappointed by the limited and standard books available </w:t>
      </w:r>
      <w:r w:rsidR="00DB0937">
        <w:rPr>
          <w:rFonts w:ascii="Times New Roman" w:hAnsi="Times New Roman"/>
          <w:sz w:val="24"/>
          <w:szCs w:val="24"/>
        </w:rPr>
        <w:t xml:space="preserve">on his shelves? </w:t>
      </w:r>
      <w:r w:rsidRPr="000F7191">
        <w:rPr>
          <w:rFonts w:ascii="Times New Roman" w:hAnsi="Times New Roman"/>
          <w:sz w:val="24"/>
          <w:szCs w:val="24"/>
        </w:rPr>
        <w:t>Did they desire to read about the travels and travails of a chivalrous</w:t>
      </w:r>
      <w:r w:rsidR="00DB0937">
        <w:rPr>
          <w:rFonts w:ascii="Times New Roman" w:hAnsi="Times New Roman"/>
          <w:sz w:val="24"/>
          <w:szCs w:val="24"/>
        </w:rPr>
        <w:t xml:space="preserve"> Spaniard or a besotted Romeo? </w:t>
      </w:r>
      <w:r w:rsidRPr="000F7191">
        <w:rPr>
          <w:rFonts w:ascii="Times New Roman" w:hAnsi="Times New Roman"/>
          <w:sz w:val="24"/>
          <w:szCs w:val="24"/>
        </w:rPr>
        <w:t>Or did they desire to take their amusement in other forms of entertainment and esca</w:t>
      </w:r>
      <w:r w:rsidR="00DB0937">
        <w:rPr>
          <w:rFonts w:ascii="Times New Roman" w:hAnsi="Times New Roman"/>
          <w:sz w:val="24"/>
          <w:szCs w:val="24"/>
        </w:rPr>
        <w:t xml:space="preserve">pe not captured in fine print? </w:t>
      </w:r>
      <w:r w:rsidRPr="000F7191">
        <w:rPr>
          <w:rFonts w:ascii="Times New Roman" w:hAnsi="Times New Roman"/>
          <w:sz w:val="24"/>
          <w:szCs w:val="24"/>
        </w:rPr>
        <w:t xml:space="preserve">Here is where we can only speculate – that merchants like Henderson stocked the books most likely to sell and that non-elites seemed satisfied with the types he provided (or at least complaints about books did not register in Henderson’s correspondence back to John Glassford). Certainly enslaved individuals assigned to the duties of housekeeping in the Washingtons’ study were only too aware that a universe of books existed beyond the common bible in languages that they may not have even recognized, but perhaps their consumer needs were met by what they </w:t>
      </w:r>
      <w:r w:rsidRPr="000F7191">
        <w:rPr>
          <w:rFonts w:ascii="Times New Roman" w:hAnsi="Times New Roman"/>
          <w:sz w:val="24"/>
          <w:szCs w:val="24"/>
        </w:rPr>
        <w:lastRenderedPageBreak/>
        <w:t xml:space="preserve">could buy affordably </w:t>
      </w:r>
      <w:r w:rsidR="00DB0937">
        <w:rPr>
          <w:rFonts w:ascii="Times New Roman" w:hAnsi="Times New Roman"/>
          <w:sz w:val="24"/>
          <w:szCs w:val="24"/>
        </w:rPr>
        <w:t xml:space="preserve">and easily at the local store. </w:t>
      </w:r>
      <w:r w:rsidRPr="000F7191">
        <w:rPr>
          <w:rFonts w:ascii="Times New Roman" w:hAnsi="Times New Roman"/>
          <w:sz w:val="24"/>
          <w:szCs w:val="24"/>
        </w:rPr>
        <w:t>If motivation can be read through demand, it appears that non-elites sought mastery of the written word in an attempt to bridge the gap between socio-economic groups and perhaps even increase oppo</w:t>
      </w:r>
      <w:r w:rsidR="00DB0937">
        <w:rPr>
          <w:rFonts w:ascii="Times New Roman" w:hAnsi="Times New Roman"/>
          <w:sz w:val="24"/>
          <w:szCs w:val="24"/>
        </w:rPr>
        <w:t xml:space="preserve">rtunities for social mobility. </w:t>
      </w:r>
      <w:r w:rsidRPr="000F7191">
        <w:rPr>
          <w:rFonts w:ascii="Times New Roman" w:hAnsi="Times New Roman"/>
          <w:sz w:val="24"/>
          <w:szCs w:val="24"/>
        </w:rPr>
        <w:t xml:space="preserve">However, the implications for class mobility and access to knowledge represented in the limited selection of subjects available to the average consumer cannot go unstated.    </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Ownership of and learning through print literature</w:t>
      </w:r>
      <w:r w:rsidR="00DB0937">
        <w:rPr>
          <w:rFonts w:ascii="Times New Roman" w:hAnsi="Times New Roman"/>
          <w:sz w:val="24"/>
          <w:szCs w:val="24"/>
        </w:rPr>
        <w:t xml:space="preserve"> was closely tied to literacy. </w:t>
      </w:r>
      <w:r w:rsidRPr="000F7191">
        <w:rPr>
          <w:rFonts w:ascii="Times New Roman" w:hAnsi="Times New Roman"/>
          <w:sz w:val="24"/>
          <w:szCs w:val="24"/>
        </w:rPr>
        <w:t xml:space="preserve">About two thirds of white males were literate enough to be able to sign their names in the mid-eighteenth century, for women the rate was much </w:t>
      </w:r>
      <w:r w:rsidR="00EF424C">
        <w:rPr>
          <w:rFonts w:ascii="Times New Roman" w:hAnsi="Times New Roman"/>
          <w:sz w:val="24"/>
          <w:szCs w:val="24"/>
        </w:rPr>
        <w:t>lower</w:t>
      </w:r>
      <w:r w:rsidRPr="000F7191">
        <w:rPr>
          <w:rFonts w:ascii="Times New Roman" w:hAnsi="Times New Roman"/>
          <w:sz w:val="24"/>
          <w:szCs w:val="24"/>
        </w:rPr>
        <w:t>, and for the enslaved population the literacy rate has been described as “a tiny</w:t>
      </w:r>
      <w:r w:rsidR="00DB0937">
        <w:rPr>
          <w:rFonts w:ascii="Times New Roman" w:hAnsi="Times New Roman"/>
          <w:sz w:val="24"/>
          <w:szCs w:val="24"/>
        </w:rPr>
        <w:t xml:space="preserve"> proportion” (Isaac 1983:231). </w:t>
      </w:r>
      <w:r w:rsidRPr="000F7191">
        <w:rPr>
          <w:rFonts w:ascii="Times New Roman" w:hAnsi="Times New Roman"/>
          <w:sz w:val="24"/>
          <w:szCs w:val="24"/>
        </w:rPr>
        <w:t>General estimates suggest that three in four colonial Virginians were cons</w:t>
      </w:r>
      <w:r w:rsidR="00DB0937">
        <w:rPr>
          <w:rFonts w:ascii="Times New Roman" w:hAnsi="Times New Roman"/>
          <w:sz w:val="24"/>
          <w:szCs w:val="24"/>
        </w:rPr>
        <w:t>trained to oral communication. </w:t>
      </w:r>
      <w:r w:rsidRPr="000F7191">
        <w:rPr>
          <w:rFonts w:ascii="Times New Roman" w:hAnsi="Times New Roman"/>
          <w:sz w:val="24"/>
          <w:szCs w:val="24"/>
        </w:rPr>
        <w:t>Recipes and cures for ailments were passed down through the generations and passed around plantati</w:t>
      </w:r>
      <w:r w:rsidR="00DB0937">
        <w:rPr>
          <w:rFonts w:ascii="Times New Roman" w:hAnsi="Times New Roman"/>
          <w:sz w:val="24"/>
          <w:szCs w:val="24"/>
        </w:rPr>
        <w:t>ons and neighborhood networks. </w:t>
      </w:r>
      <w:r w:rsidRPr="000F7191">
        <w:rPr>
          <w:rFonts w:ascii="Times New Roman" w:hAnsi="Times New Roman"/>
          <w:sz w:val="24"/>
          <w:szCs w:val="24"/>
        </w:rPr>
        <w:t>Scripture and common law was learned through recitation and performance in the “word-of-mouth culture of common</w:t>
      </w:r>
      <w:r w:rsidR="00DB0937">
        <w:rPr>
          <w:rFonts w:ascii="Times New Roman" w:hAnsi="Times New Roman"/>
          <w:sz w:val="24"/>
          <w:szCs w:val="24"/>
        </w:rPr>
        <w:t xml:space="preserve"> people” (Isaac 1983:231-232). </w:t>
      </w:r>
      <w:r w:rsidRPr="000F7191">
        <w:rPr>
          <w:rFonts w:ascii="Times New Roman" w:hAnsi="Times New Roman"/>
          <w:sz w:val="24"/>
          <w:szCs w:val="24"/>
        </w:rPr>
        <w:t>The high demand for books at Alexander Henderson’s store, however, shows this transformation towards a subculture who increasingly valued the book over the word.</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George Washington was raised in a literate household; however, the disparities in access to education were apparen</w:t>
      </w:r>
      <w:r w:rsidR="00DB0937">
        <w:rPr>
          <w:rFonts w:ascii="Times New Roman" w:hAnsi="Times New Roman"/>
          <w:sz w:val="24"/>
          <w:szCs w:val="24"/>
        </w:rPr>
        <w:t>t even within this one family. </w:t>
      </w:r>
      <w:r w:rsidRPr="000F7191">
        <w:rPr>
          <w:rFonts w:ascii="Times New Roman" w:hAnsi="Times New Roman"/>
          <w:sz w:val="24"/>
          <w:szCs w:val="24"/>
        </w:rPr>
        <w:t>George Washington’s father, Augustine, and Lawrence Washington received a preeminent colonial education, attending the Appl</w:t>
      </w:r>
      <w:r w:rsidR="00DB0937">
        <w:rPr>
          <w:rFonts w:ascii="Times New Roman" w:hAnsi="Times New Roman"/>
          <w:sz w:val="24"/>
          <w:szCs w:val="24"/>
        </w:rPr>
        <w:t>eby Grammar School in England. </w:t>
      </w:r>
      <w:r w:rsidRPr="000F7191">
        <w:rPr>
          <w:rFonts w:ascii="Times New Roman" w:hAnsi="Times New Roman"/>
          <w:sz w:val="24"/>
          <w:szCs w:val="24"/>
        </w:rPr>
        <w:t xml:space="preserve">After the death of Augustine Washington, however, the family could not afford the same formal, English education for George Washington, who instead was taught the basics in local </w:t>
      </w:r>
      <w:r w:rsidR="00DB0937">
        <w:rPr>
          <w:rFonts w:ascii="Times New Roman" w:hAnsi="Times New Roman"/>
          <w:sz w:val="24"/>
          <w:szCs w:val="24"/>
        </w:rPr>
        <w:t>Virginia schools or by tutors. </w:t>
      </w:r>
      <w:r w:rsidRPr="000F7191">
        <w:rPr>
          <w:rFonts w:ascii="Times New Roman" w:hAnsi="Times New Roman"/>
          <w:sz w:val="24"/>
          <w:szCs w:val="24"/>
        </w:rPr>
        <w:t xml:space="preserve">George Washington’s commitment to self-education and self-betterment is visible through his early book purchases (Chernow 2010:5-14). </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lastRenderedPageBreak/>
        <w:t>Even if literacy rates were higher and access to education was more widespread, those lower on the socio-economic spectrum would have had much more limited access to the world of knowledge contained in Lawrence or George Washin</w:t>
      </w:r>
      <w:r w:rsidR="00482E4F">
        <w:rPr>
          <w:rFonts w:ascii="Times New Roman" w:hAnsi="Times New Roman"/>
          <w:sz w:val="24"/>
          <w:szCs w:val="24"/>
        </w:rPr>
        <w:t>gton’s libraries (Figure 7-16</w:t>
      </w:r>
      <w:r w:rsidR="00DB0937">
        <w:rPr>
          <w:rFonts w:ascii="Times New Roman" w:hAnsi="Times New Roman"/>
          <w:sz w:val="24"/>
          <w:szCs w:val="24"/>
        </w:rPr>
        <w:t>).</w:t>
      </w:r>
      <w:r w:rsidRPr="000F7191">
        <w:rPr>
          <w:rFonts w:ascii="Times New Roman" w:hAnsi="Times New Roman"/>
          <w:sz w:val="24"/>
          <w:szCs w:val="24"/>
        </w:rPr>
        <w:t xml:space="preserve"> “Most people in eighteenth-century America never owned or bought more than a few books during the whole of their lives, and some (an unknown percentage but perhaps two-fifths of all adults) bought</w:t>
      </w:r>
      <w:r w:rsidR="00DB0937">
        <w:rPr>
          <w:rFonts w:ascii="Times New Roman" w:hAnsi="Times New Roman"/>
          <w:sz w:val="24"/>
          <w:szCs w:val="24"/>
        </w:rPr>
        <w:t xml:space="preserve"> none at all” (Hall 1994:363). </w:t>
      </w:r>
      <w:r w:rsidRPr="000F7191">
        <w:rPr>
          <w:rFonts w:ascii="Times New Roman" w:hAnsi="Times New Roman"/>
          <w:sz w:val="24"/>
          <w:szCs w:val="24"/>
        </w:rPr>
        <w:t>The demand for the limited selection of books, however, suggests that non-elites were aware of the power of books and the information they imparted and sought to appropriate and internalize some of that power for themselves.</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p>
    <w:p w:rsidR="000F7191" w:rsidRPr="000B1E50" w:rsidRDefault="000F7191" w:rsidP="000F7191">
      <w:pPr>
        <w:pStyle w:val="NormalWeb"/>
        <w:spacing w:before="0" w:beforeAutospacing="0" w:after="0" w:afterAutospacing="0"/>
      </w:pPr>
      <w:r w:rsidRPr="0092590C">
        <w:rPr>
          <w:noProof/>
        </w:rPr>
        <w:drawing>
          <wp:inline distT="0" distB="0" distL="0" distR="0">
            <wp:extent cx="4572000" cy="2743200"/>
            <wp:effectExtent l="0" t="0" r="0" b="0"/>
            <wp:docPr id="3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0F7191" w:rsidRPr="000F7191" w:rsidRDefault="00B527AF" w:rsidP="000F7191">
      <w:pPr>
        <w:pStyle w:val="NormalWeb"/>
        <w:spacing w:before="0" w:beforeAutospacing="0" w:after="0" w:afterAutospacing="0"/>
        <w:rPr>
          <w:rFonts w:ascii="Times New Roman" w:hAnsi="Times New Roman"/>
          <w:sz w:val="24"/>
          <w:szCs w:val="24"/>
        </w:rPr>
      </w:pPr>
      <w:r>
        <w:rPr>
          <w:rFonts w:ascii="Times New Roman" w:hAnsi="Times New Roman"/>
          <w:b/>
          <w:sz w:val="24"/>
          <w:szCs w:val="24"/>
        </w:rPr>
        <w:t>Figure 7-16</w:t>
      </w:r>
      <w:r w:rsidR="00DB0937">
        <w:rPr>
          <w:rFonts w:ascii="Times New Roman" w:hAnsi="Times New Roman"/>
          <w:b/>
          <w:sz w:val="24"/>
          <w:szCs w:val="24"/>
        </w:rPr>
        <w:t>.</w:t>
      </w:r>
      <w:r w:rsidR="000F7191" w:rsidRPr="000F7191">
        <w:rPr>
          <w:rFonts w:ascii="Times New Roman" w:hAnsi="Times New Roman"/>
          <w:b/>
          <w:sz w:val="24"/>
          <w:szCs w:val="24"/>
        </w:rPr>
        <w:t xml:space="preserve"> </w:t>
      </w:r>
      <w:r w:rsidR="000F7191" w:rsidRPr="000F7191">
        <w:rPr>
          <w:rFonts w:ascii="Times New Roman" w:hAnsi="Times New Roman"/>
          <w:sz w:val="24"/>
          <w:szCs w:val="24"/>
        </w:rPr>
        <w:t>Subject to book title ratio represented in the libraries of Lawrence and George Washington and for sale in the Colchester store.</w:t>
      </w:r>
    </w:p>
    <w:p w:rsidR="000F7191" w:rsidRPr="000F7191" w:rsidRDefault="000F7191" w:rsidP="000F7191">
      <w:pPr>
        <w:pStyle w:val="NormalWeb"/>
        <w:spacing w:before="0" w:beforeAutospacing="0" w:after="0" w:afterAutospacing="0"/>
        <w:rPr>
          <w:rFonts w:ascii="Times New Roman" w:hAnsi="Times New Roman"/>
          <w:b/>
          <w:sz w:val="24"/>
          <w:szCs w:val="24"/>
        </w:rPr>
      </w:pPr>
    </w:p>
    <w:p w:rsidR="000F7191" w:rsidRPr="000F7191" w:rsidRDefault="000F7191" w:rsidP="000F7191">
      <w:pPr>
        <w:pStyle w:val="NormalWeb"/>
        <w:spacing w:before="0" w:beforeAutospacing="0" w:after="0" w:afterAutospacing="0"/>
        <w:rPr>
          <w:rFonts w:ascii="Times New Roman" w:hAnsi="Times New Roman"/>
          <w:b/>
          <w:sz w:val="24"/>
          <w:szCs w:val="24"/>
        </w:rPr>
      </w:pPr>
    </w:p>
    <w:p w:rsidR="000F7191" w:rsidRPr="000F7191" w:rsidRDefault="000F7191" w:rsidP="000F7191"/>
    <w:p w:rsidR="000F7191" w:rsidRDefault="000F7191" w:rsidP="000F7191">
      <w:pPr>
        <w:spacing w:line="480" w:lineRule="auto"/>
      </w:pPr>
      <w:r w:rsidRPr="000F7191">
        <w:tab/>
        <w:t>A similar example</w:t>
      </w:r>
      <w:r w:rsidRPr="000B1E50">
        <w:t xml:space="preserve"> of the stark disparities in access to choices within a particular category of goods is found in the realm of </w:t>
      </w:r>
      <w:r w:rsidRPr="000B1E50">
        <w:rPr>
          <w:u w:val="single"/>
        </w:rPr>
        <w:t>medicine</w:t>
      </w:r>
      <w:r w:rsidR="00DB0937">
        <w:t xml:space="preserve">. </w:t>
      </w:r>
      <w:r w:rsidRPr="000B1E50">
        <w:t xml:space="preserve">George Washington ordered medicines on a regular basis, every year from 1759 to 1773 (Mount Vernon </w:t>
      </w:r>
      <w:r w:rsidR="00DB0937">
        <w:t xml:space="preserve">Archaeology Department 2012b). </w:t>
      </w:r>
      <w:r w:rsidRPr="000B1E50">
        <w:t xml:space="preserve">He placed orders on nearly 200 different occasions for a total of 89 unique treatments including caraway </w:t>
      </w:r>
      <w:r w:rsidRPr="000B1E50">
        <w:lastRenderedPageBreak/>
        <w:t>seeds for stomach ailments, aqua bryoniae for female complaints and convulsions in children, guttae vitae for nausea, and Dr. Jame</w:t>
      </w:r>
      <w:r>
        <w:t>s’s powders for fevers</w:t>
      </w:r>
      <w:r w:rsidR="00DB0937">
        <w:t xml:space="preserve">. </w:t>
      </w:r>
      <w:r w:rsidRPr="000B1E50">
        <w:t>Alexander Henderson carried a different and quite limited supply of cures and remed</w:t>
      </w:r>
      <w:r w:rsidR="00DB0937">
        <w:t xml:space="preserve">ies for ailments and diseases. </w:t>
      </w:r>
      <w:r w:rsidRPr="000B1E50">
        <w:t xml:space="preserve">He </w:t>
      </w:r>
      <w:r>
        <w:t xml:space="preserve">placed 23 orders for </w:t>
      </w:r>
      <w:r w:rsidRPr="000B1E50">
        <w:t xml:space="preserve">11 types of </w:t>
      </w:r>
      <w:r>
        <w:t>remedies in the six-year period, but never ordered more than 8 types in a given year</w:t>
      </w:r>
      <w:r w:rsidR="00DB0937">
        <w:t xml:space="preserve">. </w:t>
      </w:r>
      <w:r w:rsidRPr="000B1E50">
        <w:t xml:space="preserve">For anything more than just the most generic of treatments, </w:t>
      </w:r>
      <w:r>
        <w:t xml:space="preserve">such as Turlington’s Balsam of Life whose 27 ingredients cured everything from kidney stones to internal weakness (Griffenhagan and Young 1992:204), </w:t>
      </w:r>
      <w:r w:rsidRPr="000B1E50">
        <w:t>local northern Virginians would have had to travel some distance to visit an apothecary shop to procure remedies, call on a doctor, or rely on folk medicine to alleviate aliments and illness.</w:t>
      </w:r>
    </w:p>
    <w:p w:rsidR="000F7191" w:rsidRPr="00303987" w:rsidRDefault="000F7191" w:rsidP="000F7191">
      <w:pPr>
        <w:spacing w:line="480" w:lineRule="auto"/>
      </w:pPr>
      <w:r>
        <w:tab/>
        <w:t>Though it is difficult to parse from the documentary evidence if George Washington purchased remedies to cure ailments suffered by both his household and the community of enslaved individuals, we do know that he hired physicians to treat and tend to slaves needing medical attention (Washington 1750-1774).</w:t>
      </w:r>
      <w:r w:rsidR="00DB0937">
        <w:t xml:space="preserve"> </w:t>
      </w:r>
      <w:r>
        <w:t>Formal medical care was commonly provided by plantation owners and overseers either via a medical professional or dispensed using their untrained judgme</w:t>
      </w:r>
      <w:r w:rsidR="00DB0937">
        <w:t xml:space="preserve">nt (Groover and Baumann 1996). </w:t>
      </w:r>
      <w:r>
        <w:t>For example, 10 slaves were hurt when lightning struck the House for Families slave quarter in 1760; Washington had them treated by the common procedure of letting blood, fro</w:t>
      </w:r>
      <w:r w:rsidRPr="00B32081">
        <w:t>m which they all recovered (both the lightning and the letting) (Jackson and Twohig 1976[1]:280)</w:t>
      </w:r>
      <w:r w:rsidR="00DB0937">
        <w:t xml:space="preserve">. </w:t>
      </w:r>
      <w:r>
        <w:t xml:space="preserve">Enslaved blacks living on plantations had little choice but to welcome or succumb to decisions pertaining to their health made by their owners and physicians trained </w:t>
      </w:r>
      <w:r w:rsidR="00DB0937">
        <w:t xml:space="preserve">in western medical traditions. </w:t>
      </w:r>
      <w:r>
        <w:t xml:space="preserve">However, to supplement or perhaps even avoid a visit from a white doctor, enslaved individuals drew on African views of health and well-being: folk treatments; African-American healers, midwives, conjurers, and root doctors; and a knowledge of traditional remedies including locally available plants (Savitt 1978; Groover and </w:t>
      </w:r>
      <w:r>
        <w:lastRenderedPageBreak/>
        <w:t>Bauman</w:t>
      </w:r>
      <w:r w:rsidR="00DB0937">
        <w:t>n 1996; Edwards-Ingram 2005).  P</w:t>
      </w:r>
      <w:r>
        <w:t>erhaps this accounts for the limited inventory stocked by Alexander Henderson – that middling and poor whites and enslaved individuals relied on informal medical care in the form of folk remedies to cure ailments instead of or in addition to those that were s</w:t>
      </w:r>
      <w:r w:rsidR="00DB0937">
        <w:t xml:space="preserve">old in stores. </w:t>
      </w:r>
      <w:r>
        <w:t xml:space="preserve">The conscious choice not to demand more of or consume readily available yet limited medicines entangled in western medical traditions may have ameliorated the intrusions of whites into this realm of their lives and offered enslaved individuals a modicum of control over the most personal of decisions – care of body and spirit (Edwards-Ingram 2005).        </w:t>
      </w:r>
    </w:p>
    <w:p w:rsidR="000F7191" w:rsidRPr="00C9000B" w:rsidRDefault="000F7191" w:rsidP="000F7191">
      <w:pPr>
        <w:spacing w:line="480" w:lineRule="auto"/>
      </w:pPr>
      <w:r w:rsidRPr="00303987">
        <w:tab/>
        <w:t>What these clear and compelling examples suggest is</w:t>
      </w:r>
      <w:r w:rsidRPr="000B1E50">
        <w:t xml:space="preserve"> that planters’ commitment to the consignment system afforded them access to material resources in the realms of education and knowledge</w:t>
      </w:r>
      <w:r>
        <w:t>,</w:t>
      </w:r>
      <w:r w:rsidRPr="000B1E50">
        <w:t xml:space="preserve"> medicine</w:t>
      </w:r>
      <w:r>
        <w:t>, and formal means of assigning identity to material culture</w:t>
      </w:r>
      <w:r w:rsidRPr="000B1E50">
        <w:t xml:space="preserve"> that they simply could not have found o</w:t>
      </w:r>
      <w:r w:rsidR="00DB0937">
        <w:t xml:space="preserve">n the shelves of local stores. </w:t>
      </w:r>
      <w:r w:rsidRPr="000B1E50">
        <w:t>In other words, there might have been a strong cultural motivation for what has been interpreted as an economically ir</w:t>
      </w:r>
      <w:r w:rsidR="00DB0937">
        <w:t xml:space="preserve">rational model of consumerism. </w:t>
      </w:r>
      <w:r w:rsidRPr="000B1E50">
        <w:t xml:space="preserve">These conclusions arose from a material culture approach that began with an investigation of </w:t>
      </w:r>
      <w:r>
        <w:t xml:space="preserve">a monogrammed fragment of silver, </w:t>
      </w:r>
      <w:r w:rsidRPr="000B1E50">
        <w:t>book hardware, ointment pots, and glass pharma</w:t>
      </w:r>
      <w:r w:rsidRPr="00C9000B">
        <w:t>ceutical vials found at the South Grove Midden and House for</w:t>
      </w:r>
      <w:r w:rsidR="00DB0937">
        <w:t xml:space="preserve"> Families archaeological sites. </w:t>
      </w:r>
      <w:r w:rsidRPr="00C9000B">
        <w:t>From these few artifacts and the integration of the two robust documentary datasets, a picture emerges of elite and non-elite consumer behavior – one that suggests similar patterns might be found within other classes of colonial material culture.</w:t>
      </w:r>
    </w:p>
    <w:p w:rsidR="000F7191" w:rsidRDefault="000F7191" w:rsidP="000F7191">
      <w:pPr>
        <w:spacing w:line="480" w:lineRule="auto"/>
        <w:ind w:firstLine="720"/>
      </w:pPr>
      <w:r w:rsidRPr="00C9000B">
        <w:t>Admittedly, these two examples are most clearly evidenced via the documentary as opposed</w:t>
      </w:r>
      <w:r w:rsidR="00DB0937">
        <w:t xml:space="preserve"> to the archaeological record. </w:t>
      </w:r>
      <w:r w:rsidRPr="00C9000B">
        <w:t>The archaeological evidence of differential access to books and the knowledge they contain is only hinted at through a</w:t>
      </w:r>
      <w:r w:rsidR="00DB0937">
        <w:t xml:space="preserve"> presence and absence analysis.</w:t>
      </w:r>
      <w:r w:rsidRPr="00C9000B">
        <w:t xml:space="preserve"> The three unique pieces of copper alloy book hardware from the midden (two from pre-1775 deposits and one dating to the eighteenth century but redeposited in a modern phase) speak to cherished </w:t>
      </w:r>
      <w:r w:rsidRPr="00C9000B">
        <w:lastRenderedPageBreak/>
        <w:t>volumes, family bibles for example, that necessitated clasps and metal corners to protect and preserve</w:t>
      </w:r>
      <w:r w:rsidR="00DB0937">
        <w:t xml:space="preserve"> them through the generations. </w:t>
      </w:r>
      <w:r w:rsidRPr="00C9000B">
        <w:t>The excavation of a single book hinge from the House for Families slave quarter</w:t>
      </w:r>
      <w:r>
        <w:t xml:space="preserve"> procured through undocumented avenues</w:t>
      </w:r>
      <w:r w:rsidRPr="00C9000B">
        <w:t xml:space="preserve"> at the very least suggests the presence of a treasured volume within the walls of this dwelling for individuals serving the Washington households</w:t>
      </w:r>
      <w:r>
        <w:t xml:space="preserve"> (DAACS 2013b)</w:t>
      </w:r>
      <w:r w:rsidR="00DB0937">
        <w:t xml:space="preserve">. </w:t>
      </w:r>
      <w:r w:rsidRPr="00C9000B">
        <w:t>How this book was obtained remain</w:t>
      </w:r>
      <w:r>
        <w:t>s</w:t>
      </w:r>
      <w:r w:rsidRPr="00C9000B">
        <w:t xml:space="preserve"> unknown.  </w:t>
      </w:r>
      <w:r>
        <w:t>Ointment pots and drug jars provide the most definitive evidence of medicines</w:t>
      </w:r>
      <w:r w:rsidR="00DB0937">
        <w:t xml:space="preserve"> in the archaeological record. </w:t>
      </w:r>
      <w:r>
        <w:t>Of the minimum 399 ceramic vessels from the South Grove Mid</w:t>
      </w:r>
      <w:r w:rsidR="00DB0937">
        <w:t>den, 3 fell into this category.</w:t>
      </w:r>
      <w:r>
        <w:t xml:space="preserve"> Of the minimum 136 ceramic vessels from the House for Families, 2 fell into this category (Pogue and White 1991). </w:t>
      </w:r>
      <w:r w:rsidRPr="00C9000B">
        <w:t xml:space="preserve"> </w:t>
      </w:r>
    </w:p>
    <w:p w:rsidR="000F7191" w:rsidRDefault="000F7191" w:rsidP="000F7191">
      <w:pPr>
        <w:spacing w:line="480" w:lineRule="auto"/>
        <w:ind w:firstLine="720"/>
      </w:pPr>
      <w:r>
        <w:t xml:space="preserve">Two additional artifact groups fall within the health and hygiene-related realm of material culture.  George Washington expressed his desire for </w:t>
      </w:r>
      <w:r w:rsidRPr="00C341AA">
        <w:rPr>
          <w:u w:val="single"/>
        </w:rPr>
        <w:t>chamber pots</w:t>
      </w:r>
      <w:r>
        <w:t xml:space="preserve"> of stoneware (undecorated and scratch blue white salt-glazed stoneware and Rhenish) (Mount Vernon Archaeology Department 2012a) probably replacing the more fragile delftware variety used by the Lawrence Washington household found in the South Gr</w:t>
      </w:r>
      <w:r w:rsidR="00DB0937">
        <w:t>ove Midden for a minimum of 15.</w:t>
      </w:r>
      <w:r>
        <w:t xml:space="preserve"> Just three, of white salt-glaze and Rhenish stoneware, were found in the House for Families.  Alexander Henderson’s chamber pot inventory was dominated by pewter pots (not recoverable archaeologically) and available in limited quantities, at least when compared to other hygiene-related objects he offered (Mount Vernon </w:t>
      </w:r>
      <w:r w:rsidR="00DB0937">
        <w:t xml:space="preserve">Archaeology Department 2012b). </w:t>
      </w:r>
      <w:r>
        <w:t xml:space="preserve">In the category of </w:t>
      </w:r>
      <w:r w:rsidRPr="001C0C14">
        <w:rPr>
          <w:u w:val="single"/>
        </w:rPr>
        <w:t>combs</w:t>
      </w:r>
      <w:r>
        <w:t>, George Washington’s orders indicate that his household desired combs made from a variety of material including ivory, horn, tortoiseshell, bone, and coconut shell, while Alexander Henderson offered just ivory and bone (Mount Vernon Archaeo</w:t>
      </w:r>
      <w:r w:rsidR="00DB0937">
        <w:t xml:space="preserve">logy Department 2012a, 2012b). </w:t>
      </w:r>
      <w:r>
        <w:t xml:space="preserve">Archaeologically, combs made of bone are </w:t>
      </w:r>
      <w:r w:rsidR="00F83483">
        <w:t xml:space="preserve">the </w:t>
      </w:r>
      <w:r>
        <w:t xml:space="preserve">most frequently found variety eighteenth-century </w:t>
      </w:r>
      <w:r>
        <w:lastRenderedPageBreak/>
        <w:t>sites (White 2005) and the only type found in the South</w:t>
      </w:r>
      <w:r w:rsidR="00DB0937">
        <w:t xml:space="preserve"> Grove Midden (n=2). </w:t>
      </w:r>
      <w:r>
        <w:t xml:space="preserve">None were excavated from the House for Families.  </w:t>
      </w:r>
    </w:p>
    <w:p w:rsidR="000F7191" w:rsidRDefault="000F7191" w:rsidP="000F7191">
      <w:pPr>
        <w:spacing w:line="480" w:lineRule="auto"/>
        <w:ind w:firstLine="720"/>
      </w:pPr>
      <w:r>
        <w:t xml:space="preserve">The presence of </w:t>
      </w:r>
      <w:r w:rsidRPr="00D5353A">
        <w:rPr>
          <w:u w:val="single"/>
        </w:rPr>
        <w:t>toys</w:t>
      </w:r>
      <w:r>
        <w:t xml:space="preserve"> also may be indicative of differential access to consumer goods in the eighteenth </w:t>
      </w:r>
      <w:r w:rsidR="00DB0937">
        <w:t xml:space="preserve">century. </w:t>
      </w:r>
      <w:r w:rsidRPr="003701DA">
        <w:t>The South Grove Midden yielded four artifacts that are interpreted as possible playthings including a small female figurine made of pipe clay and her male counterpart; a stone marble</w:t>
      </w:r>
      <w:r w:rsidR="00DB0937">
        <w:t xml:space="preserve">; and a miniature pewter bowl. </w:t>
      </w:r>
      <w:r w:rsidRPr="003701DA">
        <w:t xml:space="preserve">George Washington’s invoices and orders </w:t>
      </w:r>
      <w:r>
        <w:t>for toys for his step</w:t>
      </w:r>
      <w:r w:rsidRPr="003701DA">
        <w:t xml:space="preserve">children </w:t>
      </w:r>
      <w:r>
        <w:t>Jacky and Patsy</w:t>
      </w:r>
      <w:r w:rsidRPr="003701DA">
        <w:t xml:space="preserve"> </w:t>
      </w:r>
      <w:r>
        <w:t xml:space="preserve">include a variety of items from fiddles to books and dolls to toy hunting whips </w:t>
      </w:r>
      <w:r w:rsidRPr="003701DA">
        <w:t>(</w:t>
      </w:r>
      <w:r>
        <w:t>Fitzpatrick 1931:335</w:t>
      </w:r>
      <w:r w:rsidRPr="003701DA">
        <w:t>).</w:t>
      </w:r>
      <w:r w:rsidR="00DB0937">
        <w:t xml:space="preserve"> </w:t>
      </w:r>
      <w:r>
        <w:t>Interestingly, Alexander Henderson’s store offered nothing in the way of playthings for children</w:t>
      </w:r>
      <w:r w:rsidR="00EF424C">
        <w:t>,</w:t>
      </w:r>
      <w:r>
        <w:t xml:space="preserve"> which implies that the cultural category of childhood assumed different material dimen</w:t>
      </w:r>
      <w:r w:rsidR="00DB0937">
        <w:t xml:space="preserve">sions in non-elite households. </w:t>
      </w:r>
      <w:r>
        <w:t xml:space="preserve">However, members of Mount Vernon’s enslaved community found some means to acquire at least one type of item commonly associated with children – marbles – five of which were found in the feature’s earliest phase </w:t>
      </w:r>
      <w:r w:rsidRPr="00D5353A">
        <w:t>(DAACS 2013b)</w:t>
      </w:r>
      <w:r>
        <w:t>.</w:t>
      </w:r>
      <w:r>
        <w:rPr>
          <w:rStyle w:val="FootnoteReference"/>
        </w:rPr>
        <w:footnoteReference w:id="11"/>
      </w:r>
      <w:r w:rsidRPr="003701DA">
        <w:t> </w:t>
      </w:r>
      <w:r>
        <w:t xml:space="preserve">    </w:t>
      </w:r>
    </w:p>
    <w:p w:rsidR="000F7191" w:rsidRPr="00B304C7" w:rsidRDefault="000F7191" w:rsidP="000F7191">
      <w:pPr>
        <w:spacing w:line="480" w:lineRule="auto"/>
        <w:ind w:firstLine="720"/>
      </w:pPr>
      <w:r>
        <w:t xml:space="preserve">Marbles once rolled beneath the furniture in elite and </w:t>
      </w:r>
      <w:r w:rsidR="00DB0937">
        <w:t xml:space="preserve">non-elite colonial households. </w:t>
      </w:r>
      <w:r w:rsidRPr="00B304C7">
        <w:t>The remnants of treasured pieces of furniture that o</w:t>
      </w:r>
      <w:r>
        <w:t>nce inhabited the Washingtons’ m</w:t>
      </w:r>
      <w:r w:rsidRPr="00B304C7">
        <w:t xml:space="preserve">ansion survive only partially in the archaeological </w:t>
      </w:r>
      <w:r>
        <w:t xml:space="preserve">and documentary </w:t>
      </w:r>
      <w:r w:rsidRPr="00B304C7">
        <w:t>record</w:t>
      </w:r>
      <w:r>
        <w:t xml:space="preserve"> in this pre-Revolutionary period</w:t>
      </w:r>
      <w:r w:rsidR="00DB0937">
        <w:t xml:space="preserve">. </w:t>
      </w:r>
      <w:r w:rsidRPr="00B304C7">
        <w:t>Furniture is deemed one category of consumer goods that elites investe</w:t>
      </w:r>
      <w:r w:rsidR="00DB0937">
        <w:t xml:space="preserve">d in most heavily (Nash 2009). </w:t>
      </w:r>
      <w:r w:rsidRPr="00B304C7">
        <w:t>In fact, George Washington’s most expensive non-textile purchase was a carved and upholstered mahogany bedstead procured by his factor Ri</w:t>
      </w:r>
      <w:r w:rsidR="00DB0937">
        <w:t xml:space="preserve">chard Washington for £25.10.0. </w:t>
      </w:r>
      <w:r w:rsidRPr="00B304C7">
        <w:t xml:space="preserve">The bed was not even new, but instead bought at an auction (Mount Vernon </w:t>
      </w:r>
      <w:r w:rsidR="00DB0937">
        <w:t xml:space="preserve">Archaeology Department 2012a). </w:t>
      </w:r>
      <w:r w:rsidRPr="00B304C7">
        <w:t xml:space="preserve">Washington, however, spent only 3 percent of his total purchases through the consignment system </w:t>
      </w:r>
      <w:r w:rsidR="00DB0937">
        <w:t xml:space="preserve">on furniture. </w:t>
      </w:r>
      <w:r w:rsidRPr="00B304C7">
        <w:t xml:space="preserve">This </w:t>
      </w:r>
      <w:r>
        <w:t xml:space="preserve">small amount spent </w:t>
      </w:r>
      <w:r w:rsidRPr="00B304C7">
        <w:t xml:space="preserve">is partly because these expensive </w:t>
      </w:r>
      <w:r w:rsidRPr="00B304C7">
        <w:lastRenderedPageBreak/>
        <w:t xml:space="preserve">individual items were built to last, </w:t>
      </w:r>
      <w:r>
        <w:t xml:space="preserve">with consumers </w:t>
      </w:r>
      <w:r w:rsidRPr="00B304C7">
        <w:t>perhaps keeping up with current fashions by replacing the u</w:t>
      </w:r>
      <w:r w:rsidR="00DB0937">
        <w:t xml:space="preserve">pholstery, hinges, and plates. </w:t>
      </w:r>
      <w:r>
        <w:t xml:space="preserve">The amount can </w:t>
      </w:r>
      <w:r w:rsidRPr="00B304C7">
        <w:t xml:space="preserve">also </w:t>
      </w:r>
      <w:r>
        <w:t xml:space="preserve">be explained </w:t>
      </w:r>
      <w:r w:rsidRPr="00B304C7">
        <w:t>because Washington made large-scale investments in furniture outs</w:t>
      </w:r>
      <w:r w:rsidR="00DB0937">
        <w:t xml:space="preserve">ide of the consignment system. </w:t>
      </w:r>
      <w:r w:rsidRPr="00B304C7">
        <w:t>In 1774, he bought card and tea tables, a sideboard, a chest of drawers, a shaving desk, chairs, and other mansion furnishings at an auction at nearby Belvoir plantation (Washington 1774).</w:t>
      </w:r>
    </w:p>
    <w:p w:rsidR="000F7191" w:rsidRPr="00F438E1" w:rsidRDefault="000F7191" w:rsidP="000F7191">
      <w:pPr>
        <w:spacing w:line="480" w:lineRule="auto"/>
      </w:pPr>
      <w:r>
        <w:tab/>
        <w:t xml:space="preserve">One way of understanding consumer behavior in the realm of furniture represented archaeologically is through </w:t>
      </w:r>
      <w:r w:rsidRPr="001D27A6">
        <w:rPr>
          <w:u w:val="single"/>
        </w:rPr>
        <w:t>tacks</w:t>
      </w:r>
      <w:r>
        <w:t xml:space="preserve"> – the primary physical evidence that remains for upholstered </w:t>
      </w:r>
      <w:r w:rsidRPr="00F438E1">
        <w:t>furniture and tru</w:t>
      </w:r>
      <w:r>
        <w:t>nks common in the rooms of the m</w:t>
      </w:r>
      <w:r w:rsidRPr="00F438E1">
        <w:t>ansion.</w:t>
      </w:r>
      <w:r w:rsidR="00DB0937">
        <w:t xml:space="preserve"> </w:t>
      </w:r>
      <w:r>
        <w:t>Tacks secured</w:t>
      </w:r>
      <w:r w:rsidRPr="00F438E1">
        <w:t xml:space="preserve"> upholstery and leather to a wooden frame</w:t>
      </w:r>
      <w:r>
        <w:t xml:space="preserve"> while simultaneously imparting</w:t>
      </w:r>
      <w:r w:rsidRPr="00F438E1">
        <w:t xml:space="preserve"> a dazzling appearance </w:t>
      </w:r>
      <w:r>
        <w:t>and</w:t>
      </w:r>
      <w:r w:rsidRPr="00F438E1">
        <w:t xml:space="preserve"> emphasizing the shape and contours of the larger object. Brass tacks in a swag pattern punctuate the seats of side chairs known to have been used in George </w:t>
      </w:r>
      <w:r>
        <w:t>Washington’s dining room in the late 1790s (Cadou 2006:182-183) and stud his Revolutionary War traveling trunk (Cadou 2006:90-91)</w:t>
      </w:r>
      <w:r w:rsidR="00DB0937">
        <w:t xml:space="preserve">. </w:t>
      </w:r>
      <w:r w:rsidRPr="00F438E1">
        <w:t>Plain tacks were individually crafted with a cast domed head and square shaft tapered to a point.</w:t>
      </w:r>
    </w:p>
    <w:p w:rsidR="000F7191" w:rsidRPr="00F438E1" w:rsidRDefault="000F7191" w:rsidP="000F7191">
      <w:pPr>
        <w:spacing w:line="480" w:lineRule="auto"/>
      </w:pPr>
      <w:r w:rsidRPr="00F438E1">
        <w:tab/>
        <w:t>Sources differ on the sizes of tack heads available to furniture makers and upholster</w:t>
      </w:r>
      <w:r w:rsidR="00DB0937">
        <w:t xml:space="preserve">ers in the eighteenth century. </w:t>
      </w:r>
      <w:r w:rsidRPr="00F438E1">
        <w:t>One source suggests that British manufacturers made tacks in a variety of sizes ranging from one quarter to three quar</w:t>
      </w:r>
      <w:r w:rsidR="00DB0937">
        <w:t>ters of an inch (Jobe 1987:72).</w:t>
      </w:r>
      <w:r w:rsidRPr="00F438E1">
        <w:t xml:space="preserve"> Another offers that tack heads measured up to one inch in diameter (No</w:t>
      </w:r>
      <w:r>
        <w:t>ë</w:t>
      </w:r>
      <w:r w:rsidR="00DB0937">
        <w:t xml:space="preserve">l Hume 1969:227). </w:t>
      </w:r>
      <w:r>
        <w:t>Research has</w:t>
      </w:r>
      <w:r w:rsidRPr="00F438E1">
        <w:t xml:space="preserve"> yet to uncover a period source that details how many tack sizes within t</w:t>
      </w:r>
      <w:r w:rsidR="00DB0937">
        <w:t xml:space="preserve">hese ranges were manufactured. </w:t>
      </w:r>
      <w:r w:rsidRPr="00F438E1">
        <w:t xml:space="preserve">One modern manufacturer of tacks for decorating reproductions offers them from a quarter to half an inch with intermediary sizes of 5/16ths, 3/8ths, 7/16ths of an inch (Track of the Wolf, Inc. 2012).    </w:t>
      </w:r>
    </w:p>
    <w:p w:rsidR="000F7191" w:rsidRPr="00F438E1" w:rsidRDefault="000F7191" w:rsidP="000F7191">
      <w:pPr>
        <w:spacing w:line="480" w:lineRule="auto"/>
        <w:ind w:firstLine="720"/>
      </w:pPr>
      <w:r w:rsidRPr="00F438E1">
        <w:t>Why do the</w:t>
      </w:r>
      <w:r w:rsidR="00DB0937">
        <w:t xml:space="preserve">se differences in size matter? </w:t>
      </w:r>
      <w:r>
        <w:t>T</w:t>
      </w:r>
      <w:r w:rsidRPr="00F438E1">
        <w:t xml:space="preserve">acks </w:t>
      </w:r>
      <w:r>
        <w:t xml:space="preserve">of different sizes </w:t>
      </w:r>
      <w:r w:rsidRPr="00F438E1">
        <w:t xml:space="preserve">were made to suit specific purposes. </w:t>
      </w:r>
      <w:r>
        <w:t xml:space="preserve">I hypothesize that </w:t>
      </w:r>
      <w:r w:rsidRPr="00F438E1">
        <w:t xml:space="preserve">larger tacks correlate to larger pieces of furniture and small </w:t>
      </w:r>
      <w:r w:rsidRPr="00F438E1">
        <w:lastRenderedPageBreak/>
        <w:t>tacks to</w:t>
      </w:r>
      <w:bookmarkStart w:id="0" w:name="_GoBack"/>
      <w:bookmarkEnd w:id="0"/>
      <w:r w:rsidRPr="00F438E1">
        <w:t xml:space="preserve"> smaller items, but no one has systematically measured tack head diameters on period furn</w:t>
      </w:r>
      <w:r w:rsidR="00DB0937">
        <w:t xml:space="preserve">iture to test this hypothesis. </w:t>
      </w:r>
      <w:r w:rsidRPr="00F438E1">
        <w:t>It could also be the case that one piece of furniture had different sized tacks for func</w:t>
      </w:r>
      <w:r w:rsidR="00DB0937">
        <w:t xml:space="preserve">tional or decorative purposes. </w:t>
      </w:r>
      <w:r w:rsidRPr="00F438E1">
        <w:t xml:space="preserve">Our ability to indentify tacks of different sizes on archaeological sites </w:t>
      </w:r>
      <w:r>
        <w:t>would enable a</w:t>
      </w:r>
      <w:r w:rsidRPr="00F438E1">
        <w:t xml:space="preserve"> better understand</w:t>
      </w:r>
      <w:r>
        <w:t>ing</w:t>
      </w:r>
      <w:r w:rsidRPr="00F438E1">
        <w:t xml:space="preserve"> </w:t>
      </w:r>
      <w:r>
        <w:t xml:space="preserve">of </w:t>
      </w:r>
      <w:r w:rsidRPr="00F438E1">
        <w:t>investments in upholstered furniture and trunks by their past ow</w:t>
      </w:r>
      <w:r w:rsidR="00012144">
        <w:t>ners. Hypothetically</w:t>
      </w:r>
      <w:r w:rsidRPr="00F438E1">
        <w:t xml:space="preserve">, </w:t>
      </w:r>
      <w:r w:rsidR="00012144">
        <w:t xml:space="preserve">elite households would have had greater access to upholstered furniture and trunks decorated with tacks in a larger range of sizes. Washington’s single order of a small paper of tacks (he was invoiced for half a pound) placed in 1762 suggests limited in-house furniture maintenance, an option also available to Colchester store goers with the inventory of 432 tacks stocked in 1759 </w:t>
      </w:r>
      <w:r w:rsidR="00012144" w:rsidRPr="00B304C7">
        <w:t xml:space="preserve">(Mount Vernon </w:t>
      </w:r>
      <w:r w:rsidR="00012144">
        <w:t xml:space="preserve">Archaeology Department 2012a, 2012b).  This order for tacks must have been sufficient as no others were placed during the six-year period.  Tack sizes are not indicated in either source but are suggested by the archaeological record.    </w:t>
      </w:r>
      <w:r w:rsidRPr="00F438E1">
        <w:t xml:space="preserve">    </w:t>
      </w:r>
    </w:p>
    <w:p w:rsidR="000F7191" w:rsidRDefault="000F7191" w:rsidP="000F7191">
      <w:pPr>
        <w:spacing w:line="480" w:lineRule="auto"/>
      </w:pPr>
      <w:r w:rsidRPr="00F438E1">
        <w:tab/>
        <w:t xml:space="preserve">What sizes of tacks did the Washington households </w:t>
      </w:r>
      <w:r>
        <w:t>use and discard</w:t>
      </w:r>
      <w:r w:rsidR="00DB0937">
        <w:t xml:space="preserve">? </w:t>
      </w:r>
      <w:r w:rsidRPr="00F438E1">
        <w:t>Archaeologists found 62 copper alloy tacks, all with cir</w:t>
      </w:r>
      <w:r w:rsidR="00DB0937">
        <w:t xml:space="preserve">cular heads and square shanks. </w:t>
      </w:r>
      <w:r w:rsidRPr="00F438E1">
        <w:t>Of these, 53 had measureable heads</w:t>
      </w:r>
      <w:r>
        <w:t>, a measurement protocol enacted during the cataloguing process</w:t>
      </w:r>
      <w:r w:rsidR="00DB0937">
        <w:t xml:space="preserve">. </w:t>
      </w:r>
      <w:r w:rsidRPr="00F438E1">
        <w:t xml:space="preserve">When the tacks </w:t>
      </w:r>
      <w:r>
        <w:t xml:space="preserve">are broken </w:t>
      </w:r>
      <w:r w:rsidRPr="00F438E1">
        <w:t>down by size increments of 1/16</w:t>
      </w:r>
      <w:r w:rsidRPr="00F438E1">
        <w:rPr>
          <w:vertAlign w:val="superscript"/>
        </w:rPr>
        <w:t>th</w:t>
      </w:r>
      <w:r w:rsidRPr="00F438E1">
        <w:t xml:space="preserve"> of an inch, a unimodal distribution results with most tacks (62% or n=33) measuring 7/16ths of an inch (</w:t>
      </w:r>
      <w:r>
        <w:t>Figure</w:t>
      </w:r>
      <w:r w:rsidRPr="009F6EE3">
        <w:t xml:space="preserve"> 7-</w:t>
      </w:r>
      <w:r w:rsidR="00482E4F">
        <w:t>17</w:t>
      </w:r>
      <w:r w:rsidR="00DB0937">
        <w:t xml:space="preserve">). </w:t>
      </w:r>
      <w:r w:rsidRPr="00F438E1">
        <w:t xml:space="preserve">The South Grove tack assemblage had only one tack at the smallest end of the range at a quarter of an inch and only three tacks measured 9/16ths of an inch, only slightly larger than half an inch.      </w:t>
      </w:r>
    </w:p>
    <w:p w:rsidR="000F7191" w:rsidRDefault="000F7191" w:rsidP="000F7191">
      <w:r w:rsidRPr="00F438E1">
        <w:rPr>
          <w:noProof/>
        </w:rPr>
        <w:lastRenderedPageBreak/>
        <w:drawing>
          <wp:inline distT="0" distB="0" distL="0" distR="0">
            <wp:extent cx="5743797" cy="3848986"/>
            <wp:effectExtent l="0" t="0" r="0" b="0"/>
            <wp:docPr id="3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0F7191" w:rsidRDefault="00B527AF" w:rsidP="000F7191">
      <w:pPr>
        <w:spacing w:line="480" w:lineRule="auto"/>
      </w:pPr>
      <w:r>
        <w:rPr>
          <w:b/>
        </w:rPr>
        <w:t>Figure 7-17</w:t>
      </w:r>
      <w:r w:rsidR="000F7191" w:rsidRPr="004D140B">
        <w:rPr>
          <w:b/>
        </w:rPr>
        <w:t xml:space="preserve">. </w:t>
      </w:r>
      <w:r w:rsidR="000F7191" w:rsidRPr="00872817">
        <w:t>Diameter of tacks excavated from the South Grove Midden.</w:t>
      </w:r>
    </w:p>
    <w:p w:rsidR="000F7191" w:rsidRPr="004D140B" w:rsidRDefault="000F7191" w:rsidP="000F7191">
      <w:pPr>
        <w:spacing w:line="480" w:lineRule="auto"/>
        <w:rPr>
          <w:b/>
        </w:rPr>
      </w:pPr>
    </w:p>
    <w:p w:rsidR="000F7191" w:rsidRPr="00954DC9" w:rsidRDefault="000F7191" w:rsidP="000F7191">
      <w:pPr>
        <w:spacing w:line="480" w:lineRule="auto"/>
        <w:ind w:firstLine="720"/>
      </w:pPr>
      <w:r w:rsidRPr="00F438E1">
        <w:t xml:space="preserve">Statistical analyses on the midden’s </w:t>
      </w:r>
      <w:r>
        <w:t>tack groupings by size a</w:t>
      </w:r>
      <w:r w:rsidRPr="00F438E1">
        <w:t>re inconclusive</w:t>
      </w:r>
      <w:r>
        <w:t>, in part due to sample size</w:t>
      </w:r>
      <w:r w:rsidR="00DB0937">
        <w:t xml:space="preserve">. </w:t>
      </w:r>
      <w:r>
        <w:t>Only nine measurable tack heads were excavated from th</w:t>
      </w:r>
      <w:r w:rsidR="00DB0937">
        <w:t xml:space="preserve">e House for Families site. </w:t>
      </w:r>
      <w:r>
        <w:t>These minimal data show a generally smaller tack head size, between a quarter and 7/16ths of an inch, with most of the tacks measuring 5/16ths of an inch as opposed to the larger and most frequent 7/16ths inch head size from the</w:t>
      </w:r>
      <w:r w:rsidR="00DB0937">
        <w:t xml:space="preserve"> South Grove. </w:t>
      </w:r>
      <w:r>
        <w:t>Additionally,</w:t>
      </w:r>
      <w:r w:rsidRPr="00F438E1">
        <w:t xml:space="preserve"> we need more information on the sizes of tacks on whole pieces of furnitur</w:t>
      </w:r>
      <w:r w:rsidR="00DB0937">
        <w:t>e and how they are distributed.</w:t>
      </w:r>
      <w:r w:rsidRPr="00F438E1">
        <w:t xml:space="preserve"> Future research with museum collections is needed to definitely establish the link between archaeological tacks and the pieces o</w:t>
      </w:r>
      <w:r w:rsidR="00DB0937">
        <w:t xml:space="preserve">f furniture they once adorned. </w:t>
      </w:r>
      <w:r w:rsidRPr="00F438E1">
        <w:t>Archaeological assemblages of</w:t>
      </w:r>
      <w:r>
        <w:t xml:space="preserve"> tacks from eighteenth-</w:t>
      </w:r>
      <w:r w:rsidRPr="00F438E1">
        <w:t xml:space="preserve">century contexts need to be measured to assess the range of </w:t>
      </w:r>
      <w:r w:rsidRPr="00954DC9">
        <w:t>head size and variation within this range.</w:t>
      </w:r>
    </w:p>
    <w:p w:rsidR="000F7191" w:rsidRDefault="000F7191" w:rsidP="000F7191">
      <w:pPr>
        <w:autoSpaceDE w:val="0"/>
        <w:autoSpaceDN w:val="0"/>
        <w:adjustRightInd w:val="0"/>
        <w:spacing w:line="480" w:lineRule="auto"/>
        <w:ind w:firstLine="720"/>
      </w:pPr>
      <w:r w:rsidRPr="003701DA">
        <w:rPr>
          <w:i/>
        </w:rPr>
        <w:lastRenderedPageBreak/>
        <w:t xml:space="preserve"> </w:t>
      </w:r>
      <w:r>
        <w:t xml:space="preserve">Tobacco pipes as well offer an additional avenue for future </w:t>
      </w:r>
      <w:r w:rsidR="00DB0937">
        <w:t xml:space="preserve">research. </w:t>
      </w:r>
      <w:r>
        <w:t>D</w:t>
      </w:r>
      <w:r w:rsidRPr="0072537D">
        <w:t xml:space="preserve">ocumentary research on tobacco pipes from George Washington’s invoices and orders and Alexander Henderson’s store inventories suggests a disparity in the types of </w:t>
      </w:r>
      <w:r w:rsidRPr="001D27A6">
        <w:rPr>
          <w:u w:val="single"/>
        </w:rPr>
        <w:t>tobacco pipes</w:t>
      </w:r>
      <w:r w:rsidRPr="00C341AA">
        <w:t xml:space="preserve"> </w:t>
      </w:r>
      <w:r w:rsidRPr="0072537D">
        <w:t>available for the consignm</w:t>
      </w:r>
      <w:r w:rsidR="00DB0937">
        <w:t xml:space="preserve">ent versus the retail shopper. </w:t>
      </w:r>
      <w:r w:rsidRPr="0072537D">
        <w:t>Records indicated that Washington ordered pipes on two separate occasions, o</w:t>
      </w:r>
      <w:r w:rsidR="00DB0937">
        <w:t xml:space="preserve">nce in 1762 and again in 1773. </w:t>
      </w:r>
      <w:r w:rsidRPr="0072537D">
        <w:t xml:space="preserve">In both orders, he requested two types of pipes, common (or short) in great quantities and long in lesser quantities (Mount Vernon Archaeology </w:t>
      </w:r>
      <w:r>
        <w:t xml:space="preserve">Department </w:t>
      </w:r>
      <w:r w:rsidRPr="0072537D">
        <w:t>201</w:t>
      </w:r>
      <w:r w:rsidR="00DB0937">
        <w:t xml:space="preserve">2a). </w:t>
      </w:r>
      <w:r w:rsidRPr="0072537D">
        <w:t xml:space="preserve">Alexander Henderson, on the other hand, outfitted his store with just one pipe type, which he refers to as “Hunters,” in the thousands (2880 in 1759, 4320 in 1760, 5760 in 1763, and 7200 in 1765) (Mount Vernon Archaeology </w:t>
      </w:r>
      <w:r>
        <w:t xml:space="preserve">Department </w:t>
      </w:r>
      <w:r w:rsidRPr="0072537D">
        <w:t>2012b). Clues to the meaning of hunter pipes come from the invoice that Washington received in return for his order of 2</w:t>
      </w:r>
      <w:r w:rsidR="00EF424C">
        <w:t>,</w:t>
      </w:r>
      <w:r w:rsidR="00DB0937">
        <w:t xml:space="preserve">880 common tobacco pipes. </w:t>
      </w:r>
      <w:r w:rsidRPr="0072537D">
        <w:t>Robert Cary refers to them as “Hunters” suggesting that the term was another name for short pipes (Abbot and Twohig 1990[7]:1</w:t>
      </w:r>
      <w:r w:rsidR="00DB0937">
        <w:t xml:space="preserve">64, 192). </w:t>
      </w:r>
      <w:r>
        <w:t>Washington’s large-scale orders for over 20 gross of tobacco pipes in 1762 and in 1773 raise a question ab</w:t>
      </w:r>
      <w:r w:rsidR="00DB0937">
        <w:t xml:space="preserve">out their intended recipients. </w:t>
      </w:r>
      <w:r>
        <w:t>If the long type, ordered in significantly lesser amounts, were intended for the Washingtons and their special g</w:t>
      </w:r>
      <w:r w:rsidR="00BB261E">
        <w:t>uests, were the</w:t>
      </w:r>
      <w:r>
        <w:t xml:space="preserve"> rest provisions given or sold to the enslaved or hired white laborers </w:t>
      </w:r>
      <w:r w:rsidRPr="00D26DE9">
        <w:t>(Howson 1990:84</w:t>
      </w:r>
      <w:r>
        <w:t>; Barca 2012:52-53</w:t>
      </w:r>
      <w:r w:rsidRPr="00D26DE9">
        <w:t>)</w:t>
      </w:r>
      <w:r w:rsidR="00DB0937">
        <w:t>?</w:t>
      </w:r>
      <w:r>
        <w:t xml:space="preserve"> In fact, the vendor for the 2</w:t>
      </w:r>
      <w:r w:rsidR="00EF424C">
        <w:t>,</w:t>
      </w:r>
      <w:r>
        <w:t>880 Hunters and 144 long pipes in the 1763 invoice was Edward Manby, an English maker of tobacco pipes in Heritage Bridge, London (Abbot and Twohig 1990[7]:191-198</w:t>
      </w:r>
      <w:r w:rsidRPr="0072537D">
        <w:t>)</w:t>
      </w:r>
      <w:r w:rsidR="00DB0937">
        <w:t xml:space="preserve">. </w:t>
      </w:r>
      <w:r>
        <w:t xml:space="preserve">The discovery of five pipe </w:t>
      </w:r>
      <w:r w:rsidR="00E91746">
        <w:t>bowls</w:t>
      </w:r>
      <w:r>
        <w:t xml:space="preserve"> from the House for Families bearing the mark “WM” for William Manby, assumed to be the brother of Edward and who manufacture pipes from 1719-1763, bolsters this hypothesis (Pogue and White 1991:24; Barca 2012:49-50).  </w:t>
      </w:r>
    </w:p>
    <w:p w:rsidR="000F7191" w:rsidRPr="00954DC9" w:rsidRDefault="000F7191" w:rsidP="000F7191">
      <w:pPr>
        <w:autoSpaceDE w:val="0"/>
        <w:autoSpaceDN w:val="0"/>
        <w:adjustRightInd w:val="0"/>
        <w:spacing w:line="480" w:lineRule="auto"/>
        <w:ind w:firstLine="720"/>
      </w:pPr>
      <w:r w:rsidRPr="0072537D">
        <w:t xml:space="preserve">Attempts to </w:t>
      </w:r>
      <w:r>
        <w:t xml:space="preserve">indentify and </w:t>
      </w:r>
      <w:r w:rsidRPr="0072537D">
        <w:t xml:space="preserve">statistically parse out short versus long pipes based on metric data in the archaeological record have thus far been unsuccessful, but it remains an intriguing </w:t>
      </w:r>
      <w:r w:rsidRPr="0072537D">
        <w:lastRenderedPageBreak/>
        <w:t>material culture question</w:t>
      </w:r>
      <w:r>
        <w:t>, as does the large-scale orders for short pipes (Barca 2012</w:t>
      </w:r>
      <w:r w:rsidR="001A4394">
        <w:t xml:space="preserve">). </w:t>
      </w:r>
      <w:r w:rsidRPr="0072537D">
        <w:t>Pipe length has been associated with identity, class, and</w:t>
      </w:r>
      <w:r>
        <w:t xml:space="preserve"> acts of conspicuous consumption</w:t>
      </w:r>
      <w:r w:rsidRPr="0072537D">
        <w:t xml:space="preserve"> (Cook 1989; Beaudry et al. 1991;</w:t>
      </w:r>
      <w:r>
        <w:t xml:space="preserve"> </w:t>
      </w:r>
      <w:r w:rsidRPr="0072537D">
        <w:t>Mrozowski 2006</w:t>
      </w:r>
      <w:r>
        <w:t>; Graham et al. 2007</w:t>
      </w:r>
      <w:r w:rsidRPr="0072537D">
        <w:t>)</w:t>
      </w:r>
      <w:r w:rsidR="001A4394">
        <w:t xml:space="preserve">. </w:t>
      </w:r>
      <w:r>
        <w:t>In fact, “No single class of portable artifacts supplies more systematic, quantifiable information on social dynamics of commodity production and consumption in the early modern Atlantic and within the Chesap</w:t>
      </w:r>
      <w:r w:rsidR="003E7DF3">
        <w:t xml:space="preserve">eake” </w:t>
      </w:r>
      <w:r w:rsidR="000E182D">
        <w:t>particularly</w:t>
      </w:r>
      <w:r w:rsidR="003E7DF3">
        <w:t xml:space="preserve"> in light of the fact that long pipes may have been less accessible locally </w:t>
      </w:r>
      <w:r w:rsidR="001A4394">
        <w:t>(Graham et al. 2007:486).</w:t>
      </w:r>
      <w:r>
        <w:t xml:space="preserve"> Identification of tobacco pipe length in the archaeological record remains an area for future research.    </w:t>
      </w:r>
    </w:p>
    <w:p w:rsidR="000F7191" w:rsidRDefault="000F7191" w:rsidP="000F7191">
      <w:pPr>
        <w:spacing w:line="480" w:lineRule="auto"/>
        <w:ind w:firstLine="720"/>
      </w:pPr>
      <w:r w:rsidRPr="00095FCA">
        <w:rPr>
          <w:u w:val="single"/>
        </w:rPr>
        <w:t>L</w:t>
      </w:r>
      <w:r w:rsidRPr="00FE67D9">
        <w:rPr>
          <w:u w:val="single"/>
        </w:rPr>
        <w:t>ead shot</w:t>
      </w:r>
      <w:r>
        <w:t xml:space="preserve"> is another prosaic yet important artifact of everyday life in the colonial period with robust documentary evidence both in George Washington’s invoices and </w:t>
      </w:r>
      <w:r w:rsidRPr="004118DB">
        <w:t>orders (Mount Vernon Archaeology Department 2012a) and</w:t>
      </w:r>
      <w:r>
        <w:t xml:space="preserve"> Alexander Henderson’s schemes of go</w:t>
      </w:r>
      <w:r w:rsidRPr="004118DB">
        <w:t>ods (Mount Vernon Archaeology Department 2012b)</w:t>
      </w:r>
      <w:r w:rsidR="001A4394">
        <w:t xml:space="preserve">. </w:t>
      </w:r>
      <w:r>
        <w:t xml:space="preserve">Though period nomenclature is inconsistent, it appears that neither Washington nor Henderson ordered more than four </w:t>
      </w:r>
      <w:r w:rsidR="001A4394">
        <w:t xml:space="preserve">types of shot in a given year. </w:t>
      </w:r>
      <w:r>
        <w:t>Research has yet to discover documentation regarding lead shot sizes produced at mid-eighteenth century British factories; however</w:t>
      </w:r>
      <w:r w:rsidR="00BB261E">
        <w:t>,</w:t>
      </w:r>
      <w:r>
        <w:t xml:space="preserve"> by the nineteenth century, dozens of named shot sizes were available, some with roots in the eig</w:t>
      </w:r>
      <w:r w:rsidR="001A4394">
        <w:t xml:space="preserve">hteenth century (Hanson 2001). </w:t>
      </w:r>
      <w:r w:rsidRPr="00E048E5">
        <w:t>Table 7-</w:t>
      </w:r>
      <w:r>
        <w:t>21 represents a convergence of shot names and sizes available in the nineteenth century with frequencies from the South Grove and references i</w:t>
      </w:r>
      <w:r w:rsidR="001A4394">
        <w:t xml:space="preserve">n the two documentary datasets. </w:t>
      </w:r>
      <w:r>
        <w:t>What becomes immediately apparent is that there are many more sizes of shot represented in the midden assemblage than ordered by Washi</w:t>
      </w:r>
      <w:r w:rsidR="001A4394">
        <w:t xml:space="preserve">ngton or stocked by Henderson. </w:t>
      </w:r>
      <w:r>
        <w:t>This suggests that the terminology had not yet been developed to specify lead shot smaller than No. 4 and larger than No. 1, and instead was encompassed by generic terms such as mustard seed (for the smallest sizes) and Bristol drop (for the larger sizes).</w:t>
      </w:r>
      <w:r w:rsidR="0047601C">
        <w:t xml:space="preserve">  </w:t>
      </w:r>
      <w:r>
        <w:t xml:space="preserve">  </w:t>
      </w:r>
    </w:p>
    <w:p w:rsidR="000F7191" w:rsidRDefault="000F7191" w:rsidP="000F7191">
      <w:r>
        <w:rPr>
          <w:b/>
        </w:rPr>
        <w:lastRenderedPageBreak/>
        <w:t>Table 7-21</w:t>
      </w:r>
      <w:r w:rsidRPr="00FE67D9">
        <w:rPr>
          <w:b/>
        </w:rPr>
        <w:t xml:space="preserve">. </w:t>
      </w:r>
      <w:r w:rsidRPr="00872817">
        <w:t xml:space="preserve">Shot descriptions, diameters, and common names (Hanson 2001), linked to the South Grove Midden shot assemblage and period documentary references. </w:t>
      </w:r>
    </w:p>
    <w:p w:rsidR="000F7191" w:rsidRDefault="000F7191" w:rsidP="000F7191"/>
    <w:tbl>
      <w:tblPr>
        <w:tblW w:w="9287" w:type="dxa"/>
        <w:tblInd w:w="91" w:type="dxa"/>
        <w:tblLook w:val="04A0"/>
      </w:tblPr>
      <w:tblGrid>
        <w:gridCol w:w="1637"/>
        <w:gridCol w:w="1530"/>
        <w:gridCol w:w="1980"/>
        <w:gridCol w:w="1350"/>
        <w:gridCol w:w="1350"/>
        <w:gridCol w:w="1440"/>
      </w:tblGrid>
      <w:tr w:rsidR="000F7191" w:rsidRPr="00872817" w:rsidTr="00E82578">
        <w:trPr>
          <w:trHeight w:val="539"/>
        </w:trPr>
        <w:tc>
          <w:tcPr>
            <w:tcW w:w="1637"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Description</w:t>
            </w:r>
          </w:p>
        </w:tc>
        <w:tc>
          <w:tcPr>
            <w:tcW w:w="1530" w:type="dxa"/>
            <w:tcBorders>
              <w:top w:val="single" w:sz="4" w:space="0" w:color="auto"/>
              <w:left w:val="nil"/>
              <w:bottom w:val="single" w:sz="4" w:space="0" w:color="auto"/>
              <w:right w:val="single" w:sz="4" w:space="0" w:color="auto"/>
            </w:tcBorders>
            <w:shd w:val="clear" w:color="000000" w:fill="D8D8D8"/>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Diameter of Shot (in.)</w:t>
            </w:r>
          </w:p>
        </w:tc>
        <w:tc>
          <w:tcPr>
            <w:tcW w:w="1980" w:type="dxa"/>
            <w:tcBorders>
              <w:top w:val="single" w:sz="4" w:space="0" w:color="auto"/>
              <w:left w:val="nil"/>
              <w:bottom w:val="single" w:sz="4" w:space="0" w:color="auto"/>
              <w:right w:val="single" w:sz="4" w:space="0" w:color="auto"/>
            </w:tcBorders>
            <w:shd w:val="clear" w:color="000000" w:fill="D8D8D8"/>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Usage/Common Name</w:t>
            </w:r>
          </w:p>
        </w:tc>
        <w:tc>
          <w:tcPr>
            <w:tcW w:w="1350" w:type="dxa"/>
            <w:tcBorders>
              <w:top w:val="single" w:sz="4" w:space="0" w:color="auto"/>
              <w:left w:val="nil"/>
              <w:bottom w:val="single" w:sz="4" w:space="0" w:color="auto"/>
              <w:right w:val="single" w:sz="4" w:space="0" w:color="auto"/>
            </w:tcBorders>
            <w:shd w:val="clear" w:color="000000" w:fill="D8D8D8"/>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Count from Midden</w:t>
            </w:r>
          </w:p>
        </w:tc>
        <w:tc>
          <w:tcPr>
            <w:tcW w:w="1350" w:type="dxa"/>
            <w:tcBorders>
              <w:top w:val="single" w:sz="4" w:space="0" w:color="auto"/>
              <w:left w:val="nil"/>
              <w:bottom w:val="single" w:sz="4" w:space="0" w:color="auto"/>
              <w:right w:val="single" w:sz="4" w:space="0" w:color="auto"/>
            </w:tcBorders>
            <w:shd w:val="clear" w:color="000000" w:fill="D8D8D8"/>
            <w:vAlign w:val="bottom"/>
            <w:hideMark/>
          </w:tcPr>
          <w:p w:rsidR="000F7191" w:rsidRPr="00872817" w:rsidRDefault="000F7191" w:rsidP="00E82578">
            <w:pPr>
              <w:rPr>
                <w:rFonts w:eastAsia="Times New Roman"/>
                <w:b/>
                <w:bCs/>
                <w:color w:val="000000"/>
                <w:sz w:val="20"/>
                <w:szCs w:val="20"/>
              </w:rPr>
            </w:pPr>
            <w:r w:rsidRPr="00872817">
              <w:rPr>
                <w:rFonts w:eastAsia="Times New Roman"/>
                <w:b/>
                <w:bCs/>
                <w:color w:val="000000"/>
                <w:sz w:val="20"/>
                <w:szCs w:val="20"/>
              </w:rPr>
              <w:t>Henderson Inventories</w:t>
            </w:r>
          </w:p>
        </w:tc>
        <w:tc>
          <w:tcPr>
            <w:tcW w:w="1440" w:type="dxa"/>
            <w:tcBorders>
              <w:top w:val="single" w:sz="4" w:space="0" w:color="auto"/>
              <w:left w:val="nil"/>
              <w:bottom w:val="single" w:sz="4" w:space="0" w:color="auto"/>
              <w:right w:val="single" w:sz="4" w:space="0" w:color="auto"/>
            </w:tcBorders>
            <w:shd w:val="clear" w:color="000000" w:fill="D8D8D8"/>
            <w:vAlign w:val="bottom"/>
            <w:hideMark/>
          </w:tcPr>
          <w:p w:rsidR="000F7191" w:rsidRPr="00872817" w:rsidRDefault="000F7191" w:rsidP="00E82578">
            <w:pPr>
              <w:rPr>
                <w:rFonts w:eastAsia="Times New Roman"/>
                <w:b/>
                <w:bCs/>
                <w:color w:val="000000"/>
                <w:sz w:val="20"/>
                <w:szCs w:val="20"/>
              </w:rPr>
            </w:pPr>
            <w:r w:rsidRPr="00872817">
              <w:rPr>
                <w:rFonts w:eastAsia="Times New Roman"/>
                <w:b/>
                <w:bCs/>
                <w:color w:val="000000"/>
                <w:sz w:val="20"/>
                <w:szCs w:val="20"/>
              </w:rPr>
              <w:t>GW Invoices and Orders</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Extra Fine Dust</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0.015</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Fine Dust</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0.03</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xml:space="preserve">Fine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0.04</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12</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0.05</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11</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0.06</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10</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0.07</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9</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0.08</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4</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8</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0.09</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11</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7</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0.1</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19</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6</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0.11</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30</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5</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0.12</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Snipe</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82</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4</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0.13</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Plover</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79</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yes</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3</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0.14</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Pigeon</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27</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yes</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2</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0.15</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Pigeon</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33</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yes</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yes</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No. 1</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0.16</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Duck, White Goose</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58</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yes</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yes</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B.</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0.17</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51</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B.B.</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0.18</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19</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BB261E">
        <w:trPr>
          <w:trHeight w:val="270"/>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B.B.B.</w:t>
            </w:r>
          </w:p>
        </w:tc>
        <w:tc>
          <w:tcPr>
            <w:tcW w:w="1530" w:type="dxa"/>
            <w:tcBorders>
              <w:top w:val="nil"/>
              <w:left w:val="nil"/>
              <w:bottom w:val="single" w:sz="8"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0.19</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11</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BB261E">
        <w:trPr>
          <w:trHeight w:val="270"/>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T., O.</w:t>
            </w:r>
          </w:p>
        </w:tc>
        <w:tc>
          <w:tcPr>
            <w:tcW w:w="1530" w:type="dxa"/>
            <w:tcBorders>
              <w:top w:val="single" w:sz="8" w:space="0" w:color="auto"/>
              <w:left w:val="single" w:sz="8" w:space="0" w:color="auto"/>
              <w:bottom w:val="single" w:sz="8" w:space="0" w:color="auto"/>
              <w:right w:val="single" w:sz="8" w:space="0" w:color="auto"/>
            </w:tcBorders>
            <w:shd w:val="clear" w:color="000000" w:fill="auto"/>
            <w:noWrap/>
            <w:vAlign w:val="bottom"/>
            <w:hideMark/>
          </w:tcPr>
          <w:p w:rsidR="000F7191" w:rsidRPr="00872817" w:rsidRDefault="000F7191" w:rsidP="00BB261E">
            <w:pPr>
              <w:jc w:val="right"/>
              <w:rPr>
                <w:rFonts w:eastAsia="Times New Roman"/>
                <w:color w:val="000000"/>
                <w:sz w:val="20"/>
                <w:szCs w:val="20"/>
              </w:rPr>
            </w:pPr>
            <w:r w:rsidRPr="00BB261E">
              <w:rPr>
                <w:rFonts w:eastAsia="Times New Roman"/>
                <w:color w:val="000000"/>
                <w:sz w:val="20"/>
                <w:szCs w:val="20"/>
              </w:rPr>
              <w:t>0.2 (or 5mm)</w:t>
            </w:r>
            <w:r w:rsidRPr="00872817">
              <w:rPr>
                <w:rFonts w:eastAsia="Times New Roman"/>
                <w:color w:val="000000"/>
                <w:sz w:val="20"/>
                <w:szCs w:val="20"/>
              </w:rPr>
              <w:t xml:space="preserve"> </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7</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T.T., O.O.</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0.21</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Bristol, Gray Goose, Beaver</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9</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yes</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yes</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O.O.O, T.T.T., F.</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0.22</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7</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TTTT, F.F.</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0.23</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0.24</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0.25</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0.26</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1</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0.27</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Swan shot</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0.28</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5</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yes</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0.29</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4</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0.3</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0.31</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3</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0.32</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2</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Small Buck Shot</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0.35</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Large Buck Shot</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sz w:val="20"/>
                <w:szCs w:val="20"/>
              </w:rPr>
            </w:pPr>
            <w:r w:rsidRPr="00872817">
              <w:rPr>
                <w:rFonts w:eastAsia="Times New Roman"/>
                <w:sz w:val="20"/>
                <w:szCs w:val="20"/>
              </w:rPr>
              <w:t>0.38</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0.57</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0.65</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r w:rsidR="000F7191" w:rsidRPr="00872817" w:rsidTr="00E82578">
        <w:trPr>
          <w:trHeight w:val="255"/>
        </w:trPr>
        <w:tc>
          <w:tcPr>
            <w:tcW w:w="1637"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0.71</w:t>
            </w:r>
          </w:p>
        </w:tc>
        <w:tc>
          <w:tcPr>
            <w:tcW w:w="198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w:t>
            </w:r>
          </w:p>
        </w:tc>
        <w:tc>
          <w:tcPr>
            <w:tcW w:w="135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sz w:val="20"/>
                <w:szCs w:val="20"/>
              </w:rPr>
            </w:pPr>
            <w:r w:rsidRPr="00872817">
              <w:rPr>
                <w:rFonts w:eastAsia="Times New Roman"/>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0F7191" w:rsidRPr="00872817" w:rsidRDefault="000F7191" w:rsidP="00E82578">
            <w:pPr>
              <w:rPr>
                <w:rFonts w:eastAsia="Times New Roman"/>
                <w:color w:val="000000"/>
                <w:sz w:val="20"/>
                <w:szCs w:val="20"/>
              </w:rPr>
            </w:pPr>
            <w:r w:rsidRPr="00872817">
              <w:rPr>
                <w:rFonts w:eastAsia="Times New Roman"/>
                <w:color w:val="000000"/>
                <w:sz w:val="20"/>
                <w:szCs w:val="20"/>
              </w:rPr>
              <w:t> </w:t>
            </w:r>
          </w:p>
        </w:tc>
      </w:tr>
    </w:tbl>
    <w:p w:rsidR="000F7191" w:rsidRDefault="000F7191" w:rsidP="000F7191">
      <w:pPr>
        <w:rPr>
          <w:b/>
        </w:rPr>
      </w:pPr>
    </w:p>
    <w:p w:rsidR="000F7191" w:rsidRDefault="000F7191" w:rsidP="000F7191"/>
    <w:p w:rsidR="000F7191" w:rsidRDefault="000F7191" w:rsidP="000F7191">
      <w:r>
        <w:br w:type="page"/>
      </w:r>
    </w:p>
    <w:p w:rsidR="000F7191" w:rsidRPr="002657F7" w:rsidRDefault="000F7191" w:rsidP="000F7191">
      <w:pPr>
        <w:spacing w:line="480" w:lineRule="auto"/>
        <w:ind w:firstLine="720"/>
      </w:pPr>
      <w:r>
        <w:lastRenderedPageBreak/>
        <w:t>At present, it is not possible to bring comparative archaeological site data to bear on this exploration o</w:t>
      </w:r>
      <w:r w:rsidR="001A4394">
        <w:t xml:space="preserve">f the frequency of shot sizes. </w:t>
      </w:r>
      <w:r>
        <w:t xml:space="preserve">Sites in DAACS like the House for Families were catalogued with protocols in place that batched all shot equal to or less than 5mm (or 0.2in) in diameter </w:t>
      </w:r>
      <w:r w:rsidRPr="00404473">
        <w:t>(</w:t>
      </w:r>
      <w:r w:rsidR="001A4394">
        <w:t xml:space="preserve">Aultman et al. 2012). </w:t>
      </w:r>
      <w:r>
        <w:t xml:space="preserve">For the South Grove </w:t>
      </w:r>
      <w:r w:rsidR="0078512B">
        <w:t>Midden, this would have meant l</w:t>
      </w:r>
      <w:r>
        <w:t>osing size data on 91 percent (or 434 out of 479 measurable pi</w:t>
      </w:r>
      <w:r w:rsidR="001A4394">
        <w:t>eces) of the shot assemblage.</w:t>
      </w:r>
      <w:r>
        <w:t xml:space="preserve"> Essentially, this protocol collapses four of Washington’s shot size </w:t>
      </w:r>
      <w:r w:rsidR="001A4394">
        <w:t xml:space="preserve">specifications into one group. </w:t>
      </w:r>
      <w:r>
        <w:t>The question remains, would Washington have recognized the differences in shot size categories at 0.12 inches and smaller or was this smaller shot simply loaded and fired from the sa</w:t>
      </w:r>
      <w:r w:rsidR="001A4394">
        <w:t xml:space="preserve">me barrel without distinction? </w:t>
      </w:r>
      <w:r>
        <w:t xml:space="preserve">This degree of sophistication in hunting small mammals and birds was developed by the nineteenth century, but only further research into this redundant small finds artifact category will allow archaeologists to be able to recognize historically meaningful shot sizes in their assemblages.  </w:t>
      </w:r>
    </w:p>
    <w:p w:rsidR="001218CD" w:rsidRDefault="000F7191" w:rsidP="000F7191">
      <w:pPr>
        <w:spacing w:line="480" w:lineRule="auto"/>
        <w:ind w:firstLine="720"/>
      </w:pPr>
      <w:r w:rsidRPr="001D27A6">
        <w:rPr>
          <w:u w:val="single"/>
        </w:rPr>
        <w:t>Thimbles</w:t>
      </w:r>
      <w:r>
        <w:t xml:space="preserve"> are another artifact in need of systematic study </w:t>
      </w:r>
      <w:r w:rsidR="001A4394">
        <w:t xml:space="preserve">in archaeological collections. </w:t>
      </w:r>
      <w:r w:rsidRPr="00954DC9">
        <w:t>As consumer goods, thimbles came in a variety of materials and sizes to meet both functional and cultural needs. During the eighteenth century, thimbles were considered an essential tool for women, associated with idea</w:t>
      </w:r>
      <w:r>
        <w:t xml:space="preserve">ls of femininity, precepts of socialization, </w:t>
      </w:r>
      <w:r w:rsidRPr="00954DC9">
        <w:t xml:space="preserve">as well as being utilitarian objects. Almost all young </w:t>
      </w:r>
      <w:r w:rsidR="0047601C">
        <w:t xml:space="preserve">white </w:t>
      </w:r>
      <w:r w:rsidRPr="00954DC9">
        <w:t xml:space="preserve">women </w:t>
      </w:r>
      <w:r w:rsidR="0047601C">
        <w:t xml:space="preserve">(and some black women) </w:t>
      </w:r>
      <w:r w:rsidRPr="00954DC9">
        <w:t>were taught to sew at a very young age and thimbles were made in a variety of sizes according to their intended use and owner (</w:t>
      </w:r>
      <w:r>
        <w:t>Noël</w:t>
      </w:r>
      <w:r w:rsidRPr="00954DC9">
        <w:t xml:space="preserve"> Hume 1969:255-256</w:t>
      </w:r>
      <w:r>
        <w:t>; Hill 1995; Beaudry 2006:105</w:t>
      </w:r>
      <w:r w:rsidRPr="00954DC9">
        <w:t xml:space="preserve">). As children learned the art of sewing they outgrew their smaller thimbles, replacing them with larger </w:t>
      </w:r>
      <w:r>
        <w:t>versions</w:t>
      </w:r>
      <w:r w:rsidRPr="00954DC9">
        <w:t xml:space="preserve"> suited for growing and more-capable fingers. Thimbles cam</w:t>
      </w:r>
      <w:r>
        <w:t>e in sizes four sizes: children’s, maids’, women’</w:t>
      </w:r>
      <w:r w:rsidRPr="00954DC9">
        <w:t>s, and tailors (Beaudry 2006:105)</w:t>
      </w:r>
      <w:r>
        <w:t>, but we currently cannot accurately identify these types in o</w:t>
      </w:r>
      <w:r w:rsidR="001A4394">
        <w:t xml:space="preserve">ur archaeological assemblages. </w:t>
      </w:r>
      <w:r>
        <w:t xml:space="preserve">While none were excavated from the House for </w:t>
      </w:r>
      <w:r>
        <w:lastRenderedPageBreak/>
        <w:t>Families, the South Gro</w:t>
      </w:r>
      <w:r w:rsidRPr="00954DC9">
        <w:t xml:space="preserve">ve Midden yielded two thimbles measuring 17.9 wide </w:t>
      </w:r>
      <w:r>
        <w:t xml:space="preserve">(diameter of finger hole) </w:t>
      </w:r>
      <w:r w:rsidRPr="00954DC9">
        <w:t>by 18.4 mm high and 13.5 wide by 14 mm high</w:t>
      </w:r>
      <w:r>
        <w:t>, leading one researcher to identify the latter as a child’s thimble (Krofft 2012)</w:t>
      </w:r>
      <w:r w:rsidRPr="00954DC9">
        <w:t>.</w:t>
      </w:r>
      <w:r w:rsidR="001A4394">
        <w:t xml:space="preserve"> </w:t>
      </w:r>
    </w:p>
    <w:p w:rsidR="000F7191" w:rsidRPr="0072537D" w:rsidRDefault="001218CD" w:rsidP="000F7191">
      <w:pPr>
        <w:spacing w:line="480" w:lineRule="auto"/>
        <w:ind w:firstLine="720"/>
      </w:pPr>
      <w:r>
        <w:t>Between 1761 and 1766, George Washington received 60 brass thimbles</w:t>
      </w:r>
      <w:r w:rsidR="00B30F2E">
        <w:t>, sizes unspecified</w:t>
      </w:r>
      <w:r>
        <w:t>; this quantity suggests that these implements may have been for enslaved seamstresses and shirt makers (Mount Vernon Archaeology Department 2012a). Thimbles in much small</w:t>
      </w:r>
      <w:r w:rsidR="00B30F2E">
        <w:t>er</w:t>
      </w:r>
      <w:r>
        <w:t xml:space="preserve"> quantities, higher prices, and finer materials were ordered for Martha Washington and her daughter Patsy. For Pasty, a silver thimble was ordered in 1759 (Abbot 1988[6]:250) and another “small” silver thimble with a steel top was ordered in 1772 (Fitzpatrick 1937[3]:90-94). Martha received a gold-washed silver thimble in 1765 (Robert Cary &amp; Company 1765). Alexander Henderson ordered </w:t>
      </w:r>
      <w:r w:rsidR="00B30F2E">
        <w:t>576</w:t>
      </w:r>
      <w:r>
        <w:t xml:space="preserve"> thimbles</w:t>
      </w:r>
      <w:r w:rsidR="00B30F2E">
        <w:t xml:space="preserve"> for his store between the years 1759 and 1763 at a price that suggests they were of the brass, </w:t>
      </w:r>
      <w:r>
        <w:t>work-a-day variety (Mount Vernon Archaeology</w:t>
      </w:r>
      <w:r w:rsidR="00B30F2E">
        <w:t xml:space="preserve"> Department 2012b). Henderson’</w:t>
      </w:r>
      <w:r>
        <w:t>s stock of thimbles included both women’s and tailor’s, representing a</w:t>
      </w:r>
      <w:r w:rsidR="00B30F2E">
        <w:t xml:space="preserve"> limited</w:t>
      </w:r>
      <w:r>
        <w:t xml:space="preserve"> selection of sizes, but there appears to have been no choice of material offered.</w:t>
      </w:r>
      <w:r w:rsidR="00B30F2E">
        <w:t xml:space="preserve"> Washington, then, had access to thimbles that served the functional and genteel needs of an elite household. Henderson’s stock would not have facilitated the early education of young girls in the art of sewing. It remains to be seen if, </w:t>
      </w:r>
      <w:r w:rsidR="000F7191">
        <w:t xml:space="preserve">through the collection of a robust dataset of thimble measurements from eighteenth-century contexts and the application of a statistical test such as k-means cluster analysis </w:t>
      </w:r>
      <w:r w:rsidR="0078512B">
        <w:t>(subsequently discussed)</w:t>
      </w:r>
      <w:r w:rsidR="00B30F2E">
        <w:t>,</w:t>
      </w:r>
      <w:r w:rsidR="0078512B">
        <w:t xml:space="preserve"> </w:t>
      </w:r>
      <w:r w:rsidR="000F7191">
        <w:t>can we be able to s</w:t>
      </w:r>
      <w:r w:rsidR="000F7191" w:rsidRPr="0072537D">
        <w:t>olidly identify a child’s versus a ma</w:t>
      </w:r>
      <w:r w:rsidR="001A4394">
        <w:t>id’s versus a woman’s thimble</w:t>
      </w:r>
      <w:r w:rsidR="000A2271">
        <w:t xml:space="preserve"> and further explore the issues of access to these tools of femininity</w:t>
      </w:r>
      <w:r w:rsidR="001A4394">
        <w:t xml:space="preserve">. </w:t>
      </w:r>
    </w:p>
    <w:p w:rsidR="000F7191" w:rsidRDefault="000F7191" w:rsidP="000F7191">
      <w:pPr>
        <w:spacing w:line="480" w:lineRule="auto"/>
        <w:ind w:firstLine="720"/>
      </w:pPr>
      <w:r w:rsidRPr="0066529A">
        <w:rPr>
          <w:u w:val="single"/>
        </w:rPr>
        <w:t>Straight pins</w:t>
      </w:r>
      <w:r>
        <w:t>, another sewing implement,</w:t>
      </w:r>
      <w:r w:rsidRPr="00341B2A">
        <w:t xml:space="preserve"> were made by hand</w:t>
      </w:r>
      <w:r>
        <w:t xml:space="preserve"> of copper alloy</w:t>
      </w:r>
      <w:r w:rsidRPr="00341B2A">
        <w:t>, and imported from England to the American colonies in large quantit</w:t>
      </w:r>
      <w:r w:rsidR="001A4394">
        <w:t xml:space="preserve">ies in the eighteenth century. </w:t>
      </w:r>
      <w:r w:rsidRPr="00341B2A">
        <w:lastRenderedPageBreak/>
        <w:t>The process of pin making was extremely laborious and included a dozen steps from pointing the shank to spinning the heads</w:t>
      </w:r>
      <w:r>
        <w:t xml:space="preserve"> (D</w:t>
      </w:r>
      <w:r w:rsidR="001A4394">
        <w:t xml:space="preserve">utton and Jones 1983:176-178). </w:t>
      </w:r>
      <w:r>
        <w:t>During one of these steps, p</w:t>
      </w:r>
      <w:r w:rsidRPr="00341B2A">
        <w:t>ins were coated with tin, resulting in a shinier appearance before the copper core was exposed through post-depositional processes</w:t>
      </w:r>
      <w:r>
        <w:t xml:space="preserve"> (Beaudry 2006:20)</w:t>
      </w:r>
      <w:r w:rsidRPr="00341B2A">
        <w:t xml:space="preserve">.  </w:t>
      </w:r>
    </w:p>
    <w:p w:rsidR="000F7191" w:rsidRDefault="000F7191" w:rsidP="000F7191">
      <w:pPr>
        <w:spacing w:line="480" w:lineRule="auto"/>
        <w:ind w:firstLine="720"/>
      </w:pPr>
      <w:r>
        <w:t>Despite their small size, straight pins represent everyday necessiti</w:t>
      </w:r>
      <w:r w:rsidR="001A4394">
        <w:t xml:space="preserve">es of eighteenth-century life. </w:t>
      </w:r>
      <w:r>
        <w:t>Straight pins operated then as they do today – as sewing aids.  Additionally, they fastened articles of clothing through the early nineteenth century when clothes and fasteners became mass-</w:t>
      </w:r>
      <w:r w:rsidR="001A4394">
        <w:t xml:space="preserve">produced (Beaudry 2006:10-15). </w:t>
      </w:r>
      <w:r>
        <w:t xml:space="preserve">Research suggests that there may have been as many as 10 types of pins for consumers to choose from in the eighteenth century, depending on their sewing and fastening needs (Réaumur 1761; Beaudry 2006:24, figure </w:t>
      </w:r>
      <w:r w:rsidR="001A4394">
        <w:t>2.1).</w:t>
      </w:r>
      <w:r>
        <w:t xml:space="preserve"> In a period article entitled, “The Art of Pin Making” (</w:t>
      </w:r>
      <w:r w:rsidRPr="00252B1F">
        <w:t xml:space="preserve">Réaumur </w:t>
      </w:r>
      <w:r>
        <w:t xml:space="preserve">1761) published in Paris, the author presented a list of these 10 pin types and their corresponding lengths in lignes or lines, a French unit of measure.  </w:t>
      </w:r>
      <w:r w:rsidRPr="00E048E5">
        <w:t xml:space="preserve">Table </w:t>
      </w:r>
      <w:r>
        <w:t>7-22 shows these pins types and with their lengths converted to millimeters.</w:t>
      </w:r>
    </w:p>
    <w:p w:rsidR="000F7191" w:rsidRDefault="000F7191" w:rsidP="000F7191"/>
    <w:p w:rsidR="00300B6D" w:rsidRDefault="00300B6D" w:rsidP="000F7191"/>
    <w:p w:rsidR="000F7191" w:rsidRDefault="000F7191" w:rsidP="000F7191">
      <w:pPr>
        <w:spacing w:line="480" w:lineRule="auto"/>
      </w:pPr>
      <w:r>
        <w:rPr>
          <w:b/>
        </w:rPr>
        <w:t>Table 7-22</w:t>
      </w:r>
      <w:r w:rsidRPr="00E838D4">
        <w:rPr>
          <w:b/>
        </w:rPr>
        <w:t xml:space="preserve">. </w:t>
      </w:r>
      <w:r w:rsidRPr="00872817">
        <w:t xml:space="preserve">Pins types manufacture in France, ca. 1761 </w:t>
      </w:r>
      <w:r w:rsidRPr="00CD07B7">
        <w:t xml:space="preserve">(Réaumur </w:t>
      </w:r>
      <w:r w:rsidRPr="00872817">
        <w:t>1761).</w:t>
      </w:r>
      <w:r>
        <w:t xml:space="preserve">  </w:t>
      </w:r>
    </w:p>
    <w:tbl>
      <w:tblPr>
        <w:tblW w:w="5689" w:type="dxa"/>
        <w:tblInd w:w="89" w:type="dxa"/>
        <w:tblLook w:val="04A0"/>
      </w:tblPr>
      <w:tblGrid>
        <w:gridCol w:w="1639"/>
        <w:gridCol w:w="2160"/>
        <w:gridCol w:w="1890"/>
      </w:tblGrid>
      <w:tr w:rsidR="000F7191" w:rsidRPr="00872817" w:rsidTr="00E82578">
        <w:trPr>
          <w:trHeight w:val="315"/>
        </w:trPr>
        <w:tc>
          <w:tcPr>
            <w:tcW w:w="1639" w:type="dxa"/>
            <w:tcBorders>
              <w:top w:val="single" w:sz="4" w:space="0" w:color="000000"/>
              <w:left w:val="single" w:sz="4" w:space="0" w:color="000000"/>
              <w:bottom w:val="single" w:sz="4" w:space="0" w:color="000000"/>
              <w:right w:val="single" w:sz="4" w:space="0" w:color="000000"/>
            </w:tcBorders>
            <w:shd w:val="clear" w:color="000000" w:fill="D8D8D8"/>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Pin Number</w:t>
            </w:r>
          </w:p>
        </w:tc>
        <w:tc>
          <w:tcPr>
            <w:tcW w:w="2160" w:type="dxa"/>
            <w:tcBorders>
              <w:top w:val="single" w:sz="4" w:space="0" w:color="000000"/>
              <w:left w:val="nil"/>
              <w:bottom w:val="single" w:sz="4" w:space="0" w:color="000000"/>
              <w:right w:val="single" w:sz="4" w:space="0" w:color="000000"/>
            </w:tcBorders>
            <w:shd w:val="clear" w:color="000000" w:fill="D8D8D8"/>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Length (lignes)</w:t>
            </w:r>
          </w:p>
        </w:tc>
        <w:tc>
          <w:tcPr>
            <w:tcW w:w="1890" w:type="dxa"/>
            <w:tcBorders>
              <w:top w:val="single" w:sz="4" w:space="0" w:color="000000"/>
              <w:left w:val="nil"/>
              <w:bottom w:val="single" w:sz="4" w:space="0" w:color="000000"/>
              <w:right w:val="single" w:sz="4" w:space="0" w:color="000000"/>
            </w:tcBorders>
            <w:shd w:val="clear" w:color="000000" w:fill="D8D8D8"/>
            <w:vAlign w:val="bottom"/>
            <w:hideMark/>
          </w:tcPr>
          <w:p w:rsidR="000F7191" w:rsidRPr="00872817" w:rsidRDefault="000F7191" w:rsidP="00E82578">
            <w:pPr>
              <w:jc w:val="center"/>
              <w:rPr>
                <w:rFonts w:eastAsia="Times New Roman"/>
                <w:b/>
                <w:bCs/>
                <w:color w:val="000000"/>
                <w:sz w:val="20"/>
                <w:szCs w:val="20"/>
              </w:rPr>
            </w:pPr>
            <w:r w:rsidRPr="00872817">
              <w:rPr>
                <w:rFonts w:eastAsia="Times New Roman"/>
                <w:b/>
                <w:bCs/>
                <w:color w:val="000000"/>
                <w:sz w:val="20"/>
                <w:szCs w:val="20"/>
              </w:rPr>
              <w:t>Length (mm)</w:t>
            </w:r>
          </w:p>
        </w:tc>
      </w:tr>
      <w:tr w:rsidR="000F7191" w:rsidRPr="00872817" w:rsidTr="00E82578">
        <w:trPr>
          <w:trHeight w:val="300"/>
        </w:trPr>
        <w:tc>
          <w:tcPr>
            <w:tcW w:w="1639" w:type="dxa"/>
            <w:tcBorders>
              <w:top w:val="nil"/>
              <w:left w:val="single" w:sz="4" w:space="0" w:color="000000"/>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5</w:t>
            </w:r>
          </w:p>
        </w:tc>
        <w:tc>
          <w:tcPr>
            <w:tcW w:w="216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8</w:t>
            </w:r>
          </w:p>
        </w:tc>
        <w:tc>
          <w:tcPr>
            <w:tcW w:w="189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18.05</w:t>
            </w:r>
          </w:p>
        </w:tc>
      </w:tr>
      <w:tr w:rsidR="000F7191" w:rsidRPr="00872817" w:rsidTr="00E82578">
        <w:trPr>
          <w:trHeight w:val="300"/>
        </w:trPr>
        <w:tc>
          <w:tcPr>
            <w:tcW w:w="1639" w:type="dxa"/>
            <w:tcBorders>
              <w:top w:val="nil"/>
              <w:left w:val="single" w:sz="4" w:space="0" w:color="000000"/>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6</w:t>
            </w:r>
          </w:p>
        </w:tc>
        <w:tc>
          <w:tcPr>
            <w:tcW w:w="216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9</w:t>
            </w:r>
          </w:p>
        </w:tc>
        <w:tc>
          <w:tcPr>
            <w:tcW w:w="189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20.3</w:t>
            </w:r>
          </w:p>
        </w:tc>
      </w:tr>
      <w:tr w:rsidR="000F7191" w:rsidRPr="00872817" w:rsidTr="00E82578">
        <w:trPr>
          <w:trHeight w:val="300"/>
        </w:trPr>
        <w:tc>
          <w:tcPr>
            <w:tcW w:w="1639" w:type="dxa"/>
            <w:tcBorders>
              <w:top w:val="nil"/>
              <w:left w:val="single" w:sz="4" w:space="0" w:color="000000"/>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7</w:t>
            </w:r>
          </w:p>
        </w:tc>
        <w:tc>
          <w:tcPr>
            <w:tcW w:w="216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10</w:t>
            </w:r>
          </w:p>
        </w:tc>
        <w:tc>
          <w:tcPr>
            <w:tcW w:w="189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22.56</w:t>
            </w:r>
          </w:p>
        </w:tc>
      </w:tr>
      <w:tr w:rsidR="000F7191" w:rsidRPr="00872817" w:rsidTr="00E82578">
        <w:trPr>
          <w:trHeight w:val="300"/>
        </w:trPr>
        <w:tc>
          <w:tcPr>
            <w:tcW w:w="1639" w:type="dxa"/>
            <w:tcBorders>
              <w:top w:val="nil"/>
              <w:left w:val="single" w:sz="4" w:space="0" w:color="000000"/>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8</w:t>
            </w:r>
          </w:p>
        </w:tc>
        <w:tc>
          <w:tcPr>
            <w:tcW w:w="216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11</w:t>
            </w:r>
          </w:p>
        </w:tc>
        <w:tc>
          <w:tcPr>
            <w:tcW w:w="189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24.81</w:t>
            </w:r>
          </w:p>
        </w:tc>
      </w:tr>
      <w:tr w:rsidR="000F7191" w:rsidRPr="00872817" w:rsidTr="00E82578">
        <w:trPr>
          <w:trHeight w:val="300"/>
        </w:trPr>
        <w:tc>
          <w:tcPr>
            <w:tcW w:w="1639" w:type="dxa"/>
            <w:tcBorders>
              <w:top w:val="nil"/>
              <w:left w:val="single" w:sz="4" w:space="0" w:color="000000"/>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10</w:t>
            </w:r>
          </w:p>
        </w:tc>
        <w:tc>
          <w:tcPr>
            <w:tcW w:w="216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11 1/2</w:t>
            </w:r>
          </w:p>
        </w:tc>
        <w:tc>
          <w:tcPr>
            <w:tcW w:w="189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25.94</w:t>
            </w:r>
          </w:p>
        </w:tc>
      </w:tr>
      <w:tr w:rsidR="000F7191" w:rsidRPr="00872817" w:rsidTr="00E82578">
        <w:trPr>
          <w:trHeight w:val="300"/>
        </w:trPr>
        <w:tc>
          <w:tcPr>
            <w:tcW w:w="1639" w:type="dxa"/>
            <w:tcBorders>
              <w:top w:val="nil"/>
              <w:left w:val="single" w:sz="4" w:space="0" w:color="000000"/>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12</w:t>
            </w:r>
          </w:p>
        </w:tc>
        <w:tc>
          <w:tcPr>
            <w:tcW w:w="216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12 1/2</w:t>
            </w:r>
          </w:p>
        </w:tc>
        <w:tc>
          <w:tcPr>
            <w:tcW w:w="189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28.2</w:t>
            </w:r>
          </w:p>
        </w:tc>
      </w:tr>
      <w:tr w:rsidR="000F7191" w:rsidRPr="00872817" w:rsidTr="00E82578">
        <w:trPr>
          <w:trHeight w:val="300"/>
        </w:trPr>
        <w:tc>
          <w:tcPr>
            <w:tcW w:w="1639" w:type="dxa"/>
            <w:tcBorders>
              <w:top w:val="nil"/>
              <w:left w:val="single" w:sz="4" w:space="0" w:color="000000"/>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14</w:t>
            </w:r>
          </w:p>
        </w:tc>
        <w:tc>
          <w:tcPr>
            <w:tcW w:w="216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13</w:t>
            </w:r>
          </w:p>
        </w:tc>
        <w:tc>
          <w:tcPr>
            <w:tcW w:w="189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29.33</w:t>
            </w:r>
          </w:p>
        </w:tc>
      </w:tr>
      <w:tr w:rsidR="000F7191" w:rsidRPr="00872817" w:rsidTr="00E82578">
        <w:trPr>
          <w:trHeight w:val="300"/>
        </w:trPr>
        <w:tc>
          <w:tcPr>
            <w:tcW w:w="1639" w:type="dxa"/>
            <w:tcBorders>
              <w:top w:val="nil"/>
              <w:left w:val="single" w:sz="4" w:space="0" w:color="000000"/>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17</w:t>
            </w:r>
          </w:p>
        </w:tc>
        <w:tc>
          <w:tcPr>
            <w:tcW w:w="216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14</w:t>
            </w:r>
          </w:p>
        </w:tc>
        <w:tc>
          <w:tcPr>
            <w:tcW w:w="189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31.58</w:t>
            </w:r>
          </w:p>
        </w:tc>
      </w:tr>
      <w:tr w:rsidR="000F7191" w:rsidRPr="00872817" w:rsidTr="00E82578">
        <w:trPr>
          <w:trHeight w:val="300"/>
        </w:trPr>
        <w:tc>
          <w:tcPr>
            <w:tcW w:w="1639" w:type="dxa"/>
            <w:tcBorders>
              <w:top w:val="nil"/>
              <w:left w:val="single" w:sz="4" w:space="0" w:color="000000"/>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20</w:t>
            </w:r>
          </w:p>
        </w:tc>
        <w:tc>
          <w:tcPr>
            <w:tcW w:w="216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15</w:t>
            </w:r>
          </w:p>
        </w:tc>
        <w:tc>
          <w:tcPr>
            <w:tcW w:w="189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33.84</w:t>
            </w:r>
          </w:p>
        </w:tc>
      </w:tr>
      <w:tr w:rsidR="000F7191" w:rsidRPr="00872817" w:rsidTr="00E82578">
        <w:trPr>
          <w:trHeight w:val="300"/>
        </w:trPr>
        <w:tc>
          <w:tcPr>
            <w:tcW w:w="1639" w:type="dxa"/>
            <w:tcBorders>
              <w:top w:val="nil"/>
              <w:left w:val="single" w:sz="4" w:space="0" w:color="000000"/>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22</w:t>
            </w:r>
          </w:p>
        </w:tc>
        <w:tc>
          <w:tcPr>
            <w:tcW w:w="216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16</w:t>
            </w:r>
          </w:p>
        </w:tc>
        <w:tc>
          <w:tcPr>
            <w:tcW w:w="1890" w:type="dxa"/>
            <w:tcBorders>
              <w:top w:val="nil"/>
              <w:left w:val="nil"/>
              <w:bottom w:val="single" w:sz="4" w:space="0" w:color="000000"/>
              <w:right w:val="single" w:sz="4" w:space="0" w:color="000000"/>
            </w:tcBorders>
            <w:shd w:val="clear" w:color="auto" w:fill="auto"/>
            <w:vAlign w:val="bottom"/>
            <w:hideMark/>
          </w:tcPr>
          <w:p w:rsidR="000F7191" w:rsidRPr="00872817" w:rsidRDefault="000F7191" w:rsidP="00E82578">
            <w:pPr>
              <w:jc w:val="right"/>
              <w:rPr>
                <w:rFonts w:eastAsia="Times New Roman"/>
                <w:color w:val="000000"/>
                <w:sz w:val="20"/>
                <w:szCs w:val="20"/>
              </w:rPr>
            </w:pPr>
            <w:r w:rsidRPr="00872817">
              <w:rPr>
                <w:rFonts w:eastAsia="Times New Roman"/>
                <w:color w:val="000000"/>
                <w:sz w:val="20"/>
                <w:szCs w:val="20"/>
              </w:rPr>
              <w:t>36.09</w:t>
            </w:r>
          </w:p>
        </w:tc>
      </w:tr>
    </w:tbl>
    <w:p w:rsidR="000F7191" w:rsidRDefault="000F7191" w:rsidP="000F7191">
      <w:pPr>
        <w:ind w:firstLine="720"/>
        <w:rPr>
          <w:b/>
        </w:rPr>
      </w:pPr>
    </w:p>
    <w:p w:rsidR="000F7191" w:rsidRDefault="000F7191" w:rsidP="000F7191">
      <w:pPr>
        <w:ind w:firstLine="720"/>
      </w:pPr>
    </w:p>
    <w:p w:rsidR="000F7191" w:rsidRDefault="000F7191" w:rsidP="000F7191">
      <w:pPr>
        <w:ind w:firstLine="720"/>
      </w:pPr>
    </w:p>
    <w:p w:rsidR="000F7191" w:rsidRDefault="000F7191" w:rsidP="000F7191">
      <w:pPr>
        <w:spacing w:line="480" w:lineRule="auto"/>
        <w:ind w:firstLine="720"/>
      </w:pPr>
      <w:r>
        <w:lastRenderedPageBreak/>
        <w:t xml:space="preserve">Mary Beaudry’s (2006:24, figure 2.1) work on sewing and needlework-related artifacts presents research on pin size, period </w:t>
      </w:r>
      <w:r w:rsidR="001A4394">
        <w:t xml:space="preserve">terminology, and pin function. </w:t>
      </w:r>
      <w:r>
        <w:t>She proposes that lills (or minikens) were the smallest pins, approximately 12mm in length, and were used for fastening c</w:t>
      </w:r>
      <w:r w:rsidR="001A4394">
        <w:t xml:space="preserve">lothes or sewing fine fabrics. </w:t>
      </w:r>
      <w:r>
        <w:t>Short whites (24 to 30mm) and long whites, also possibly known as middlings (30 to 70mm), were the workhorse pins for sewing, while pins of approximately 76mm, variously called blanket, corking, or double long whites, fastened folds of blankets, f</w:t>
      </w:r>
      <w:r w:rsidR="001A4394">
        <w:t xml:space="preserve">abrics, and other furnishings. </w:t>
      </w:r>
      <w:r>
        <w:t xml:space="preserve">Integration of the robust archaeological and documentary datasets on pins at Mount Vernon and in local stores offers a concrete case study upon which to explore this previous research.       </w:t>
      </w:r>
    </w:p>
    <w:p w:rsidR="000F7191" w:rsidRPr="00341B2A" w:rsidRDefault="000F7191" w:rsidP="000F7191">
      <w:pPr>
        <w:spacing w:line="480" w:lineRule="auto"/>
        <w:ind w:firstLine="720"/>
      </w:pPr>
      <w:r>
        <w:t>A</w:t>
      </w:r>
      <w:r w:rsidRPr="00341B2A">
        <w:t>rchaeologists uncovered 1</w:t>
      </w:r>
      <w:r w:rsidR="00FA4B17">
        <w:t>,</w:t>
      </w:r>
      <w:r w:rsidRPr="00341B2A">
        <w:t>201 complete pins and pin fragments made of copper alloy with wound wire heads</w:t>
      </w:r>
      <w:r>
        <w:t>, when present,</w:t>
      </w:r>
      <w:r w:rsidRPr="006D2E93">
        <w:t xml:space="preserve"> </w:t>
      </w:r>
      <w:r w:rsidRPr="00341B2A">
        <w:t>from the South Grove Midden.</w:t>
      </w:r>
      <w:r w:rsidR="001A4394">
        <w:t xml:space="preserve"> </w:t>
      </w:r>
      <w:r w:rsidRPr="00341B2A">
        <w:t>The pin assemblage contains 458 complete pins, 1 head, 309 heads with partial shanks, 257 shanks, and</w:t>
      </w:r>
      <w:r w:rsidR="001A4394">
        <w:t xml:space="preserve"> 176 tips with partial shanks. </w:t>
      </w:r>
      <w:r w:rsidRPr="00341B2A">
        <w:t>The minimum pin count from the midden contexts (calculated by adding up complete pins, heads, and he</w:t>
      </w:r>
      <w:r>
        <w:t>ad</w:t>
      </w:r>
      <w:r w:rsidR="001A4394">
        <w:t xml:space="preserve">s with partial shanks) is 768. </w:t>
      </w:r>
      <w:r w:rsidRPr="00341B2A">
        <w:t xml:space="preserve">Of the 458 complete pins, there are 381 where the lengths and widths (or gauges) could be measured.    </w:t>
      </w:r>
    </w:p>
    <w:p w:rsidR="000F7191" w:rsidRDefault="000F7191" w:rsidP="000F7191">
      <w:pPr>
        <w:spacing w:line="480" w:lineRule="auto"/>
        <w:ind w:firstLine="720"/>
      </w:pPr>
      <w:r>
        <w:t xml:space="preserve">During the cataloguing phase, length was recorded for complete pins according to DAACS protocols to test the hypothesis that the presence of different pin sizes might indicate pin function (as proposed in Beaudry 2006).  Additionally, width or gauge of complete pins was also recorded (not a current cataloguing protocol). Should pin length and width be found to correlate (as hypothesized by Beaudry 2006), then archaeologists could estimate length (and possibly function) based on their more fragmentary assemblages.  </w:t>
      </w:r>
    </w:p>
    <w:p w:rsidR="000F7191" w:rsidRPr="00341B2A" w:rsidRDefault="000F7191" w:rsidP="000F7191">
      <w:pPr>
        <w:spacing w:line="480" w:lineRule="auto"/>
        <w:ind w:firstLine="720"/>
      </w:pPr>
      <w:r>
        <w:t>A</w:t>
      </w:r>
      <w:r w:rsidRPr="00341B2A">
        <w:t xml:space="preserve"> scatterplot</w:t>
      </w:r>
      <w:r>
        <w:t xml:space="preserve"> of width versus length (Figure</w:t>
      </w:r>
      <w:r w:rsidRPr="009F6EE3">
        <w:t xml:space="preserve"> 7-</w:t>
      </w:r>
      <w:r w:rsidR="00482E4F">
        <w:t>18</w:t>
      </w:r>
      <w:r>
        <w:t>) produces</w:t>
      </w:r>
      <w:r w:rsidRPr="00341B2A">
        <w:t xml:space="preserve"> </w:t>
      </w:r>
      <w:r>
        <w:t xml:space="preserve">two </w:t>
      </w:r>
      <w:r w:rsidRPr="00341B2A">
        <w:t>intriguing</w:t>
      </w:r>
      <w:r>
        <w:t xml:space="preserve"> patterns</w:t>
      </w:r>
      <w:r w:rsidR="001A4394">
        <w:t xml:space="preserve">. </w:t>
      </w:r>
      <w:r w:rsidRPr="00341B2A">
        <w:t xml:space="preserve">The individual dots on the graph seem to cluster together into three groups, suggesting that most pins </w:t>
      </w:r>
      <w:r w:rsidRPr="00341B2A">
        <w:lastRenderedPageBreak/>
        <w:t xml:space="preserve">from the midden site fall into three </w:t>
      </w:r>
      <w:r>
        <w:t>unique</w:t>
      </w:r>
      <w:r w:rsidRPr="00341B2A">
        <w:t xml:space="preserve"> size categories</w:t>
      </w:r>
      <w:r>
        <w:t xml:space="preserve"> and that shorter pins had smaller gauges</w:t>
      </w:r>
      <w:r w:rsidRPr="00341B2A">
        <w:t>.</w:t>
      </w:r>
      <w:r w:rsidR="001A4394">
        <w:t xml:space="preserve"> </w:t>
      </w:r>
      <w:r w:rsidRPr="00341B2A">
        <w:t>A histogram (</w:t>
      </w:r>
      <w:r>
        <w:t>Figure</w:t>
      </w:r>
      <w:r w:rsidRPr="009F6EE3">
        <w:t xml:space="preserve"> 7-</w:t>
      </w:r>
      <w:r w:rsidR="00482E4F">
        <w:t>19</w:t>
      </w:r>
      <w:r w:rsidRPr="00341B2A">
        <w:t xml:space="preserve">) showing counts of pins by length </w:t>
      </w:r>
      <w:r>
        <w:t xml:space="preserve">again </w:t>
      </w:r>
      <w:r w:rsidRPr="00341B2A">
        <w:t>yields</w:t>
      </w:r>
      <w:r>
        <w:t xml:space="preserve"> a tri-modal distribution suggesting that there may be three sizes of pins present in the midden’s assemblage.</w:t>
      </w:r>
      <w:r w:rsidRPr="00341B2A">
        <w:t xml:space="preserve">   </w:t>
      </w:r>
    </w:p>
    <w:p w:rsidR="00300B6D" w:rsidRDefault="00300B6D" w:rsidP="00300B6D">
      <w:pPr>
        <w:spacing w:line="480" w:lineRule="auto"/>
        <w:ind w:firstLine="720"/>
      </w:pPr>
      <w:r>
        <w:t>K</w:t>
      </w:r>
      <w:r w:rsidRPr="00EA7408">
        <w:t>-means clustering</w:t>
      </w:r>
      <w:r>
        <w:t xml:space="preserve"> is a method of cluster analysis that uses an algorithm to assign observations to pre-determined clusters based upon the nearest mean (StatSoft 2013). The results of this statistical analysis shows </w:t>
      </w:r>
      <w:r w:rsidRPr="00341B2A">
        <w:t xml:space="preserve">three </w:t>
      </w:r>
      <w:r>
        <w:t xml:space="preserve">discrete </w:t>
      </w:r>
      <w:r w:rsidRPr="00341B2A">
        <w:t>groups of pins</w:t>
      </w:r>
      <w:r>
        <w:t xml:space="preserve"> and associated 95% confidence intervals</w:t>
      </w:r>
      <w:r w:rsidRPr="00341B2A">
        <w:t>: clus</w:t>
      </w:r>
      <w:r>
        <w:t>ter 1 with a mean length of 28</w:t>
      </w:r>
      <w:r w:rsidRPr="00341B2A">
        <w:t>mm; cluster 2 with a mean length of 23mm; and cluster 3 wit</w:t>
      </w:r>
      <w:r>
        <w:t>h a mean length of 18mm (Table</w:t>
      </w:r>
      <w:r w:rsidRPr="00E048E5">
        <w:t xml:space="preserve"> </w:t>
      </w:r>
      <w:r>
        <w:t>7-23</w:t>
      </w:r>
      <w:r w:rsidRPr="00341B2A">
        <w:t>)</w:t>
      </w:r>
      <w:r>
        <w:t xml:space="preserve"> (Miervaldis 2012b). What is compelling about these results is that none of the confidence intervals overlap, suggesting discrete pin types by size. Mean widths appear to correlate to mean lengths. In fact, the correlation of length by width is statistically significant (r=0.776; p=0.000). Therefore, by applying this formula to a minimum pin count (where complete pins and either head/shanks or tip/shanks are selected), complete lengths of fragmentary pins can be estimated if widths are measured:</w:t>
      </w:r>
    </w:p>
    <w:p w:rsidR="00300B6D" w:rsidRPr="00AE180E" w:rsidRDefault="00300B6D" w:rsidP="00300B6D">
      <w:pPr>
        <w:spacing w:line="480" w:lineRule="auto"/>
        <w:jc w:val="center"/>
        <w:rPr>
          <w:i/>
        </w:rPr>
      </w:pPr>
      <w:r w:rsidRPr="00AE180E">
        <w:rPr>
          <w:i/>
        </w:rPr>
        <w:t>Length (mm) = 9.111 + 19.673*Width (mm)</w:t>
      </w:r>
    </w:p>
    <w:p w:rsidR="00300B6D" w:rsidRDefault="00300B6D" w:rsidP="00300B6D">
      <w:pPr>
        <w:spacing w:line="480" w:lineRule="auto"/>
      </w:pPr>
      <w:r>
        <w:t xml:space="preserve">This finding is particularly relevant for sites with statically insignificant sample sizes (generally less than 30 pins) as a way to be able to say more about differential consumption of pins on and between sites. In fact, querying straight pins from DAACS (2012b) yielded only 3 of 48 sites with a robust enough dataset for a k-means cluster analysis: the House for Families (n=118); Fairfield Quarter in Gloucester County, Virginia (n=150); and Building s on Monticello’s Mulberry Row slave complex in Albemarle County, Virginia (n=56). </w:t>
      </w:r>
    </w:p>
    <w:p w:rsidR="000F7191" w:rsidRDefault="000F7191" w:rsidP="000F7191">
      <w:r>
        <w:br w:type="page"/>
      </w:r>
    </w:p>
    <w:p w:rsidR="000F7191" w:rsidRDefault="000F7191" w:rsidP="000F7191">
      <w:r w:rsidRPr="00B42EE6">
        <w:rPr>
          <w:noProof/>
        </w:rPr>
        <w:lastRenderedPageBreak/>
        <w:drawing>
          <wp:inline distT="0" distB="0" distL="0" distR="0">
            <wp:extent cx="5752214" cy="3997842"/>
            <wp:effectExtent l="0" t="0" r="0" b="0"/>
            <wp:docPr id="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0F7191" w:rsidRDefault="00B527AF" w:rsidP="000F7191">
      <w:pPr>
        <w:spacing w:line="480" w:lineRule="auto"/>
      </w:pPr>
      <w:r>
        <w:rPr>
          <w:b/>
        </w:rPr>
        <w:t>Figure 7-18</w:t>
      </w:r>
      <w:r w:rsidR="000F7191" w:rsidRPr="00E838D4">
        <w:rPr>
          <w:b/>
        </w:rPr>
        <w:t xml:space="preserve">. </w:t>
      </w:r>
      <w:r w:rsidR="000F7191" w:rsidRPr="004F662F">
        <w:t>Scatterplot of straight pin measurements from the South Grove Midden.</w:t>
      </w:r>
    </w:p>
    <w:p w:rsidR="000F7191" w:rsidRPr="004F662F" w:rsidRDefault="000F7191" w:rsidP="000F7191">
      <w:pPr>
        <w:spacing w:line="480" w:lineRule="auto"/>
      </w:pPr>
    </w:p>
    <w:p w:rsidR="000F7191" w:rsidRDefault="000F7191" w:rsidP="000F7191">
      <w:r w:rsidRPr="00B42EE6">
        <w:rPr>
          <w:noProof/>
        </w:rPr>
        <w:drawing>
          <wp:inline distT="0" distB="0" distL="0" distR="0">
            <wp:extent cx="5752214" cy="3338623"/>
            <wp:effectExtent l="0" t="0" r="0" b="0"/>
            <wp:docPr id="3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0F7191" w:rsidRPr="00E838D4" w:rsidRDefault="00B527AF" w:rsidP="000F7191">
      <w:pPr>
        <w:rPr>
          <w:b/>
        </w:rPr>
      </w:pPr>
      <w:r>
        <w:rPr>
          <w:b/>
        </w:rPr>
        <w:t>Figure 7-19</w:t>
      </w:r>
      <w:r w:rsidR="000F7191" w:rsidRPr="00E838D4">
        <w:rPr>
          <w:b/>
        </w:rPr>
        <w:t xml:space="preserve">. </w:t>
      </w:r>
      <w:r w:rsidR="000F7191" w:rsidRPr="004F662F">
        <w:t xml:space="preserve">Distribution of straight pin lengths from the South Grove Midden.  </w:t>
      </w:r>
    </w:p>
    <w:p w:rsidR="000F7191" w:rsidRDefault="000F7191" w:rsidP="000F7191"/>
    <w:p w:rsidR="00300B6D" w:rsidRPr="00872031" w:rsidRDefault="00300B6D" w:rsidP="00300B6D">
      <w:pPr>
        <w:spacing w:line="480" w:lineRule="auto"/>
        <w:rPr>
          <w:b/>
        </w:rPr>
      </w:pPr>
      <w:r>
        <w:rPr>
          <w:b/>
        </w:rPr>
        <w:t>Table 7-23</w:t>
      </w:r>
      <w:r w:rsidRPr="00E838D4">
        <w:rPr>
          <w:b/>
        </w:rPr>
        <w:t xml:space="preserve">. </w:t>
      </w:r>
      <w:r w:rsidRPr="004F662F">
        <w:t>K-means cluster analysis on the South Grove Midden pin assemblage.</w:t>
      </w:r>
    </w:p>
    <w:tbl>
      <w:tblPr>
        <w:tblW w:w="9109" w:type="dxa"/>
        <w:tblInd w:w="89" w:type="dxa"/>
        <w:tblLook w:val="04A0"/>
      </w:tblPr>
      <w:tblGrid>
        <w:gridCol w:w="906"/>
        <w:gridCol w:w="550"/>
        <w:gridCol w:w="761"/>
        <w:gridCol w:w="728"/>
        <w:gridCol w:w="905"/>
        <w:gridCol w:w="739"/>
        <w:gridCol w:w="606"/>
        <w:gridCol w:w="606"/>
        <w:gridCol w:w="3308"/>
      </w:tblGrid>
      <w:tr w:rsidR="00300B6D" w:rsidRPr="00872031" w:rsidTr="00300B6D">
        <w:trPr>
          <w:trHeight w:val="315"/>
        </w:trPr>
        <w:tc>
          <w:tcPr>
            <w:tcW w:w="906" w:type="dxa"/>
            <w:tcBorders>
              <w:top w:val="single" w:sz="8" w:space="0" w:color="auto"/>
              <w:left w:val="single" w:sz="8" w:space="0" w:color="auto"/>
              <w:bottom w:val="single" w:sz="8" w:space="0" w:color="auto"/>
              <w:right w:val="single" w:sz="8" w:space="0" w:color="auto"/>
            </w:tcBorders>
            <w:shd w:val="clear" w:color="000000" w:fill="D8D8D8"/>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Cluster</w:t>
            </w:r>
          </w:p>
        </w:tc>
        <w:tc>
          <w:tcPr>
            <w:tcW w:w="550" w:type="dxa"/>
            <w:tcBorders>
              <w:top w:val="single" w:sz="8" w:space="0" w:color="auto"/>
              <w:left w:val="nil"/>
              <w:bottom w:val="single" w:sz="8" w:space="0" w:color="auto"/>
              <w:right w:val="single" w:sz="8" w:space="0" w:color="auto"/>
            </w:tcBorders>
            <w:shd w:val="clear" w:color="000000" w:fill="D8D8D8"/>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n</w:t>
            </w:r>
          </w:p>
        </w:tc>
        <w:tc>
          <w:tcPr>
            <w:tcW w:w="761" w:type="dxa"/>
            <w:tcBorders>
              <w:top w:val="single" w:sz="8" w:space="0" w:color="auto"/>
              <w:left w:val="nil"/>
              <w:bottom w:val="single" w:sz="8" w:space="0" w:color="auto"/>
              <w:right w:val="single" w:sz="8" w:space="0" w:color="auto"/>
            </w:tcBorders>
            <w:shd w:val="clear" w:color="000000" w:fill="D8D8D8"/>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(mm)</w:t>
            </w:r>
          </w:p>
        </w:tc>
        <w:tc>
          <w:tcPr>
            <w:tcW w:w="728" w:type="dxa"/>
            <w:tcBorders>
              <w:top w:val="single" w:sz="8" w:space="0" w:color="auto"/>
              <w:left w:val="nil"/>
              <w:bottom w:val="single" w:sz="8" w:space="0" w:color="auto"/>
              <w:right w:val="single" w:sz="8" w:space="0" w:color="auto"/>
            </w:tcBorders>
            <w:shd w:val="clear" w:color="000000" w:fill="D8D8D8"/>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Mean</w:t>
            </w:r>
          </w:p>
        </w:tc>
        <w:tc>
          <w:tcPr>
            <w:tcW w:w="905" w:type="dxa"/>
            <w:tcBorders>
              <w:top w:val="single" w:sz="8" w:space="0" w:color="auto"/>
              <w:left w:val="nil"/>
              <w:bottom w:val="single" w:sz="8" w:space="0" w:color="auto"/>
              <w:right w:val="single" w:sz="8" w:space="0" w:color="auto"/>
            </w:tcBorders>
            <w:shd w:val="clear" w:color="000000" w:fill="D8D8D8"/>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Median</w:t>
            </w:r>
          </w:p>
        </w:tc>
        <w:tc>
          <w:tcPr>
            <w:tcW w:w="739" w:type="dxa"/>
            <w:tcBorders>
              <w:top w:val="single" w:sz="8" w:space="0" w:color="auto"/>
              <w:left w:val="nil"/>
              <w:bottom w:val="single" w:sz="8" w:space="0" w:color="auto"/>
              <w:right w:val="single" w:sz="8" w:space="0" w:color="auto"/>
            </w:tcBorders>
            <w:shd w:val="clear" w:color="000000" w:fill="D8D8D8"/>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Mode</w:t>
            </w:r>
          </w:p>
        </w:tc>
        <w:tc>
          <w:tcPr>
            <w:tcW w:w="606" w:type="dxa"/>
            <w:tcBorders>
              <w:top w:val="single" w:sz="8" w:space="0" w:color="auto"/>
              <w:left w:val="nil"/>
              <w:bottom w:val="single" w:sz="8" w:space="0" w:color="auto"/>
              <w:right w:val="single" w:sz="8" w:space="0" w:color="auto"/>
            </w:tcBorders>
            <w:shd w:val="clear" w:color="000000" w:fill="D8D8D8"/>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Min</w:t>
            </w:r>
          </w:p>
        </w:tc>
        <w:tc>
          <w:tcPr>
            <w:tcW w:w="606" w:type="dxa"/>
            <w:tcBorders>
              <w:top w:val="single" w:sz="8" w:space="0" w:color="auto"/>
              <w:left w:val="nil"/>
              <w:bottom w:val="single" w:sz="8" w:space="0" w:color="auto"/>
              <w:right w:val="single" w:sz="8" w:space="0" w:color="auto"/>
            </w:tcBorders>
            <w:shd w:val="clear" w:color="000000" w:fill="D8D8D8"/>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Max</w:t>
            </w:r>
          </w:p>
        </w:tc>
        <w:tc>
          <w:tcPr>
            <w:tcW w:w="3308" w:type="dxa"/>
            <w:tcBorders>
              <w:top w:val="single" w:sz="8" w:space="0" w:color="auto"/>
              <w:left w:val="nil"/>
              <w:bottom w:val="single" w:sz="8" w:space="0" w:color="auto"/>
              <w:right w:val="single" w:sz="8" w:space="0" w:color="auto"/>
            </w:tcBorders>
            <w:shd w:val="clear" w:color="000000" w:fill="D8D8D8"/>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95% confidence interval</w:t>
            </w:r>
          </w:p>
        </w:tc>
      </w:tr>
      <w:tr w:rsidR="00300B6D" w:rsidRPr="00872031" w:rsidTr="00300B6D">
        <w:trPr>
          <w:trHeight w:val="300"/>
        </w:trPr>
        <w:tc>
          <w:tcPr>
            <w:tcW w:w="906" w:type="dxa"/>
            <w:vMerge w:val="restart"/>
            <w:tcBorders>
              <w:top w:val="nil"/>
              <w:left w:val="single" w:sz="8" w:space="0" w:color="auto"/>
              <w:bottom w:val="single" w:sz="8" w:space="0" w:color="000000"/>
              <w:right w:val="single" w:sz="8" w:space="0" w:color="auto"/>
            </w:tcBorders>
            <w:shd w:val="clear" w:color="auto" w:fill="auto"/>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1</w:t>
            </w:r>
          </w:p>
        </w:tc>
        <w:tc>
          <w:tcPr>
            <w:tcW w:w="550" w:type="dxa"/>
            <w:vMerge w:val="restart"/>
            <w:tcBorders>
              <w:top w:val="nil"/>
              <w:left w:val="single" w:sz="8" w:space="0" w:color="auto"/>
              <w:bottom w:val="single" w:sz="8" w:space="0" w:color="000000"/>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76</w:t>
            </w:r>
          </w:p>
        </w:tc>
        <w:tc>
          <w:tcPr>
            <w:tcW w:w="761" w:type="dxa"/>
            <w:tcBorders>
              <w:top w:val="nil"/>
              <w:left w:val="nil"/>
              <w:bottom w:val="nil"/>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width</w:t>
            </w:r>
          </w:p>
        </w:tc>
        <w:tc>
          <w:tcPr>
            <w:tcW w:w="728"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0.832</w:t>
            </w:r>
          </w:p>
        </w:tc>
        <w:tc>
          <w:tcPr>
            <w:tcW w:w="905"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0.825</w:t>
            </w:r>
          </w:p>
        </w:tc>
        <w:tc>
          <w:tcPr>
            <w:tcW w:w="739"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0.79</w:t>
            </w:r>
          </w:p>
        </w:tc>
        <w:tc>
          <w:tcPr>
            <w:tcW w:w="606"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0.61</w:t>
            </w:r>
          </w:p>
        </w:tc>
        <w:tc>
          <w:tcPr>
            <w:tcW w:w="606"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1.13</w:t>
            </w:r>
          </w:p>
        </w:tc>
        <w:tc>
          <w:tcPr>
            <w:tcW w:w="3308" w:type="dxa"/>
            <w:tcBorders>
              <w:top w:val="nil"/>
              <w:left w:val="nil"/>
              <w:bottom w:val="nil"/>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+/- 0.023:    0.809 to 0.855 mm</w:t>
            </w:r>
          </w:p>
        </w:tc>
      </w:tr>
      <w:tr w:rsidR="00300B6D" w:rsidRPr="00872031" w:rsidTr="00300B6D">
        <w:trPr>
          <w:trHeight w:val="315"/>
        </w:trPr>
        <w:tc>
          <w:tcPr>
            <w:tcW w:w="906" w:type="dxa"/>
            <w:vMerge/>
            <w:tcBorders>
              <w:top w:val="nil"/>
              <w:left w:val="single" w:sz="8" w:space="0" w:color="auto"/>
              <w:bottom w:val="single" w:sz="8" w:space="0" w:color="000000"/>
              <w:right w:val="single" w:sz="8" w:space="0" w:color="auto"/>
            </w:tcBorders>
            <w:vAlign w:val="center"/>
            <w:hideMark/>
          </w:tcPr>
          <w:p w:rsidR="00300B6D" w:rsidRPr="00872031" w:rsidRDefault="00300B6D" w:rsidP="00300B6D">
            <w:pPr>
              <w:rPr>
                <w:rFonts w:eastAsia="Times New Roman"/>
                <w:b/>
                <w:bCs/>
                <w:color w:val="000000"/>
                <w:sz w:val="20"/>
                <w:szCs w:val="20"/>
              </w:rPr>
            </w:pPr>
          </w:p>
        </w:tc>
        <w:tc>
          <w:tcPr>
            <w:tcW w:w="550" w:type="dxa"/>
            <w:vMerge/>
            <w:tcBorders>
              <w:top w:val="nil"/>
              <w:left w:val="single" w:sz="8" w:space="0" w:color="auto"/>
              <w:bottom w:val="single" w:sz="8" w:space="0" w:color="000000"/>
              <w:right w:val="single" w:sz="8" w:space="0" w:color="auto"/>
            </w:tcBorders>
            <w:vAlign w:val="center"/>
            <w:hideMark/>
          </w:tcPr>
          <w:p w:rsidR="00300B6D" w:rsidRPr="00872031" w:rsidRDefault="00300B6D" w:rsidP="00300B6D">
            <w:pPr>
              <w:rPr>
                <w:rFonts w:eastAsia="Times New Roman"/>
                <w:color w:val="000000"/>
                <w:sz w:val="20"/>
                <w:szCs w:val="20"/>
              </w:rPr>
            </w:pPr>
          </w:p>
        </w:tc>
        <w:tc>
          <w:tcPr>
            <w:tcW w:w="761"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length</w:t>
            </w:r>
          </w:p>
        </w:tc>
        <w:tc>
          <w:tcPr>
            <w:tcW w:w="728" w:type="dxa"/>
            <w:tcBorders>
              <w:top w:val="single" w:sz="4" w:space="0" w:color="auto"/>
              <w:left w:val="nil"/>
              <w:bottom w:val="single" w:sz="8" w:space="0" w:color="auto"/>
              <w:right w:val="single" w:sz="8" w:space="0" w:color="auto"/>
            </w:tcBorders>
            <w:shd w:val="clear" w:color="000000" w:fill="FFFF00"/>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28.28</w:t>
            </w:r>
          </w:p>
        </w:tc>
        <w:tc>
          <w:tcPr>
            <w:tcW w:w="905"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28.365</w:t>
            </w:r>
          </w:p>
        </w:tc>
        <w:tc>
          <w:tcPr>
            <w:tcW w:w="739"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26</w:t>
            </w:r>
          </w:p>
        </w:tc>
        <w:tc>
          <w:tcPr>
            <w:tcW w:w="606"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25.9</w:t>
            </w:r>
          </w:p>
        </w:tc>
        <w:tc>
          <w:tcPr>
            <w:tcW w:w="606"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34</w:t>
            </w:r>
          </w:p>
        </w:tc>
        <w:tc>
          <w:tcPr>
            <w:tcW w:w="3308"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+/- 0.367:  27.913 to 28.647 mm</w:t>
            </w:r>
          </w:p>
        </w:tc>
      </w:tr>
      <w:tr w:rsidR="00300B6D" w:rsidRPr="00872031" w:rsidTr="00300B6D">
        <w:trPr>
          <w:trHeight w:val="300"/>
        </w:trPr>
        <w:tc>
          <w:tcPr>
            <w:tcW w:w="906" w:type="dxa"/>
            <w:vMerge w:val="restart"/>
            <w:tcBorders>
              <w:top w:val="nil"/>
              <w:left w:val="single" w:sz="8" w:space="0" w:color="auto"/>
              <w:bottom w:val="single" w:sz="8" w:space="0" w:color="000000"/>
              <w:right w:val="single" w:sz="8" w:space="0" w:color="auto"/>
            </w:tcBorders>
            <w:shd w:val="clear" w:color="auto" w:fill="auto"/>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2</w:t>
            </w:r>
          </w:p>
        </w:tc>
        <w:tc>
          <w:tcPr>
            <w:tcW w:w="550" w:type="dxa"/>
            <w:vMerge w:val="restart"/>
            <w:tcBorders>
              <w:top w:val="nil"/>
              <w:left w:val="single" w:sz="8" w:space="0" w:color="auto"/>
              <w:bottom w:val="single" w:sz="8" w:space="0" w:color="000000"/>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193</w:t>
            </w:r>
          </w:p>
        </w:tc>
        <w:tc>
          <w:tcPr>
            <w:tcW w:w="761" w:type="dxa"/>
            <w:tcBorders>
              <w:top w:val="nil"/>
              <w:left w:val="nil"/>
              <w:bottom w:val="nil"/>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width</w:t>
            </w:r>
          </w:p>
        </w:tc>
        <w:tc>
          <w:tcPr>
            <w:tcW w:w="728"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0.717</w:t>
            </w:r>
          </w:p>
        </w:tc>
        <w:tc>
          <w:tcPr>
            <w:tcW w:w="905"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0.72</w:t>
            </w:r>
          </w:p>
        </w:tc>
        <w:tc>
          <w:tcPr>
            <w:tcW w:w="739"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0.74</w:t>
            </w:r>
          </w:p>
        </w:tc>
        <w:tc>
          <w:tcPr>
            <w:tcW w:w="606"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0.44</w:t>
            </w:r>
          </w:p>
        </w:tc>
        <w:tc>
          <w:tcPr>
            <w:tcW w:w="606"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1.03</w:t>
            </w:r>
          </w:p>
        </w:tc>
        <w:tc>
          <w:tcPr>
            <w:tcW w:w="3308" w:type="dxa"/>
            <w:tcBorders>
              <w:top w:val="nil"/>
              <w:left w:val="nil"/>
              <w:bottom w:val="nil"/>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+/- 0.015:    0.702 to 0.732 mm</w:t>
            </w:r>
          </w:p>
        </w:tc>
      </w:tr>
      <w:tr w:rsidR="00300B6D" w:rsidRPr="00872031" w:rsidTr="00300B6D">
        <w:trPr>
          <w:trHeight w:val="315"/>
        </w:trPr>
        <w:tc>
          <w:tcPr>
            <w:tcW w:w="906" w:type="dxa"/>
            <w:vMerge/>
            <w:tcBorders>
              <w:top w:val="nil"/>
              <w:left w:val="single" w:sz="8" w:space="0" w:color="auto"/>
              <w:bottom w:val="single" w:sz="8" w:space="0" w:color="000000"/>
              <w:right w:val="single" w:sz="8" w:space="0" w:color="auto"/>
            </w:tcBorders>
            <w:vAlign w:val="center"/>
            <w:hideMark/>
          </w:tcPr>
          <w:p w:rsidR="00300B6D" w:rsidRPr="00872031" w:rsidRDefault="00300B6D" w:rsidP="00300B6D">
            <w:pPr>
              <w:rPr>
                <w:rFonts w:eastAsia="Times New Roman"/>
                <w:b/>
                <w:bCs/>
                <w:color w:val="000000"/>
                <w:sz w:val="20"/>
                <w:szCs w:val="20"/>
              </w:rPr>
            </w:pPr>
          </w:p>
        </w:tc>
        <w:tc>
          <w:tcPr>
            <w:tcW w:w="550" w:type="dxa"/>
            <w:vMerge/>
            <w:tcBorders>
              <w:top w:val="nil"/>
              <w:left w:val="single" w:sz="8" w:space="0" w:color="auto"/>
              <w:bottom w:val="single" w:sz="8" w:space="0" w:color="000000"/>
              <w:right w:val="single" w:sz="8" w:space="0" w:color="auto"/>
            </w:tcBorders>
            <w:vAlign w:val="center"/>
            <w:hideMark/>
          </w:tcPr>
          <w:p w:rsidR="00300B6D" w:rsidRPr="00872031" w:rsidRDefault="00300B6D" w:rsidP="00300B6D">
            <w:pPr>
              <w:rPr>
                <w:rFonts w:eastAsia="Times New Roman"/>
                <w:color w:val="000000"/>
                <w:sz w:val="20"/>
                <w:szCs w:val="20"/>
              </w:rPr>
            </w:pPr>
          </w:p>
        </w:tc>
        <w:tc>
          <w:tcPr>
            <w:tcW w:w="761"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length</w:t>
            </w:r>
          </w:p>
        </w:tc>
        <w:tc>
          <w:tcPr>
            <w:tcW w:w="728" w:type="dxa"/>
            <w:tcBorders>
              <w:top w:val="single" w:sz="4" w:space="0" w:color="auto"/>
              <w:left w:val="nil"/>
              <w:bottom w:val="single" w:sz="8" w:space="0" w:color="auto"/>
              <w:right w:val="single" w:sz="8" w:space="0" w:color="auto"/>
            </w:tcBorders>
            <w:shd w:val="clear" w:color="000000" w:fill="FFFF00"/>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22.99</w:t>
            </w:r>
          </w:p>
        </w:tc>
        <w:tc>
          <w:tcPr>
            <w:tcW w:w="905"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23</w:t>
            </w:r>
          </w:p>
        </w:tc>
        <w:tc>
          <w:tcPr>
            <w:tcW w:w="739"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23</w:t>
            </w:r>
          </w:p>
        </w:tc>
        <w:tc>
          <w:tcPr>
            <w:tcW w:w="606"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20.6</w:t>
            </w:r>
          </w:p>
        </w:tc>
        <w:tc>
          <w:tcPr>
            <w:tcW w:w="606"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25.5</w:t>
            </w:r>
          </w:p>
        </w:tc>
        <w:tc>
          <w:tcPr>
            <w:tcW w:w="3308"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+/- 0.152:  22.837 to 23.141 mm</w:t>
            </w:r>
          </w:p>
        </w:tc>
      </w:tr>
      <w:tr w:rsidR="00300B6D" w:rsidRPr="00872031" w:rsidTr="00300B6D">
        <w:trPr>
          <w:trHeight w:val="300"/>
        </w:trPr>
        <w:tc>
          <w:tcPr>
            <w:tcW w:w="906" w:type="dxa"/>
            <w:vMerge w:val="restart"/>
            <w:tcBorders>
              <w:top w:val="nil"/>
              <w:left w:val="single" w:sz="8" w:space="0" w:color="auto"/>
              <w:bottom w:val="single" w:sz="8" w:space="0" w:color="000000"/>
              <w:right w:val="single" w:sz="8" w:space="0" w:color="auto"/>
            </w:tcBorders>
            <w:shd w:val="clear" w:color="auto" w:fill="auto"/>
            <w:vAlign w:val="center"/>
            <w:hideMark/>
          </w:tcPr>
          <w:p w:rsidR="00300B6D" w:rsidRPr="00872031" w:rsidRDefault="00300B6D" w:rsidP="00300B6D">
            <w:pPr>
              <w:jc w:val="center"/>
              <w:rPr>
                <w:rFonts w:eastAsia="Times New Roman"/>
                <w:b/>
                <w:bCs/>
                <w:color w:val="000000"/>
                <w:sz w:val="20"/>
                <w:szCs w:val="20"/>
              </w:rPr>
            </w:pPr>
            <w:r w:rsidRPr="00872031">
              <w:rPr>
                <w:rFonts w:eastAsia="Times New Roman"/>
                <w:b/>
                <w:bCs/>
                <w:color w:val="000000"/>
                <w:sz w:val="20"/>
                <w:szCs w:val="20"/>
              </w:rPr>
              <w:t>3</w:t>
            </w:r>
          </w:p>
        </w:tc>
        <w:tc>
          <w:tcPr>
            <w:tcW w:w="550" w:type="dxa"/>
            <w:vMerge w:val="restart"/>
            <w:tcBorders>
              <w:top w:val="nil"/>
              <w:left w:val="single" w:sz="8" w:space="0" w:color="auto"/>
              <w:bottom w:val="single" w:sz="8" w:space="0" w:color="000000"/>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112</w:t>
            </w:r>
          </w:p>
        </w:tc>
        <w:tc>
          <w:tcPr>
            <w:tcW w:w="761" w:type="dxa"/>
            <w:tcBorders>
              <w:top w:val="nil"/>
              <w:left w:val="nil"/>
              <w:bottom w:val="nil"/>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width</w:t>
            </w:r>
          </w:p>
        </w:tc>
        <w:tc>
          <w:tcPr>
            <w:tcW w:w="728"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0.53</w:t>
            </w:r>
          </w:p>
        </w:tc>
        <w:tc>
          <w:tcPr>
            <w:tcW w:w="905"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0.535</w:t>
            </w:r>
          </w:p>
        </w:tc>
        <w:tc>
          <w:tcPr>
            <w:tcW w:w="739"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0.48</w:t>
            </w:r>
          </w:p>
        </w:tc>
        <w:tc>
          <w:tcPr>
            <w:tcW w:w="606"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0.3</w:t>
            </w:r>
          </w:p>
        </w:tc>
        <w:tc>
          <w:tcPr>
            <w:tcW w:w="606" w:type="dxa"/>
            <w:tcBorders>
              <w:top w:val="nil"/>
              <w:left w:val="nil"/>
              <w:bottom w:val="nil"/>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0.78</w:t>
            </w:r>
          </w:p>
        </w:tc>
        <w:tc>
          <w:tcPr>
            <w:tcW w:w="3308" w:type="dxa"/>
            <w:tcBorders>
              <w:top w:val="nil"/>
              <w:left w:val="nil"/>
              <w:bottom w:val="nil"/>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+/- 0.016:    0.514 to 0.546 mm</w:t>
            </w:r>
          </w:p>
        </w:tc>
      </w:tr>
      <w:tr w:rsidR="00300B6D" w:rsidRPr="00872031" w:rsidTr="00300B6D">
        <w:trPr>
          <w:trHeight w:val="315"/>
        </w:trPr>
        <w:tc>
          <w:tcPr>
            <w:tcW w:w="906" w:type="dxa"/>
            <w:vMerge/>
            <w:tcBorders>
              <w:top w:val="nil"/>
              <w:left w:val="single" w:sz="8" w:space="0" w:color="auto"/>
              <w:bottom w:val="single" w:sz="8" w:space="0" w:color="000000"/>
              <w:right w:val="single" w:sz="8" w:space="0" w:color="auto"/>
            </w:tcBorders>
            <w:vAlign w:val="center"/>
            <w:hideMark/>
          </w:tcPr>
          <w:p w:rsidR="00300B6D" w:rsidRPr="00872031" w:rsidRDefault="00300B6D" w:rsidP="00300B6D">
            <w:pPr>
              <w:rPr>
                <w:rFonts w:eastAsia="Times New Roman"/>
                <w:b/>
                <w:bCs/>
                <w:color w:val="000000"/>
                <w:sz w:val="20"/>
                <w:szCs w:val="20"/>
              </w:rPr>
            </w:pPr>
          </w:p>
        </w:tc>
        <w:tc>
          <w:tcPr>
            <w:tcW w:w="550" w:type="dxa"/>
            <w:vMerge/>
            <w:tcBorders>
              <w:top w:val="nil"/>
              <w:left w:val="single" w:sz="8" w:space="0" w:color="auto"/>
              <w:bottom w:val="single" w:sz="8" w:space="0" w:color="000000"/>
              <w:right w:val="single" w:sz="8" w:space="0" w:color="auto"/>
            </w:tcBorders>
            <w:vAlign w:val="center"/>
            <w:hideMark/>
          </w:tcPr>
          <w:p w:rsidR="00300B6D" w:rsidRPr="00872031" w:rsidRDefault="00300B6D" w:rsidP="00300B6D">
            <w:pPr>
              <w:rPr>
                <w:rFonts w:eastAsia="Times New Roman"/>
                <w:color w:val="000000"/>
                <w:sz w:val="20"/>
                <w:szCs w:val="20"/>
              </w:rPr>
            </w:pPr>
          </w:p>
        </w:tc>
        <w:tc>
          <w:tcPr>
            <w:tcW w:w="761"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length</w:t>
            </w:r>
          </w:p>
        </w:tc>
        <w:tc>
          <w:tcPr>
            <w:tcW w:w="728" w:type="dxa"/>
            <w:tcBorders>
              <w:top w:val="single" w:sz="4" w:space="0" w:color="auto"/>
              <w:left w:val="nil"/>
              <w:bottom w:val="single" w:sz="8" w:space="0" w:color="auto"/>
              <w:right w:val="single" w:sz="8" w:space="0" w:color="auto"/>
            </w:tcBorders>
            <w:shd w:val="clear" w:color="000000" w:fill="FFFF00"/>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18.03</w:t>
            </w:r>
          </w:p>
        </w:tc>
        <w:tc>
          <w:tcPr>
            <w:tcW w:w="905"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18.04</w:t>
            </w:r>
          </w:p>
        </w:tc>
        <w:tc>
          <w:tcPr>
            <w:tcW w:w="739"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17</w:t>
            </w:r>
          </w:p>
        </w:tc>
        <w:tc>
          <w:tcPr>
            <w:tcW w:w="606"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13.1</w:t>
            </w:r>
          </w:p>
        </w:tc>
        <w:tc>
          <w:tcPr>
            <w:tcW w:w="606"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jc w:val="right"/>
              <w:rPr>
                <w:rFonts w:eastAsia="Times New Roman"/>
                <w:color w:val="000000"/>
                <w:sz w:val="20"/>
                <w:szCs w:val="20"/>
              </w:rPr>
            </w:pPr>
            <w:r w:rsidRPr="00872031">
              <w:rPr>
                <w:rFonts w:eastAsia="Times New Roman"/>
                <w:color w:val="000000"/>
                <w:sz w:val="20"/>
                <w:szCs w:val="20"/>
              </w:rPr>
              <w:t>20.3</w:t>
            </w:r>
          </w:p>
        </w:tc>
        <w:tc>
          <w:tcPr>
            <w:tcW w:w="3308" w:type="dxa"/>
            <w:tcBorders>
              <w:top w:val="single" w:sz="4" w:space="0" w:color="auto"/>
              <w:left w:val="nil"/>
              <w:bottom w:val="single" w:sz="8" w:space="0" w:color="auto"/>
              <w:right w:val="single" w:sz="8" w:space="0" w:color="auto"/>
            </w:tcBorders>
            <w:shd w:val="clear" w:color="auto" w:fill="auto"/>
            <w:vAlign w:val="center"/>
            <w:hideMark/>
          </w:tcPr>
          <w:p w:rsidR="00300B6D" w:rsidRPr="00872031" w:rsidRDefault="00300B6D" w:rsidP="00300B6D">
            <w:pPr>
              <w:rPr>
                <w:rFonts w:eastAsia="Times New Roman"/>
                <w:color w:val="000000"/>
                <w:sz w:val="20"/>
                <w:szCs w:val="20"/>
              </w:rPr>
            </w:pPr>
            <w:r w:rsidRPr="00872031">
              <w:rPr>
                <w:rFonts w:eastAsia="Times New Roman"/>
                <w:color w:val="000000"/>
                <w:sz w:val="20"/>
                <w:szCs w:val="20"/>
              </w:rPr>
              <w:t>+/- 0.219:  17.808 to 18.246 mm</w:t>
            </w:r>
          </w:p>
        </w:tc>
      </w:tr>
    </w:tbl>
    <w:p w:rsidR="00300B6D" w:rsidRDefault="00300B6D" w:rsidP="00300B6D"/>
    <w:p w:rsidR="00300B6D" w:rsidRDefault="00300B6D" w:rsidP="00300B6D"/>
    <w:p w:rsidR="00300B6D" w:rsidRDefault="00300B6D" w:rsidP="00300B6D">
      <w:pPr>
        <w:ind w:firstLine="720"/>
      </w:pPr>
    </w:p>
    <w:p w:rsidR="000F7191" w:rsidRDefault="000F7191" w:rsidP="000F7191">
      <w:pPr>
        <w:spacing w:line="480" w:lineRule="auto"/>
        <w:ind w:firstLine="720"/>
      </w:pPr>
      <w:r>
        <w:t>F</w:t>
      </w:r>
      <w:r w:rsidRPr="00341B2A">
        <w:t>rom 1760 through the beginning of the Revolutionary War, George Washington ordere</w:t>
      </w:r>
      <w:r>
        <w:t>d a staggering 90,000 straight pins (Mount Vernon Archaeology Department 2012a).</w:t>
      </w:r>
      <w:r w:rsidR="001A4394">
        <w:t xml:space="preserve"> </w:t>
      </w:r>
      <w:r w:rsidRPr="009F6EE3">
        <w:t>Figure 7-</w:t>
      </w:r>
      <w:r w:rsidR="00482E4F">
        <w:t>20</w:t>
      </w:r>
      <w:r w:rsidRPr="00341B2A">
        <w:t xml:space="preserve"> tracks Washington’s ord</w:t>
      </w:r>
      <w:r w:rsidR="001A4394">
        <w:t xml:space="preserve">ers for straight pins by year. </w:t>
      </w:r>
      <w:r>
        <w:t>T</w:t>
      </w:r>
      <w:r w:rsidRPr="00341B2A">
        <w:t xml:space="preserve">otal pin count for each year </w:t>
      </w:r>
      <w:r>
        <w:t xml:space="preserve">can be calculated </w:t>
      </w:r>
      <w:r w:rsidRPr="00341B2A">
        <w:t xml:space="preserve">except </w:t>
      </w:r>
      <w:r>
        <w:t xml:space="preserve">in 1765 </w:t>
      </w:r>
      <w:r w:rsidRPr="00341B2A">
        <w:t>when he r</w:t>
      </w:r>
      <w:r>
        <w:t>equested</w:t>
      </w:r>
      <w:r w:rsidRPr="00341B2A">
        <w:t xml:space="preserve"> pounds of pins </w:t>
      </w:r>
      <w:r>
        <w:t>(1 ½) as opposed to counts</w:t>
      </w:r>
      <w:r w:rsidRPr="00341B2A">
        <w:t>.  South Grove pins weigh an average of 0.1 grams; therefore, this order was probably around 6,800</w:t>
      </w:r>
      <w:r>
        <w:t xml:space="preserve"> pins</w:t>
      </w:r>
      <w:r w:rsidRPr="00341B2A">
        <w:t>.</w:t>
      </w:r>
      <w:r>
        <w:t xml:space="preserve"> </w:t>
      </w:r>
      <w:r w:rsidRPr="00341B2A">
        <w:t>The other interesting details captured in the requests for pins are the names George Wa</w:t>
      </w:r>
      <w:r>
        <w:t xml:space="preserve">shington </w:t>
      </w:r>
      <w:r w:rsidR="001A4394">
        <w:t xml:space="preserve">used for them. </w:t>
      </w:r>
      <w:r w:rsidRPr="00E048E5">
        <w:t>Table 7-</w:t>
      </w:r>
      <w:r>
        <w:t>24</w:t>
      </w:r>
      <w:r w:rsidRPr="00341B2A">
        <w:t xml:space="preserve"> presents a list of pin types ordered by Washington for each year</w:t>
      </w:r>
      <w:r>
        <w:t xml:space="preserve">, with </w:t>
      </w:r>
      <w:r w:rsidRPr="00341B2A">
        <w:t xml:space="preserve">the terms </w:t>
      </w:r>
      <w:r>
        <w:t xml:space="preserve">lined </w:t>
      </w:r>
      <w:r w:rsidRPr="00341B2A">
        <w:t xml:space="preserve">up </w:t>
      </w:r>
      <w:r w:rsidR="001A4394">
        <w:t xml:space="preserve">to show consistency over time. </w:t>
      </w:r>
      <w:r>
        <w:t>Terms “c</w:t>
      </w:r>
      <w:r w:rsidRPr="00341B2A">
        <w:t>orking pins</w:t>
      </w:r>
      <w:r>
        <w:t>”</w:t>
      </w:r>
      <w:r w:rsidRPr="00341B2A">
        <w:t xml:space="preserve"> and </w:t>
      </w:r>
      <w:r>
        <w:t>“</w:t>
      </w:r>
      <w:r w:rsidRPr="00341B2A">
        <w:t>large whites</w:t>
      </w:r>
      <w:r>
        <w:t>”</w:t>
      </w:r>
      <w:r w:rsidRPr="00341B2A">
        <w:t xml:space="preserve"> </w:t>
      </w:r>
      <w:r>
        <w:t>appear to have been interchangeable – on occasion when Washington asked</w:t>
      </w:r>
      <w:r w:rsidRPr="00341B2A">
        <w:t xml:space="preserve"> for large whites, he </w:t>
      </w:r>
      <w:r>
        <w:t>received</w:t>
      </w:r>
      <w:r w:rsidR="001A4394">
        <w:t xml:space="preserve"> corking pins.</w:t>
      </w:r>
      <w:r>
        <w:t xml:space="preserve"> Corking pins and short whites we</w:t>
      </w:r>
      <w:r w:rsidRPr="00341B2A">
        <w:t xml:space="preserve">re the most consistently ordered type followed by miniken </w:t>
      </w:r>
      <w:r>
        <w:t xml:space="preserve">and then middling.  </w:t>
      </w:r>
    </w:p>
    <w:p w:rsidR="000F7191" w:rsidRDefault="000F7191" w:rsidP="000F7191">
      <w:pPr>
        <w:spacing w:line="480" w:lineRule="auto"/>
        <w:ind w:firstLine="720"/>
      </w:pPr>
      <w:r>
        <w:t>What is fascinating about the pins coming to Mount Vernon by the thousands is that though there may have been some inconsistency in terminology, Washington never ordered more than three types of pins – the same number of clusters visib</w:t>
      </w:r>
      <w:r w:rsidR="001A4394">
        <w:t xml:space="preserve">le in the archaeological data. </w:t>
      </w:r>
      <w:r>
        <w:t xml:space="preserve">Combining the historical and archaeological records at Mount Vernon allows us to tentatively identify specific pin </w:t>
      </w:r>
      <w:r w:rsidR="001A4394">
        <w:t xml:space="preserve">types by size. </w:t>
      </w:r>
      <w:r>
        <w:t xml:space="preserve">Could the longest midden pin cluster with a mean length of </w:t>
      </w:r>
      <w:r>
        <w:lastRenderedPageBreak/>
        <w:t>28mm have been the corking pins to which George Washington and his factors referred while the short whites measured 23mm and</w:t>
      </w:r>
      <w:r w:rsidR="001A4394">
        <w:t xml:space="preserve"> the minikens 18mm on average? </w:t>
      </w:r>
      <w:r>
        <w:t xml:space="preserve">This stands in contrast to Beaudry’s (2006:24, </w:t>
      </w:r>
      <w:r w:rsidR="001A4394">
        <w:t xml:space="preserve">figure 2.1) typology, however. </w:t>
      </w:r>
      <w:r>
        <w:t>Comparative research in documentary sources and on other archaeological sites and the presence of pin sizes not found in the midden assemblage or in the invoices and orders dataset will allow us to be able to further explore this hypothesis.</w:t>
      </w:r>
    </w:p>
    <w:p w:rsidR="000F7191" w:rsidRDefault="000F7191" w:rsidP="000F7191"/>
    <w:p w:rsidR="000F7191" w:rsidRPr="00341B2A" w:rsidRDefault="000F7191" w:rsidP="000F7191">
      <w:pPr>
        <w:ind w:firstLine="720"/>
      </w:pPr>
    </w:p>
    <w:p w:rsidR="000F7191" w:rsidRDefault="000F7191" w:rsidP="000F7191">
      <w:r w:rsidRPr="00BC39D4">
        <w:rPr>
          <w:noProof/>
        </w:rPr>
        <w:drawing>
          <wp:inline distT="0" distB="0" distL="0" distR="0">
            <wp:extent cx="4876800" cy="2743200"/>
            <wp:effectExtent l="0" t="0" r="0" b="0"/>
            <wp:docPr id="3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0F7191" w:rsidRDefault="00B527AF" w:rsidP="000F7191">
      <w:r>
        <w:rPr>
          <w:b/>
        </w:rPr>
        <w:t>Figure 7-20</w:t>
      </w:r>
      <w:r w:rsidR="000F7191" w:rsidRPr="00E838D4">
        <w:rPr>
          <w:b/>
        </w:rPr>
        <w:t xml:space="preserve">. </w:t>
      </w:r>
      <w:r w:rsidR="000F7191" w:rsidRPr="004F662F">
        <w:t>George Washington’s orders for straight pins.</w:t>
      </w:r>
    </w:p>
    <w:p w:rsidR="000F7191" w:rsidRDefault="000F7191" w:rsidP="000F7191"/>
    <w:p w:rsidR="000F7191" w:rsidRDefault="000F7191" w:rsidP="000F7191"/>
    <w:p w:rsidR="000F7191" w:rsidRDefault="000F7191" w:rsidP="000F7191"/>
    <w:p w:rsidR="000F7191" w:rsidRPr="004F662F" w:rsidRDefault="000F7191" w:rsidP="000F7191">
      <w:pPr>
        <w:rPr>
          <w:b/>
        </w:rPr>
      </w:pPr>
      <w:r>
        <w:rPr>
          <w:b/>
        </w:rPr>
        <w:t>Table 7-24</w:t>
      </w:r>
      <w:r w:rsidRPr="00E838D4">
        <w:rPr>
          <w:b/>
        </w:rPr>
        <w:t xml:space="preserve">. </w:t>
      </w:r>
      <w:r w:rsidRPr="004F662F">
        <w:t xml:space="preserve">Types of straight pins ordered by George Washington.  </w:t>
      </w:r>
    </w:p>
    <w:tbl>
      <w:tblPr>
        <w:tblW w:w="5842" w:type="dxa"/>
        <w:tblInd w:w="103" w:type="dxa"/>
        <w:tblLook w:val="04A0"/>
      </w:tblPr>
      <w:tblGrid>
        <w:gridCol w:w="960"/>
        <w:gridCol w:w="1609"/>
        <w:gridCol w:w="1392"/>
        <w:gridCol w:w="906"/>
        <w:gridCol w:w="975"/>
      </w:tblGrid>
      <w:tr w:rsidR="000F7191" w:rsidRPr="004F662F" w:rsidTr="00E82578">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0F7191" w:rsidRPr="004F662F" w:rsidRDefault="000F7191" w:rsidP="00E82578">
            <w:pPr>
              <w:jc w:val="center"/>
              <w:rPr>
                <w:rFonts w:eastAsia="Times New Roman"/>
                <w:b/>
                <w:bCs/>
                <w:color w:val="000000"/>
                <w:sz w:val="20"/>
                <w:szCs w:val="20"/>
              </w:rPr>
            </w:pPr>
            <w:r w:rsidRPr="004F662F">
              <w:rPr>
                <w:rFonts w:eastAsia="Times New Roman"/>
                <w:b/>
                <w:bCs/>
                <w:color w:val="000000"/>
                <w:sz w:val="20"/>
                <w:szCs w:val="20"/>
              </w:rPr>
              <w:t>Year</w:t>
            </w:r>
          </w:p>
        </w:tc>
        <w:tc>
          <w:tcPr>
            <w:tcW w:w="4882" w:type="dxa"/>
            <w:gridSpan w:val="4"/>
            <w:tcBorders>
              <w:top w:val="single" w:sz="4" w:space="0" w:color="auto"/>
              <w:left w:val="nil"/>
              <w:bottom w:val="single" w:sz="4" w:space="0" w:color="auto"/>
              <w:right w:val="single" w:sz="4" w:space="0" w:color="auto"/>
            </w:tcBorders>
            <w:shd w:val="clear" w:color="000000" w:fill="D8D8D8"/>
            <w:noWrap/>
            <w:vAlign w:val="bottom"/>
            <w:hideMark/>
          </w:tcPr>
          <w:p w:rsidR="000F7191" w:rsidRPr="004F662F" w:rsidRDefault="000F7191" w:rsidP="00E82578">
            <w:pPr>
              <w:jc w:val="center"/>
              <w:rPr>
                <w:rFonts w:eastAsia="Times New Roman"/>
                <w:b/>
                <w:bCs/>
                <w:color w:val="000000"/>
                <w:sz w:val="20"/>
                <w:szCs w:val="20"/>
              </w:rPr>
            </w:pPr>
            <w:r w:rsidRPr="004F662F">
              <w:rPr>
                <w:rFonts w:eastAsia="Times New Roman"/>
                <w:b/>
                <w:bCs/>
                <w:color w:val="000000"/>
                <w:sz w:val="20"/>
                <w:szCs w:val="20"/>
              </w:rPr>
              <w:t>Pin Size</w:t>
            </w:r>
          </w:p>
        </w:tc>
      </w:tr>
      <w:tr w:rsidR="000F7191" w:rsidRPr="004F662F" w:rsidTr="00E825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color w:val="000000"/>
                <w:sz w:val="20"/>
                <w:szCs w:val="20"/>
              </w:rPr>
            </w:pPr>
            <w:r w:rsidRPr="004F662F">
              <w:rPr>
                <w:rFonts w:eastAsia="Times New Roman"/>
                <w:color w:val="000000"/>
                <w:sz w:val="20"/>
                <w:szCs w:val="20"/>
              </w:rPr>
              <w:t>1759</w:t>
            </w:r>
          </w:p>
        </w:tc>
        <w:tc>
          <w:tcPr>
            <w:tcW w:w="1609"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corking</w:t>
            </w:r>
          </w:p>
        </w:tc>
        <w:tc>
          <w:tcPr>
            <w:tcW w:w="1392"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short whites</w:t>
            </w:r>
          </w:p>
        </w:tc>
        <w:tc>
          <w:tcPr>
            <w:tcW w:w="906"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miniken</w:t>
            </w:r>
          </w:p>
        </w:tc>
        <w:tc>
          <w:tcPr>
            <w:tcW w:w="97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r>
      <w:tr w:rsidR="000F7191" w:rsidRPr="004F662F" w:rsidTr="00E825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color w:val="000000"/>
                <w:sz w:val="20"/>
                <w:szCs w:val="20"/>
              </w:rPr>
            </w:pPr>
            <w:r w:rsidRPr="004F662F">
              <w:rPr>
                <w:rFonts w:eastAsia="Times New Roman"/>
                <w:color w:val="000000"/>
                <w:sz w:val="20"/>
                <w:szCs w:val="20"/>
              </w:rPr>
              <w:t>1760</w:t>
            </w:r>
          </w:p>
        </w:tc>
        <w:tc>
          <w:tcPr>
            <w:tcW w:w="1609"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large whites</w:t>
            </w:r>
          </w:p>
        </w:tc>
        <w:tc>
          <w:tcPr>
            <w:tcW w:w="1392"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short whites</w:t>
            </w:r>
          </w:p>
        </w:tc>
        <w:tc>
          <w:tcPr>
            <w:tcW w:w="906"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miniken</w:t>
            </w:r>
          </w:p>
        </w:tc>
        <w:tc>
          <w:tcPr>
            <w:tcW w:w="97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r>
      <w:tr w:rsidR="000F7191" w:rsidRPr="004F662F" w:rsidTr="00E825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color w:val="000000"/>
                <w:sz w:val="20"/>
                <w:szCs w:val="20"/>
              </w:rPr>
            </w:pPr>
            <w:r w:rsidRPr="004F662F">
              <w:rPr>
                <w:rFonts w:eastAsia="Times New Roman"/>
                <w:color w:val="000000"/>
                <w:sz w:val="20"/>
                <w:szCs w:val="20"/>
              </w:rPr>
              <w:t>1761</w:t>
            </w:r>
          </w:p>
        </w:tc>
        <w:tc>
          <w:tcPr>
            <w:tcW w:w="1609"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corkg whites</w:t>
            </w:r>
          </w:p>
        </w:tc>
        <w:tc>
          <w:tcPr>
            <w:tcW w:w="1392"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short whites</w:t>
            </w:r>
          </w:p>
        </w:tc>
        <w:tc>
          <w:tcPr>
            <w:tcW w:w="906"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miniken</w:t>
            </w:r>
          </w:p>
        </w:tc>
        <w:tc>
          <w:tcPr>
            <w:tcW w:w="97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r>
      <w:tr w:rsidR="000F7191" w:rsidRPr="004F662F" w:rsidTr="00E825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color w:val="000000"/>
                <w:sz w:val="20"/>
                <w:szCs w:val="20"/>
              </w:rPr>
            </w:pPr>
            <w:r w:rsidRPr="004F662F">
              <w:rPr>
                <w:rFonts w:eastAsia="Times New Roman"/>
                <w:color w:val="000000"/>
                <w:sz w:val="20"/>
                <w:szCs w:val="20"/>
              </w:rPr>
              <w:t>1765</w:t>
            </w:r>
          </w:p>
        </w:tc>
        <w:tc>
          <w:tcPr>
            <w:tcW w:w="1609"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[not specified]</w:t>
            </w:r>
          </w:p>
        </w:tc>
        <w:tc>
          <w:tcPr>
            <w:tcW w:w="1392"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c>
          <w:tcPr>
            <w:tcW w:w="906"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c>
          <w:tcPr>
            <w:tcW w:w="97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r>
      <w:tr w:rsidR="000F7191" w:rsidRPr="004F662F" w:rsidTr="00E825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color w:val="000000"/>
                <w:sz w:val="20"/>
                <w:szCs w:val="20"/>
              </w:rPr>
            </w:pPr>
            <w:r w:rsidRPr="004F662F">
              <w:rPr>
                <w:rFonts w:eastAsia="Times New Roman"/>
                <w:color w:val="000000"/>
                <w:sz w:val="20"/>
                <w:szCs w:val="20"/>
              </w:rPr>
              <w:t>1766</w:t>
            </w:r>
          </w:p>
        </w:tc>
        <w:tc>
          <w:tcPr>
            <w:tcW w:w="1609"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c>
          <w:tcPr>
            <w:tcW w:w="1392"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short whites</w:t>
            </w:r>
          </w:p>
        </w:tc>
        <w:tc>
          <w:tcPr>
            <w:tcW w:w="906"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c>
          <w:tcPr>
            <w:tcW w:w="97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r>
      <w:tr w:rsidR="000F7191" w:rsidRPr="004F662F" w:rsidTr="00E825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color w:val="000000"/>
                <w:sz w:val="20"/>
                <w:szCs w:val="20"/>
              </w:rPr>
            </w:pPr>
            <w:r w:rsidRPr="004F662F">
              <w:rPr>
                <w:rFonts w:eastAsia="Times New Roman"/>
                <w:color w:val="000000"/>
                <w:sz w:val="20"/>
                <w:szCs w:val="20"/>
              </w:rPr>
              <w:t>1768</w:t>
            </w:r>
          </w:p>
        </w:tc>
        <w:tc>
          <w:tcPr>
            <w:tcW w:w="1609"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corking</w:t>
            </w:r>
          </w:p>
        </w:tc>
        <w:tc>
          <w:tcPr>
            <w:tcW w:w="1392"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short whites</w:t>
            </w:r>
          </w:p>
        </w:tc>
        <w:tc>
          <w:tcPr>
            <w:tcW w:w="906"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c>
          <w:tcPr>
            <w:tcW w:w="97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r>
      <w:tr w:rsidR="000F7191" w:rsidRPr="004F662F" w:rsidTr="00E825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color w:val="000000"/>
                <w:sz w:val="20"/>
                <w:szCs w:val="20"/>
              </w:rPr>
            </w:pPr>
            <w:r w:rsidRPr="004F662F">
              <w:rPr>
                <w:rFonts w:eastAsia="Times New Roman"/>
                <w:color w:val="000000"/>
                <w:sz w:val="20"/>
                <w:szCs w:val="20"/>
              </w:rPr>
              <w:t>1769</w:t>
            </w:r>
          </w:p>
        </w:tc>
        <w:tc>
          <w:tcPr>
            <w:tcW w:w="1609"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xml:space="preserve">corkg  </w:t>
            </w:r>
          </w:p>
        </w:tc>
        <w:tc>
          <w:tcPr>
            <w:tcW w:w="1392"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short whites</w:t>
            </w:r>
          </w:p>
        </w:tc>
        <w:tc>
          <w:tcPr>
            <w:tcW w:w="906"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minikin</w:t>
            </w:r>
          </w:p>
        </w:tc>
        <w:tc>
          <w:tcPr>
            <w:tcW w:w="97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r>
      <w:tr w:rsidR="000F7191" w:rsidRPr="004F662F" w:rsidTr="00E825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color w:val="000000"/>
                <w:sz w:val="20"/>
                <w:szCs w:val="20"/>
              </w:rPr>
            </w:pPr>
            <w:r w:rsidRPr="004F662F">
              <w:rPr>
                <w:rFonts w:eastAsia="Times New Roman"/>
                <w:color w:val="000000"/>
                <w:sz w:val="20"/>
                <w:szCs w:val="20"/>
              </w:rPr>
              <w:t>1772</w:t>
            </w:r>
          </w:p>
        </w:tc>
        <w:tc>
          <w:tcPr>
            <w:tcW w:w="1609"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xml:space="preserve">large  </w:t>
            </w:r>
          </w:p>
        </w:tc>
        <w:tc>
          <w:tcPr>
            <w:tcW w:w="1392"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short whites</w:t>
            </w:r>
          </w:p>
        </w:tc>
        <w:tc>
          <w:tcPr>
            <w:tcW w:w="906"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c>
          <w:tcPr>
            <w:tcW w:w="97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middling</w:t>
            </w:r>
          </w:p>
        </w:tc>
      </w:tr>
      <w:tr w:rsidR="000F7191" w:rsidRPr="004F662F" w:rsidTr="00E8257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color w:val="000000"/>
                <w:sz w:val="20"/>
                <w:szCs w:val="20"/>
              </w:rPr>
            </w:pPr>
            <w:r w:rsidRPr="004F662F">
              <w:rPr>
                <w:rFonts w:eastAsia="Times New Roman"/>
                <w:color w:val="000000"/>
                <w:sz w:val="20"/>
                <w:szCs w:val="20"/>
              </w:rPr>
              <w:t>1773</w:t>
            </w:r>
          </w:p>
        </w:tc>
        <w:tc>
          <w:tcPr>
            <w:tcW w:w="1609"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large</w:t>
            </w:r>
          </w:p>
        </w:tc>
        <w:tc>
          <w:tcPr>
            <w:tcW w:w="1392"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c>
          <w:tcPr>
            <w:tcW w:w="906"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minikan</w:t>
            </w:r>
          </w:p>
        </w:tc>
        <w:tc>
          <w:tcPr>
            <w:tcW w:w="97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middling</w:t>
            </w:r>
          </w:p>
        </w:tc>
      </w:tr>
    </w:tbl>
    <w:p w:rsidR="000F7191" w:rsidRDefault="000F7191" w:rsidP="000F7191">
      <w:pPr>
        <w:rPr>
          <w:b/>
        </w:rPr>
      </w:pPr>
    </w:p>
    <w:p w:rsidR="000F7191" w:rsidRDefault="000F7191" w:rsidP="000F7191">
      <w:pPr>
        <w:spacing w:line="480" w:lineRule="auto"/>
        <w:ind w:firstLine="720"/>
      </w:pPr>
      <w:r w:rsidRPr="00341B2A">
        <w:lastRenderedPageBreak/>
        <w:t>George Washington’s needs for pins surpassed those of the customers who frequented Alexander Henderson’s sto</w:t>
      </w:r>
      <w:r w:rsidR="001A4394">
        <w:t>re during the same time period.</w:t>
      </w:r>
      <w:r w:rsidRPr="00341B2A">
        <w:t xml:space="preserve"> Henderson asked that his store be stocked with 480 pins in 1759, 576 in 1760, and 504 in 1765</w:t>
      </w:r>
      <w:r>
        <w:t xml:space="preserve"> for a total of less than 2000 in a 6-year period (Mount Vernon Archaeology Department 2012b)</w:t>
      </w:r>
      <w:r w:rsidR="001A4394">
        <w:t xml:space="preserve">. </w:t>
      </w:r>
      <w:r>
        <w:t>Henderson wa</w:t>
      </w:r>
      <w:r w:rsidRPr="00341B2A">
        <w:t xml:space="preserve">s not </w:t>
      </w:r>
      <w:r>
        <w:t>always</w:t>
      </w:r>
      <w:r w:rsidRPr="00341B2A">
        <w:t xml:space="preserve"> specific abo</w:t>
      </w:r>
      <w:r>
        <w:t>ut the types of pins he requested (Table</w:t>
      </w:r>
      <w:r w:rsidRPr="00E048E5">
        <w:t xml:space="preserve"> 7-</w:t>
      </w:r>
      <w:r>
        <w:t>25)</w:t>
      </w:r>
      <w:r w:rsidR="001A4394">
        <w:t xml:space="preserve">. </w:t>
      </w:r>
      <w:r w:rsidRPr="00341B2A">
        <w:t>In 1759, he ordered three unspecified types</w:t>
      </w:r>
      <w:r>
        <w:t xml:space="preserve"> with</w:t>
      </w:r>
      <w:r w:rsidRPr="00341B2A">
        <w:t xml:space="preserve"> different v</w:t>
      </w:r>
      <w:r w:rsidR="001A4394">
        <w:t xml:space="preserve">alues. </w:t>
      </w:r>
      <w:r>
        <w:t>He ordered an additional three specified types: l</w:t>
      </w:r>
      <w:r w:rsidR="001A4394">
        <w:t xml:space="preserve">arge; Tiffanys; and Lettekins. </w:t>
      </w:r>
      <w:r>
        <w:t>The only pin type restocked the next y</w:t>
      </w:r>
      <w:r w:rsidR="001A4394">
        <w:t xml:space="preserve">ear, in 1760, were large pins. </w:t>
      </w:r>
      <w:r>
        <w:t>The only other time that Henderson restocked</w:t>
      </w:r>
      <w:r w:rsidR="001A4394">
        <w:t xml:space="preserve"> his pin inventory was in 1765.</w:t>
      </w:r>
      <w:r>
        <w:t xml:space="preserve"> In that year</w:t>
      </w:r>
      <w:r w:rsidRPr="00341B2A">
        <w:t>, he ordered four unspecified type</w:t>
      </w:r>
      <w:r w:rsidR="001A4394">
        <w:t>s, again with different values.</w:t>
      </w:r>
      <w:r w:rsidRPr="00341B2A">
        <w:t xml:space="preserve"> </w:t>
      </w:r>
      <w:r>
        <w:t>In addition, Henderson specified orders for Durnfords, Tiffanies, and Lettikins.</w:t>
      </w:r>
      <w:r w:rsidR="001A4394">
        <w:t xml:space="preserve"> </w:t>
      </w:r>
      <w:r>
        <w:t>A trade card in The British Museum’s collections online provides evidence</w:t>
      </w:r>
      <w:r w:rsidRPr="00341B2A">
        <w:t xml:space="preserve"> that </w:t>
      </w:r>
      <w:hyperlink r:id="rId57" w:history="1">
        <w:r w:rsidRPr="00D44FB0">
          <w:rPr>
            <w:rStyle w:val="Hyperlink"/>
            <w:color w:val="auto"/>
            <w:u w:val="none"/>
          </w:rPr>
          <w:t>Durnford</w:t>
        </w:r>
      </w:hyperlink>
      <w:r w:rsidRPr="00D44FB0">
        <w:t xml:space="preserve"> </w:t>
      </w:r>
      <w:r>
        <w:t>was</w:t>
      </w:r>
      <w:r w:rsidRPr="00341B2A">
        <w:t xml:space="preserve"> a large pin-making company in London in the eighteenth and nineteenth centuries</w:t>
      </w:r>
      <w:r>
        <w:t xml:space="preserve"> (</w:t>
      </w:r>
      <w:r w:rsidRPr="00AA00EC">
        <w:t>British Museum 2013</w:t>
      </w:r>
      <w:r>
        <w:t>)</w:t>
      </w:r>
      <w:r w:rsidR="001A4394">
        <w:t xml:space="preserve">. </w:t>
      </w:r>
      <w:r w:rsidRPr="00341B2A">
        <w:t xml:space="preserve">Thus far, </w:t>
      </w:r>
      <w:r>
        <w:t>research has</w:t>
      </w:r>
      <w:r w:rsidRPr="00341B2A">
        <w:t xml:space="preserve"> uncovered nothing definitive on Tiffanys or Lettikins, though the latter sounds </w:t>
      </w:r>
      <w:r>
        <w:t>similar to lillikins, a hybrid of lils and</w:t>
      </w:r>
      <w:r w:rsidRPr="00341B2A">
        <w:t xml:space="preserve"> </w:t>
      </w:r>
      <w:r>
        <w:t>minikins mentioned in Beaudry (2006).</w:t>
      </w:r>
      <w:r w:rsidR="001A4394">
        <w:t xml:space="preserve"> </w:t>
      </w:r>
      <w:r w:rsidRPr="00341B2A">
        <w:t>The store inventories suggest that more pin types were available for customers than those r</w:t>
      </w:r>
      <w:r>
        <w:t>equired by George Washington, perhaps reflecting</w:t>
      </w:r>
      <w:r w:rsidRPr="00341B2A">
        <w:t xml:space="preserve"> the wider range of clientele and more variable </w:t>
      </w:r>
      <w:r>
        <w:t>uses to which they put the pins, but that the quantities in which they were stocked would have been inadequate for Washington’s needs.</w:t>
      </w:r>
    </w:p>
    <w:p w:rsidR="000F7191" w:rsidRDefault="000F7191" w:rsidP="000F7191">
      <w:pPr>
        <w:spacing w:line="480" w:lineRule="auto"/>
      </w:pPr>
    </w:p>
    <w:p w:rsidR="000F7191" w:rsidRDefault="000F7191" w:rsidP="000F7191">
      <w:pPr>
        <w:rPr>
          <w:b/>
        </w:rPr>
      </w:pPr>
      <w:r>
        <w:rPr>
          <w:b/>
        </w:rPr>
        <w:br w:type="page"/>
      </w:r>
    </w:p>
    <w:p w:rsidR="000F7191" w:rsidRPr="004F662F" w:rsidRDefault="000F7191" w:rsidP="000F7191">
      <w:pPr>
        <w:spacing w:line="480" w:lineRule="auto"/>
        <w:rPr>
          <w:b/>
        </w:rPr>
      </w:pPr>
      <w:r>
        <w:rPr>
          <w:b/>
        </w:rPr>
        <w:lastRenderedPageBreak/>
        <w:t>Table 7-25</w:t>
      </w:r>
      <w:r w:rsidRPr="00E838D4">
        <w:rPr>
          <w:b/>
        </w:rPr>
        <w:t xml:space="preserve">. </w:t>
      </w:r>
      <w:r w:rsidRPr="004F662F">
        <w:t>Pins ordered by Alexander Henderson for his store in Colchester.</w:t>
      </w:r>
    </w:p>
    <w:tbl>
      <w:tblPr>
        <w:tblW w:w="6047" w:type="dxa"/>
        <w:tblInd w:w="91" w:type="dxa"/>
        <w:tblLook w:val="04A0"/>
      </w:tblPr>
      <w:tblGrid>
        <w:gridCol w:w="661"/>
        <w:gridCol w:w="794"/>
        <w:gridCol w:w="1317"/>
        <w:gridCol w:w="1205"/>
        <w:gridCol w:w="990"/>
        <w:gridCol w:w="1080"/>
      </w:tblGrid>
      <w:tr w:rsidR="000F7191" w:rsidRPr="004F662F" w:rsidTr="00E82578">
        <w:trPr>
          <w:trHeight w:val="300"/>
        </w:trPr>
        <w:tc>
          <w:tcPr>
            <w:tcW w:w="661"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0F7191" w:rsidRPr="004F662F" w:rsidRDefault="000F7191" w:rsidP="00E82578">
            <w:pPr>
              <w:jc w:val="center"/>
              <w:rPr>
                <w:rFonts w:eastAsia="Times New Roman"/>
                <w:b/>
                <w:bCs/>
                <w:color w:val="000000"/>
                <w:sz w:val="20"/>
                <w:szCs w:val="20"/>
              </w:rPr>
            </w:pPr>
            <w:r w:rsidRPr="004F662F">
              <w:rPr>
                <w:rFonts w:eastAsia="Times New Roman"/>
                <w:b/>
                <w:bCs/>
                <w:color w:val="000000"/>
                <w:sz w:val="20"/>
                <w:szCs w:val="20"/>
              </w:rPr>
              <w:t>Year</w:t>
            </w:r>
          </w:p>
        </w:tc>
        <w:tc>
          <w:tcPr>
            <w:tcW w:w="794"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4F662F" w:rsidRDefault="000F7191" w:rsidP="00E82578">
            <w:pPr>
              <w:jc w:val="center"/>
              <w:rPr>
                <w:rFonts w:eastAsia="Times New Roman"/>
                <w:b/>
                <w:bCs/>
                <w:color w:val="000000"/>
                <w:sz w:val="20"/>
                <w:szCs w:val="20"/>
              </w:rPr>
            </w:pPr>
            <w:r w:rsidRPr="004F662F">
              <w:rPr>
                <w:rFonts w:eastAsia="Times New Roman"/>
                <w:b/>
                <w:bCs/>
                <w:color w:val="000000"/>
                <w:sz w:val="20"/>
                <w:szCs w:val="20"/>
              </w:rPr>
              <w:t>Count</w:t>
            </w:r>
          </w:p>
        </w:tc>
        <w:tc>
          <w:tcPr>
            <w:tcW w:w="1317"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4F662F" w:rsidRDefault="000F7191" w:rsidP="00E82578">
            <w:pPr>
              <w:jc w:val="center"/>
              <w:rPr>
                <w:rFonts w:eastAsia="Times New Roman"/>
                <w:b/>
                <w:bCs/>
                <w:color w:val="000000"/>
                <w:sz w:val="20"/>
                <w:szCs w:val="20"/>
              </w:rPr>
            </w:pPr>
            <w:r w:rsidRPr="004F662F">
              <w:rPr>
                <w:rFonts w:eastAsia="Times New Roman"/>
                <w:b/>
                <w:bCs/>
                <w:color w:val="000000"/>
                <w:sz w:val="20"/>
                <w:szCs w:val="20"/>
              </w:rPr>
              <w:t>Description</w:t>
            </w:r>
          </w:p>
        </w:tc>
        <w:tc>
          <w:tcPr>
            <w:tcW w:w="1205"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4F662F" w:rsidRDefault="000F7191" w:rsidP="00E82578">
            <w:pPr>
              <w:jc w:val="center"/>
              <w:rPr>
                <w:rFonts w:eastAsia="Times New Roman"/>
                <w:b/>
                <w:bCs/>
                <w:color w:val="000000"/>
                <w:sz w:val="20"/>
                <w:szCs w:val="20"/>
              </w:rPr>
            </w:pPr>
            <w:r w:rsidRPr="004F662F">
              <w:rPr>
                <w:rFonts w:eastAsia="Times New Roman"/>
                <w:b/>
                <w:bCs/>
                <w:color w:val="000000"/>
                <w:sz w:val="20"/>
                <w:szCs w:val="20"/>
              </w:rPr>
              <w:t>Pounds</w:t>
            </w:r>
          </w:p>
        </w:tc>
        <w:tc>
          <w:tcPr>
            <w:tcW w:w="990"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4F662F" w:rsidRDefault="000F7191" w:rsidP="00E82578">
            <w:pPr>
              <w:jc w:val="center"/>
              <w:rPr>
                <w:rFonts w:eastAsia="Times New Roman"/>
                <w:b/>
                <w:bCs/>
                <w:color w:val="000000"/>
                <w:sz w:val="20"/>
                <w:szCs w:val="20"/>
              </w:rPr>
            </w:pPr>
            <w:r w:rsidRPr="004F662F">
              <w:rPr>
                <w:rFonts w:eastAsia="Times New Roman"/>
                <w:b/>
                <w:bCs/>
                <w:color w:val="000000"/>
                <w:sz w:val="20"/>
                <w:szCs w:val="20"/>
              </w:rPr>
              <w:t xml:space="preserve">Shillings </w:t>
            </w:r>
          </w:p>
        </w:tc>
        <w:tc>
          <w:tcPr>
            <w:tcW w:w="1080" w:type="dxa"/>
            <w:tcBorders>
              <w:top w:val="single" w:sz="4" w:space="0" w:color="auto"/>
              <w:left w:val="nil"/>
              <w:bottom w:val="single" w:sz="4" w:space="0" w:color="auto"/>
              <w:right w:val="single" w:sz="4" w:space="0" w:color="auto"/>
            </w:tcBorders>
            <w:shd w:val="clear" w:color="000000" w:fill="BFBFBF"/>
            <w:noWrap/>
            <w:vAlign w:val="bottom"/>
            <w:hideMark/>
          </w:tcPr>
          <w:p w:rsidR="000F7191" w:rsidRPr="004F662F" w:rsidRDefault="000F7191" w:rsidP="00E82578">
            <w:pPr>
              <w:jc w:val="center"/>
              <w:rPr>
                <w:rFonts w:eastAsia="Times New Roman"/>
                <w:b/>
                <w:bCs/>
                <w:color w:val="000000"/>
                <w:sz w:val="20"/>
                <w:szCs w:val="20"/>
              </w:rPr>
            </w:pPr>
            <w:r w:rsidRPr="004F662F">
              <w:rPr>
                <w:rFonts w:eastAsia="Times New Roman"/>
                <w:b/>
                <w:bCs/>
                <w:color w:val="000000"/>
                <w:sz w:val="20"/>
                <w:szCs w:val="20"/>
              </w:rPr>
              <w:t>Pence</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1759</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96</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pins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1759</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96</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pins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4</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1759</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96</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pins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10</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1759</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144</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large pins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2</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14</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1759</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24</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Tiffanys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6</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1759</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24</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Lettekins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6</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1760</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576</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Large pins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8</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1765</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96</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pins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1765</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96</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pins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4</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1765</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96</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pins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8</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1765</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96</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pins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12</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1765</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48</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Durnford</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0</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1765</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48</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Tiffanies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sz w:val="20"/>
                <w:szCs w:val="20"/>
              </w:rPr>
            </w:pPr>
            <w:r w:rsidRPr="004F662F">
              <w:rPr>
                <w:rFonts w:eastAsia="Times New Roman"/>
                <w:sz w:val="20"/>
                <w:szCs w:val="20"/>
              </w:rPr>
              <w:t>not given</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r>
      <w:tr w:rsidR="000F7191" w:rsidRPr="004F662F" w:rsidTr="00E82578">
        <w:trPr>
          <w:trHeight w:val="300"/>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1765</w:t>
            </w:r>
          </w:p>
        </w:tc>
        <w:tc>
          <w:tcPr>
            <w:tcW w:w="794"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jc w:val="right"/>
              <w:rPr>
                <w:rFonts w:eastAsia="Times New Roman"/>
                <w:sz w:val="20"/>
                <w:szCs w:val="20"/>
              </w:rPr>
            </w:pPr>
            <w:r w:rsidRPr="004F662F">
              <w:rPr>
                <w:rFonts w:eastAsia="Times New Roman"/>
                <w:sz w:val="20"/>
                <w:szCs w:val="20"/>
              </w:rPr>
              <w:t>24</w:t>
            </w:r>
          </w:p>
        </w:tc>
        <w:tc>
          <w:tcPr>
            <w:tcW w:w="1317" w:type="dxa"/>
            <w:tcBorders>
              <w:top w:val="nil"/>
              <w:left w:val="nil"/>
              <w:bottom w:val="single" w:sz="4" w:space="0" w:color="auto"/>
              <w:right w:val="single" w:sz="4" w:space="0" w:color="auto"/>
            </w:tcBorders>
            <w:shd w:val="clear" w:color="auto" w:fill="auto"/>
            <w:vAlign w:val="bottom"/>
            <w:hideMark/>
          </w:tcPr>
          <w:p w:rsidR="000F7191" w:rsidRPr="004F662F" w:rsidRDefault="000F7191" w:rsidP="00E82578">
            <w:pPr>
              <w:rPr>
                <w:rFonts w:eastAsia="Times New Roman"/>
                <w:sz w:val="20"/>
                <w:szCs w:val="20"/>
              </w:rPr>
            </w:pPr>
            <w:r w:rsidRPr="004F662F">
              <w:rPr>
                <w:rFonts w:eastAsia="Times New Roman"/>
                <w:sz w:val="20"/>
                <w:szCs w:val="20"/>
              </w:rPr>
              <w:t>Lettikins</w:t>
            </w:r>
          </w:p>
        </w:tc>
        <w:tc>
          <w:tcPr>
            <w:tcW w:w="1205"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sz w:val="20"/>
                <w:szCs w:val="20"/>
              </w:rPr>
            </w:pPr>
            <w:r w:rsidRPr="004F662F">
              <w:rPr>
                <w:rFonts w:eastAsia="Times New Roman"/>
                <w:sz w:val="20"/>
                <w:szCs w:val="20"/>
              </w:rPr>
              <w:t>not given</w:t>
            </w:r>
          </w:p>
        </w:tc>
        <w:tc>
          <w:tcPr>
            <w:tcW w:w="99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rsidR="000F7191" w:rsidRPr="004F662F" w:rsidRDefault="000F7191" w:rsidP="00E82578">
            <w:pPr>
              <w:rPr>
                <w:rFonts w:eastAsia="Times New Roman"/>
                <w:color w:val="000000"/>
                <w:sz w:val="20"/>
                <w:szCs w:val="20"/>
              </w:rPr>
            </w:pPr>
            <w:r w:rsidRPr="004F662F">
              <w:rPr>
                <w:rFonts w:eastAsia="Times New Roman"/>
                <w:color w:val="000000"/>
                <w:sz w:val="20"/>
                <w:szCs w:val="20"/>
              </w:rPr>
              <w:t> </w:t>
            </w:r>
          </w:p>
        </w:tc>
      </w:tr>
    </w:tbl>
    <w:p w:rsidR="000F7191" w:rsidRDefault="000F7191" w:rsidP="000F7191">
      <w:pPr>
        <w:ind w:firstLine="720"/>
      </w:pPr>
    </w:p>
    <w:p w:rsidR="000F7191" w:rsidRDefault="000F7191" w:rsidP="000F7191">
      <w:pPr>
        <w:ind w:firstLine="720"/>
      </w:pPr>
    </w:p>
    <w:p w:rsidR="000F7191" w:rsidRDefault="000F7191" w:rsidP="000F7191">
      <w:pPr>
        <w:ind w:firstLine="720"/>
      </w:pPr>
    </w:p>
    <w:p w:rsidR="000F7191" w:rsidRDefault="000F7191" w:rsidP="000F7191">
      <w:pPr>
        <w:spacing w:line="480" w:lineRule="auto"/>
        <w:ind w:firstLine="720"/>
      </w:pPr>
      <w:r>
        <w:t xml:space="preserve">Analyzing the </w:t>
      </w:r>
      <w:r w:rsidRPr="00BB22D1">
        <w:t>House for Families</w:t>
      </w:r>
      <w:r>
        <w:t xml:space="preserve"> assemblage allows for a comparison of pin sizes used and discarded by the enslaved individuals living</w:t>
      </w:r>
      <w:r w:rsidR="001A4394">
        <w:t xml:space="preserve"> above the brick-lined cellar. </w:t>
      </w:r>
      <w:r>
        <w:t>Excavations yielded a total of 494 straight pins and pin fragments for a minimum pin count of 314 (DAACS 2012b) and 118 complete</w:t>
      </w:r>
      <w:r w:rsidR="001A4394">
        <w:t xml:space="preserve"> pins with measurable lengths. </w:t>
      </w:r>
      <w:r>
        <w:t>A histogram of the pin length data shows a tri-modal distribution of pins similar to the South Grove Midden’s (Figure</w:t>
      </w:r>
      <w:r w:rsidRPr="009F6EE3">
        <w:t xml:space="preserve"> 7-</w:t>
      </w:r>
      <w:r w:rsidR="00482E4F">
        <w:t>21</w:t>
      </w:r>
      <w:r w:rsidR="001A4394">
        <w:t>).</w:t>
      </w:r>
      <w:r>
        <w:t xml:space="preserve"> In fact, a k-means cluster analysis run on three clusters yields remarkably similar means for the three clusters (Table</w:t>
      </w:r>
      <w:r w:rsidRPr="00E048E5">
        <w:t xml:space="preserve"> 7-</w:t>
      </w:r>
      <w:r w:rsidR="001A4394">
        <w:t xml:space="preserve">26). </w:t>
      </w:r>
      <w:r>
        <w:t xml:space="preserve">The similarity of the two pin assemblages between the sites could be a function of either source or need or </w:t>
      </w:r>
      <w:r w:rsidR="001A4394">
        <w:t xml:space="preserve">a combination of both factors. </w:t>
      </w:r>
      <w:r>
        <w:t xml:space="preserve">Perhaps there were enough pins at Mount Vernon and that they flowed easily enough around the plantation that the enslaved individuals who used and discarded them did not need </w:t>
      </w:r>
      <w:r w:rsidR="001A4394">
        <w:t xml:space="preserve">to purchase them on their own. </w:t>
      </w:r>
      <w:r>
        <w:t xml:space="preserve">These three pin types that George Washington found most useful also seem to have suited the needs of the individuals assigned to the House for Families. </w:t>
      </w:r>
    </w:p>
    <w:p w:rsidR="000F7191" w:rsidRDefault="000F7191" w:rsidP="000F7191">
      <w:pPr>
        <w:spacing w:line="480" w:lineRule="auto"/>
        <w:ind w:firstLine="720"/>
      </w:pPr>
      <w:r>
        <w:t xml:space="preserve">       </w:t>
      </w:r>
    </w:p>
    <w:p w:rsidR="000F7191" w:rsidRDefault="000F7191" w:rsidP="000F7191">
      <w:r w:rsidRPr="005133C3">
        <w:rPr>
          <w:noProof/>
        </w:rPr>
        <w:lastRenderedPageBreak/>
        <w:drawing>
          <wp:inline distT="0" distB="0" distL="0" distR="0">
            <wp:extent cx="5795158" cy="3645725"/>
            <wp:effectExtent l="0" t="0" r="0" b="0"/>
            <wp:docPr id="3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0F7191" w:rsidRDefault="00B527AF" w:rsidP="000F7191">
      <w:r>
        <w:rPr>
          <w:b/>
        </w:rPr>
        <w:t>Figure 7-21.</w:t>
      </w:r>
      <w:r w:rsidR="000F7191" w:rsidRPr="00E838D4">
        <w:rPr>
          <w:b/>
        </w:rPr>
        <w:t xml:space="preserve"> </w:t>
      </w:r>
      <w:r w:rsidR="000F7191" w:rsidRPr="004F662F">
        <w:t xml:space="preserve">Distribution of straight pin lengths from the House for Families.  </w:t>
      </w:r>
    </w:p>
    <w:p w:rsidR="000F7191" w:rsidRDefault="000F7191" w:rsidP="000F7191"/>
    <w:p w:rsidR="000F7191" w:rsidRDefault="000F7191" w:rsidP="000F7191"/>
    <w:p w:rsidR="000F7191" w:rsidRDefault="000F7191" w:rsidP="000F7191"/>
    <w:p w:rsidR="000F7191" w:rsidRPr="00872031" w:rsidRDefault="000F7191" w:rsidP="000F7191">
      <w:pPr>
        <w:spacing w:line="480" w:lineRule="auto"/>
      </w:pPr>
      <w:r>
        <w:rPr>
          <w:b/>
        </w:rPr>
        <w:t>Table 7-26</w:t>
      </w:r>
      <w:r w:rsidRPr="00E838D4">
        <w:rPr>
          <w:b/>
        </w:rPr>
        <w:t xml:space="preserve">. </w:t>
      </w:r>
      <w:r w:rsidRPr="004F662F">
        <w:t xml:space="preserve">K-means cluster analysis on the House for Families pin assemblage.     </w:t>
      </w:r>
    </w:p>
    <w:tbl>
      <w:tblPr>
        <w:tblW w:w="7487" w:type="dxa"/>
        <w:tblInd w:w="91" w:type="dxa"/>
        <w:tblLook w:val="04A0"/>
      </w:tblPr>
      <w:tblGrid>
        <w:gridCol w:w="906"/>
        <w:gridCol w:w="439"/>
        <w:gridCol w:w="728"/>
        <w:gridCol w:w="1094"/>
        <w:gridCol w:w="1139"/>
        <w:gridCol w:w="3181"/>
      </w:tblGrid>
      <w:tr w:rsidR="000F7191" w:rsidRPr="00872031" w:rsidTr="00E82578">
        <w:trPr>
          <w:trHeight w:val="255"/>
        </w:trPr>
        <w:tc>
          <w:tcPr>
            <w:tcW w:w="906"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0F7191" w:rsidRPr="00872031" w:rsidRDefault="000F7191" w:rsidP="00E82578">
            <w:pPr>
              <w:rPr>
                <w:rFonts w:eastAsia="Times New Roman"/>
                <w:b/>
                <w:bCs/>
                <w:color w:val="000000"/>
                <w:sz w:val="20"/>
                <w:szCs w:val="20"/>
              </w:rPr>
            </w:pPr>
            <w:r w:rsidRPr="00872031">
              <w:rPr>
                <w:rFonts w:eastAsia="Times New Roman"/>
                <w:b/>
                <w:bCs/>
                <w:color w:val="000000"/>
                <w:sz w:val="20"/>
                <w:szCs w:val="20"/>
              </w:rPr>
              <w:t>Cluster</w:t>
            </w:r>
          </w:p>
        </w:tc>
        <w:tc>
          <w:tcPr>
            <w:tcW w:w="439"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872031" w:rsidRDefault="000F7191" w:rsidP="00E82578">
            <w:pPr>
              <w:rPr>
                <w:rFonts w:eastAsia="Times New Roman"/>
                <w:b/>
                <w:bCs/>
                <w:color w:val="000000"/>
                <w:sz w:val="20"/>
                <w:szCs w:val="20"/>
              </w:rPr>
            </w:pPr>
            <w:r w:rsidRPr="00872031">
              <w:rPr>
                <w:rFonts w:eastAsia="Times New Roman"/>
                <w:b/>
                <w:bCs/>
                <w:color w:val="000000"/>
                <w:sz w:val="20"/>
                <w:szCs w:val="20"/>
              </w:rPr>
              <w:t>n</w:t>
            </w:r>
          </w:p>
        </w:tc>
        <w:tc>
          <w:tcPr>
            <w:tcW w:w="728" w:type="dxa"/>
            <w:tcBorders>
              <w:top w:val="single" w:sz="4" w:space="0" w:color="auto"/>
              <w:left w:val="nil"/>
              <w:bottom w:val="single" w:sz="4" w:space="0" w:color="auto"/>
              <w:right w:val="single" w:sz="4" w:space="0" w:color="auto"/>
            </w:tcBorders>
            <w:shd w:val="clear" w:color="000000" w:fill="D8D8D8"/>
            <w:vAlign w:val="bottom"/>
            <w:hideMark/>
          </w:tcPr>
          <w:p w:rsidR="000F7191" w:rsidRPr="00872031" w:rsidRDefault="000F7191" w:rsidP="00E82578">
            <w:pPr>
              <w:jc w:val="center"/>
              <w:rPr>
                <w:rFonts w:eastAsia="Times New Roman"/>
                <w:b/>
                <w:bCs/>
                <w:color w:val="000000"/>
                <w:sz w:val="20"/>
                <w:szCs w:val="20"/>
              </w:rPr>
            </w:pPr>
            <w:r w:rsidRPr="00872031">
              <w:rPr>
                <w:rFonts w:eastAsia="Times New Roman"/>
                <w:b/>
                <w:bCs/>
                <w:color w:val="000000"/>
                <w:sz w:val="20"/>
                <w:szCs w:val="20"/>
              </w:rPr>
              <w:t>Mean</w:t>
            </w:r>
          </w:p>
        </w:tc>
        <w:tc>
          <w:tcPr>
            <w:tcW w:w="1094"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872031" w:rsidRDefault="000F7191" w:rsidP="00E82578">
            <w:pPr>
              <w:rPr>
                <w:rFonts w:eastAsia="Times New Roman"/>
                <w:b/>
                <w:bCs/>
                <w:color w:val="000000"/>
                <w:sz w:val="20"/>
                <w:szCs w:val="20"/>
              </w:rPr>
            </w:pPr>
            <w:r w:rsidRPr="00872031">
              <w:rPr>
                <w:rFonts w:eastAsia="Times New Roman"/>
                <w:b/>
                <w:bCs/>
                <w:color w:val="000000"/>
                <w:sz w:val="20"/>
                <w:szCs w:val="20"/>
              </w:rPr>
              <w:t>Minimum</w:t>
            </w:r>
          </w:p>
        </w:tc>
        <w:tc>
          <w:tcPr>
            <w:tcW w:w="1139" w:type="dxa"/>
            <w:tcBorders>
              <w:top w:val="single" w:sz="4" w:space="0" w:color="auto"/>
              <w:left w:val="nil"/>
              <w:bottom w:val="single" w:sz="4" w:space="0" w:color="auto"/>
              <w:right w:val="single" w:sz="4" w:space="0" w:color="auto"/>
            </w:tcBorders>
            <w:shd w:val="clear" w:color="000000" w:fill="D8D8D8"/>
            <w:noWrap/>
            <w:vAlign w:val="bottom"/>
            <w:hideMark/>
          </w:tcPr>
          <w:p w:rsidR="000F7191" w:rsidRPr="00872031" w:rsidRDefault="000F7191" w:rsidP="00E82578">
            <w:pPr>
              <w:rPr>
                <w:rFonts w:eastAsia="Times New Roman"/>
                <w:b/>
                <w:bCs/>
                <w:color w:val="000000"/>
                <w:sz w:val="20"/>
                <w:szCs w:val="20"/>
              </w:rPr>
            </w:pPr>
            <w:r w:rsidRPr="00872031">
              <w:rPr>
                <w:rFonts w:eastAsia="Times New Roman"/>
                <w:b/>
                <w:bCs/>
                <w:color w:val="000000"/>
                <w:sz w:val="20"/>
                <w:szCs w:val="20"/>
              </w:rPr>
              <w:t>Maximum</w:t>
            </w:r>
          </w:p>
        </w:tc>
        <w:tc>
          <w:tcPr>
            <w:tcW w:w="3181" w:type="dxa"/>
            <w:tcBorders>
              <w:top w:val="single" w:sz="4" w:space="0" w:color="auto"/>
              <w:left w:val="nil"/>
              <w:bottom w:val="single" w:sz="4" w:space="0" w:color="auto"/>
              <w:right w:val="single" w:sz="4" w:space="0" w:color="auto"/>
            </w:tcBorders>
            <w:shd w:val="clear" w:color="000000" w:fill="D8D8D8"/>
            <w:vAlign w:val="bottom"/>
            <w:hideMark/>
          </w:tcPr>
          <w:p w:rsidR="000F7191" w:rsidRPr="00872031" w:rsidRDefault="000F7191" w:rsidP="00E82578">
            <w:pPr>
              <w:jc w:val="center"/>
              <w:rPr>
                <w:rFonts w:eastAsia="Times New Roman"/>
                <w:b/>
                <w:bCs/>
                <w:color w:val="000000"/>
                <w:sz w:val="20"/>
                <w:szCs w:val="20"/>
              </w:rPr>
            </w:pPr>
            <w:r w:rsidRPr="00872031">
              <w:rPr>
                <w:rFonts w:eastAsia="Times New Roman"/>
                <w:b/>
                <w:bCs/>
                <w:color w:val="000000"/>
                <w:sz w:val="20"/>
                <w:szCs w:val="20"/>
              </w:rPr>
              <w:t>95% confidence interval</w:t>
            </w:r>
          </w:p>
        </w:tc>
      </w:tr>
      <w:tr w:rsidR="000F7191" w:rsidRPr="00872031" w:rsidTr="00E82578">
        <w:trPr>
          <w:trHeight w:val="255"/>
        </w:trPr>
        <w:tc>
          <w:tcPr>
            <w:tcW w:w="906"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1</w:t>
            </w:r>
          </w:p>
        </w:tc>
        <w:tc>
          <w:tcPr>
            <w:tcW w:w="439"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52</w:t>
            </w:r>
          </w:p>
        </w:tc>
        <w:tc>
          <w:tcPr>
            <w:tcW w:w="728"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28.15</w:t>
            </w:r>
          </w:p>
        </w:tc>
        <w:tc>
          <w:tcPr>
            <w:tcW w:w="1094"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26.41</w:t>
            </w:r>
          </w:p>
        </w:tc>
        <w:tc>
          <w:tcPr>
            <w:tcW w:w="1139"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29.5</w:t>
            </w:r>
          </w:p>
        </w:tc>
        <w:tc>
          <w:tcPr>
            <w:tcW w:w="3181"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rPr>
                <w:rFonts w:eastAsia="Times New Roman"/>
                <w:color w:val="000000"/>
                <w:sz w:val="20"/>
                <w:szCs w:val="20"/>
              </w:rPr>
            </w:pPr>
            <w:r w:rsidRPr="00872031">
              <w:rPr>
                <w:rFonts w:eastAsia="Times New Roman"/>
                <w:color w:val="000000"/>
                <w:sz w:val="20"/>
                <w:szCs w:val="20"/>
              </w:rPr>
              <w:t> +/-0.218: 27.93 to 28.367mm</w:t>
            </w:r>
          </w:p>
        </w:tc>
      </w:tr>
      <w:tr w:rsidR="000F7191" w:rsidRPr="00872031" w:rsidTr="00E82578">
        <w:trPr>
          <w:trHeight w:val="255"/>
        </w:trPr>
        <w:tc>
          <w:tcPr>
            <w:tcW w:w="906"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2</w:t>
            </w:r>
          </w:p>
        </w:tc>
        <w:tc>
          <w:tcPr>
            <w:tcW w:w="439"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40</w:t>
            </w:r>
          </w:p>
        </w:tc>
        <w:tc>
          <w:tcPr>
            <w:tcW w:w="728"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24.27</w:t>
            </w:r>
          </w:p>
        </w:tc>
        <w:tc>
          <w:tcPr>
            <w:tcW w:w="1094"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22.84</w:t>
            </w:r>
          </w:p>
        </w:tc>
        <w:tc>
          <w:tcPr>
            <w:tcW w:w="1139"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26.17</w:t>
            </w:r>
          </w:p>
        </w:tc>
        <w:tc>
          <w:tcPr>
            <w:tcW w:w="3181"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rPr>
                <w:rFonts w:eastAsia="Times New Roman"/>
                <w:color w:val="000000"/>
                <w:sz w:val="20"/>
                <w:szCs w:val="20"/>
              </w:rPr>
            </w:pPr>
            <w:r w:rsidRPr="00872031">
              <w:rPr>
                <w:rFonts w:eastAsia="Times New Roman"/>
                <w:color w:val="000000"/>
                <w:sz w:val="20"/>
                <w:szCs w:val="20"/>
              </w:rPr>
              <w:t> +/-0.271: 24.005 to 24.546mm</w:t>
            </w:r>
          </w:p>
        </w:tc>
      </w:tr>
      <w:tr w:rsidR="000F7191" w:rsidRPr="00872031" w:rsidTr="00E82578">
        <w:trPr>
          <w:trHeight w:val="255"/>
        </w:trPr>
        <w:tc>
          <w:tcPr>
            <w:tcW w:w="906" w:type="dxa"/>
            <w:tcBorders>
              <w:top w:val="nil"/>
              <w:left w:val="single" w:sz="4" w:space="0" w:color="auto"/>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3</w:t>
            </w:r>
          </w:p>
        </w:tc>
        <w:tc>
          <w:tcPr>
            <w:tcW w:w="439"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26</w:t>
            </w:r>
          </w:p>
        </w:tc>
        <w:tc>
          <w:tcPr>
            <w:tcW w:w="728"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20.13</w:t>
            </w:r>
          </w:p>
        </w:tc>
        <w:tc>
          <w:tcPr>
            <w:tcW w:w="1094"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16.95</w:t>
            </w:r>
          </w:p>
        </w:tc>
        <w:tc>
          <w:tcPr>
            <w:tcW w:w="1139"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jc w:val="right"/>
              <w:rPr>
                <w:rFonts w:eastAsia="Times New Roman"/>
                <w:color w:val="000000"/>
                <w:sz w:val="20"/>
                <w:szCs w:val="20"/>
              </w:rPr>
            </w:pPr>
            <w:r w:rsidRPr="00872031">
              <w:rPr>
                <w:rFonts w:eastAsia="Times New Roman"/>
                <w:color w:val="000000"/>
                <w:sz w:val="20"/>
                <w:szCs w:val="20"/>
              </w:rPr>
              <w:t>21.8</w:t>
            </w:r>
          </w:p>
        </w:tc>
        <w:tc>
          <w:tcPr>
            <w:tcW w:w="3181" w:type="dxa"/>
            <w:tcBorders>
              <w:top w:val="nil"/>
              <w:left w:val="nil"/>
              <w:bottom w:val="single" w:sz="4" w:space="0" w:color="auto"/>
              <w:right w:val="single" w:sz="4" w:space="0" w:color="auto"/>
            </w:tcBorders>
            <w:shd w:val="clear" w:color="auto" w:fill="auto"/>
            <w:noWrap/>
            <w:vAlign w:val="bottom"/>
            <w:hideMark/>
          </w:tcPr>
          <w:p w:rsidR="000F7191" w:rsidRPr="00872031" w:rsidRDefault="000F7191" w:rsidP="00E82578">
            <w:pPr>
              <w:rPr>
                <w:rFonts w:eastAsia="Times New Roman"/>
                <w:color w:val="000000"/>
                <w:sz w:val="20"/>
                <w:szCs w:val="20"/>
              </w:rPr>
            </w:pPr>
            <w:r w:rsidRPr="00872031">
              <w:rPr>
                <w:rFonts w:eastAsia="Times New Roman"/>
                <w:color w:val="000000"/>
                <w:sz w:val="20"/>
                <w:szCs w:val="20"/>
              </w:rPr>
              <w:t> +/-0.478: 19.648 to 20.604mm</w:t>
            </w:r>
          </w:p>
        </w:tc>
      </w:tr>
    </w:tbl>
    <w:p w:rsidR="000F7191" w:rsidRDefault="000F7191" w:rsidP="000F7191">
      <w:pPr>
        <w:ind w:firstLine="720"/>
      </w:pPr>
    </w:p>
    <w:p w:rsidR="000F7191" w:rsidRDefault="000F7191" w:rsidP="000F7191">
      <w:pPr>
        <w:ind w:firstLine="720"/>
      </w:pPr>
    </w:p>
    <w:p w:rsidR="000F7191" w:rsidRDefault="000F7191" w:rsidP="000F7191">
      <w:pPr>
        <w:ind w:firstLine="720"/>
      </w:pPr>
    </w:p>
    <w:p w:rsidR="000F7191" w:rsidRDefault="000F7191" w:rsidP="000F7191">
      <w:r>
        <w:br w:type="page"/>
      </w:r>
    </w:p>
    <w:p w:rsidR="000F7191" w:rsidRDefault="000F7191" w:rsidP="000F7191">
      <w:pPr>
        <w:spacing w:line="480" w:lineRule="auto"/>
        <w:ind w:firstLine="720"/>
      </w:pPr>
      <w:r>
        <w:lastRenderedPageBreak/>
        <w:t>Data from another mid-eighteenth century site in DAACS, however, raises the possibility that enslaved consumers used and discarded pins of o</w:t>
      </w:r>
      <w:r w:rsidR="001A4394">
        <w:t xml:space="preserve">ther sizes. </w:t>
      </w:r>
      <w:r w:rsidRPr="00404473">
        <w:t>Fairfield Quarter</w:t>
      </w:r>
      <w:r>
        <w:t>, owned by the Burwell family of Gloucester County, Virginia, is represented by a complex series of structures represented by postholes and sub-floor pits that yielded a total of 339 pins and pin fragments for a minimum pin count of 245 with 150 complete pins with measurable leng</w:t>
      </w:r>
      <w:r w:rsidR="001A4394">
        <w:t xml:space="preserve">ths (Brown 2006; DAACS 2012b). </w:t>
      </w:r>
      <w:r>
        <w:t>Again, these data show three main groups with means similar to the South Grove and House for Families at approximately 2</w:t>
      </w:r>
      <w:r w:rsidR="00482E4F">
        <w:t>0, 24, and 29mm (Figure 7-22</w:t>
      </w:r>
      <w:r w:rsidR="001A4394">
        <w:t xml:space="preserve">). </w:t>
      </w:r>
      <w:r>
        <w:t>With so little data yet recovered or available on larger pins, it is hard at this point to state if the 1 pin at 34mm represents another</w:t>
      </w:r>
      <w:r w:rsidR="001A4394">
        <w:t xml:space="preserve"> type or is simply an outlier. </w:t>
      </w:r>
      <w:r>
        <w:t xml:space="preserve">What is intriguing about the pins from Fairfield is that there appears to be a cluster of pins in the 11.5 to 14mm range, distinctly smaller than any recovered from Mount Vernon and perhaps falling into the pin type that Beaudry (2006:24, figure 2.1) identifies as lills used for fastening clothing and sewing fine fabrics. </w:t>
      </w:r>
    </w:p>
    <w:p w:rsidR="000F7191" w:rsidRDefault="000F7191" w:rsidP="000F7191">
      <w:pPr>
        <w:spacing w:line="480" w:lineRule="auto"/>
        <w:ind w:firstLine="720"/>
      </w:pPr>
      <w:r>
        <w:t xml:space="preserve"> </w:t>
      </w:r>
    </w:p>
    <w:p w:rsidR="000F7191" w:rsidRDefault="000F7191" w:rsidP="000F7191">
      <w:r w:rsidRPr="005322A7">
        <w:rPr>
          <w:noProof/>
        </w:rPr>
        <w:drawing>
          <wp:inline distT="0" distB="0" distL="0" distR="0">
            <wp:extent cx="5943600" cy="3430905"/>
            <wp:effectExtent l="0" t="0" r="0" b="0"/>
            <wp:docPr id="4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t xml:space="preserve">   </w:t>
      </w:r>
    </w:p>
    <w:p w:rsidR="000F7191" w:rsidRDefault="00B527AF" w:rsidP="000F7191">
      <w:pPr>
        <w:rPr>
          <w:b/>
        </w:rPr>
      </w:pPr>
      <w:r>
        <w:rPr>
          <w:b/>
        </w:rPr>
        <w:t>Figure 7-22</w:t>
      </w:r>
      <w:r w:rsidR="000F7191" w:rsidRPr="00E838D4">
        <w:rPr>
          <w:b/>
        </w:rPr>
        <w:t xml:space="preserve">. </w:t>
      </w:r>
      <w:r w:rsidR="000F7191" w:rsidRPr="004F662F">
        <w:t>Distribution of straight pin lengths from the Fairfield Quarter.</w:t>
      </w:r>
    </w:p>
    <w:p w:rsidR="000F7191" w:rsidRDefault="000F7191" w:rsidP="000F7191">
      <w:pPr>
        <w:spacing w:line="480" w:lineRule="auto"/>
        <w:ind w:firstLine="720"/>
      </w:pPr>
      <w:r>
        <w:lastRenderedPageBreak/>
        <w:t>The question remains, what did George Was</w:t>
      </w:r>
      <w:r w:rsidR="001A4394">
        <w:t>hington do with all those pins?</w:t>
      </w:r>
      <w:r>
        <w:t xml:space="preserve"> Conclusive evidence can be found in his orders for other types of se</w:t>
      </w:r>
      <w:r w:rsidR="001A4394">
        <w:t xml:space="preserve">wing-related material culture. </w:t>
      </w:r>
      <w:r>
        <w:t>From 1761 to 1766, Washington pur</w:t>
      </w:r>
      <w:r w:rsidR="001A4394">
        <w:t xml:space="preserve">chased 60 thimbles. </w:t>
      </w:r>
      <w:r>
        <w:t>From 1757 to 1771, he was invoiced for 6</w:t>
      </w:r>
      <w:r w:rsidR="0003704E">
        <w:t>,</w:t>
      </w:r>
      <w:r w:rsidR="001A4394">
        <w:t xml:space="preserve">200 needles. </w:t>
      </w:r>
      <w:r>
        <w:t>From 1754 to 1772, he</w:t>
      </w:r>
      <w:r w:rsidR="001A4394">
        <w:t xml:space="preserve"> was invoiced for 8023 buttons.</w:t>
      </w:r>
      <w:r>
        <w:t xml:space="preserve"> Finally, the category of goods upon which Washington spent most of his money (38 percent) was textiles and he invested most of his money (31 percent) on the subcategory of fabric. </w:t>
      </w:r>
      <w:r w:rsidRPr="00341B2A">
        <w:t xml:space="preserve"> </w:t>
      </w:r>
    </w:p>
    <w:p w:rsidR="000F7191" w:rsidRDefault="000F7191" w:rsidP="000F7191">
      <w:pPr>
        <w:spacing w:line="480" w:lineRule="auto"/>
        <w:ind w:firstLine="720"/>
      </w:pPr>
      <w:r>
        <w:t>Could he have intended these bulk orders to facilitate the manufacturing suits of clothes for his growing comm</w:t>
      </w:r>
      <w:r w:rsidR="001A4394">
        <w:t xml:space="preserve">unity of enslaved individuals? </w:t>
      </w:r>
      <w:r>
        <w:t>A document recorded in 1759 lists the duties to which the newly formed enslaved community – individuals owned by George Washington already living at Mount Vernon and those owned by Martha from her first marriage, brought from Virginia’s tidewater region following t</w:t>
      </w:r>
      <w:r w:rsidR="001A4394">
        <w:t xml:space="preserve">heir marriage – were assigned. </w:t>
      </w:r>
      <w:r>
        <w:t xml:space="preserve">Two individuals sewed shirts for slaves: Squire, a 21-year-old man owned by Washington, and Scomberg, a 42-year-old man who was a dower slave.  Betty, a 21-year-old woman (also a dower slave) may have also assisted in making clothes for slaves – her occupation was that of </w:t>
      </w:r>
      <w:r w:rsidR="001A4394">
        <w:t xml:space="preserve">a seamstress. </w:t>
      </w:r>
      <w:r>
        <w:t>Though she may not have had need for pins, Phillis, a Washington slave age 25, spun raw fibers into thread that could be used t</w:t>
      </w:r>
      <w:r w:rsidR="001A4394">
        <w:t xml:space="preserve">o weave textiles for clothing. </w:t>
      </w:r>
      <w:r>
        <w:t>The majority of Washington’s raw textiles were imported, but his slaves did produce some cloth for plantation use.  Moll’s duties speak to the occurrence of sewin</w:t>
      </w:r>
      <w:r w:rsidR="001A4394">
        <w:t>g for the Washington household.</w:t>
      </w:r>
      <w:r>
        <w:t xml:space="preserve"> As </w:t>
      </w:r>
      <w:r w:rsidR="00BB261E">
        <w:t xml:space="preserve">a </w:t>
      </w:r>
      <w:r>
        <w:t xml:space="preserve">19-year-old enslaved woman, she waited on Jacky and Patsy, performing various duties including sewing for them (Abbot 1988[6]:282).   </w:t>
      </w:r>
    </w:p>
    <w:p w:rsidR="000F7191" w:rsidRDefault="000F7191" w:rsidP="000F7191">
      <w:pPr>
        <w:spacing w:line="480" w:lineRule="auto"/>
        <w:ind w:firstLine="720"/>
      </w:pPr>
      <w:r>
        <w:t>The labor of these enslaved individuals clothed the growing African American community whose numbers, by 1765, had grow</w:t>
      </w:r>
      <w:r w:rsidR="001A4394">
        <w:t>n to nearly 70 enslaved adults.</w:t>
      </w:r>
      <w:r>
        <w:t xml:space="preserve"> In 1774, Washington’s farm manager recorded that male field slaves were issued a jacket, breeches, two </w:t>
      </w:r>
      <w:r>
        <w:lastRenderedPageBreak/>
        <w:t>shirts, one pair of stockings and one pair of shoes and female field slaves received a petticoat, two shifts, a jacket, one pair of st</w:t>
      </w:r>
      <w:r w:rsidR="001A4394">
        <w:t xml:space="preserve">ockings and one pair of shoes. </w:t>
      </w:r>
      <w:r>
        <w:t>While the hose were purchased ready-made, the other articles of clothing were crafted from coarse linen like o</w:t>
      </w:r>
      <w:r w:rsidR="001A4394">
        <w:t xml:space="preserve">snaburgs ordered from England. </w:t>
      </w:r>
      <w:r>
        <w:t xml:space="preserve">Men and boys assigned to duties of the household wore suits of livery made from fine wool and women and girls attending Martha Washington wore gowns made from finer cloth (Digital Encyclopedia of George Washington 2012).  </w:t>
      </w:r>
    </w:p>
    <w:p w:rsidR="000F7191" w:rsidRPr="00DB499E" w:rsidRDefault="000F7191" w:rsidP="000F7191">
      <w:pPr>
        <w:spacing w:line="480" w:lineRule="auto"/>
        <w:ind w:firstLine="720"/>
      </w:pPr>
      <w:r>
        <w:t xml:space="preserve">In the </w:t>
      </w:r>
      <w:r w:rsidRPr="00DB499E">
        <w:t>eighteenth century, consumers entered stores or wrote letters to their Englis</w:t>
      </w:r>
      <w:r w:rsidR="001A4394">
        <w:t xml:space="preserve">h factors to buy luxury items. </w:t>
      </w:r>
      <w:r w:rsidRPr="00DB499E">
        <w:t>In this instance, however, straight pins fall into a category of consumer goods that represent conspicuous production as opposed to conspi</w:t>
      </w:r>
      <w:r w:rsidR="001A4394">
        <w:t xml:space="preserve">cuous consumption (Bell 2000). </w:t>
      </w:r>
      <w:r w:rsidRPr="00DB499E">
        <w:t xml:space="preserve">While straight pins were available to all segments of the colonial population, the decision to invest in mass quantities of pins for a large-scale clothes manufacturing was a pattern characteristic of elite planters, at least in the case of George Washington.     </w:t>
      </w:r>
    </w:p>
    <w:p w:rsidR="000F7191" w:rsidRPr="000F7191" w:rsidRDefault="000F7191" w:rsidP="000F7191">
      <w:pPr>
        <w:spacing w:line="480" w:lineRule="auto"/>
        <w:rPr>
          <w:i/>
        </w:rPr>
      </w:pPr>
      <w:r w:rsidRPr="000F7191">
        <w:rPr>
          <w:b/>
        </w:rPr>
        <w:t>Conclusion</w:t>
      </w:r>
      <w:r w:rsidRPr="000F7191">
        <w:rPr>
          <w:i/>
        </w:rPr>
        <w:t xml:space="preserve">                  </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sz w:val="24"/>
          <w:szCs w:val="24"/>
        </w:rPr>
        <w:t xml:space="preserve">The purpose of this chapter was to systematically study differential consumer access to a broad range </w:t>
      </w:r>
      <w:r w:rsidR="00BB261E">
        <w:rPr>
          <w:rFonts w:ascii="Times New Roman" w:hAnsi="Times New Roman"/>
          <w:sz w:val="24"/>
          <w:szCs w:val="24"/>
        </w:rPr>
        <w:t xml:space="preserve">of </w:t>
      </w:r>
      <w:r w:rsidRPr="000F7191">
        <w:rPr>
          <w:rFonts w:ascii="Times New Roman" w:hAnsi="Times New Roman"/>
          <w:sz w:val="24"/>
          <w:szCs w:val="24"/>
        </w:rPr>
        <w:t>goods circulating around the upper Potomac region of Virginia in the decades preceding the American Revolution utilizing a material culture approach that triangulated between the available evidence contained primarily in documenta</w:t>
      </w:r>
      <w:r w:rsidR="001A4394">
        <w:rPr>
          <w:rFonts w:ascii="Times New Roman" w:hAnsi="Times New Roman"/>
          <w:sz w:val="24"/>
          <w:szCs w:val="24"/>
        </w:rPr>
        <w:t xml:space="preserve">ry and archaeological records. </w:t>
      </w:r>
      <w:r w:rsidRPr="000F7191">
        <w:rPr>
          <w:rFonts w:ascii="Times New Roman" w:hAnsi="Times New Roman"/>
          <w:sz w:val="24"/>
          <w:szCs w:val="24"/>
        </w:rPr>
        <w:t>The extensive archaeological and documentary data associated with Mount Vernon plantation and the surrounding neighborhood offers a case study to address the perpetuation of the consignment system on the part of elite shoppers and the constraints on consumer choices available to any given colonial northern Virginian dependin</w:t>
      </w:r>
      <w:r w:rsidR="001A4394">
        <w:rPr>
          <w:rFonts w:ascii="Times New Roman" w:hAnsi="Times New Roman"/>
          <w:sz w:val="24"/>
          <w:szCs w:val="24"/>
        </w:rPr>
        <w:t xml:space="preserve">g upon socio-economic factors. </w:t>
      </w:r>
      <w:r w:rsidRPr="000F7191">
        <w:rPr>
          <w:rFonts w:ascii="Times New Roman" w:hAnsi="Times New Roman"/>
          <w:sz w:val="24"/>
          <w:szCs w:val="24"/>
        </w:rPr>
        <w:t>Twenty one artifact groups were studied and, in some cases, analytical tools developed to better recognize consu</w:t>
      </w:r>
      <w:r w:rsidR="001A4394">
        <w:rPr>
          <w:rFonts w:ascii="Times New Roman" w:hAnsi="Times New Roman"/>
          <w:sz w:val="24"/>
          <w:szCs w:val="24"/>
        </w:rPr>
        <w:t xml:space="preserve">mer behavior archaeologically. </w:t>
      </w:r>
      <w:r w:rsidRPr="000F7191">
        <w:rPr>
          <w:rFonts w:ascii="Times New Roman" w:hAnsi="Times New Roman"/>
          <w:sz w:val="24"/>
          <w:szCs w:val="24"/>
        </w:rPr>
        <w:t xml:space="preserve">The final goal of this chapter was to gather the </w:t>
      </w:r>
      <w:r w:rsidRPr="000F7191">
        <w:rPr>
          <w:rFonts w:ascii="Times New Roman" w:hAnsi="Times New Roman"/>
          <w:sz w:val="24"/>
          <w:szCs w:val="24"/>
        </w:rPr>
        <w:lastRenderedPageBreak/>
        <w:t xml:space="preserve">material evidence available to explore the complex and multiple dimensions of consumer motivations.         </w:t>
      </w:r>
    </w:p>
    <w:p w:rsidR="000F7191" w:rsidRPr="000F7191" w:rsidRDefault="000F7191" w:rsidP="000F7191">
      <w:pPr>
        <w:spacing w:line="480" w:lineRule="auto"/>
        <w:ind w:firstLine="720"/>
      </w:pPr>
      <w:r w:rsidRPr="000F7191">
        <w:rPr>
          <w:i/>
        </w:rPr>
        <w:t>Elite Consumer Motivation</w:t>
      </w:r>
      <w:r w:rsidR="001A4394">
        <w:t xml:space="preserve">. </w:t>
      </w:r>
      <w:r w:rsidRPr="000F7191">
        <w:t>The</w:t>
      </w:r>
      <w:r>
        <w:t xml:space="preserve"> results of this systematic object analysis propose that elite consumers opted to perpetuate the consignment model even in the face of expanded local networks of retail t</w:t>
      </w:r>
      <w:r w:rsidR="001A4394">
        <w:t>rade for the following reasons.</w:t>
      </w:r>
      <w:r>
        <w:t xml:space="preserve"> E</w:t>
      </w:r>
      <w:r w:rsidRPr="00A176BB">
        <w:t>lite planters</w:t>
      </w:r>
      <w:r w:rsidRPr="00396EAD">
        <w:t xml:space="preserve"> had access to some consumer goods that t</w:t>
      </w:r>
      <w:r w:rsidR="001A4394">
        <w:t xml:space="preserve">heir neighbors simply did not. </w:t>
      </w:r>
      <w:r w:rsidRPr="00396EAD">
        <w:t xml:space="preserve">Secondly, other patterns suggest that a particular consumer good could have been purchased through both avenues in this bifurcated system of trade, but that the array of options </w:t>
      </w:r>
      <w:r w:rsidRPr="00A176BB">
        <w:t>available through consignment enticed elite consumers</w:t>
      </w:r>
      <w:r>
        <w:t xml:space="preserve">. </w:t>
      </w:r>
      <w:r w:rsidRPr="00A176BB">
        <w:t>In other cases, while the goods may have been available locally, they were not stocked in the quantities that a planter like George Washington needed to operate such a large and diversified plantation operation</w:t>
      </w:r>
      <w:r w:rsidR="001A4394">
        <w:t xml:space="preserve">. </w:t>
      </w:r>
      <w:r>
        <w:t xml:space="preserve">Inherent within these motivating factors is </w:t>
      </w:r>
      <w:r w:rsidRPr="00396EAD">
        <w:t xml:space="preserve">how </w:t>
      </w:r>
      <w:r>
        <w:t xml:space="preserve">elite consumers </w:t>
      </w:r>
      <w:r w:rsidRPr="00396EAD">
        <w:t>used the consignment system as a tactic of</w:t>
      </w:r>
      <w:r>
        <w:t xml:space="preserve"> control of symbolic capital,</w:t>
      </w:r>
      <w:r w:rsidRPr="00396EAD">
        <w:t xml:space="preserve"> </w:t>
      </w:r>
      <w:r>
        <w:t xml:space="preserve">a tool of </w:t>
      </w:r>
      <w:r w:rsidRPr="00396EAD">
        <w:t>cultural exclusion</w:t>
      </w:r>
      <w:r>
        <w:t xml:space="preserve">, </w:t>
      </w:r>
      <w:r w:rsidRPr="00396EAD">
        <w:t>a reinforcement of a genteel ideology at its height</w:t>
      </w:r>
      <w:r>
        <w:t>, and a bridge back to the source of high style and culture</w:t>
      </w:r>
      <w:r w:rsidRPr="00396EAD">
        <w:t>.</w:t>
      </w:r>
      <w:r w:rsidR="001A4394">
        <w:t xml:space="preserve"> </w:t>
      </w:r>
      <w:r>
        <w:t xml:space="preserve">Their success in these endeavors to manipulate material culture varied, however, as </w:t>
      </w:r>
      <w:r w:rsidRPr="000F7191">
        <w:t xml:space="preserve">is documented in the evidence of non-elite consumer behaviors.  </w:t>
      </w:r>
    </w:p>
    <w:p w:rsidR="000F7191" w:rsidRPr="000F7191" w:rsidRDefault="000F7191" w:rsidP="000F7191">
      <w:pPr>
        <w:pStyle w:val="NormalWeb"/>
        <w:spacing w:before="0" w:beforeAutospacing="0" w:after="0" w:afterAutospacing="0" w:line="480" w:lineRule="auto"/>
        <w:rPr>
          <w:rFonts w:ascii="Times New Roman" w:hAnsi="Times New Roman"/>
          <w:sz w:val="24"/>
          <w:szCs w:val="24"/>
        </w:rPr>
      </w:pPr>
      <w:r w:rsidRPr="000F7191">
        <w:rPr>
          <w:rFonts w:ascii="Times New Roman" w:hAnsi="Times New Roman"/>
          <w:sz w:val="24"/>
          <w:szCs w:val="24"/>
        </w:rPr>
        <w:tab/>
        <w:t>Expectedly, elite consumers like George Washington maintained their participation in the consignment model because they had the wealth to purchase, and the monopoly on, the most tasteful, fashionable, and novel objects available, and the consignment system gave them, in many cases, ex</w:t>
      </w:r>
      <w:r w:rsidR="001A4394">
        <w:rPr>
          <w:rFonts w:ascii="Times New Roman" w:hAnsi="Times New Roman"/>
          <w:sz w:val="24"/>
          <w:szCs w:val="24"/>
        </w:rPr>
        <w:t xml:space="preserve">clusive access to these goods. </w:t>
      </w:r>
      <w:r w:rsidRPr="000F7191">
        <w:rPr>
          <w:rFonts w:ascii="Times New Roman" w:hAnsi="Times New Roman"/>
          <w:sz w:val="24"/>
          <w:szCs w:val="24"/>
        </w:rPr>
        <w:t xml:space="preserve">For some of the artifact classes studied here, this exclusivity and </w:t>
      </w:r>
      <w:r w:rsidRPr="000F7191">
        <w:rPr>
          <w:rFonts w:ascii="Times New Roman" w:hAnsi="Times New Roman"/>
          <w:sz w:val="24"/>
          <w:szCs w:val="24"/>
          <w:u w:val="single"/>
        </w:rPr>
        <w:t>controlled access</w:t>
      </w:r>
      <w:r w:rsidRPr="000F7191">
        <w:rPr>
          <w:rFonts w:ascii="Times New Roman" w:hAnsi="Times New Roman"/>
          <w:sz w:val="24"/>
          <w:szCs w:val="24"/>
        </w:rPr>
        <w:t xml:space="preserve"> was more clearly the case </w:t>
      </w:r>
      <w:r w:rsidR="001A4394">
        <w:rPr>
          <w:rFonts w:ascii="Times New Roman" w:hAnsi="Times New Roman"/>
          <w:sz w:val="24"/>
          <w:szCs w:val="24"/>
        </w:rPr>
        <w:t xml:space="preserve">for elite consumer motivation. </w:t>
      </w:r>
      <w:r w:rsidRPr="000F7191">
        <w:rPr>
          <w:rFonts w:ascii="Times New Roman" w:hAnsi="Times New Roman"/>
          <w:sz w:val="24"/>
          <w:szCs w:val="24"/>
        </w:rPr>
        <w:t xml:space="preserve">As dining and the realm of foodways became more elaborate, fashion dictated, elite consumers demanded, and the market provided massive matched sets of ceramic tablewares in a diversity of forms allowing them to enact the fullest expression of a genteel table not possible from store </w:t>
      </w:r>
      <w:r w:rsidR="001A4394">
        <w:rPr>
          <w:rFonts w:ascii="Times New Roman" w:hAnsi="Times New Roman"/>
          <w:sz w:val="24"/>
          <w:szCs w:val="24"/>
        </w:rPr>
        <w:lastRenderedPageBreak/>
        <w:t xml:space="preserve">offerings. </w:t>
      </w:r>
      <w:r w:rsidRPr="000F7191">
        <w:rPr>
          <w:rFonts w:ascii="Times New Roman" w:hAnsi="Times New Roman"/>
          <w:sz w:val="24"/>
          <w:szCs w:val="24"/>
        </w:rPr>
        <w:t>George Washington set a precedent for setting his genteel table as early as 1757, even before establishing a</w:t>
      </w:r>
      <w:r w:rsidR="001A4394">
        <w:rPr>
          <w:rFonts w:ascii="Times New Roman" w:hAnsi="Times New Roman"/>
          <w:sz w:val="24"/>
          <w:szCs w:val="24"/>
        </w:rPr>
        <w:t xml:space="preserve"> household with Martha Custis. </w:t>
      </w:r>
      <w:r w:rsidRPr="000F7191">
        <w:rPr>
          <w:rFonts w:ascii="Times New Roman" w:hAnsi="Times New Roman"/>
          <w:sz w:val="24"/>
          <w:szCs w:val="24"/>
        </w:rPr>
        <w:t>In addition to matched sets of ceramics and glass, Washington invested in a large set of pewter plates, common to colonial consumers</w:t>
      </w:r>
      <w:r w:rsidR="001A4394">
        <w:rPr>
          <w:rFonts w:ascii="Times New Roman" w:hAnsi="Times New Roman"/>
          <w:sz w:val="24"/>
          <w:szCs w:val="24"/>
        </w:rPr>
        <w:t xml:space="preserve"> of all socio-economic groups. </w:t>
      </w:r>
      <w:r w:rsidRPr="000F7191">
        <w:rPr>
          <w:rFonts w:ascii="Times New Roman" w:hAnsi="Times New Roman"/>
          <w:sz w:val="24"/>
          <w:szCs w:val="24"/>
        </w:rPr>
        <w:t>His pewter plates, however, were embellished with the family crest and thereby adopting the strategy of patina to elevate this common object with a claim to status conferred over several generations (McCracken 1988:34</w:t>
      </w:r>
      <w:r w:rsidR="001A4394">
        <w:rPr>
          <w:rFonts w:ascii="Times New Roman" w:hAnsi="Times New Roman"/>
          <w:sz w:val="24"/>
          <w:szCs w:val="24"/>
        </w:rPr>
        <w:t xml:space="preserve">-35). </w:t>
      </w:r>
      <w:r w:rsidRPr="000F7191">
        <w:rPr>
          <w:rFonts w:ascii="Times New Roman" w:hAnsi="Times New Roman"/>
          <w:sz w:val="24"/>
          <w:szCs w:val="24"/>
        </w:rPr>
        <w:t>Counter to the established theory of patina, however, Washington’s persistent use of the family crest and coat of arms shows that the patina strategy was never fully eclipsed by the symbolism of his monogram even after the Revolutionary War (McCrack</w:t>
      </w:r>
      <w:r w:rsidR="001A4394">
        <w:rPr>
          <w:rFonts w:ascii="Times New Roman" w:hAnsi="Times New Roman"/>
          <w:sz w:val="24"/>
          <w:szCs w:val="24"/>
        </w:rPr>
        <w:t xml:space="preserve">en 1988; Yokota 2011). </w:t>
      </w:r>
      <w:r w:rsidRPr="000F7191">
        <w:rPr>
          <w:rFonts w:ascii="Times New Roman" w:hAnsi="Times New Roman"/>
          <w:sz w:val="24"/>
          <w:szCs w:val="24"/>
        </w:rPr>
        <w:t xml:space="preserve">Restricted access to the tools, ingredients, and performance aspects of the punch ceremony allowed the colonial gentry to develop a ritual around this alcohol-based display of hospitality that simultaneously cemented social relationships within this closed circle, justified social hierarchy, and eased anxieties experienced by this liminal group on the wider trans-Atlantic stage.      </w:t>
      </w:r>
    </w:p>
    <w:p w:rsidR="000F7191" w:rsidRPr="00A11BAB" w:rsidRDefault="000F7191" w:rsidP="000F7191">
      <w:pPr>
        <w:spacing w:line="480" w:lineRule="auto"/>
        <w:ind w:firstLine="720"/>
      </w:pPr>
      <w:r w:rsidRPr="000F7191">
        <w:t xml:space="preserve">Myriad other artifact types, such as buckles, chamber pots, and fans, could have been ordered through a factor </w:t>
      </w:r>
      <w:r w:rsidR="001A4394">
        <w:t xml:space="preserve">or purchased at a local store. </w:t>
      </w:r>
      <w:r w:rsidRPr="000F7191">
        <w:t xml:space="preserve">These goods were available to all levels of consumers, but elites were generally offered a </w:t>
      </w:r>
      <w:r w:rsidRPr="000F7191">
        <w:rPr>
          <w:u w:val="single"/>
        </w:rPr>
        <w:t>broader range of choices</w:t>
      </w:r>
      <w:r w:rsidRPr="000F7191">
        <w:t xml:space="preserve"> through th</w:t>
      </w:r>
      <w:r w:rsidR="001A4394">
        <w:t xml:space="preserve">eir British personal shoppers. </w:t>
      </w:r>
      <w:r w:rsidRPr="000F7191">
        <w:t>As was the case for many local store owners, to operate a successful business, Alexander Henderson catered to a mid</w:t>
      </w:r>
      <w:r w:rsidR="001A4394">
        <w:t xml:space="preserve">dling consumer (Patrick 1990). </w:t>
      </w:r>
      <w:r w:rsidRPr="000F7191">
        <w:t>Therefore, it may not have been in his best interest to stock the shelves with every available type of foldi</w:t>
      </w:r>
      <w:r w:rsidR="001A4394">
        <w:t xml:space="preserve">ng fan, book, or tobacco pipe. </w:t>
      </w:r>
      <w:r w:rsidRPr="000F7191">
        <w:t xml:space="preserve">However economical this choice on Henderson’s part, we must consider the potential repercussions of this sound business model that essentially created a different universe of purchasable </w:t>
      </w:r>
      <w:r w:rsidR="001A4394">
        <w:t xml:space="preserve">goods for the retail consumer. </w:t>
      </w:r>
      <w:r w:rsidRPr="000F7191">
        <w:t xml:space="preserve">George Washington and his peers had access to an impressive range of choices of materials, qualities, and types that allowed them to stay abreast of </w:t>
      </w:r>
      <w:r w:rsidRPr="000F7191">
        <w:lastRenderedPageBreak/>
        <w:t>the fast-changing world of style and fashion t</w:t>
      </w:r>
      <w:r w:rsidR="001A4394">
        <w:t xml:space="preserve">hat local store goers did not. </w:t>
      </w:r>
      <w:r w:rsidRPr="000F7191">
        <w:t>Even for goods rarely seen outside the home, he could order fine ivory, horn, and tortoiseshell combs and chamber pots in the newest, most fashionable plain and decorate</w:t>
      </w:r>
      <w:r w:rsidR="001A4394">
        <w:t xml:space="preserve">d white salt-glazed stoneware. </w:t>
      </w:r>
      <w:r w:rsidRPr="000F7191">
        <w:t>By emphasizing choice as evidence of a revolution in consumerism without a thorough and systematic understanding of its breadth and</w:t>
      </w:r>
      <w:r>
        <w:t xml:space="preserve"> constraints, scholars of material culture run the risk of “obfuscate[ing] the underlying social relations of power and control”</w:t>
      </w:r>
      <w:r w:rsidR="001A4394">
        <w:t xml:space="preserve"> (Wurst and McGuire 1999:192). </w:t>
      </w:r>
      <w:r>
        <w:t>Elites enjoyed an access not to the books themselves, as Henderson invested heavily in this market, but to the range of subjects and therefore i</w:t>
      </w:r>
      <w:r w:rsidR="001A4394">
        <w:t xml:space="preserve">deas contained in their pages. </w:t>
      </w:r>
      <w:r>
        <w:t>Washington did not even have to know the name of the title or author to ask his factor for the “newest and most approvd Treatise of Agr</w:t>
      </w:r>
      <w:r w:rsidR="001A4394">
        <w:t xml:space="preserve">iculture” (Abbot 1988[6]:317). </w:t>
      </w:r>
      <w:r>
        <w:t xml:space="preserve">This meant that Washington’s neighbors without these trans-Atlantic connections were less likely to be knowledgeable of agricultural innovations that could have increased productivity and output and affected one’s ability to attain greater </w:t>
      </w:r>
      <w:r w:rsidR="001A4394">
        <w:t>prosperity and social mobility.</w:t>
      </w:r>
      <w:r>
        <w:t xml:space="preserve"> If information imbued in material culture (symbolically and literally) is power, as Douglas and Isherwood (1979) suggest, elites retained a tight control over this type of cultural capital.    </w:t>
      </w:r>
    </w:p>
    <w:p w:rsidR="000F7191" w:rsidRPr="000F7191" w:rsidRDefault="000F7191" w:rsidP="000F7191">
      <w:pPr>
        <w:spacing w:line="480" w:lineRule="auto"/>
        <w:ind w:firstLine="720"/>
      </w:pPr>
      <w:r>
        <w:t>Other artifact groups, specifically buttons, milk pans, and straight pins, o</w:t>
      </w:r>
      <w:r w:rsidRPr="00954DC9">
        <w:t>ffer evidence that elites may have participated</w:t>
      </w:r>
      <w:r w:rsidRPr="00F438E1">
        <w:t xml:space="preserve"> in the consignment system because local stores did not sto</w:t>
      </w:r>
      <w:r>
        <w:t xml:space="preserve">ck merchandise in the </w:t>
      </w:r>
      <w:r w:rsidRPr="008E34B9">
        <w:rPr>
          <w:u w:val="single"/>
        </w:rPr>
        <w:t>quantity</w:t>
      </w:r>
      <w:r w:rsidRPr="00F438E1">
        <w:t xml:space="preserve"> necessary to operate a large-scale</w:t>
      </w:r>
      <w:r w:rsidRPr="00A11BAB">
        <w:t>, diversified plantation</w:t>
      </w:r>
      <w:r>
        <w:t xml:space="preserve"> with the goal of </w:t>
      </w:r>
      <w:r w:rsidRPr="008E34B9">
        <w:t>self-sufficiency</w:t>
      </w:r>
      <w:r w:rsidR="001A4394">
        <w:t xml:space="preserve">. </w:t>
      </w:r>
      <w:r>
        <w:t>Alison Bell (2000) describes this consumer behavior as conspicuous production, as oppo</w:t>
      </w:r>
      <w:r w:rsidR="001A4394">
        <w:t>sed to conspicuous consumption.</w:t>
      </w:r>
      <w:r>
        <w:t xml:space="preserve"> Just as a fine carriage or elegant tea service might communicate prestige in the eighteenth century, a lucrative and self-sufficient plantation operation encompassing large land and slave holdings presented and perpetuated</w:t>
      </w:r>
      <w:r w:rsidR="001A4394">
        <w:t xml:space="preserve"> planter identity and success. </w:t>
      </w:r>
      <w:r>
        <w:t xml:space="preserve">Non-elites too were motivated just as powerfully by conspicuous production, </w:t>
      </w:r>
      <w:r>
        <w:lastRenderedPageBreak/>
        <w:t>investing at a smaller scale in land, labor, and tools to increase productivity, signal success, and bequest so</w:t>
      </w:r>
      <w:r w:rsidR="001A4394">
        <w:t xml:space="preserve">mething to future generations. </w:t>
      </w:r>
      <w:r>
        <w:t>As small as they are, straight pins literally underpinned a planter’s efforts to sustain a productive plantation and therefore count h</w:t>
      </w:r>
      <w:r w:rsidR="001A4394">
        <w:t xml:space="preserve">imself among Virginia’s elite. </w:t>
      </w:r>
      <w:r>
        <w:t>Washington’s ability to purchase pins in mass quantities, those prosaic, redundant, and even “lowly” bits of material culture (Beaudry 2006), was central to his identity as a slaveholder, large land owner, and s</w:t>
      </w:r>
      <w:r w:rsidR="001A4394">
        <w:t>elf-sufficient agriculturalist.</w:t>
      </w:r>
      <w:r>
        <w:t xml:space="preserve"> In pins, Washington could visualize his patriarchical role in providing clothing for a community, but also strive to achieve a self-sufficient plantation free from reliance on British i</w:t>
      </w:r>
      <w:r w:rsidR="001A4394">
        <w:t xml:space="preserve">mports and colonial economies. </w:t>
      </w:r>
      <w:r w:rsidRPr="002657F7">
        <w:t xml:space="preserve">While </w:t>
      </w:r>
      <w:r w:rsidRPr="000F7191">
        <w:t xml:space="preserve">these three artifact categories were available to all segments of the colonial population, the decision to invest in significant quantities for large-scale dairying and clothes production efforts was an important motivation on the part of elite planters, at least in the case of George Washington.     </w:t>
      </w:r>
    </w:p>
    <w:p w:rsidR="000F7191" w:rsidRPr="000F7191" w:rsidRDefault="000F7191" w:rsidP="000F7191">
      <w:pPr>
        <w:pStyle w:val="NormalWeb"/>
        <w:spacing w:before="0" w:beforeAutospacing="0" w:after="0" w:afterAutospacing="0" w:line="480" w:lineRule="auto"/>
        <w:rPr>
          <w:rFonts w:ascii="Times New Roman" w:hAnsi="Times New Roman"/>
          <w:sz w:val="24"/>
          <w:szCs w:val="24"/>
        </w:rPr>
      </w:pPr>
      <w:r w:rsidRPr="000F7191">
        <w:rPr>
          <w:rFonts w:ascii="Times New Roman" w:hAnsi="Times New Roman"/>
          <w:sz w:val="24"/>
          <w:szCs w:val="24"/>
        </w:rPr>
        <w:t xml:space="preserve">          </w:t>
      </w:r>
      <w:r w:rsidRPr="000F7191">
        <w:rPr>
          <w:rFonts w:ascii="Times New Roman" w:hAnsi="Times New Roman"/>
          <w:i/>
          <w:sz w:val="24"/>
          <w:szCs w:val="24"/>
        </w:rPr>
        <w:t>Non-elite Consumer Motivation</w:t>
      </w:r>
      <w:r w:rsidR="001A4394">
        <w:rPr>
          <w:rFonts w:ascii="Times New Roman" w:hAnsi="Times New Roman"/>
          <w:sz w:val="24"/>
          <w:szCs w:val="24"/>
        </w:rPr>
        <w:t xml:space="preserve">. </w:t>
      </w:r>
      <w:r w:rsidRPr="000F7191">
        <w:rPr>
          <w:rFonts w:ascii="Times New Roman" w:hAnsi="Times New Roman"/>
          <w:sz w:val="24"/>
          <w:szCs w:val="24"/>
        </w:rPr>
        <w:t>Documentary and archaeological research, past and present (Carr and Walsh 1994; Martin 2008; Heath and Breen 2012), has found that acquisition of some of the very same goods found in elite households motivated middling and poor whites and enslaved blacks to enter into the consumer revolution, but presumably to achieve goals different than their</w:t>
      </w:r>
      <w:r w:rsidR="001A4394">
        <w:rPr>
          <w:rFonts w:ascii="Times New Roman" w:hAnsi="Times New Roman"/>
          <w:sz w:val="24"/>
          <w:szCs w:val="24"/>
        </w:rPr>
        <w:t xml:space="preserve"> wealthier neighbors or owners.</w:t>
      </w:r>
      <w:r w:rsidRPr="000F7191">
        <w:rPr>
          <w:rFonts w:ascii="Times New Roman" w:hAnsi="Times New Roman"/>
          <w:sz w:val="24"/>
          <w:szCs w:val="24"/>
        </w:rPr>
        <w:t xml:space="preserve"> In some cases, it appears that certain subgroups may have eschewed the formal marketplace altogether and instead relied on, for example, deep traditions of medicine and healing in the face of inadequate </w:t>
      </w:r>
      <w:r w:rsidR="001A4394">
        <w:rPr>
          <w:rFonts w:ascii="Times New Roman" w:hAnsi="Times New Roman"/>
          <w:sz w:val="24"/>
          <w:szCs w:val="24"/>
        </w:rPr>
        <w:t xml:space="preserve">and invasive western practices. </w:t>
      </w:r>
      <w:r w:rsidRPr="000F7191">
        <w:rPr>
          <w:rFonts w:ascii="Times New Roman" w:hAnsi="Times New Roman"/>
          <w:sz w:val="24"/>
          <w:szCs w:val="24"/>
        </w:rPr>
        <w:t>Perpetuation of African and folk-derived healing practices would have, in turn, lessened the demand for store-bought remedies and books detailing current western medical treatments. What this study clearly shows is that differential access to consumer goods was a reality depende</w:t>
      </w:r>
      <w:r w:rsidR="001A4394">
        <w:rPr>
          <w:rFonts w:ascii="Times New Roman" w:hAnsi="Times New Roman"/>
          <w:sz w:val="24"/>
          <w:szCs w:val="24"/>
        </w:rPr>
        <w:t xml:space="preserve">nt upon socio-economic status. </w:t>
      </w:r>
      <w:r w:rsidRPr="000F7191">
        <w:rPr>
          <w:rFonts w:ascii="Times New Roman" w:hAnsi="Times New Roman"/>
          <w:sz w:val="24"/>
          <w:szCs w:val="24"/>
        </w:rPr>
        <w:t xml:space="preserve">With this basic fact now revealed in systematic </w:t>
      </w:r>
      <w:r w:rsidRPr="000F7191">
        <w:rPr>
          <w:rFonts w:ascii="Times New Roman" w:hAnsi="Times New Roman"/>
          <w:sz w:val="24"/>
          <w:szCs w:val="24"/>
        </w:rPr>
        <w:lastRenderedPageBreak/>
        <w:t>detail, the choices and underlying agency expressed particularly by enslaved indi</w:t>
      </w:r>
      <w:r w:rsidR="001A4394">
        <w:rPr>
          <w:rFonts w:ascii="Times New Roman" w:hAnsi="Times New Roman"/>
          <w:sz w:val="24"/>
          <w:szCs w:val="24"/>
        </w:rPr>
        <w:t xml:space="preserve">viduals become even weightier. </w:t>
      </w:r>
      <w:r w:rsidRPr="000F7191">
        <w:rPr>
          <w:rFonts w:ascii="Times New Roman" w:hAnsi="Times New Roman"/>
          <w:sz w:val="24"/>
          <w:szCs w:val="24"/>
        </w:rPr>
        <w:t xml:space="preserve">While acknowledging that there is still much more work to do in the documentary and archaeological records of non-elite consumers, including the development and analysis of more robust datasets, this object analysis points towards some potential motivations – empowerment through expression of choice and aesthetic preference, accrual and exhibition of prestige, and a complex process of emulation and appropriation.  </w:t>
      </w:r>
    </w:p>
    <w:p w:rsidR="000F7191" w:rsidRPr="000F7191" w:rsidRDefault="000F7191" w:rsidP="000F7191">
      <w:pPr>
        <w:pStyle w:val="NormalWeb"/>
        <w:spacing w:before="0" w:beforeAutospacing="0" w:after="0" w:afterAutospacing="0" w:line="480" w:lineRule="auto"/>
        <w:rPr>
          <w:rFonts w:ascii="Times New Roman" w:hAnsi="Times New Roman"/>
          <w:sz w:val="24"/>
          <w:szCs w:val="24"/>
        </w:rPr>
      </w:pPr>
      <w:r w:rsidRPr="000F7191">
        <w:rPr>
          <w:rFonts w:ascii="Times New Roman" w:hAnsi="Times New Roman"/>
          <w:sz w:val="24"/>
          <w:szCs w:val="24"/>
        </w:rPr>
        <w:tab/>
        <w:t xml:space="preserve">Apparent in the archaeological assemblage excavated from a small cellar beneath the House for Families slave quarter are artifacts that exemplify </w:t>
      </w:r>
      <w:r w:rsidRPr="000F7191">
        <w:rPr>
          <w:rFonts w:ascii="Times New Roman" w:hAnsi="Times New Roman"/>
          <w:sz w:val="24"/>
          <w:szCs w:val="24"/>
          <w:u w:val="single"/>
        </w:rPr>
        <w:t>expressions of aesthetic preference</w:t>
      </w:r>
      <w:r w:rsidRPr="000F7191">
        <w:rPr>
          <w:rFonts w:ascii="Times New Roman" w:hAnsi="Times New Roman"/>
          <w:sz w:val="24"/>
          <w:szCs w:val="24"/>
        </w:rPr>
        <w:t xml:space="preserve"> on the part of enslaved individuals assigned to duties on George Washington’s Mansion </w:t>
      </w:r>
      <w:r w:rsidR="001A4394">
        <w:rPr>
          <w:rFonts w:ascii="Times New Roman" w:hAnsi="Times New Roman"/>
          <w:sz w:val="24"/>
          <w:szCs w:val="24"/>
        </w:rPr>
        <w:t>House Farm.</w:t>
      </w:r>
      <w:r w:rsidRPr="000F7191">
        <w:rPr>
          <w:rFonts w:ascii="Times New Roman" w:hAnsi="Times New Roman"/>
          <w:sz w:val="24"/>
          <w:szCs w:val="24"/>
        </w:rPr>
        <w:t xml:space="preserve"> Specifically, the subassemblages of buttons, buckles, and stemware exhibit consumer choices not evident in the mixed midden assemblage suggesting that the communal enslaved household living near the mansion had aesthetic values that differed from the Washingtons and others whose refuse wa</w:t>
      </w:r>
      <w:r w:rsidR="001A4394">
        <w:rPr>
          <w:rFonts w:ascii="Times New Roman" w:hAnsi="Times New Roman"/>
          <w:sz w:val="24"/>
          <w:szCs w:val="24"/>
        </w:rPr>
        <w:t>s deposited behind the kitchen.</w:t>
      </w:r>
      <w:r w:rsidRPr="000F7191">
        <w:rPr>
          <w:rFonts w:ascii="Times New Roman" w:hAnsi="Times New Roman"/>
          <w:sz w:val="24"/>
          <w:szCs w:val="24"/>
        </w:rPr>
        <w:t xml:space="preserve"> In the case of buttons, store goers demanded a variety of buttons not anticipated by even a seasoned merchant and not matched in Was</w:t>
      </w:r>
      <w:r w:rsidR="001A4394">
        <w:rPr>
          <w:rFonts w:ascii="Times New Roman" w:hAnsi="Times New Roman"/>
          <w:sz w:val="24"/>
          <w:szCs w:val="24"/>
        </w:rPr>
        <w:t xml:space="preserve">hington’s invoices and orders. </w:t>
      </w:r>
      <w:r w:rsidRPr="000F7191">
        <w:rPr>
          <w:rFonts w:ascii="Times New Roman" w:hAnsi="Times New Roman"/>
          <w:sz w:val="24"/>
          <w:szCs w:val="24"/>
        </w:rPr>
        <w:t>This aesthetic is hinted at in the subassemblage of linked buttons f</w:t>
      </w:r>
      <w:r w:rsidR="001A4394">
        <w:rPr>
          <w:rFonts w:ascii="Times New Roman" w:hAnsi="Times New Roman"/>
          <w:sz w:val="24"/>
          <w:szCs w:val="24"/>
        </w:rPr>
        <w:t xml:space="preserve">rom the slave quarter context. </w:t>
      </w:r>
      <w:r w:rsidRPr="000F7191">
        <w:rPr>
          <w:rFonts w:ascii="Times New Roman" w:hAnsi="Times New Roman"/>
          <w:sz w:val="24"/>
          <w:szCs w:val="24"/>
        </w:rPr>
        <w:t>Enslaved individuals living on plantations in the mid-eighteenth century had multiple sources from which to assemble and ways in which to enact an aesthetic that pleased, empowered, reflected, and transformed their concepts of self in relation to others (Howson 1995; Heath and Ben</w:t>
      </w:r>
      <w:r w:rsidR="001A4394">
        <w:rPr>
          <w:rFonts w:ascii="Times New Roman" w:hAnsi="Times New Roman"/>
          <w:sz w:val="24"/>
          <w:szCs w:val="24"/>
        </w:rPr>
        <w:t xml:space="preserve">nett 2000; King-Hammond 2008). </w:t>
      </w:r>
      <w:r w:rsidRPr="000F7191">
        <w:rPr>
          <w:rFonts w:ascii="Times New Roman" w:hAnsi="Times New Roman"/>
          <w:sz w:val="24"/>
          <w:szCs w:val="24"/>
        </w:rPr>
        <w:t>The result, at least at the House for Families, was mismatched yet still fashionable tablewares, provisioned and carefully selected items of personal adornment, and ornately decorated wine glasses.</w:t>
      </w:r>
    </w:p>
    <w:p w:rsidR="000F7191" w:rsidRPr="000F7191" w:rsidRDefault="000F7191" w:rsidP="000F7191">
      <w:pPr>
        <w:pStyle w:val="NormalWeb"/>
        <w:spacing w:before="0" w:beforeAutospacing="0" w:after="0" w:afterAutospacing="0" w:line="480" w:lineRule="auto"/>
        <w:rPr>
          <w:rFonts w:ascii="Times New Roman" w:hAnsi="Times New Roman"/>
          <w:sz w:val="24"/>
          <w:szCs w:val="24"/>
        </w:rPr>
      </w:pPr>
      <w:r w:rsidRPr="000F7191">
        <w:rPr>
          <w:rFonts w:ascii="Times New Roman" w:hAnsi="Times New Roman"/>
          <w:sz w:val="24"/>
          <w:szCs w:val="24"/>
        </w:rPr>
        <w:tab/>
        <w:t>Meaning can be found even in items acquired through avenues of internal plantation trade, outside of th</w:t>
      </w:r>
      <w:r w:rsidR="001A4394">
        <w:rPr>
          <w:rFonts w:ascii="Times New Roman" w:hAnsi="Times New Roman"/>
          <w:sz w:val="24"/>
          <w:szCs w:val="24"/>
        </w:rPr>
        <w:t>e bounds of the formal economy.</w:t>
      </w:r>
      <w:r w:rsidRPr="000F7191">
        <w:rPr>
          <w:rFonts w:ascii="Times New Roman" w:hAnsi="Times New Roman"/>
          <w:sz w:val="24"/>
          <w:szCs w:val="24"/>
        </w:rPr>
        <w:t xml:space="preserve"> Certainly the different bead assemblages </w:t>
      </w:r>
      <w:r w:rsidRPr="000F7191">
        <w:rPr>
          <w:rFonts w:ascii="Times New Roman" w:hAnsi="Times New Roman"/>
          <w:sz w:val="24"/>
          <w:szCs w:val="24"/>
        </w:rPr>
        <w:lastRenderedPageBreak/>
        <w:t>from the two sites, whose means of acquisition point to informal trade networks, exhibit distinct aesthetic p</w:t>
      </w:r>
      <w:r w:rsidR="001A4394">
        <w:rPr>
          <w:rFonts w:ascii="Times New Roman" w:hAnsi="Times New Roman"/>
          <w:sz w:val="24"/>
          <w:szCs w:val="24"/>
        </w:rPr>
        <w:t xml:space="preserve">references for size and color. </w:t>
      </w:r>
      <w:r w:rsidRPr="000F7191">
        <w:rPr>
          <w:rFonts w:ascii="Times New Roman" w:hAnsi="Times New Roman"/>
          <w:sz w:val="24"/>
          <w:szCs w:val="24"/>
        </w:rPr>
        <w:t>Other goods were acquired through what Galle (2006:80) defines as special provisioning or the non-uniform distribution of goods from master to slave eit</w:t>
      </w:r>
      <w:r w:rsidR="001A4394">
        <w:rPr>
          <w:rFonts w:ascii="Times New Roman" w:hAnsi="Times New Roman"/>
          <w:sz w:val="24"/>
          <w:szCs w:val="24"/>
        </w:rPr>
        <w:t xml:space="preserve">her as gifts or hand-me-downs. </w:t>
      </w:r>
      <w:r w:rsidRPr="000F7191">
        <w:rPr>
          <w:rFonts w:ascii="Times New Roman" w:hAnsi="Times New Roman"/>
          <w:sz w:val="24"/>
          <w:szCs w:val="24"/>
        </w:rPr>
        <w:t>In fact, this appears to have been the case for many of the objects excavated from the slave quarter includi</w:t>
      </w:r>
      <w:r w:rsidR="001A4394">
        <w:rPr>
          <w:rFonts w:ascii="Times New Roman" w:hAnsi="Times New Roman"/>
          <w:sz w:val="24"/>
          <w:szCs w:val="24"/>
        </w:rPr>
        <w:t xml:space="preserve">ng ceramics and tobacco pipes. </w:t>
      </w:r>
      <w:r w:rsidRPr="000F7191">
        <w:rPr>
          <w:rFonts w:ascii="Times New Roman" w:hAnsi="Times New Roman"/>
          <w:sz w:val="24"/>
          <w:szCs w:val="24"/>
        </w:rPr>
        <w:t>The acquisition of these goods through this avenue does not diminish their active roles in signaling identity to others within t</w:t>
      </w:r>
      <w:r w:rsidR="001A4394">
        <w:rPr>
          <w:rFonts w:ascii="Times New Roman" w:hAnsi="Times New Roman"/>
          <w:sz w:val="24"/>
          <w:szCs w:val="24"/>
        </w:rPr>
        <w:t xml:space="preserve">his community (Galle 2006:80). </w:t>
      </w:r>
      <w:r w:rsidRPr="000F7191">
        <w:rPr>
          <w:rFonts w:ascii="Times New Roman" w:hAnsi="Times New Roman"/>
          <w:sz w:val="24"/>
          <w:szCs w:val="24"/>
        </w:rPr>
        <w:t xml:space="preserve">Rewards, in the form of plates and dishes, bestowed upon these individuals who lived and labored in close proximity to the white household and exhibited specialized skills valued by the Washingtons allowed them to accrue </w:t>
      </w:r>
      <w:r w:rsidRPr="000F7191">
        <w:rPr>
          <w:rFonts w:ascii="Times New Roman" w:hAnsi="Times New Roman"/>
          <w:sz w:val="24"/>
          <w:szCs w:val="24"/>
          <w:u w:val="single"/>
        </w:rPr>
        <w:t>a kind of prestige</w:t>
      </w:r>
      <w:r w:rsidRPr="000F7191">
        <w:rPr>
          <w:rFonts w:ascii="Times New Roman" w:hAnsi="Times New Roman"/>
          <w:sz w:val="24"/>
          <w:szCs w:val="24"/>
        </w:rPr>
        <w:t xml:space="preserve"> perhaps less available to those assigned to</w:t>
      </w:r>
      <w:r w:rsidR="001A4394">
        <w:rPr>
          <w:rFonts w:ascii="Times New Roman" w:hAnsi="Times New Roman"/>
          <w:sz w:val="24"/>
          <w:szCs w:val="24"/>
        </w:rPr>
        <w:t xml:space="preserve"> the fields of outlying farms. </w:t>
      </w:r>
      <w:r w:rsidRPr="000F7191">
        <w:rPr>
          <w:rFonts w:ascii="Times New Roman" w:hAnsi="Times New Roman"/>
          <w:sz w:val="24"/>
          <w:szCs w:val="24"/>
        </w:rPr>
        <w:t>Individuals like Sally and Rose, the maids of Martha Washington and her daughter, most certainly could have been the beneficiaries of these specially provisioned goods (</w:t>
      </w:r>
      <w:r w:rsidRPr="000F7191">
        <w:rPr>
          <w:rFonts w:ascii="Times New Roman" w:hAnsi="Times New Roman"/>
          <w:color w:val="000000"/>
          <w:sz w:val="24"/>
          <w:szCs w:val="24"/>
        </w:rPr>
        <w:t>Abbot 1988[6]:282</w:t>
      </w:r>
      <w:r w:rsidRPr="000F7191">
        <w:rPr>
          <w:rFonts w:ascii="Times New Roman" w:hAnsi="Times New Roman"/>
          <w:sz w:val="24"/>
          <w:szCs w:val="24"/>
        </w:rPr>
        <w:t>).</w:t>
      </w:r>
      <w:r w:rsidR="00993112">
        <w:rPr>
          <w:rFonts w:ascii="Times New Roman" w:hAnsi="Times New Roman"/>
          <w:sz w:val="24"/>
          <w:szCs w:val="24"/>
        </w:rPr>
        <w:t xml:space="preserve"> </w:t>
      </w:r>
      <w:r w:rsidR="00527A02">
        <w:rPr>
          <w:rFonts w:ascii="Times New Roman" w:hAnsi="Times New Roman"/>
          <w:sz w:val="24"/>
          <w:szCs w:val="24"/>
        </w:rPr>
        <w:t xml:space="preserve">However, while Sally and Rose received some of the material benefits of living in close proximity to the Washingtons, they undoubtedly incurred some of the costs as well, particularly in the realm of limited privacy and the requirement that they be constantly available to serve (Murtha 2011:58).  </w:t>
      </w:r>
      <w:r w:rsidRPr="000F7191">
        <w:rPr>
          <w:rFonts w:ascii="Times New Roman" w:hAnsi="Times New Roman"/>
          <w:sz w:val="24"/>
          <w:szCs w:val="24"/>
        </w:rPr>
        <w:t xml:space="preserve"> </w:t>
      </w:r>
    </w:p>
    <w:p w:rsidR="000F7191" w:rsidRPr="000F7191" w:rsidRDefault="000F7191" w:rsidP="000F7191">
      <w:pPr>
        <w:pStyle w:val="NormalWeb"/>
        <w:spacing w:before="0" w:beforeAutospacing="0" w:after="0" w:afterAutospacing="0" w:line="480" w:lineRule="auto"/>
        <w:rPr>
          <w:rFonts w:ascii="Times New Roman" w:hAnsi="Times New Roman"/>
          <w:sz w:val="24"/>
          <w:szCs w:val="24"/>
        </w:rPr>
      </w:pPr>
      <w:r w:rsidRPr="000F7191">
        <w:rPr>
          <w:rFonts w:ascii="Times New Roman" w:hAnsi="Times New Roman"/>
          <w:sz w:val="24"/>
          <w:szCs w:val="24"/>
        </w:rPr>
        <w:tab/>
        <w:t>Sally, Rose, and others who appeared in the list of Mansion Farm slaves recorded by George Washington in 1759, some of whom undoubtedly lived in the House for Families, would have also been highly proficient in identifying and understanding the context of the use of those accoutrements of gentility worn by their masters, that decorated the mansion, and filled the outbuildings (</w:t>
      </w:r>
      <w:r w:rsidRPr="000F7191">
        <w:rPr>
          <w:rFonts w:ascii="Times New Roman" w:hAnsi="Times New Roman"/>
          <w:color w:val="000000"/>
          <w:sz w:val="24"/>
          <w:szCs w:val="24"/>
        </w:rPr>
        <w:t>Abbot 1988[6]:282</w:t>
      </w:r>
      <w:r w:rsidR="001A4394">
        <w:rPr>
          <w:rFonts w:ascii="Times New Roman" w:hAnsi="Times New Roman"/>
          <w:sz w:val="24"/>
          <w:szCs w:val="24"/>
        </w:rPr>
        <w:t xml:space="preserve">). </w:t>
      </w:r>
      <w:r w:rsidRPr="000F7191">
        <w:rPr>
          <w:rFonts w:ascii="Times New Roman" w:hAnsi="Times New Roman"/>
          <w:sz w:val="24"/>
          <w:szCs w:val="24"/>
        </w:rPr>
        <w:t>The individuals in this quarter were highly trained in setting a genteel table, dressing their master or mistress, and caring for and keeping clean hous</w:t>
      </w:r>
      <w:r w:rsidR="001A4394">
        <w:rPr>
          <w:rFonts w:ascii="Times New Roman" w:hAnsi="Times New Roman"/>
          <w:sz w:val="24"/>
          <w:szCs w:val="24"/>
        </w:rPr>
        <w:t xml:space="preserve">ehold furnishings (Kern 2010). </w:t>
      </w:r>
      <w:r w:rsidRPr="000F7191">
        <w:rPr>
          <w:rFonts w:ascii="Times New Roman" w:hAnsi="Times New Roman"/>
          <w:sz w:val="24"/>
          <w:szCs w:val="24"/>
        </w:rPr>
        <w:t xml:space="preserve">Mullins’ (2004) suggestion, then, that nineteenth and twentieth century </w:t>
      </w:r>
      <w:r w:rsidRPr="000F7191">
        <w:rPr>
          <w:rFonts w:ascii="Times New Roman" w:hAnsi="Times New Roman"/>
          <w:sz w:val="24"/>
          <w:szCs w:val="24"/>
        </w:rPr>
        <w:lastRenderedPageBreak/>
        <w:t xml:space="preserve">domestic laborers were introduced to and even swayed by the material culture found in the white homes in which they worked – essentially offering that </w:t>
      </w:r>
      <w:r w:rsidRPr="000F7191">
        <w:rPr>
          <w:rFonts w:ascii="Times New Roman" w:hAnsi="Times New Roman"/>
          <w:sz w:val="24"/>
          <w:szCs w:val="24"/>
          <w:u w:val="single"/>
        </w:rPr>
        <w:t>consumer strategies of emulation</w:t>
      </w:r>
      <w:r w:rsidRPr="000F7191">
        <w:rPr>
          <w:rFonts w:ascii="Times New Roman" w:hAnsi="Times New Roman"/>
          <w:sz w:val="24"/>
          <w:szCs w:val="24"/>
        </w:rPr>
        <w:t xml:space="preserve"> still hold interpretive power – find a particular resonance in this context. Appropriation of these tools of gentility, and therefore the values conferred upon them, must have been initially quite disconcerting to elite plantation owners and offered a visual affront to the reigning </w:t>
      </w:r>
      <w:r w:rsidR="001A4394">
        <w:rPr>
          <w:rFonts w:ascii="Times New Roman" w:hAnsi="Times New Roman"/>
          <w:sz w:val="24"/>
          <w:szCs w:val="24"/>
        </w:rPr>
        <w:t>rigid hierarchies (Breen 2004).</w:t>
      </w:r>
      <w:r w:rsidRPr="000F7191">
        <w:rPr>
          <w:rFonts w:ascii="Times New Roman" w:hAnsi="Times New Roman"/>
          <w:sz w:val="24"/>
          <w:szCs w:val="24"/>
        </w:rPr>
        <w:t xml:space="preserve"> An often-cited quote by a Polish visitor to the Mount Vernon estate in 1797 captures this sentiment: “We entered one of the huts of the Blacks… The husband and wife sleep</w:t>
      </w:r>
      <w:r w:rsidR="00BB261E">
        <w:rPr>
          <w:rFonts w:ascii="Times New Roman" w:hAnsi="Times New Roman"/>
          <w:sz w:val="24"/>
          <w:szCs w:val="24"/>
        </w:rPr>
        <w:t xml:space="preserve"> on</w:t>
      </w:r>
      <w:r w:rsidRPr="000F7191">
        <w:rPr>
          <w:rFonts w:ascii="Times New Roman" w:hAnsi="Times New Roman"/>
          <w:sz w:val="24"/>
          <w:szCs w:val="24"/>
        </w:rPr>
        <w:t xml:space="preserve"> a mean pallet, the children on the ground; a very bad fireplace, some utensils for cooking, but in the middle of this poverty some cups a</w:t>
      </w:r>
      <w:r w:rsidR="001A4394">
        <w:rPr>
          <w:rFonts w:ascii="Times New Roman" w:hAnsi="Times New Roman"/>
          <w:sz w:val="24"/>
          <w:szCs w:val="24"/>
        </w:rPr>
        <w:t>nd a teapot” (Niemcewicz 1965).</w:t>
      </w:r>
      <w:r w:rsidRPr="000F7191">
        <w:rPr>
          <w:rFonts w:ascii="Times New Roman" w:hAnsi="Times New Roman"/>
          <w:sz w:val="24"/>
          <w:szCs w:val="24"/>
        </w:rPr>
        <w:t xml:space="preserve"> These sentiments are echoed in runaway servant and slave advertisements that carefully detail the quality of the freedom seeker’s dress (He</w:t>
      </w:r>
      <w:r w:rsidR="001A4394">
        <w:rPr>
          <w:rFonts w:ascii="Times New Roman" w:hAnsi="Times New Roman"/>
          <w:sz w:val="24"/>
          <w:szCs w:val="24"/>
        </w:rPr>
        <w:t xml:space="preserve">ath 1999; Breen 2004:160-161). </w:t>
      </w:r>
      <w:r w:rsidRPr="000F7191">
        <w:rPr>
          <w:rFonts w:ascii="Times New Roman" w:hAnsi="Times New Roman"/>
          <w:sz w:val="24"/>
          <w:szCs w:val="24"/>
        </w:rPr>
        <w:t>But over the course of the eighteenth century, what was still worthy of comment to a European visitor unfamiliar with the institution and materiality of slavery must have become much less shocking to Virginia’s slave owners, inured to these appropriations of ge</w:t>
      </w:r>
      <w:r w:rsidR="001A4394">
        <w:rPr>
          <w:rFonts w:ascii="Times New Roman" w:hAnsi="Times New Roman"/>
          <w:sz w:val="24"/>
          <w:szCs w:val="24"/>
        </w:rPr>
        <w:t>ntility.</w:t>
      </w:r>
      <w:r w:rsidRPr="000F7191">
        <w:rPr>
          <w:rFonts w:ascii="Times New Roman" w:hAnsi="Times New Roman"/>
          <w:sz w:val="24"/>
          <w:szCs w:val="24"/>
        </w:rPr>
        <w:t xml:space="preserve">      </w:t>
      </w:r>
    </w:p>
    <w:p w:rsidR="000F7191" w:rsidRPr="000F7191" w:rsidRDefault="000F7191" w:rsidP="000F7191">
      <w:pPr>
        <w:pStyle w:val="NormalWeb"/>
        <w:spacing w:before="0" w:beforeAutospacing="0" w:after="0" w:afterAutospacing="0" w:line="480" w:lineRule="auto"/>
        <w:ind w:firstLine="720"/>
        <w:rPr>
          <w:rFonts w:ascii="Times New Roman" w:hAnsi="Times New Roman"/>
          <w:sz w:val="24"/>
          <w:szCs w:val="24"/>
        </w:rPr>
      </w:pPr>
      <w:r w:rsidRPr="000F7191">
        <w:rPr>
          <w:rFonts w:ascii="Times New Roman" w:hAnsi="Times New Roman"/>
          <w:i/>
          <w:sz w:val="24"/>
          <w:szCs w:val="24"/>
        </w:rPr>
        <w:t>Future Research</w:t>
      </w:r>
      <w:r w:rsidR="001A4394">
        <w:rPr>
          <w:rFonts w:ascii="Times New Roman" w:hAnsi="Times New Roman"/>
          <w:sz w:val="24"/>
          <w:szCs w:val="24"/>
        </w:rPr>
        <w:t xml:space="preserve">. </w:t>
      </w:r>
      <w:r w:rsidRPr="000F7191">
        <w:rPr>
          <w:rFonts w:ascii="Times New Roman" w:hAnsi="Times New Roman"/>
          <w:sz w:val="24"/>
          <w:szCs w:val="24"/>
        </w:rPr>
        <w:t>This study has pointed future material culture specialists towards potential motivations possessed by different groups during the mid-eighteenth century consumer revolution and some tools through whic</w:t>
      </w:r>
      <w:r w:rsidR="001A4394">
        <w:rPr>
          <w:rFonts w:ascii="Times New Roman" w:hAnsi="Times New Roman"/>
          <w:sz w:val="24"/>
          <w:szCs w:val="24"/>
        </w:rPr>
        <w:t xml:space="preserve">h to explore these dimensions. </w:t>
      </w:r>
      <w:r w:rsidR="0003704E">
        <w:rPr>
          <w:rFonts w:ascii="Times New Roman" w:hAnsi="Times New Roman"/>
          <w:sz w:val="24"/>
          <w:szCs w:val="24"/>
        </w:rPr>
        <w:t>Five</w:t>
      </w:r>
      <w:r w:rsidRPr="000F7191">
        <w:rPr>
          <w:rFonts w:ascii="Times New Roman" w:hAnsi="Times New Roman"/>
          <w:sz w:val="24"/>
          <w:szCs w:val="24"/>
        </w:rPr>
        <w:t xml:space="preserve"> additional artifact groups – </w:t>
      </w:r>
      <w:r w:rsidR="0003704E">
        <w:rPr>
          <w:rFonts w:ascii="Times New Roman" w:hAnsi="Times New Roman"/>
          <w:sz w:val="24"/>
          <w:szCs w:val="24"/>
        </w:rPr>
        <w:t xml:space="preserve">beads, wine bottle seals, </w:t>
      </w:r>
      <w:r w:rsidRPr="000F7191">
        <w:rPr>
          <w:rFonts w:ascii="Times New Roman" w:hAnsi="Times New Roman"/>
          <w:sz w:val="24"/>
          <w:szCs w:val="24"/>
        </w:rPr>
        <w:t>thimbles, tobacco pipes, and tacks – offer promising avenues for future research on consumer choice as represented thro</w:t>
      </w:r>
      <w:r w:rsidR="001A4394">
        <w:rPr>
          <w:rFonts w:ascii="Times New Roman" w:hAnsi="Times New Roman"/>
          <w:sz w:val="24"/>
          <w:szCs w:val="24"/>
        </w:rPr>
        <w:t xml:space="preserve">ugh the archaeological record. </w:t>
      </w:r>
      <w:r w:rsidRPr="000F7191">
        <w:rPr>
          <w:rFonts w:ascii="Times New Roman" w:hAnsi="Times New Roman"/>
          <w:sz w:val="24"/>
          <w:szCs w:val="24"/>
        </w:rPr>
        <w:t>Determining metrics via k-means cluster analysis on a robust sample of thimbles would fix size to function and allow archaeologists to more thoroughly explore gender and childhood as r</w:t>
      </w:r>
      <w:r w:rsidR="001A4394">
        <w:rPr>
          <w:rFonts w:ascii="Times New Roman" w:hAnsi="Times New Roman"/>
          <w:sz w:val="24"/>
          <w:szCs w:val="24"/>
        </w:rPr>
        <w:t xml:space="preserve">epresented by these artifacts. </w:t>
      </w:r>
      <w:r w:rsidRPr="000F7191">
        <w:rPr>
          <w:rFonts w:ascii="Times New Roman" w:hAnsi="Times New Roman"/>
          <w:sz w:val="24"/>
          <w:szCs w:val="24"/>
        </w:rPr>
        <w:t>A study of tobacco pipes with the goal of being able to identify short versus long pipes from fragmentary remains would facilitate further study of class and</w:t>
      </w:r>
      <w:r w:rsidR="001A4394">
        <w:rPr>
          <w:rFonts w:ascii="Times New Roman" w:hAnsi="Times New Roman"/>
          <w:sz w:val="24"/>
          <w:szCs w:val="24"/>
        </w:rPr>
        <w:t xml:space="preserve"> race </w:t>
      </w:r>
      <w:r w:rsidR="001A4394">
        <w:rPr>
          <w:rFonts w:ascii="Times New Roman" w:hAnsi="Times New Roman"/>
          <w:sz w:val="24"/>
          <w:szCs w:val="24"/>
        </w:rPr>
        <w:lastRenderedPageBreak/>
        <w:t xml:space="preserve">on colonial plantations. </w:t>
      </w:r>
      <w:r w:rsidRPr="000F7191">
        <w:rPr>
          <w:rFonts w:ascii="Times New Roman" w:hAnsi="Times New Roman"/>
          <w:sz w:val="24"/>
          <w:szCs w:val="24"/>
        </w:rPr>
        <w:t xml:space="preserve">Finally, tacks, our best evidence for furniture in the archaeological record, requires the collection of a robust dataset and the application of k-means cluster analysis to better understand variation in tack size which may be related to investment in upholstered furniture in different households.        </w:t>
      </w:r>
    </w:p>
    <w:p w:rsidR="000F7191" w:rsidRPr="000F7191" w:rsidRDefault="000F7191" w:rsidP="000F7191"/>
    <w:p w:rsidR="000F7191" w:rsidRPr="000F7191" w:rsidRDefault="000F7191" w:rsidP="000F7191"/>
    <w:p w:rsidR="007D6A02" w:rsidRDefault="007D6A02">
      <w:pPr>
        <w:rPr>
          <w:b/>
        </w:rPr>
      </w:pPr>
      <w:r>
        <w:rPr>
          <w:b/>
        </w:rPr>
        <w:br w:type="page"/>
      </w:r>
    </w:p>
    <w:p w:rsidR="007D6A02" w:rsidRDefault="007D6A02" w:rsidP="00BE6873">
      <w:pPr>
        <w:spacing w:line="480" w:lineRule="auto"/>
        <w:jc w:val="center"/>
        <w:rPr>
          <w:b/>
        </w:rPr>
      </w:pPr>
      <w:r>
        <w:rPr>
          <w:b/>
        </w:rPr>
        <w:lastRenderedPageBreak/>
        <w:t xml:space="preserve">Chapter 8: </w:t>
      </w:r>
      <w:r w:rsidRPr="003C3F11">
        <w:rPr>
          <w:b/>
        </w:rPr>
        <w:t>Conclusion</w:t>
      </w:r>
    </w:p>
    <w:p w:rsidR="007D6A02" w:rsidRDefault="0003704E" w:rsidP="007D6A02">
      <w:pPr>
        <w:spacing w:line="480" w:lineRule="auto"/>
        <w:ind w:firstLine="720"/>
      </w:pPr>
      <w:r>
        <w:t>When compiled, t</w:t>
      </w:r>
      <w:r w:rsidR="007D6A02">
        <w:t xml:space="preserve">his systematic object analysis of both unique and redundant classes of artifacts, of the minutia of materiality of </w:t>
      </w:r>
      <w:r>
        <w:t xml:space="preserve">life in the eighteenth century </w:t>
      </w:r>
      <w:r w:rsidR="007D6A02">
        <w:t>yields a comp</w:t>
      </w:r>
      <w:r w:rsidR="001A4394">
        <w:t>lex and compelling narrative.  T</w:t>
      </w:r>
      <w:r w:rsidR="007D6A02">
        <w:t>he narrative begins… two men walk into a store.  One does so only vicariously – through a middle man thousands of miles away whom he has entrusted to buy what he needs to convey a sense of gentility, bolster the life of an elite planter, and support a productive plantation, a</w:t>
      </w:r>
      <w:r w:rsidR="001A4394">
        <w:t>ll at the right and fair price.</w:t>
      </w:r>
      <w:r w:rsidR="007D6A02">
        <w:t xml:space="preserve"> The other man passes through the threshold of his most convenient retail outlet bearing hard-earned cash, a wagon load of tobacco, or other goods in excha</w:t>
      </w:r>
      <w:r w:rsidR="001A4394">
        <w:t xml:space="preserve">nge for available merchandise. </w:t>
      </w:r>
      <w:r w:rsidR="007D6A02">
        <w:t>Revealing the experiences and motivations of these different consumers, as recorded in documentary and archaeological sources, has been the prima</w:t>
      </w:r>
      <w:r w:rsidR="001A4394">
        <w:t xml:space="preserve">ry focus of this dissertation. </w:t>
      </w:r>
      <w:r w:rsidR="007D6A02">
        <w:t xml:space="preserve">Through this study, differential access to consumer goods driven by the material culture evidence, I offer new insights into and new methods of analysis for our artifact assemblages that will hopefully find resonance on comparable historic sites.       </w:t>
      </w:r>
    </w:p>
    <w:p w:rsidR="007D6A02" w:rsidRPr="00C62629" w:rsidRDefault="007D6A02" w:rsidP="007D6A02">
      <w:pPr>
        <w:spacing w:line="480" w:lineRule="auto"/>
        <w:ind w:firstLine="720"/>
      </w:pPr>
      <w:r>
        <w:t>The consumer revolution as experienced by elites like George Washington fueled attempts to solidify an ideology of gentility that naturalized the colonial social order through a system of refined, pleasing, and polite material culture (household goods, architecture, landscape, modes of behavior, and forms of entertainment), the performance of manners and expressions of etiquette, and attunement to notions of fashion, style</w:t>
      </w:r>
      <w:r w:rsidR="001A4394">
        <w:t xml:space="preserve">, luxury, novelty, and patina. </w:t>
      </w:r>
      <w:r w:rsidRPr="00477F61">
        <w:t>Why did elites, particularly in this period of increasing demographic and economic stability and class consolidation, need to distinguish themselves from their slaves o</w:t>
      </w:r>
      <w:r>
        <w:t>r less wealthy</w:t>
      </w:r>
      <w:r w:rsidRPr="00477F61">
        <w:t xml:space="preserve"> neighbors by </w:t>
      </w:r>
      <w:r>
        <w:t>enacting</w:t>
      </w:r>
      <w:r w:rsidRPr="00477F61">
        <w:t xml:space="preserve"> a genteel ethos?</w:t>
      </w:r>
      <w:r w:rsidR="001A4394">
        <w:t xml:space="preserve"> </w:t>
      </w:r>
      <w:r>
        <w:t>The ideology of gentility faced repeated challenges to its dominance in the decades before th</w:t>
      </w:r>
      <w:r w:rsidR="001A4394">
        <w:t xml:space="preserve">e Revolutionary War. </w:t>
      </w:r>
      <w:r>
        <w:t>The onslaught came from all directions – eco</w:t>
      </w:r>
      <w:r w:rsidR="001A4394">
        <w:t xml:space="preserve">nomic, cultural, and material. </w:t>
      </w:r>
      <w:r>
        <w:t xml:space="preserve">The price that gentility incurred in the pocketbooks of elite consumers </w:t>
      </w:r>
      <w:r>
        <w:lastRenderedPageBreak/>
        <w:t>introduced unprecedented levels of debt to and depen</w:t>
      </w:r>
      <w:r w:rsidR="001A4394">
        <w:t xml:space="preserve">dence on their British agents. </w:t>
      </w:r>
      <w:r>
        <w:t xml:space="preserve">These agents were not nameless, faceless bankers, but instead perceived of as friends and partners, which made the sting of credit contraction and debt collection </w:t>
      </w:r>
      <w:r w:rsidR="001A4394">
        <w:t xml:space="preserve">feel even deeper (Breen 1985). </w:t>
      </w:r>
      <w:r>
        <w:t>Additionally, roving bands of religious revivalists introduced concepts of freedom and equality in a sacred vocabulary that challenged traditional hierarchies in the c</w:t>
      </w:r>
      <w:r w:rsidR="001A4394">
        <w:t xml:space="preserve">hurch and beyond (Isaac 1982). </w:t>
      </w:r>
      <w:r>
        <w:t>Colonial elites, though solidly entrenched at the top of cultural, social, racial, and economic hierarchies in the new world continued to be perceived of as inferior to their pee</w:t>
      </w:r>
      <w:r w:rsidR="001A4394">
        <w:t xml:space="preserve">rs in England (Rozbicki 1998). </w:t>
      </w:r>
      <w:r>
        <w:t>This sense of inferiority and liminality on the trans-Atlantic stage motivated colonial elite consumers to strengthen their cultural and material connections back to the motherland and, hopefully, ease these anxieties</w:t>
      </w:r>
      <w:r w:rsidR="001A4394">
        <w:t xml:space="preserve"> (Rozbicki 1998; Yokota 2011). </w:t>
      </w:r>
      <w:r>
        <w:t xml:space="preserve">Finally, the mass availability of goods, once only the purview of the highest status individuals, offered its own kind of destabilizing force as “choice in the consumer marketplace had begun to uncouple status and class” </w:t>
      </w:r>
      <w:r w:rsidR="001A4394">
        <w:rPr>
          <w:rFonts w:eastAsia="Times New Roman"/>
        </w:rPr>
        <w:t xml:space="preserve">(Breen 2004:158). </w:t>
      </w:r>
      <w:r>
        <w:rPr>
          <w:rFonts w:eastAsia="Times New Roman"/>
        </w:rPr>
        <w:t xml:space="preserve">Outward signals of fashion and wealth no longer directly correlated to an individual’s economic worth, disconcerting to those relying on traditional modes of communication in this time of transformation (Carson 1994). </w:t>
      </w:r>
    </w:p>
    <w:p w:rsidR="007D6A02" w:rsidRDefault="007D6A02" w:rsidP="007D6A02">
      <w:pPr>
        <w:spacing w:line="480" w:lineRule="auto"/>
        <w:ind w:firstLine="720"/>
      </w:pPr>
      <w:r>
        <w:t>What were the effects of these challenges</w:t>
      </w:r>
      <w:r w:rsidR="001A4394">
        <w:t xml:space="preserve"> to the colonial social order? </w:t>
      </w:r>
      <w:r>
        <w:t>The response by George Washington and his peers was to double down on their commitm</w:t>
      </w:r>
      <w:r w:rsidR="001A4394">
        <w:t xml:space="preserve">ent to the consignment system. </w:t>
      </w:r>
      <w:r>
        <w:t>Washington did so to the tune of nearly £5000 over the course of the two decades pr</w:t>
      </w:r>
      <w:r w:rsidR="001A4394">
        <w:t xml:space="preserve">eceding the Revolutionary War. </w:t>
      </w:r>
      <w:r>
        <w:t>Within the documentation of Washington’s orders and invoices for goods, this commitment is evident mo</w:t>
      </w:r>
      <w:r w:rsidR="001A4394">
        <w:t xml:space="preserve">st clearly in the early 1760s. </w:t>
      </w:r>
      <w:r>
        <w:t>After only a brief decrease in the flow of goods from England to Mount Vernon in 1769, resulting from Washington’s support of the non-importation acts, his purchases of imported goods picked right ba</w:t>
      </w:r>
      <w:r w:rsidR="001A4394">
        <w:t xml:space="preserve">ck up to pre-Stamp Act levels. </w:t>
      </w:r>
      <w:r>
        <w:t xml:space="preserve">The time, energy, and cost associated with consignment is </w:t>
      </w:r>
      <w:r>
        <w:lastRenderedPageBreak/>
        <w:t xml:space="preserve">evident in the unpredictable wait times for shipments of goods, the </w:t>
      </w:r>
      <w:r w:rsidR="00BB261E">
        <w:t xml:space="preserve">sometimes </w:t>
      </w:r>
      <w:r>
        <w:t xml:space="preserve">inferior quality of goods supplied, and the exorbitant price of admission (in the form of associated fees) into this mode of economic transaction.                      </w:t>
      </w:r>
    </w:p>
    <w:p w:rsidR="007D6A02" w:rsidRDefault="007D6A02" w:rsidP="007D6A02">
      <w:pPr>
        <w:spacing w:line="480" w:lineRule="auto"/>
        <w:ind w:firstLine="720"/>
      </w:pPr>
      <w:r>
        <w:t>This unwavering participation in the consignment system appears even more questionable in light of the increased local availability of goods supplied by Scottish merchants acting on behalf of major retail conglomerates like Glassford and Company. The growing and increasingly reliable transportation networks that connected plantations to these burgeoning towns and centers of trade at mid-century made acquiring goods locally all the more convenient, particularly for the laborers, yeoman planters, and enslaved individuals, to a more limited extent, who pa</w:t>
      </w:r>
      <w:r w:rsidR="001A4394">
        <w:t xml:space="preserve">tronized these retail outlets. </w:t>
      </w:r>
      <w:r>
        <w:t xml:space="preserve">Additionally, when viewed at the macro-level, it appears that store offerings were comparable to the types of goods that George Washington had </w:t>
      </w:r>
      <w:r w:rsidR="001A4394">
        <w:t xml:space="preserve">access to direct from England. </w:t>
      </w:r>
      <w:r>
        <w:t>Textiles and plantation hardware dominate the broad categories of consumer goods ordered by Washington and supplied by</w:t>
      </w:r>
      <w:r w:rsidR="001A4394">
        <w:t xml:space="preserve"> merchant Alexander Henderson. </w:t>
      </w:r>
      <w:r>
        <w:t>When broken down into smaller sub-categories of goods, the two datasets exhibit nearly identical investments in imports, specifically, fabric and notions in the textile category and t</w:t>
      </w:r>
      <w:r w:rsidR="001A4394">
        <w:t xml:space="preserve">ools in the hardware category. </w:t>
      </w:r>
      <w:r>
        <w:t>Were elite consumers, then, so thoroughly economically entangled in the consignment system that they found it difficult or undesi</w:t>
      </w:r>
      <w:r w:rsidR="001A4394">
        <w:t xml:space="preserve">rable to extricate themselves? </w:t>
      </w:r>
      <w:r>
        <w:t xml:space="preserve">Was this simply a </w:t>
      </w:r>
      <w:r w:rsidR="001A4394">
        <w:t xml:space="preserve">case of old habits dying hard? </w:t>
      </w:r>
      <w:r>
        <w:t xml:space="preserve">Or did the </w:t>
      </w:r>
      <w:r w:rsidRPr="00477F61">
        <w:t xml:space="preserve">Chesapeake colonial gentry </w:t>
      </w:r>
      <w:r>
        <w:t>rely on and perpetuate a system of differential access to consumer goods “</w:t>
      </w:r>
      <w:r w:rsidRPr="00477F61">
        <w:t>to assist in creating structured social distancing</w:t>
      </w:r>
      <w:r>
        <w:t>” and, therefore cling to an imperfect and ailing mode of transaction (Patrick 1990:73; Yentsch 1994:135-139)?</w:t>
      </w:r>
      <w:r w:rsidRPr="00477F61">
        <w:t xml:space="preserve"> </w:t>
      </w:r>
      <w:r>
        <w:t xml:space="preserve"> </w:t>
      </w:r>
    </w:p>
    <w:p w:rsidR="007D6A02" w:rsidRDefault="007D6A02" w:rsidP="007D6A02">
      <w:pPr>
        <w:spacing w:line="480" w:lineRule="auto"/>
        <w:ind w:firstLine="720"/>
      </w:pPr>
      <w:r>
        <w:t>In fact, if we drill down more deeply and systematically into the data, discrepancies in this bifurcated system</w:t>
      </w:r>
      <w:r w:rsidR="001A4394">
        <w:t xml:space="preserve"> of trade are quickly exposed. </w:t>
      </w:r>
      <w:r>
        <w:t xml:space="preserve">These discrepancies exhibit an inverse </w:t>
      </w:r>
      <w:r>
        <w:lastRenderedPageBreak/>
        <w:t>relationship to the scale of analysis: macro scale, access to goods appears equal; micro scale, differential acc</w:t>
      </w:r>
      <w:r w:rsidR="001A4394">
        <w:t xml:space="preserve">ess to goods becomes apparent. </w:t>
      </w:r>
      <w:r>
        <w:t>Overall, Henderson offered a lesser array of individual items and categories and subcategories of goods than that ordered by Washington.  Admittedly, Henderson catered to a middling consumer. It was not in his economic interest to stock his store with high priced luxury items that he knew might have a smaller chance of selling despite these merchants’ eventual goals to expand int</w:t>
      </w:r>
      <w:r w:rsidR="001A4394">
        <w:t xml:space="preserve">o this market. </w:t>
      </w:r>
      <w:r>
        <w:t>But what this bifurcation in access to merchandise essentially created was two different worlds of goods for two broad socio-economic groups – the differences in which we are now able to see quite clearly.</w:t>
      </w:r>
    </w:p>
    <w:p w:rsidR="007D6A02" w:rsidRDefault="007D6A02" w:rsidP="007D6A02">
      <w:pPr>
        <w:spacing w:line="480" w:lineRule="auto"/>
        <w:ind w:firstLine="720"/>
      </w:pPr>
      <w:r>
        <w:t>Elite consumers persisted and were motivated to consume in this exchange model for three reasons: access;</w:t>
      </w:r>
      <w:r w:rsidR="001A4394">
        <w:t xml:space="preserve"> choice; and self-sufficiency. </w:t>
      </w:r>
      <w:r>
        <w:t>Their mainline back to England afforded them access to goods simply no</w:t>
      </w:r>
      <w:r w:rsidR="001A4394">
        <w:t>t available at the local store.</w:t>
      </w:r>
      <w:r>
        <w:t xml:space="preserve"> It afforded them a staggering array of options not just in individual items, but a</w:t>
      </w:r>
      <w:r w:rsidR="00143F55">
        <w:t xml:space="preserve">lso in types of a single item. </w:t>
      </w:r>
      <w:r>
        <w:t>It afforded them access to the quantities of materials necessary to invest in and sustain a large-scale, diversified pla</w:t>
      </w:r>
      <w:r w:rsidR="00143F55">
        <w:t xml:space="preserve">ntation operation. </w:t>
      </w:r>
      <w:r>
        <w:t xml:space="preserve">The results of this all-encompassing, material culture approach suggest that while many socio-economically and racially diverse men and women may have entered through store thresholds, the merchandise offered there was not the same as the inventory </w:t>
      </w:r>
      <w:r w:rsidR="00143F55">
        <w:t xml:space="preserve">available through consignment. </w:t>
      </w:r>
      <w:r>
        <w:t>The specter of keeping up with the Joneses, the ideal of elite emulation simply could not have been realized th</w:t>
      </w:r>
      <w:r w:rsidR="00143F55">
        <w:t xml:space="preserve">rough locally available goods. </w:t>
      </w:r>
      <w:r>
        <w:t>Yeoman planters or enslaved households would not have found the matched tableware in a diversity of forms needed t</w:t>
      </w:r>
      <w:r w:rsidR="00143F55">
        <w:t>o set a most fashionable table.</w:t>
      </w:r>
      <w:r>
        <w:t xml:space="preserve"> The availability of formally marked objects, harkening back to an ancient pedigree or imbued with the power of the individual, remained the </w:t>
      </w:r>
      <w:r w:rsidR="00143F55">
        <w:t xml:space="preserve">purview of the elite consumer. </w:t>
      </w:r>
      <w:r>
        <w:t xml:space="preserve">The esoteric knowledge contained in books on diverse subjects readily available </w:t>
      </w:r>
      <w:r w:rsidRPr="00671130">
        <w:t>through consignment</w:t>
      </w:r>
      <w:r>
        <w:t xml:space="preserve"> certainly supported the ideology of gentility and reified existing social </w:t>
      </w:r>
      <w:r>
        <w:lastRenderedPageBreak/>
        <w:t>structures as did the ritual</w:t>
      </w:r>
      <w:r w:rsidR="00143F55">
        <w:t xml:space="preserve">ization of the punch ceremony. </w:t>
      </w:r>
      <w:r>
        <w:t xml:space="preserve">Even on a practical level, the quantities of goods like straight pins and milk pans needed to sustain a large and diversified plantation could not have </w:t>
      </w:r>
      <w:r w:rsidR="00143F55">
        <w:t xml:space="preserve">been found at the local store. </w:t>
      </w:r>
      <w:r>
        <w:t xml:space="preserve">Thus, through this systematic object analysis it becomes evident that the marketplace was not egalitarian and that choice was not as boundless as the term “consumer revolution” might imply.  </w:t>
      </w:r>
    </w:p>
    <w:p w:rsidR="007D6A02" w:rsidRDefault="007D6A02" w:rsidP="007D6A02">
      <w:pPr>
        <w:spacing w:line="480" w:lineRule="auto"/>
        <w:ind w:firstLine="720"/>
      </w:pPr>
      <w:r>
        <w:t>With every hogshead they consigned, with every yard of fabric they ordered and plate they were invoiced for, with every consumer choice they made, elites used material culture simultaneously as fence and bridge (Douglas and Isherw</w:t>
      </w:r>
      <w:r w:rsidR="00143F55">
        <w:t xml:space="preserve">ood 1979:xv; McCracken 1988:). </w:t>
      </w:r>
      <w:r>
        <w:t xml:space="preserve">By importing the materiality of English style and fashion to colonial Virginia, wealthy planters attempted to create a link </w:t>
      </w:r>
      <w:r w:rsidR="00143F55">
        <w:t xml:space="preserve">between motherland and colony. </w:t>
      </w:r>
      <w:r>
        <w:t>By drawing upon symbols of ancestry and pedigree, in the form of formally marked objects, George Washington and others drew a line of continuity between old and new worlds that they hoped would be strong enough to fight the forces of cultural drift (McCrack</w:t>
      </w:r>
      <w:r w:rsidR="00143F55">
        <w:t xml:space="preserve">en 1988:131-135). </w:t>
      </w:r>
      <w:r>
        <w:t>It was not simply the goods themselves, but the mode through which they were accessed that created a boundary between c</w:t>
      </w:r>
      <w:r w:rsidR="00143F55">
        <w:t xml:space="preserve">olonial elites and non-elites. </w:t>
      </w:r>
      <w:r>
        <w:t>The consignment system allowed them “to monitor if not to control the acquisition of status-designating items within a broader spectrum of less-advantaged house</w:t>
      </w:r>
      <w:r w:rsidR="00143F55">
        <w:t xml:space="preserve">holds” (Yentsch 1994:135-139). </w:t>
      </w:r>
      <w:r>
        <w:t>Through the world of goods available to them through their British factors, the Chesapeake’s colonial gentry concretized an ideology of gentility that persisted until and perhaps beyond the American Revolution (McCracken 1988:131-135; Yokota 2011).</w:t>
      </w:r>
    </w:p>
    <w:p w:rsidR="007D6A02" w:rsidRDefault="007D6A02" w:rsidP="007D6A02">
      <w:pPr>
        <w:spacing w:line="480" w:lineRule="auto"/>
        <w:ind w:firstLine="720"/>
        <w:rPr>
          <w:rFonts w:eastAsia="Times New Roman"/>
        </w:rPr>
      </w:pPr>
      <w:r>
        <w:t>Controlling the flow of goods and erecting boundaries around sub-cultures was never as easy as the</w:t>
      </w:r>
      <w:r w:rsidR="00143F55">
        <w:t xml:space="preserve"> colonial gentry had intended. </w:t>
      </w:r>
      <w:r>
        <w:t>Just as elites were deploying material culture as instruments of continuity, non-elites were experiencing goods as instrumen</w:t>
      </w:r>
      <w:r w:rsidR="00143F55">
        <w:t xml:space="preserve">ts of change (McCracken 1998). </w:t>
      </w:r>
      <w:r>
        <w:t xml:space="preserve">The sheer act of entering a store, choosing an item (however constrained that </w:t>
      </w:r>
      <w:r>
        <w:lastRenderedPageBreak/>
        <w:t>choice may have been), and purchasing it with cash, tobacco, or barter put slaves and poor and middling whites on the same playing field, at the very least, as the colo</w:t>
      </w:r>
      <w:r w:rsidR="00143F55">
        <w:t xml:space="preserve">nial gentry (Martin 2008:174). </w:t>
      </w:r>
      <w:r>
        <w:rPr>
          <w:rFonts w:eastAsia="Times New Roman"/>
        </w:rPr>
        <w:t xml:space="preserve">Within Alexander Henderson’s inventories, we are given glimpses that store goers quickly became adept at expressing choice through consumer demand and that merchants felt this pressure to meet their needs (see </w:t>
      </w:r>
      <w:r w:rsidR="00143F55">
        <w:rPr>
          <w:rFonts w:eastAsia="Times New Roman"/>
        </w:rPr>
        <w:t xml:space="preserve">also Breen 2004; Martin 2008). </w:t>
      </w:r>
      <w:r>
        <w:rPr>
          <w:rFonts w:eastAsia="Times New Roman"/>
        </w:rPr>
        <w:t xml:space="preserve">These glimpses are more obviously evidenced through the running commentary between Henderson and his employer John Glassford wherein the merchant conveys consumer complaints about </w:t>
      </w:r>
      <w:r>
        <w:rPr>
          <w:bCs/>
        </w:rPr>
        <w:t>inferior, broken, or old-fashioned goods – complaints nearly identical</w:t>
      </w:r>
      <w:r w:rsidR="00BB261E">
        <w:rPr>
          <w:bCs/>
        </w:rPr>
        <w:t xml:space="preserve"> to</w:t>
      </w:r>
      <w:r>
        <w:rPr>
          <w:bCs/>
        </w:rPr>
        <w:t xml:space="preserve"> those of an elite and experienced consumer like George Washington – and more subtly through the shifts in the richness and diversity of go</w:t>
      </w:r>
      <w:r w:rsidR="00143F55">
        <w:rPr>
          <w:bCs/>
        </w:rPr>
        <w:t xml:space="preserve">ods stocked from year to year. </w:t>
      </w:r>
      <w:r>
        <w:rPr>
          <w:bCs/>
        </w:rPr>
        <w:t xml:space="preserve">These were not passive shoppers, but instead active participants in shaping, to a certain extent, their world of goods.  </w:t>
      </w:r>
      <w:r>
        <w:rPr>
          <w:rFonts w:eastAsia="Times New Roman"/>
        </w:rPr>
        <w:t>“The act of choosing could be liberating, even empowering, for it allowed [consumers] to determine for themselves what the process of self-fashioning wa</w:t>
      </w:r>
      <w:r w:rsidR="00143F55">
        <w:rPr>
          <w:rFonts w:eastAsia="Times New Roman"/>
        </w:rPr>
        <w:t xml:space="preserve">s all about” (Breen 2004:151). </w:t>
      </w:r>
      <w:r>
        <w:rPr>
          <w:rFonts w:eastAsia="Times New Roman"/>
        </w:rPr>
        <w:t>American children experience the power of purchase the first time they spen</w:t>
      </w:r>
      <w:r w:rsidR="00143F55">
        <w:rPr>
          <w:rFonts w:eastAsia="Times New Roman"/>
        </w:rPr>
        <w:t xml:space="preserve">d their hard-earned allowance. </w:t>
      </w:r>
      <w:r>
        <w:rPr>
          <w:rFonts w:eastAsia="Times New Roman"/>
        </w:rPr>
        <w:t xml:space="preserve">This act must have been all the more empowering to enslaved communities issued standard dress, but who actively sought out elements of personal adornment such as beads, linked buttons, and buckles to express individuality and aesthetic preference.  </w:t>
      </w:r>
    </w:p>
    <w:p w:rsidR="007D6A02" w:rsidRPr="00DB3137" w:rsidRDefault="007D6A02" w:rsidP="007D6A02">
      <w:pPr>
        <w:spacing w:line="480" w:lineRule="auto"/>
        <w:ind w:firstLine="720"/>
        <w:rPr>
          <w:rFonts w:eastAsia="Times New Roman"/>
        </w:rPr>
      </w:pPr>
      <w:r>
        <w:rPr>
          <w:rFonts w:eastAsia="Times New Roman"/>
        </w:rPr>
        <w:t>Within the layers of soil at Mount Vernon and myriad other plantation sites, the complexities of access to and flow of co</w:t>
      </w:r>
      <w:r w:rsidR="00143F55">
        <w:rPr>
          <w:rFonts w:eastAsia="Times New Roman"/>
        </w:rPr>
        <w:t xml:space="preserve">nsumer goods becomes apparent. </w:t>
      </w:r>
      <w:r>
        <w:rPr>
          <w:rFonts w:eastAsia="Times New Roman"/>
        </w:rPr>
        <w:t xml:space="preserve">In the archeological record is evidence that some types of goods transgressed the lines established by </w:t>
      </w:r>
      <w:r w:rsidR="00143F55">
        <w:rPr>
          <w:rFonts w:eastAsia="Times New Roman"/>
        </w:rPr>
        <w:t>the formal, bifurcated economy.</w:t>
      </w:r>
      <w:r>
        <w:rPr>
          <w:rFonts w:eastAsia="Times New Roman"/>
        </w:rPr>
        <w:t xml:space="preserve"> On Mount Vernon plantation, we witness how goods flowed through informal </w:t>
      </w:r>
      <w:r w:rsidR="00143F55">
        <w:rPr>
          <w:rFonts w:eastAsia="Times New Roman"/>
        </w:rPr>
        <w:t xml:space="preserve">and poorly documented avenues. </w:t>
      </w:r>
      <w:r>
        <w:rPr>
          <w:rFonts w:eastAsia="Times New Roman"/>
        </w:rPr>
        <w:t xml:space="preserve">While elites sought to erect fences between their group and others through the perpetuation of the consignment system, sometimes the forces </w:t>
      </w:r>
      <w:r>
        <w:rPr>
          <w:rFonts w:eastAsia="Times New Roman"/>
        </w:rPr>
        <w:lastRenderedPageBreak/>
        <w:t xml:space="preserve">destabilizing these boundaries were </w:t>
      </w:r>
      <w:r w:rsidR="00143F55">
        <w:rPr>
          <w:rFonts w:eastAsia="Times New Roman"/>
        </w:rPr>
        <w:t xml:space="preserve">the fence builders themselves. </w:t>
      </w:r>
      <w:r>
        <w:rPr>
          <w:rFonts w:eastAsia="Times New Roman"/>
        </w:rPr>
        <w:t>Though they may have intended the handing down of old or out-dated goods from “big” house to small as a symbolic act in true patriarchical form,</w:t>
      </w:r>
      <w:r w:rsidRPr="00DB3137">
        <w:rPr>
          <w:rFonts w:eastAsia="Times New Roman"/>
        </w:rPr>
        <w:t xml:space="preserve"> to the enslaved recipients, these </w:t>
      </w:r>
      <w:r w:rsidR="00993112">
        <w:rPr>
          <w:rFonts w:eastAsia="Times New Roman"/>
        </w:rPr>
        <w:t xml:space="preserve">may have </w:t>
      </w:r>
      <w:r w:rsidRPr="00DB3137">
        <w:rPr>
          <w:rFonts w:eastAsia="Times New Roman"/>
        </w:rPr>
        <w:t>goods operated in ways that were just as important as th</w:t>
      </w:r>
      <w:r w:rsidR="00143F55">
        <w:rPr>
          <w:rFonts w:eastAsia="Times New Roman"/>
        </w:rPr>
        <w:t xml:space="preserve">ose chosen from store shelves. </w:t>
      </w:r>
      <w:r w:rsidRPr="00DB3137">
        <w:rPr>
          <w:rFonts w:eastAsia="Times New Roman"/>
        </w:rPr>
        <w:t>It appears at Mount Vernon that there was a tight material connection between the Washington families and those living in the House for Families slave quarter in the form of special provisions, or those items given to slaves as gifts or rewards, such as table and teawares</w:t>
      </w:r>
      <w:r>
        <w:rPr>
          <w:rFonts w:eastAsia="Times New Roman"/>
        </w:rPr>
        <w:t>, wine glasses,</w:t>
      </w:r>
      <w:r w:rsidRPr="00DB3137">
        <w:rPr>
          <w:rFonts w:eastAsia="Times New Roman"/>
        </w:rPr>
        <w:t xml:space="preserve"> a</w:t>
      </w:r>
      <w:r w:rsidR="00143F55">
        <w:rPr>
          <w:rFonts w:eastAsia="Times New Roman"/>
        </w:rPr>
        <w:t xml:space="preserve">nd perhaps even tobacco pipes. </w:t>
      </w:r>
      <w:r w:rsidRPr="00DB3137">
        <w:rPr>
          <w:rFonts w:eastAsia="Times New Roman"/>
        </w:rPr>
        <w:t>Among the carpenters, shirtmakers, maids, spinners, seamstresses, and laundresses listed in an informal census of Mansion House Farm slaves taken in 1759, any could have easily been the beneficiaries of these goods once used by the Washingtons</w:t>
      </w:r>
      <w:r>
        <w:rPr>
          <w:rFonts w:eastAsia="Times New Roman"/>
        </w:rPr>
        <w:t xml:space="preserve"> </w:t>
      </w:r>
      <w:r>
        <w:t>(Abbot 1988[6]:282)</w:t>
      </w:r>
      <w:r w:rsidR="00143F55">
        <w:rPr>
          <w:rFonts w:eastAsia="Times New Roman"/>
        </w:rPr>
        <w:t xml:space="preserve">. </w:t>
      </w:r>
      <w:r w:rsidRPr="00DB3137">
        <w:rPr>
          <w:rFonts w:eastAsia="Times New Roman"/>
        </w:rPr>
        <w:t>The social alliances afforded to those slaves working and living in close proximity to their master and their master’s family allowed for the accrual of a kind of prestige within the enslaved community itself and a bridge between plantation communities within the bounds of a solidly patriarchical tradition (Galle 2006; Kern 2010:101-102).</w:t>
      </w:r>
      <w:r w:rsidR="00993112">
        <w:rPr>
          <w:rFonts w:eastAsia="Times New Roman"/>
        </w:rPr>
        <w:t xml:space="preserve">We must acknowledge, however, both the foundation and function of this bridge. The material enmeshment of these two communities was constructed from the constant negotiations and tensions between elite and enslaved households as viewed through our modern interpretive lens. </w:t>
      </w:r>
      <w:r w:rsidR="00B056CE">
        <w:rPr>
          <w:rFonts w:eastAsia="Times New Roman"/>
        </w:rPr>
        <w:t xml:space="preserve">Through proper comportment and attention to duties assigned, these enslaved individuals could earn tips or special provisions that they and their relatives certainly enjoyed. </w:t>
      </w:r>
      <w:r w:rsidR="00993112">
        <w:rPr>
          <w:rFonts w:eastAsia="Times New Roman"/>
        </w:rPr>
        <w:t>Enslaved domestic servants and artisans lived and labored in close proximity to and under constant surveillance of their master and their master’s guests</w:t>
      </w:r>
      <w:r w:rsidR="00B056CE">
        <w:rPr>
          <w:rFonts w:eastAsia="Times New Roman"/>
        </w:rPr>
        <w:t>, however,</w:t>
      </w:r>
      <w:r w:rsidR="00993112">
        <w:rPr>
          <w:rFonts w:eastAsia="Times New Roman"/>
        </w:rPr>
        <w:t xml:space="preserve"> in ways that their community members living on outlying farms did not.   </w:t>
      </w:r>
      <w:r w:rsidRPr="00DB3137">
        <w:rPr>
          <w:rFonts w:eastAsia="Times New Roman"/>
        </w:rPr>
        <w:t xml:space="preserve"> </w:t>
      </w:r>
    </w:p>
    <w:p w:rsidR="007D6A02" w:rsidRDefault="007D6A02" w:rsidP="007D6A02">
      <w:pPr>
        <w:spacing w:line="480" w:lineRule="auto"/>
        <w:ind w:firstLine="720"/>
      </w:pPr>
      <w:r w:rsidRPr="00DB3137">
        <w:rPr>
          <w:rFonts w:eastAsia="Times New Roman"/>
        </w:rPr>
        <w:t xml:space="preserve">What were the consequences of a proliferation of goods that functioned as bridges between free and enslaved individuals living on plantations </w:t>
      </w:r>
      <w:r w:rsidR="00143F55">
        <w:rPr>
          <w:rFonts w:eastAsia="Times New Roman"/>
        </w:rPr>
        <w:t xml:space="preserve">in the mid-eighteenth century? </w:t>
      </w:r>
      <w:r w:rsidRPr="00DB3137">
        <w:rPr>
          <w:rFonts w:eastAsia="Times New Roman"/>
        </w:rPr>
        <w:t xml:space="preserve">How </w:t>
      </w:r>
      <w:r w:rsidRPr="00DB3137">
        <w:rPr>
          <w:rFonts w:eastAsia="Times New Roman"/>
        </w:rPr>
        <w:lastRenderedPageBreak/>
        <w:t>were their everyday lives “changed by possession of newfangled artifacts” and what was the potential of these artifacts for rearrangi</w:t>
      </w:r>
      <w:r w:rsidR="00143F55">
        <w:rPr>
          <w:rFonts w:eastAsia="Times New Roman"/>
        </w:rPr>
        <w:t xml:space="preserve">ng social order (Carson 2001)? </w:t>
      </w:r>
      <w:r w:rsidRPr="00DB3137">
        <w:rPr>
          <w:rFonts w:eastAsia="Times New Roman"/>
        </w:rPr>
        <w:t>Within the House for Families assemblage, we witness evidence of artifacts such as a watch seal that represent</w:t>
      </w:r>
      <w:r>
        <w:rPr>
          <w:rFonts w:eastAsia="Times New Roman"/>
        </w:rPr>
        <w:t>s</w:t>
      </w:r>
      <w:r w:rsidRPr="00DB3137">
        <w:rPr>
          <w:rFonts w:eastAsia="Times New Roman"/>
        </w:rPr>
        <w:t xml:space="preserve"> an act of strategic emulation, an appropriation of an item of material culture and the values of gentility and education that it embodies that effectively shortened the material distance</w:t>
      </w:r>
      <w:r w:rsidR="00143F55">
        <w:rPr>
          <w:rFonts w:eastAsia="Times New Roman"/>
        </w:rPr>
        <w:t xml:space="preserve"> between plantation opposites. </w:t>
      </w:r>
      <w:r w:rsidRPr="00DB3137">
        <w:rPr>
          <w:rFonts w:eastAsia="Times New Roman"/>
        </w:rPr>
        <w:t xml:space="preserve">But </w:t>
      </w:r>
      <w:r w:rsidR="00B056CE">
        <w:rPr>
          <w:rFonts w:eastAsia="Times New Roman"/>
        </w:rPr>
        <w:t xml:space="preserve">the question left to be addressed is </w:t>
      </w:r>
      <w:r w:rsidRPr="00DB3137">
        <w:rPr>
          <w:rFonts w:eastAsia="Times New Roman"/>
        </w:rPr>
        <w:t>did this act of consumption lesse</w:t>
      </w:r>
      <w:r w:rsidR="00143F55">
        <w:rPr>
          <w:rFonts w:eastAsia="Times New Roman"/>
        </w:rPr>
        <w:t xml:space="preserve">n the social distance as well? </w:t>
      </w:r>
      <w:r w:rsidRPr="00DB3137">
        <w:rPr>
          <w:rFonts w:eastAsia="Times New Roman"/>
        </w:rPr>
        <w:t>Enslaved communities living on plantations could have collectively rejected fine porcelains, buttons, and buckles that fill slave quarter cellars, pits, and middens, b</w:t>
      </w:r>
      <w:r w:rsidR="00143F55">
        <w:rPr>
          <w:rFonts w:eastAsia="Times New Roman"/>
        </w:rPr>
        <w:t xml:space="preserve">ut instead they embraced them. </w:t>
      </w:r>
      <w:r w:rsidRPr="00DB3137">
        <w:rPr>
          <w:rFonts w:eastAsia="Times New Roman"/>
        </w:rPr>
        <w:t>On a practical level, these things were readily available and increasingly so over the cou</w:t>
      </w:r>
      <w:r w:rsidR="00143F55">
        <w:rPr>
          <w:rFonts w:eastAsia="Times New Roman"/>
        </w:rPr>
        <w:t xml:space="preserve">rse of the eighteenth century. </w:t>
      </w:r>
      <w:r w:rsidRPr="00DB3137">
        <w:rPr>
          <w:rFonts w:eastAsia="Times New Roman"/>
        </w:rPr>
        <w:t xml:space="preserve">On a theoretical level, adoption of this material repertoire and </w:t>
      </w:r>
      <w:r>
        <w:t>“s</w:t>
      </w:r>
      <w:r w:rsidRPr="00DB3137">
        <w:t>uccessful acquisition of commodities and consumer goods by slaves was a basic determinant of larger changes within slave society and how the Anglo-American culture viewed slaves” (Martin 2008:174).</w:t>
      </w:r>
      <w:r w:rsidR="00143F55">
        <w:t xml:space="preserve"> </w:t>
      </w:r>
      <w:r>
        <w:t>To Breen (2004:156), a slave acquiring a watch seal constitutes a “choice of out bounds” or a consumer decision made by non-elites that “transgressed the older bo</w:t>
      </w:r>
      <w:r w:rsidR="00143F55">
        <w:t xml:space="preserve">undaries of class and status.” </w:t>
      </w:r>
      <w:r>
        <w:t xml:space="preserve">If “the pleasures and frustrations of so many consumer choices” compelled a colonial population to fight for freedom from tyranny, we should be equally cognizant of </w:t>
      </w:r>
      <w:r w:rsidR="00B056CE">
        <w:t>the</w:t>
      </w:r>
      <w:r>
        <w:t xml:space="preserve"> effects </w:t>
      </w:r>
      <w:r w:rsidR="00B056CE">
        <w:t xml:space="preserve">it may have had </w:t>
      </w:r>
      <w:r>
        <w:t xml:space="preserve">on enslaved Africans and African Americans (Breen 2004:192).  </w:t>
      </w:r>
    </w:p>
    <w:p w:rsidR="007D6A02" w:rsidRPr="00EA1577" w:rsidRDefault="007D6A02" w:rsidP="007D6A02">
      <w:pPr>
        <w:spacing w:line="480" w:lineRule="auto"/>
        <w:ind w:firstLine="720"/>
      </w:pPr>
      <w:r>
        <w:t xml:space="preserve">Consumer choice certainly did not mitigate the extreme factors of enslavement, but </w:t>
      </w:r>
      <w:r w:rsidR="00B056CE">
        <w:t xml:space="preserve">we are left to wonder about the effects of </w:t>
      </w:r>
      <w:r>
        <w:t>the collective wave formed over the course of many decades by small acts of consumption, by choice after out-of-bound choice</w:t>
      </w:r>
      <w:r w:rsidR="00143F55">
        <w:t xml:space="preserve">. </w:t>
      </w:r>
      <w:r>
        <w:t xml:space="preserve">To call the mid-eighteenth century expansion of consumerism outwards and downwards a revolution risks ignoring or glossing over just how equally individuals of differing socio-economic groups </w:t>
      </w:r>
      <w:r>
        <w:lastRenderedPageBreak/>
        <w:t>experienced the rad</w:t>
      </w:r>
      <w:r w:rsidR="00143F55">
        <w:t xml:space="preserve">ical shift in access to goods. </w:t>
      </w:r>
      <w:r>
        <w:t>Through a systematic analysis of classes of material culture, this dissertation offers evidence of differential access to consumer goods in this period tied to economic, social, and racial factors and how elites attempted to maintain this situation through the continued participation in the trans-Atlantic consignment sy</w:t>
      </w:r>
      <w:r w:rsidR="00143F55">
        <w:t xml:space="preserve">stem. </w:t>
      </w:r>
      <w:r>
        <w:t xml:space="preserve">While additional research is needed on non-elite consumer behavior as reflected in the archaeological record through the re-analysis of old collections and the excavation of new, enslaved individuals living at Mount Vernon eagerly participated in the marketplace, formally and informally, in ways that suggest an upending of social order through the power of material culture.     </w:t>
      </w:r>
    </w:p>
    <w:p w:rsidR="007D6A02" w:rsidRPr="00DB3137" w:rsidRDefault="007D6A02" w:rsidP="007D6A02">
      <w:pPr>
        <w:spacing w:line="480" w:lineRule="auto"/>
      </w:pPr>
      <w:r>
        <w:t xml:space="preserve">   </w:t>
      </w:r>
    </w:p>
    <w:p w:rsidR="007D6A02" w:rsidRPr="00195AAE" w:rsidRDefault="007D6A02" w:rsidP="007D6A02">
      <w:pPr>
        <w:spacing w:line="480" w:lineRule="auto"/>
        <w:ind w:firstLine="720"/>
        <w:rPr>
          <w:rFonts w:eastAsia="Times New Roman"/>
        </w:rPr>
      </w:pPr>
      <w:r w:rsidRPr="00DB3137">
        <w:rPr>
          <w:rFonts w:eastAsia="Times New Roman"/>
        </w:rPr>
        <w:t xml:space="preserve">       </w:t>
      </w:r>
    </w:p>
    <w:p w:rsidR="000F7191" w:rsidRPr="000F7191" w:rsidRDefault="000F7191">
      <w:pPr>
        <w:rPr>
          <w:b/>
        </w:rPr>
      </w:pPr>
      <w:r w:rsidRPr="000F7191">
        <w:rPr>
          <w:b/>
        </w:rPr>
        <w:br w:type="page"/>
      </w:r>
    </w:p>
    <w:p w:rsidR="000F7191" w:rsidRDefault="000F7191" w:rsidP="000F7191">
      <w:pPr>
        <w:spacing w:after="200" w:line="276" w:lineRule="auto"/>
        <w:jc w:val="center"/>
        <w:rPr>
          <w:b/>
        </w:rPr>
      </w:pPr>
      <w:r>
        <w:rPr>
          <w:b/>
        </w:rPr>
        <w:lastRenderedPageBreak/>
        <w:t>LIST OF REFERENCES</w:t>
      </w:r>
      <w:r>
        <w:rPr>
          <w:b/>
        </w:rPr>
        <w:br w:type="page"/>
      </w:r>
    </w:p>
    <w:p w:rsidR="000F7191" w:rsidRDefault="000F7191" w:rsidP="000F7191">
      <w:pPr>
        <w:rPr>
          <w:rFonts w:eastAsia="Calibri"/>
        </w:rPr>
      </w:pPr>
      <w:r>
        <w:rPr>
          <w:rFonts w:eastAsia="Calibri"/>
        </w:rPr>
        <w:lastRenderedPageBreak/>
        <w:t>Abbot, W. W., editor</w:t>
      </w:r>
    </w:p>
    <w:p w:rsidR="000F7191" w:rsidRDefault="000F7191" w:rsidP="000F7191">
      <w:pPr>
        <w:rPr>
          <w:rFonts w:eastAsia="Calibri"/>
        </w:rPr>
      </w:pPr>
      <w:r>
        <w:rPr>
          <w:rFonts w:eastAsia="Calibri"/>
        </w:rPr>
        <w:t xml:space="preserve">1983  </w:t>
      </w:r>
      <w:r w:rsidRPr="008D5A30">
        <w:rPr>
          <w:rFonts w:eastAsia="Calibri"/>
          <w:i/>
        </w:rPr>
        <w:t>The Papers of George Washington: Colonial Series</w:t>
      </w:r>
      <w:r>
        <w:rPr>
          <w:rFonts w:eastAsia="Calibri"/>
        </w:rPr>
        <w:t xml:space="preserve"> vol. 1. University Press of Virginia, Charlottesville, VA.</w:t>
      </w:r>
    </w:p>
    <w:p w:rsidR="000F7191" w:rsidRDefault="000F7191" w:rsidP="000F7191">
      <w:pPr>
        <w:rPr>
          <w:rFonts w:eastAsia="Calibri"/>
        </w:rPr>
      </w:pPr>
    </w:p>
    <w:p w:rsidR="000F7191" w:rsidRDefault="000F7191" w:rsidP="000F7191">
      <w:pPr>
        <w:rPr>
          <w:rFonts w:eastAsia="Calibri"/>
        </w:rPr>
      </w:pPr>
      <w:r>
        <w:rPr>
          <w:rFonts w:eastAsia="Calibri"/>
        </w:rPr>
        <w:t>Abbot, W. W., editor</w:t>
      </w:r>
    </w:p>
    <w:p w:rsidR="000F7191" w:rsidRDefault="000F7191" w:rsidP="000F7191">
      <w:pPr>
        <w:rPr>
          <w:rFonts w:eastAsia="Calibri"/>
        </w:rPr>
      </w:pPr>
      <w:r>
        <w:rPr>
          <w:rFonts w:eastAsia="Calibri"/>
        </w:rPr>
        <w:t>1983</w:t>
      </w:r>
      <w:r>
        <w:rPr>
          <w:rFonts w:eastAsia="Calibri"/>
        </w:rPr>
        <w:tab/>
      </w:r>
      <w:r w:rsidRPr="008D5A30">
        <w:rPr>
          <w:rFonts w:eastAsia="Calibri"/>
          <w:i/>
        </w:rPr>
        <w:t>The Papers of George Washington: Colonial Series</w:t>
      </w:r>
      <w:r>
        <w:rPr>
          <w:rFonts w:eastAsia="Calibri"/>
        </w:rPr>
        <w:t xml:space="preserve"> vol. 2. University Press of Virginia, Charlottesville, VA.</w:t>
      </w:r>
    </w:p>
    <w:p w:rsidR="000F7191" w:rsidRDefault="000F7191" w:rsidP="000F7191">
      <w:pPr>
        <w:rPr>
          <w:rFonts w:eastAsia="Calibri"/>
        </w:rPr>
      </w:pPr>
    </w:p>
    <w:p w:rsidR="000F7191" w:rsidRDefault="000F7191" w:rsidP="000F7191">
      <w:pPr>
        <w:rPr>
          <w:rFonts w:eastAsia="Calibri"/>
        </w:rPr>
      </w:pPr>
      <w:r>
        <w:rPr>
          <w:rFonts w:eastAsia="Calibri"/>
        </w:rPr>
        <w:t>Abbot, W. W., editor</w:t>
      </w:r>
    </w:p>
    <w:p w:rsidR="000F7191" w:rsidRDefault="000F7191" w:rsidP="000F7191">
      <w:pPr>
        <w:rPr>
          <w:rFonts w:eastAsia="Calibri"/>
        </w:rPr>
      </w:pPr>
      <w:r>
        <w:rPr>
          <w:rFonts w:eastAsia="Calibri"/>
        </w:rPr>
        <w:t>1984</w:t>
      </w:r>
      <w:r>
        <w:rPr>
          <w:rFonts w:eastAsia="Calibri"/>
        </w:rPr>
        <w:tab/>
      </w:r>
      <w:r w:rsidRPr="008D5A30">
        <w:rPr>
          <w:rFonts w:eastAsia="Calibri"/>
          <w:i/>
        </w:rPr>
        <w:t>The Papers of George Washington: Colonial Series</w:t>
      </w:r>
      <w:r>
        <w:rPr>
          <w:rFonts w:eastAsia="Calibri"/>
        </w:rPr>
        <w:t xml:space="preserve"> vol. 4. University Press of Virginia, Charlottesville, VA.</w:t>
      </w:r>
    </w:p>
    <w:p w:rsidR="000F7191" w:rsidRDefault="000F7191" w:rsidP="000F7191">
      <w:pPr>
        <w:rPr>
          <w:rFonts w:eastAsia="Calibri"/>
        </w:rPr>
      </w:pPr>
    </w:p>
    <w:p w:rsidR="000F7191" w:rsidRDefault="000F7191" w:rsidP="000F7191">
      <w:pPr>
        <w:rPr>
          <w:rFonts w:eastAsia="Calibri"/>
        </w:rPr>
      </w:pPr>
      <w:r>
        <w:rPr>
          <w:rFonts w:eastAsia="Calibri"/>
        </w:rPr>
        <w:t>Abbot, W. W., editor</w:t>
      </w:r>
    </w:p>
    <w:p w:rsidR="000F7191" w:rsidRDefault="000F7191" w:rsidP="000F7191">
      <w:pPr>
        <w:rPr>
          <w:rFonts w:eastAsia="Calibri"/>
        </w:rPr>
      </w:pPr>
      <w:r>
        <w:rPr>
          <w:rFonts w:eastAsia="Calibri"/>
        </w:rPr>
        <w:t>1988</w:t>
      </w:r>
      <w:r>
        <w:rPr>
          <w:rFonts w:eastAsia="Calibri"/>
        </w:rPr>
        <w:tab/>
      </w:r>
      <w:r w:rsidRPr="008D5A30">
        <w:rPr>
          <w:rFonts w:eastAsia="Calibri"/>
          <w:i/>
        </w:rPr>
        <w:t>The Papers of George Washington: Colonial Series</w:t>
      </w:r>
      <w:r>
        <w:rPr>
          <w:rFonts w:eastAsia="Calibri"/>
        </w:rPr>
        <w:t xml:space="preserve"> vol. 5. University Press of Virginia, Charlottesville, VA.</w:t>
      </w:r>
    </w:p>
    <w:p w:rsidR="000F7191" w:rsidRDefault="000F7191" w:rsidP="000F7191">
      <w:pPr>
        <w:rPr>
          <w:rFonts w:eastAsia="Calibri"/>
        </w:rPr>
      </w:pPr>
    </w:p>
    <w:p w:rsidR="000F7191" w:rsidRDefault="000F7191" w:rsidP="000F7191">
      <w:pPr>
        <w:rPr>
          <w:rFonts w:eastAsia="Calibri"/>
        </w:rPr>
      </w:pPr>
      <w:r>
        <w:rPr>
          <w:rFonts w:eastAsia="Calibri"/>
        </w:rPr>
        <w:t>Abbot, W. W., editor</w:t>
      </w:r>
    </w:p>
    <w:p w:rsidR="000F7191" w:rsidRDefault="000F7191" w:rsidP="000F7191">
      <w:pPr>
        <w:rPr>
          <w:rFonts w:eastAsia="Calibri"/>
        </w:rPr>
      </w:pPr>
      <w:r>
        <w:rPr>
          <w:rFonts w:eastAsia="Calibri"/>
        </w:rPr>
        <w:t>1988</w:t>
      </w:r>
      <w:r>
        <w:rPr>
          <w:rFonts w:eastAsia="Calibri"/>
        </w:rPr>
        <w:tab/>
      </w:r>
      <w:r w:rsidRPr="008D5A30">
        <w:rPr>
          <w:rFonts w:eastAsia="Calibri"/>
          <w:i/>
        </w:rPr>
        <w:t>The Papers of George Washington: Colonial Series</w:t>
      </w:r>
      <w:r>
        <w:rPr>
          <w:rFonts w:eastAsia="Calibri"/>
        </w:rPr>
        <w:t xml:space="preserve"> vol. 6. University Press of Virginia, Charlottesville, VA.</w:t>
      </w:r>
    </w:p>
    <w:p w:rsidR="000F7191" w:rsidRDefault="000F7191" w:rsidP="000F7191">
      <w:pPr>
        <w:rPr>
          <w:rFonts w:eastAsia="Calibri"/>
        </w:rPr>
      </w:pPr>
    </w:p>
    <w:p w:rsidR="000F7191" w:rsidRDefault="000F7191" w:rsidP="000F7191">
      <w:pPr>
        <w:rPr>
          <w:rFonts w:eastAsia="Calibri"/>
        </w:rPr>
      </w:pPr>
      <w:r>
        <w:rPr>
          <w:rFonts w:eastAsia="Calibri"/>
        </w:rPr>
        <w:t>Abbot, W. W. and Dorothy Twohig, editors</w:t>
      </w:r>
    </w:p>
    <w:p w:rsidR="000F7191" w:rsidRDefault="000F7191" w:rsidP="000F7191">
      <w:pPr>
        <w:rPr>
          <w:rFonts w:eastAsia="Calibri"/>
        </w:rPr>
      </w:pPr>
      <w:r>
        <w:rPr>
          <w:rFonts w:eastAsia="Calibri"/>
        </w:rPr>
        <w:t>1990</w:t>
      </w:r>
      <w:r>
        <w:rPr>
          <w:rFonts w:eastAsia="Calibri"/>
        </w:rPr>
        <w:tab/>
      </w:r>
      <w:r w:rsidRPr="008D5A30">
        <w:rPr>
          <w:rFonts w:eastAsia="Calibri"/>
          <w:i/>
        </w:rPr>
        <w:t>The Papers of George Washington: Colonial Series</w:t>
      </w:r>
      <w:r>
        <w:rPr>
          <w:rFonts w:eastAsia="Calibri"/>
        </w:rPr>
        <w:t xml:space="preserve"> vol. 7. University Press of Virginia, Charlottesville, VA.</w:t>
      </w:r>
    </w:p>
    <w:p w:rsidR="000F7191" w:rsidRDefault="000F7191" w:rsidP="000F7191">
      <w:pPr>
        <w:rPr>
          <w:rFonts w:eastAsia="Calibri"/>
        </w:rPr>
      </w:pPr>
    </w:p>
    <w:p w:rsidR="000F7191" w:rsidRDefault="000F7191" w:rsidP="000F7191">
      <w:pPr>
        <w:rPr>
          <w:rFonts w:eastAsia="Calibri"/>
        </w:rPr>
      </w:pPr>
      <w:r>
        <w:rPr>
          <w:rFonts w:eastAsia="Calibri"/>
        </w:rPr>
        <w:t>Abbot, W. W. and Dorothy Twohig, editors</w:t>
      </w:r>
    </w:p>
    <w:p w:rsidR="000F7191" w:rsidRDefault="000F7191" w:rsidP="000F7191">
      <w:pPr>
        <w:rPr>
          <w:rFonts w:eastAsia="Calibri"/>
        </w:rPr>
      </w:pPr>
      <w:r>
        <w:rPr>
          <w:rFonts w:eastAsia="Calibri"/>
        </w:rPr>
        <w:t>1993</w:t>
      </w:r>
      <w:r>
        <w:rPr>
          <w:rFonts w:eastAsia="Calibri"/>
        </w:rPr>
        <w:tab/>
      </w:r>
      <w:r w:rsidRPr="008D5A30">
        <w:rPr>
          <w:rFonts w:eastAsia="Calibri"/>
          <w:i/>
        </w:rPr>
        <w:t>The Papers of George Washington: Colonial Series</w:t>
      </w:r>
      <w:r>
        <w:rPr>
          <w:rFonts w:eastAsia="Calibri"/>
        </w:rPr>
        <w:t xml:space="preserve"> vol. 8. University Press of Virginia, Charlottesville, VA.</w:t>
      </w:r>
    </w:p>
    <w:p w:rsidR="000F7191" w:rsidRDefault="000F7191" w:rsidP="000F7191">
      <w:pPr>
        <w:rPr>
          <w:rFonts w:eastAsia="Calibri"/>
        </w:rPr>
      </w:pPr>
    </w:p>
    <w:p w:rsidR="000F7191" w:rsidRDefault="000F7191" w:rsidP="000F7191">
      <w:pPr>
        <w:rPr>
          <w:rFonts w:eastAsia="Calibri"/>
        </w:rPr>
      </w:pPr>
      <w:r>
        <w:rPr>
          <w:rFonts w:eastAsia="Calibri"/>
        </w:rPr>
        <w:t>Abbot, W. W. and Dorothy Twohig, editors</w:t>
      </w:r>
    </w:p>
    <w:p w:rsidR="000F7191" w:rsidRDefault="000F7191" w:rsidP="000F7191">
      <w:pPr>
        <w:rPr>
          <w:rFonts w:eastAsia="Calibri"/>
        </w:rPr>
      </w:pPr>
      <w:r>
        <w:rPr>
          <w:rFonts w:eastAsia="Calibri"/>
        </w:rPr>
        <w:t>1994</w:t>
      </w:r>
      <w:r>
        <w:rPr>
          <w:rFonts w:eastAsia="Calibri"/>
        </w:rPr>
        <w:tab/>
      </w:r>
      <w:r w:rsidRPr="008D5A30">
        <w:rPr>
          <w:rFonts w:eastAsia="Calibri"/>
          <w:i/>
        </w:rPr>
        <w:t>The Papers of George Washington: Colonial Series</w:t>
      </w:r>
      <w:r>
        <w:rPr>
          <w:rFonts w:eastAsia="Calibri"/>
        </w:rPr>
        <w:t xml:space="preserve"> vol. 9. University Press of Virginia, Charlottesville, VA.</w:t>
      </w:r>
    </w:p>
    <w:p w:rsidR="000F7191" w:rsidRDefault="000F7191" w:rsidP="000F7191">
      <w:pPr>
        <w:rPr>
          <w:rFonts w:eastAsia="Calibri"/>
        </w:rPr>
      </w:pPr>
    </w:p>
    <w:p w:rsidR="000F7191" w:rsidRDefault="000F7191" w:rsidP="000F7191">
      <w:pPr>
        <w:rPr>
          <w:rFonts w:eastAsia="Calibri"/>
        </w:rPr>
      </w:pPr>
      <w:r>
        <w:rPr>
          <w:rFonts w:eastAsia="Calibri"/>
        </w:rPr>
        <w:t>Abbot, W. W. and Dorothy Twohig, editors</w:t>
      </w:r>
    </w:p>
    <w:p w:rsidR="000F7191" w:rsidRDefault="000F7191" w:rsidP="000F7191">
      <w:pPr>
        <w:rPr>
          <w:rFonts w:eastAsia="Calibri"/>
        </w:rPr>
      </w:pPr>
      <w:r>
        <w:rPr>
          <w:rFonts w:eastAsia="Calibri"/>
        </w:rPr>
        <w:t>1995</w:t>
      </w:r>
      <w:r>
        <w:rPr>
          <w:rFonts w:eastAsia="Calibri"/>
        </w:rPr>
        <w:tab/>
      </w:r>
      <w:r w:rsidRPr="008D5A30">
        <w:rPr>
          <w:rFonts w:eastAsia="Calibri"/>
          <w:i/>
        </w:rPr>
        <w:t>The Papers of George Washington: Colonial Series</w:t>
      </w:r>
      <w:r>
        <w:rPr>
          <w:rFonts w:eastAsia="Calibri"/>
        </w:rPr>
        <w:t xml:space="preserve"> vol. 10. University Press of Virginia, Charlottesville, VA.</w:t>
      </w:r>
    </w:p>
    <w:p w:rsidR="000F7191" w:rsidRDefault="000F7191" w:rsidP="000F7191">
      <w:pPr>
        <w:rPr>
          <w:rFonts w:eastAsia="Calibri"/>
        </w:rPr>
      </w:pPr>
    </w:p>
    <w:p w:rsidR="000F7191" w:rsidRDefault="000F7191" w:rsidP="000F7191">
      <w:pPr>
        <w:rPr>
          <w:rFonts w:eastAsia="Calibri"/>
        </w:rPr>
      </w:pPr>
      <w:r>
        <w:rPr>
          <w:rFonts w:eastAsia="Calibri"/>
        </w:rPr>
        <w:t>Abbot, W. W., editor</w:t>
      </w:r>
    </w:p>
    <w:p w:rsidR="000F7191" w:rsidRDefault="000F7191" w:rsidP="000F7191">
      <w:pPr>
        <w:rPr>
          <w:rFonts w:eastAsia="Calibri"/>
        </w:rPr>
      </w:pPr>
      <w:r>
        <w:rPr>
          <w:rFonts w:eastAsia="Calibri"/>
        </w:rPr>
        <w:t>1999</w:t>
      </w:r>
      <w:r>
        <w:rPr>
          <w:rFonts w:eastAsia="Calibri"/>
        </w:rPr>
        <w:tab/>
      </w:r>
      <w:r w:rsidRPr="008D5A30">
        <w:rPr>
          <w:rFonts w:eastAsia="Calibri"/>
          <w:i/>
        </w:rPr>
        <w:t xml:space="preserve">The Papers of George Washington: </w:t>
      </w:r>
      <w:r>
        <w:rPr>
          <w:rFonts w:eastAsia="Calibri"/>
          <w:i/>
        </w:rPr>
        <w:t>Retirement</w:t>
      </w:r>
      <w:r w:rsidRPr="008D5A30">
        <w:rPr>
          <w:rFonts w:eastAsia="Calibri"/>
          <w:i/>
        </w:rPr>
        <w:t xml:space="preserve"> Series</w:t>
      </w:r>
      <w:r>
        <w:rPr>
          <w:rFonts w:eastAsia="Calibri"/>
        </w:rPr>
        <w:t xml:space="preserve"> vol. 4. University Press of Virginia, Charlottesville, VA.</w:t>
      </w:r>
    </w:p>
    <w:p w:rsidR="000F7191" w:rsidRDefault="000F7191" w:rsidP="000F7191">
      <w:pPr>
        <w:rPr>
          <w:rFonts w:eastAsia="Calibri"/>
        </w:rPr>
      </w:pPr>
    </w:p>
    <w:p w:rsidR="000F7191" w:rsidRDefault="000F7191" w:rsidP="000F7191">
      <w:r>
        <w:t>Anonymous</w:t>
      </w:r>
    </w:p>
    <w:p w:rsidR="000F7191" w:rsidRDefault="000F7191" w:rsidP="000F7191">
      <w:r>
        <w:t>[1743]</w:t>
      </w:r>
      <w:r>
        <w:tab/>
      </w:r>
      <w:r w:rsidRPr="00A427B9">
        <w:rPr>
          <w:i/>
        </w:rPr>
        <w:t>Portrait of Lawrence Washington</w:t>
      </w:r>
      <w:r w:rsidR="00434D4C">
        <w:t xml:space="preserve">. Oil on canvas. </w:t>
      </w:r>
      <w:r>
        <w:t xml:space="preserve">Mount Vernon Ladies’ Association, Mount Vernon, VA.  </w:t>
      </w:r>
    </w:p>
    <w:p w:rsidR="000F7191" w:rsidRDefault="000F7191" w:rsidP="000F7191"/>
    <w:p w:rsidR="0076173E" w:rsidRDefault="0076173E">
      <w:r>
        <w:br w:type="page"/>
      </w:r>
    </w:p>
    <w:p w:rsidR="000F7191" w:rsidRPr="00771D5C" w:rsidRDefault="000F7191" w:rsidP="000F7191">
      <w:r w:rsidRPr="00771D5C">
        <w:lastRenderedPageBreak/>
        <w:t>Appadurai, Arjun</w:t>
      </w:r>
    </w:p>
    <w:p w:rsidR="000F7191" w:rsidRPr="00771D5C" w:rsidRDefault="000F7191" w:rsidP="000F7191">
      <w:r w:rsidRPr="00771D5C">
        <w:t>1986</w:t>
      </w:r>
      <w:r w:rsidRPr="00771D5C">
        <w:tab/>
        <w:t>Introduction: Commodi</w:t>
      </w:r>
      <w:r w:rsidR="00434D4C">
        <w:t>ties and the Politics of Value.</w:t>
      </w:r>
      <w:r w:rsidRPr="00771D5C">
        <w:t xml:space="preserve"> In </w:t>
      </w:r>
      <w:r w:rsidRPr="00771D5C">
        <w:rPr>
          <w:i/>
        </w:rPr>
        <w:t>The Social Life of Things</w:t>
      </w:r>
      <w:r w:rsidRPr="00771D5C">
        <w:t xml:space="preserve">, Arjun Appadurai, </w:t>
      </w:r>
      <w:r>
        <w:t xml:space="preserve">editor, </w:t>
      </w:r>
      <w:r w:rsidR="00434D4C">
        <w:t>pp. 3-63.</w:t>
      </w:r>
      <w:r w:rsidRPr="00771D5C">
        <w:t xml:space="preserve"> Cambridge University Press, Cambridge</w:t>
      </w:r>
      <w:r>
        <w:t>, UK</w:t>
      </w:r>
      <w:r w:rsidRPr="00771D5C">
        <w:t>.</w:t>
      </w:r>
    </w:p>
    <w:p w:rsidR="000F7191" w:rsidRPr="00166109" w:rsidRDefault="000F7191" w:rsidP="000F7191"/>
    <w:p w:rsidR="000F7191" w:rsidRPr="00166109" w:rsidRDefault="000F7191" w:rsidP="000F7191">
      <w:pPr>
        <w:pStyle w:val="FootnoteText"/>
        <w:rPr>
          <w:sz w:val="24"/>
          <w:szCs w:val="24"/>
        </w:rPr>
      </w:pPr>
      <w:r w:rsidRPr="00166109">
        <w:rPr>
          <w:sz w:val="24"/>
          <w:szCs w:val="24"/>
        </w:rPr>
        <w:t>Armstrong, Nancy</w:t>
      </w:r>
      <w:r w:rsidRPr="00166109">
        <w:rPr>
          <w:sz w:val="24"/>
          <w:szCs w:val="24"/>
        </w:rPr>
        <w:br/>
        <w:t>1974</w:t>
      </w:r>
      <w:r>
        <w:rPr>
          <w:sz w:val="24"/>
          <w:szCs w:val="24"/>
        </w:rPr>
        <w:tab/>
      </w:r>
      <w:r w:rsidRPr="00166109">
        <w:rPr>
          <w:i/>
          <w:sz w:val="24"/>
          <w:szCs w:val="24"/>
        </w:rPr>
        <w:t>A Collector’s History of Fans</w:t>
      </w:r>
      <w:r w:rsidR="00434D4C">
        <w:rPr>
          <w:sz w:val="24"/>
          <w:szCs w:val="24"/>
        </w:rPr>
        <w:t xml:space="preserve">. </w:t>
      </w:r>
      <w:r w:rsidRPr="00166109">
        <w:rPr>
          <w:sz w:val="24"/>
          <w:szCs w:val="24"/>
        </w:rPr>
        <w:t>Clarkson N. Potter, Inc., New York</w:t>
      </w:r>
      <w:r>
        <w:rPr>
          <w:sz w:val="24"/>
          <w:szCs w:val="24"/>
        </w:rPr>
        <w:t>, NY</w:t>
      </w:r>
      <w:r w:rsidRPr="00166109">
        <w:rPr>
          <w:sz w:val="24"/>
          <w:szCs w:val="24"/>
        </w:rPr>
        <w:t>.</w:t>
      </w:r>
    </w:p>
    <w:p w:rsidR="000F7191" w:rsidRPr="00166109" w:rsidRDefault="000F7191" w:rsidP="000F7191">
      <w:pPr>
        <w:pStyle w:val="FootnoteText"/>
        <w:rPr>
          <w:sz w:val="24"/>
          <w:szCs w:val="24"/>
        </w:rPr>
      </w:pPr>
    </w:p>
    <w:p w:rsidR="000F7191" w:rsidRDefault="000F7191" w:rsidP="000F7191">
      <w:pPr>
        <w:pStyle w:val="FootnoteText"/>
        <w:rPr>
          <w:sz w:val="24"/>
          <w:szCs w:val="24"/>
        </w:rPr>
      </w:pPr>
      <w:r>
        <w:rPr>
          <w:sz w:val="24"/>
          <w:szCs w:val="24"/>
        </w:rPr>
        <w:t>Aultman, Jennifer, Donald Gaylord, Jillian Galle, Kate Grillo, Chris Mundy, Jesse Sawyer, and Karen Smith</w:t>
      </w:r>
    </w:p>
    <w:p w:rsidR="000F7191" w:rsidRDefault="000F7191" w:rsidP="000F7191">
      <w:pPr>
        <w:pStyle w:val="FootnoteText"/>
        <w:rPr>
          <w:sz w:val="24"/>
          <w:szCs w:val="24"/>
        </w:rPr>
      </w:pPr>
      <w:r>
        <w:rPr>
          <w:sz w:val="24"/>
          <w:szCs w:val="24"/>
        </w:rPr>
        <w:t>2012</w:t>
      </w:r>
      <w:r>
        <w:rPr>
          <w:sz w:val="24"/>
          <w:szCs w:val="24"/>
        </w:rPr>
        <w:tab/>
        <w:t>DAACS Catalogu</w:t>
      </w:r>
      <w:r w:rsidR="00434D4C">
        <w:rPr>
          <w:sz w:val="24"/>
          <w:szCs w:val="24"/>
        </w:rPr>
        <w:t xml:space="preserve">ing Manual: General Artifacts. </w:t>
      </w:r>
      <w:r>
        <w:rPr>
          <w:sz w:val="24"/>
          <w:szCs w:val="24"/>
        </w:rPr>
        <w:t>The Digital Archaeological A</w:t>
      </w:r>
      <w:r w:rsidR="00434D4C">
        <w:rPr>
          <w:sz w:val="24"/>
          <w:szCs w:val="24"/>
        </w:rPr>
        <w:t xml:space="preserve">rchive of Comparative Slavery. </w:t>
      </w:r>
      <w:r>
        <w:rPr>
          <w:sz w:val="24"/>
          <w:szCs w:val="24"/>
        </w:rPr>
        <w:t>&lt;</w:t>
      </w:r>
      <w:r w:rsidRPr="00FF3718">
        <w:rPr>
          <w:sz w:val="24"/>
          <w:szCs w:val="24"/>
        </w:rPr>
        <w:t>http://www.daacs.org/wp-content/uploads/general-artifacts.pdf</w:t>
      </w:r>
      <w:r>
        <w:rPr>
          <w:sz w:val="24"/>
          <w:szCs w:val="24"/>
        </w:rPr>
        <w:t xml:space="preserve">&gt;.  Accessed 9 July 2013.  </w:t>
      </w:r>
    </w:p>
    <w:p w:rsidR="000F7191" w:rsidRDefault="000F7191" w:rsidP="000F7191">
      <w:pPr>
        <w:pStyle w:val="FootnoteText"/>
        <w:ind w:left="360" w:hanging="360"/>
        <w:rPr>
          <w:sz w:val="24"/>
          <w:szCs w:val="24"/>
        </w:rPr>
      </w:pPr>
    </w:p>
    <w:p w:rsidR="000F7191" w:rsidRDefault="000F7191" w:rsidP="000F7191">
      <w:pPr>
        <w:rPr>
          <w:rStyle w:val="addmd"/>
        </w:rPr>
      </w:pPr>
      <w:r>
        <w:t xml:space="preserve">Ayres, Edward L., </w:t>
      </w:r>
      <w:r>
        <w:rPr>
          <w:rStyle w:val="addmd"/>
        </w:rPr>
        <w:t>Lewis L. Gould, David M. Oshinsky, and Jean R. Soderlund</w:t>
      </w:r>
    </w:p>
    <w:p w:rsidR="000F7191" w:rsidRDefault="000F7191" w:rsidP="000F7191">
      <w:r>
        <w:t>2009</w:t>
      </w:r>
      <w:r>
        <w:tab/>
      </w:r>
      <w:r w:rsidRPr="002478D4">
        <w:rPr>
          <w:i/>
        </w:rPr>
        <w:t>American Passages: A History of the United States, Fourth Edition</w:t>
      </w:r>
      <w:r w:rsidR="00434D4C">
        <w:t xml:space="preserve">. </w:t>
      </w:r>
      <w:r>
        <w:t>Wadsworth, Boston.</w:t>
      </w:r>
    </w:p>
    <w:p w:rsidR="000F7191" w:rsidRDefault="000F7191" w:rsidP="000F7191"/>
    <w:p w:rsidR="000F7191" w:rsidRDefault="000F7191" w:rsidP="000F7191">
      <w:pPr>
        <w:pStyle w:val="FootnoteText"/>
        <w:ind w:left="360" w:hanging="360"/>
        <w:rPr>
          <w:sz w:val="24"/>
          <w:szCs w:val="24"/>
        </w:rPr>
      </w:pPr>
      <w:r>
        <w:rPr>
          <w:sz w:val="24"/>
          <w:szCs w:val="24"/>
        </w:rPr>
        <w:t>Barca, Kathryn Gertrude</w:t>
      </w:r>
    </w:p>
    <w:p w:rsidR="000F7191" w:rsidRPr="00B9471A" w:rsidRDefault="000F7191" w:rsidP="000F7191">
      <w:pPr>
        <w:rPr>
          <w:rFonts w:eastAsia="Times New Roman"/>
        </w:rPr>
      </w:pPr>
      <w:r>
        <w:t>2012</w:t>
      </w:r>
      <w:r>
        <w:tab/>
      </w:r>
      <w:r w:rsidRPr="00B9471A">
        <w:rPr>
          <w:rFonts w:eastAsia="Times New Roman"/>
        </w:rPr>
        <w:t>“The Best Kind of Long Ones”: Tobacco Smoking</w:t>
      </w:r>
      <w:r>
        <w:rPr>
          <w:rFonts w:eastAsia="Times New Roman"/>
        </w:rPr>
        <w:t xml:space="preserve"> </w:t>
      </w:r>
      <w:r w:rsidRPr="00B9471A">
        <w:rPr>
          <w:rFonts w:eastAsia="Times New Roman"/>
        </w:rPr>
        <w:t>at</w:t>
      </w:r>
      <w:r>
        <w:rPr>
          <w:rFonts w:eastAsia="Times New Roman"/>
        </w:rPr>
        <w:t xml:space="preserve"> George Washington’s Mount </w:t>
      </w:r>
      <w:r w:rsidRPr="00B9471A">
        <w:rPr>
          <w:rFonts w:eastAsia="Times New Roman"/>
        </w:rPr>
        <w:t>Vernon</w:t>
      </w:r>
      <w:r w:rsidR="00434D4C">
        <w:rPr>
          <w:rFonts w:eastAsia="Times New Roman"/>
        </w:rPr>
        <w:t xml:space="preserve">. </w:t>
      </w:r>
      <w:r>
        <w:t>Master’s thesis, George Washington University, Washington, D.C.  &lt;</w:t>
      </w:r>
      <w:r w:rsidRPr="0038571D">
        <w:t xml:space="preserve"> http://mountvernonmidden.org/resources/The%20Best%20Kind%20of%20Long%20Ones.pdf</w:t>
      </w:r>
      <w:r>
        <w:t xml:space="preserve">&gt;. </w:t>
      </w:r>
    </w:p>
    <w:p w:rsidR="000F7191" w:rsidRDefault="000F7191" w:rsidP="00434D4C">
      <w:pPr>
        <w:pStyle w:val="FootnoteText"/>
        <w:rPr>
          <w:sz w:val="24"/>
          <w:szCs w:val="24"/>
        </w:rPr>
      </w:pPr>
      <w:r>
        <w:rPr>
          <w:sz w:val="24"/>
          <w:szCs w:val="24"/>
        </w:rPr>
        <w:t>Accessed 10 July 2013.</w:t>
      </w:r>
    </w:p>
    <w:p w:rsidR="000F7191" w:rsidRDefault="000F7191" w:rsidP="000F7191">
      <w:pPr>
        <w:pStyle w:val="FootnoteText"/>
        <w:ind w:left="360" w:hanging="360"/>
        <w:rPr>
          <w:sz w:val="24"/>
          <w:szCs w:val="24"/>
        </w:rPr>
      </w:pPr>
    </w:p>
    <w:p w:rsidR="00E54001" w:rsidRDefault="00E54001" w:rsidP="00E54001">
      <w:pPr>
        <w:rPr>
          <w:rFonts w:eastAsia="Calibri"/>
        </w:rPr>
      </w:pPr>
      <w:r>
        <w:rPr>
          <w:rFonts w:eastAsia="Calibri"/>
        </w:rPr>
        <w:t>Barka,, Norman F.</w:t>
      </w:r>
    </w:p>
    <w:p w:rsidR="00E54001" w:rsidRDefault="00E54001" w:rsidP="00E54001">
      <w:pPr>
        <w:rPr>
          <w:rFonts w:eastAsia="Calibri"/>
        </w:rPr>
      </w:pPr>
      <w:r>
        <w:rPr>
          <w:rFonts w:eastAsia="Calibri"/>
        </w:rPr>
        <w:t>2004</w:t>
      </w:r>
      <w:r>
        <w:rPr>
          <w:rFonts w:eastAsia="Calibri"/>
        </w:rPr>
        <w:tab/>
        <w:t xml:space="preserve">Archaeology of a Colonial Pottery Factory: The Kilns and Ceramics of </w:t>
      </w:r>
      <w:r w:rsidR="00434D4C">
        <w:rPr>
          <w:rFonts w:eastAsia="Calibri"/>
        </w:rPr>
        <w:t xml:space="preserve">the “Poor Potter” of Yorktown. </w:t>
      </w:r>
      <w:r>
        <w:rPr>
          <w:rFonts w:eastAsia="Calibri"/>
        </w:rPr>
        <w:t xml:space="preserve">In </w:t>
      </w:r>
      <w:r w:rsidRPr="00E65645">
        <w:rPr>
          <w:rFonts w:eastAsia="Calibri"/>
          <w:i/>
        </w:rPr>
        <w:t>Ceramics in America</w:t>
      </w:r>
      <w:r>
        <w:rPr>
          <w:rFonts w:eastAsia="Calibri"/>
        </w:rPr>
        <w:t>, Rob</w:t>
      </w:r>
      <w:r w:rsidR="00434D4C">
        <w:rPr>
          <w:rFonts w:eastAsia="Calibri"/>
        </w:rPr>
        <w:t xml:space="preserve">ert Hunter, editor, pp. 15-47. </w:t>
      </w:r>
      <w:r>
        <w:rPr>
          <w:rFonts w:eastAsia="Calibri"/>
        </w:rPr>
        <w:t>Chipstone Foundation, London.</w:t>
      </w:r>
    </w:p>
    <w:p w:rsidR="00E54001" w:rsidRDefault="00E54001" w:rsidP="00E54001">
      <w:pPr>
        <w:rPr>
          <w:rFonts w:eastAsia="Calibri"/>
        </w:rPr>
      </w:pPr>
    </w:p>
    <w:p w:rsidR="000F7191" w:rsidRPr="00027D28" w:rsidRDefault="000F7191" w:rsidP="000F7191">
      <w:pPr>
        <w:pStyle w:val="FootnoteText"/>
        <w:rPr>
          <w:sz w:val="24"/>
          <w:szCs w:val="24"/>
        </w:rPr>
      </w:pPr>
      <w:r>
        <w:rPr>
          <w:sz w:val="24"/>
          <w:szCs w:val="24"/>
        </w:rPr>
        <w:t>Barker, David</w:t>
      </w:r>
      <w:r>
        <w:rPr>
          <w:sz w:val="24"/>
          <w:szCs w:val="24"/>
        </w:rPr>
        <w:br/>
        <w:t>1999</w:t>
      </w:r>
      <w:r w:rsidRPr="00027D28">
        <w:rPr>
          <w:sz w:val="24"/>
          <w:szCs w:val="24"/>
        </w:rPr>
        <w:t xml:space="preserve">    The Ceramic Revolution </w:t>
      </w:r>
      <w:r w:rsidR="00434D4C">
        <w:rPr>
          <w:sz w:val="24"/>
          <w:szCs w:val="24"/>
        </w:rPr>
        <w:t>1650-1850. </w:t>
      </w:r>
      <w:r w:rsidRPr="00027D28">
        <w:rPr>
          <w:sz w:val="24"/>
          <w:szCs w:val="24"/>
        </w:rPr>
        <w:t xml:space="preserve">In </w:t>
      </w:r>
      <w:r w:rsidRPr="00027D28">
        <w:rPr>
          <w:rStyle w:val="Emphasis"/>
          <w:sz w:val="24"/>
          <w:szCs w:val="24"/>
        </w:rPr>
        <w:t>Old and New Worlds: Historical/Post Medieval Archaeology Papers from the Societies’ Joint Conferences at Williamsburg and London 1997 to Mark Thirty Years of Work and Achievement</w:t>
      </w:r>
      <w:r w:rsidRPr="00027D28">
        <w:rPr>
          <w:sz w:val="24"/>
          <w:szCs w:val="24"/>
        </w:rPr>
        <w:t xml:space="preserve">, Geoff Egan and R. L. </w:t>
      </w:r>
      <w:r w:rsidR="00434D4C">
        <w:rPr>
          <w:sz w:val="24"/>
          <w:szCs w:val="24"/>
        </w:rPr>
        <w:t>Michael, editors, pp. 226-234. </w:t>
      </w:r>
      <w:r w:rsidRPr="00027D28">
        <w:rPr>
          <w:sz w:val="24"/>
          <w:szCs w:val="24"/>
        </w:rPr>
        <w:t>Oxbow Books, Oxford</w:t>
      </w:r>
      <w:r>
        <w:rPr>
          <w:sz w:val="24"/>
          <w:szCs w:val="24"/>
        </w:rPr>
        <w:t>, UK</w:t>
      </w:r>
      <w:r w:rsidRPr="00027D28">
        <w:rPr>
          <w:sz w:val="24"/>
          <w:szCs w:val="24"/>
        </w:rPr>
        <w:t>.</w:t>
      </w:r>
    </w:p>
    <w:p w:rsidR="000F7191" w:rsidRPr="00027D28" w:rsidRDefault="000F7191" w:rsidP="000F7191">
      <w:pPr>
        <w:pStyle w:val="FootnoteText"/>
        <w:ind w:left="360" w:hanging="360"/>
        <w:rPr>
          <w:sz w:val="24"/>
          <w:szCs w:val="24"/>
        </w:rPr>
      </w:pPr>
    </w:p>
    <w:p w:rsidR="000F7191" w:rsidRDefault="000F7191" w:rsidP="000F7191">
      <w:pPr>
        <w:pStyle w:val="FootnoteText"/>
        <w:ind w:left="360" w:hanging="360"/>
        <w:rPr>
          <w:sz w:val="24"/>
          <w:szCs w:val="24"/>
        </w:rPr>
      </w:pPr>
      <w:r w:rsidRPr="00027D28">
        <w:rPr>
          <w:sz w:val="24"/>
          <w:szCs w:val="24"/>
        </w:rPr>
        <w:t>Baumgarten</w:t>
      </w:r>
      <w:r>
        <w:rPr>
          <w:sz w:val="24"/>
          <w:szCs w:val="24"/>
        </w:rPr>
        <w:t>, Linda</w:t>
      </w:r>
    </w:p>
    <w:p w:rsidR="000F7191" w:rsidRDefault="000F7191" w:rsidP="000F7191">
      <w:pPr>
        <w:pStyle w:val="FootnoteText"/>
        <w:rPr>
          <w:sz w:val="24"/>
          <w:szCs w:val="24"/>
        </w:rPr>
      </w:pPr>
      <w:r>
        <w:rPr>
          <w:sz w:val="24"/>
          <w:szCs w:val="24"/>
        </w:rPr>
        <w:t>2002</w:t>
      </w:r>
      <w:r>
        <w:rPr>
          <w:sz w:val="24"/>
          <w:szCs w:val="24"/>
        </w:rPr>
        <w:tab/>
      </w:r>
      <w:r w:rsidRPr="001D3B2A">
        <w:rPr>
          <w:i/>
          <w:sz w:val="24"/>
          <w:szCs w:val="24"/>
        </w:rPr>
        <w:t>What Clothes Reveal: The Language of Clothing in Colonial and Federal America</w:t>
      </w:r>
      <w:r w:rsidR="00434D4C">
        <w:rPr>
          <w:sz w:val="24"/>
          <w:szCs w:val="24"/>
        </w:rPr>
        <w:t xml:space="preserve">. </w:t>
      </w:r>
      <w:r>
        <w:rPr>
          <w:sz w:val="24"/>
          <w:szCs w:val="24"/>
        </w:rPr>
        <w:t xml:space="preserve">Yale University Press, New Haven, CT. </w:t>
      </w:r>
      <w:r>
        <w:rPr>
          <w:sz w:val="24"/>
          <w:szCs w:val="24"/>
        </w:rPr>
        <w:tab/>
      </w:r>
    </w:p>
    <w:p w:rsidR="000F7191" w:rsidRDefault="000F7191" w:rsidP="000F7191">
      <w:pPr>
        <w:pStyle w:val="FootnoteText"/>
        <w:ind w:left="360" w:hanging="360"/>
        <w:rPr>
          <w:sz w:val="24"/>
          <w:szCs w:val="24"/>
        </w:rPr>
      </w:pPr>
    </w:p>
    <w:p w:rsidR="000F7191" w:rsidRDefault="000F7191" w:rsidP="000F7191">
      <w:pPr>
        <w:pStyle w:val="FootnoteText"/>
        <w:ind w:left="360" w:hanging="360"/>
        <w:rPr>
          <w:sz w:val="24"/>
          <w:szCs w:val="24"/>
        </w:rPr>
      </w:pPr>
      <w:r>
        <w:rPr>
          <w:sz w:val="24"/>
          <w:szCs w:val="24"/>
        </w:rPr>
        <w:t>Beaudry, Mary C.</w:t>
      </w:r>
    </w:p>
    <w:p w:rsidR="000F7191" w:rsidRDefault="000F7191" w:rsidP="000F7191">
      <w:pPr>
        <w:pStyle w:val="FootnoteText"/>
        <w:rPr>
          <w:sz w:val="24"/>
          <w:szCs w:val="24"/>
        </w:rPr>
      </w:pPr>
      <w:r>
        <w:rPr>
          <w:sz w:val="24"/>
          <w:szCs w:val="24"/>
        </w:rPr>
        <w:t>2006</w:t>
      </w:r>
      <w:r>
        <w:rPr>
          <w:sz w:val="24"/>
          <w:szCs w:val="24"/>
        </w:rPr>
        <w:tab/>
      </w:r>
      <w:r w:rsidRPr="00251F62">
        <w:rPr>
          <w:i/>
          <w:sz w:val="24"/>
          <w:szCs w:val="24"/>
        </w:rPr>
        <w:t>Findings: The Material Culture of Needlework and Sewing</w:t>
      </w:r>
      <w:r w:rsidR="00434D4C">
        <w:rPr>
          <w:sz w:val="24"/>
          <w:szCs w:val="24"/>
        </w:rPr>
        <w:t xml:space="preserve">. </w:t>
      </w:r>
      <w:r>
        <w:rPr>
          <w:sz w:val="24"/>
          <w:szCs w:val="24"/>
        </w:rPr>
        <w:t>Yale University Press, New Haven, CT.</w:t>
      </w:r>
    </w:p>
    <w:p w:rsidR="000F7191" w:rsidRPr="00101687" w:rsidRDefault="000F7191" w:rsidP="000F7191">
      <w:pPr>
        <w:pStyle w:val="FootnoteText"/>
        <w:ind w:left="360" w:hanging="360"/>
        <w:rPr>
          <w:sz w:val="24"/>
          <w:szCs w:val="24"/>
        </w:rPr>
      </w:pPr>
    </w:p>
    <w:p w:rsidR="000F7191" w:rsidRDefault="000F7191" w:rsidP="000F7191">
      <w:pPr>
        <w:autoSpaceDE w:val="0"/>
        <w:autoSpaceDN w:val="0"/>
        <w:adjustRightInd w:val="0"/>
      </w:pPr>
      <w:r>
        <w:t>2008</w:t>
      </w:r>
      <w:r>
        <w:tab/>
        <w:t>“Above Vulgar Economy:” The Intersection of Historical Archaeology and Microhistory in Writing Archaeological Biographies</w:t>
      </w:r>
      <w:r w:rsidR="00434D4C">
        <w:t xml:space="preserve"> of Two New England Merchants. </w:t>
      </w:r>
      <w:r>
        <w:t xml:space="preserve">In </w:t>
      </w:r>
      <w:r w:rsidRPr="00C25C19">
        <w:rPr>
          <w:i/>
        </w:rPr>
        <w:t>Small Worlds: Method, Meaning, and Narrative in Microhistory</w:t>
      </w:r>
      <w:r>
        <w:t>, James F. Brooks, Christopher R. N. DeCorse, and John</w:t>
      </w:r>
      <w:r w:rsidR="00434D4C">
        <w:t xml:space="preserve"> Walton, editors, pp. 173-198. </w:t>
      </w:r>
      <w:r>
        <w:t>School for Advanced Research Press, Santa Fe, NM.</w:t>
      </w:r>
    </w:p>
    <w:p w:rsidR="000F7191" w:rsidRDefault="000F7191" w:rsidP="000F7191">
      <w:pPr>
        <w:autoSpaceDE w:val="0"/>
        <w:autoSpaceDN w:val="0"/>
        <w:adjustRightInd w:val="0"/>
      </w:pPr>
    </w:p>
    <w:p w:rsidR="000F7191" w:rsidRDefault="000F7191" w:rsidP="000F7191">
      <w:pPr>
        <w:autoSpaceDE w:val="0"/>
        <w:autoSpaceDN w:val="0"/>
        <w:adjustRightInd w:val="0"/>
      </w:pPr>
      <w:r>
        <w:lastRenderedPageBreak/>
        <w:t>2010</w:t>
      </w:r>
      <w:r>
        <w:tab/>
        <w:t xml:space="preserve">Privy to the Feast: “Eighty to Supper Tonight.”  </w:t>
      </w:r>
      <w:r w:rsidRPr="00C25C19">
        <w:rPr>
          <w:i/>
        </w:rPr>
        <w:t>In Table Settings: The Material Culture and Social Context of Dining, AD 1700-1900</w:t>
      </w:r>
      <w:r>
        <w:t>, Jam</w:t>
      </w:r>
      <w:r w:rsidR="00434D4C">
        <w:t xml:space="preserve">es Symonds, editor, pp. 62-79. </w:t>
      </w:r>
      <w:r>
        <w:t>Oxbow Books, Oxford, UK.</w:t>
      </w:r>
    </w:p>
    <w:p w:rsidR="0076173E" w:rsidRDefault="0076173E"/>
    <w:p w:rsidR="000F7191" w:rsidRPr="00101687" w:rsidRDefault="000F7191" w:rsidP="000F7191">
      <w:pPr>
        <w:autoSpaceDE w:val="0"/>
        <w:autoSpaceDN w:val="0"/>
        <w:adjustRightInd w:val="0"/>
      </w:pPr>
      <w:r w:rsidRPr="00101687">
        <w:t>Beaudry, Mary C., Janet Long, Henry M. Miller, Fraser D. Neiman, and Garry Wheeler Stone</w:t>
      </w:r>
    </w:p>
    <w:p w:rsidR="000F7191" w:rsidRPr="00101687" w:rsidRDefault="000F7191" w:rsidP="000F7191">
      <w:pPr>
        <w:autoSpaceDE w:val="0"/>
        <w:autoSpaceDN w:val="0"/>
        <w:adjustRightInd w:val="0"/>
      </w:pPr>
      <w:r>
        <w:t>1988</w:t>
      </w:r>
      <w:r>
        <w:tab/>
      </w:r>
      <w:r w:rsidRPr="00101687">
        <w:t xml:space="preserve">A Vessel Typology for Early Chesapeake Ceramics: The Potomac </w:t>
      </w:r>
      <w:r>
        <w:t>Typological System.</w:t>
      </w:r>
      <w:r w:rsidR="00434D4C">
        <w:t xml:space="preserve"> </w:t>
      </w:r>
      <w:r w:rsidRPr="00101687">
        <w:t>In</w:t>
      </w:r>
      <w:r>
        <w:t xml:space="preserve"> </w:t>
      </w:r>
      <w:r w:rsidRPr="00101687">
        <w:rPr>
          <w:i/>
          <w:iCs/>
        </w:rPr>
        <w:t>Documentary Archaeology in the New World</w:t>
      </w:r>
      <w:r w:rsidRPr="00101687">
        <w:t>, Mary C. Beaudry</w:t>
      </w:r>
      <w:r>
        <w:t>,</w:t>
      </w:r>
      <w:r w:rsidRPr="00101687">
        <w:t xml:space="preserve"> edit</w:t>
      </w:r>
      <w:r>
        <w:t>or</w:t>
      </w:r>
      <w:r w:rsidRPr="00101687">
        <w:t>, pp. 51-67.</w:t>
      </w:r>
    </w:p>
    <w:p w:rsidR="000F7191" w:rsidRPr="00101687" w:rsidRDefault="000F7191" w:rsidP="00434D4C">
      <w:pPr>
        <w:pStyle w:val="FootnoteText"/>
        <w:rPr>
          <w:sz w:val="24"/>
          <w:szCs w:val="24"/>
        </w:rPr>
      </w:pPr>
      <w:r w:rsidRPr="00101687">
        <w:rPr>
          <w:sz w:val="24"/>
          <w:szCs w:val="24"/>
        </w:rPr>
        <w:t xml:space="preserve">Cambridge University Press, Cambridge, </w:t>
      </w:r>
      <w:r>
        <w:rPr>
          <w:sz w:val="24"/>
          <w:szCs w:val="24"/>
        </w:rPr>
        <w:t>UK</w:t>
      </w:r>
      <w:r w:rsidRPr="00101687">
        <w:rPr>
          <w:sz w:val="24"/>
          <w:szCs w:val="24"/>
        </w:rPr>
        <w:t>.</w:t>
      </w:r>
    </w:p>
    <w:p w:rsidR="000F7191" w:rsidRDefault="000F7191" w:rsidP="000F7191">
      <w:pPr>
        <w:pStyle w:val="FootnoteText"/>
        <w:ind w:left="360" w:hanging="360"/>
        <w:rPr>
          <w:sz w:val="24"/>
          <w:szCs w:val="24"/>
        </w:rPr>
      </w:pPr>
    </w:p>
    <w:p w:rsidR="000F7191" w:rsidRDefault="000F7191" w:rsidP="000F7191">
      <w:pPr>
        <w:pStyle w:val="FootnoteText"/>
        <w:ind w:left="360" w:hanging="360"/>
        <w:rPr>
          <w:sz w:val="24"/>
          <w:szCs w:val="24"/>
        </w:rPr>
      </w:pPr>
      <w:r>
        <w:rPr>
          <w:sz w:val="24"/>
          <w:szCs w:val="24"/>
        </w:rPr>
        <w:t>Beaudry, Mary C., Lauren J. Cook, and Stephen A. Mrozowski</w:t>
      </w:r>
    </w:p>
    <w:p w:rsidR="000F7191" w:rsidRDefault="000F7191" w:rsidP="000F7191">
      <w:pPr>
        <w:pStyle w:val="FootnoteText"/>
        <w:rPr>
          <w:sz w:val="24"/>
          <w:szCs w:val="24"/>
        </w:rPr>
      </w:pPr>
      <w:r>
        <w:rPr>
          <w:sz w:val="24"/>
          <w:szCs w:val="24"/>
        </w:rPr>
        <w:t>1991</w:t>
      </w:r>
      <w:r>
        <w:rPr>
          <w:sz w:val="24"/>
          <w:szCs w:val="24"/>
        </w:rPr>
        <w:tab/>
        <w:t>Artifacts and Active Voices: Material Culture a</w:t>
      </w:r>
      <w:r w:rsidR="00A80C31">
        <w:rPr>
          <w:sz w:val="24"/>
          <w:szCs w:val="24"/>
        </w:rPr>
        <w:t>s</w:t>
      </w:r>
      <w:r>
        <w:rPr>
          <w:sz w:val="24"/>
          <w:szCs w:val="24"/>
        </w:rPr>
        <w:t xml:space="preserve"> Social Discourse</w:t>
      </w:r>
      <w:r w:rsidR="00434D4C">
        <w:rPr>
          <w:sz w:val="24"/>
          <w:szCs w:val="24"/>
        </w:rPr>
        <w:t xml:space="preserve">. </w:t>
      </w:r>
      <w:r>
        <w:rPr>
          <w:sz w:val="24"/>
          <w:szCs w:val="24"/>
        </w:rPr>
        <w:t xml:space="preserve">In </w:t>
      </w:r>
      <w:r w:rsidRPr="00397353">
        <w:rPr>
          <w:i/>
          <w:sz w:val="24"/>
          <w:szCs w:val="24"/>
        </w:rPr>
        <w:t>The Archaeology of Inequality: Material Culture, Domination, and Resistance</w:t>
      </w:r>
      <w:r>
        <w:rPr>
          <w:sz w:val="24"/>
          <w:szCs w:val="24"/>
        </w:rPr>
        <w:t xml:space="preserve">, Randall H. McGuire and Robert </w:t>
      </w:r>
      <w:r w:rsidR="00434D4C">
        <w:rPr>
          <w:sz w:val="24"/>
          <w:szCs w:val="24"/>
        </w:rPr>
        <w:t xml:space="preserve">Paynter, editors, pp. 150-191. </w:t>
      </w:r>
      <w:r>
        <w:rPr>
          <w:sz w:val="24"/>
          <w:szCs w:val="24"/>
        </w:rPr>
        <w:t>Blackwell, Oxford, UK.</w:t>
      </w:r>
    </w:p>
    <w:p w:rsidR="000F7191" w:rsidRDefault="000F7191" w:rsidP="000F7191">
      <w:pPr>
        <w:pStyle w:val="FootnoteText"/>
        <w:ind w:left="360" w:hanging="360"/>
        <w:rPr>
          <w:sz w:val="24"/>
          <w:szCs w:val="24"/>
        </w:rPr>
      </w:pPr>
    </w:p>
    <w:p w:rsidR="000F7191" w:rsidRDefault="000F7191" w:rsidP="000F7191">
      <w:r>
        <w:t>Bell, Alison Kay</w:t>
      </w:r>
    </w:p>
    <w:p w:rsidR="000F7191" w:rsidRDefault="000F7191" w:rsidP="000F7191">
      <w:r>
        <w:t>2000</w:t>
      </w:r>
      <w:r>
        <w:tab/>
      </w:r>
      <w:r w:rsidRPr="008B6779">
        <w:rPr>
          <w:i/>
        </w:rPr>
        <w:t xml:space="preserve">Conspicuous Production: Agricultural and Domestic Material Culture in </w:t>
      </w:r>
      <w:smartTag w:uri="urn:schemas-microsoft-com:office:smarttags" w:element="State">
        <w:smartTag w:uri="urn:schemas-microsoft-com:office:smarttags" w:element="place">
          <w:r w:rsidRPr="008B6779">
            <w:rPr>
              <w:i/>
            </w:rPr>
            <w:t>Virginia</w:t>
          </w:r>
        </w:smartTag>
      </w:smartTag>
      <w:r w:rsidRPr="008B6779">
        <w:rPr>
          <w:i/>
        </w:rPr>
        <w:t>, 1700-1900.</w:t>
      </w:r>
      <w:r w:rsidR="00434D4C">
        <w:t xml:space="preserve"> </w:t>
      </w:r>
      <w:r>
        <w:t>Doctoral dissertation, Department of Anthro</w:t>
      </w:r>
      <w:r w:rsidR="00434D4C">
        <w:t xml:space="preserve">pology, University of Virginia. </w:t>
      </w:r>
      <w:r>
        <w:t>University Microfilms International, Ann Arbor, MI.</w:t>
      </w:r>
    </w:p>
    <w:p w:rsidR="000F7191" w:rsidRDefault="000F7191" w:rsidP="000F7191"/>
    <w:p w:rsidR="000F7191" w:rsidRDefault="000F7191" w:rsidP="000F7191">
      <w:r>
        <w:t>Bell, Claes</w:t>
      </w:r>
    </w:p>
    <w:p w:rsidR="000F7191" w:rsidRDefault="000F7191" w:rsidP="000F7191">
      <w:r>
        <w:t>2013</w:t>
      </w:r>
      <w:r>
        <w:tab/>
        <w:t>Credit Card In</w:t>
      </w:r>
      <w:r w:rsidR="00434D4C">
        <w:t>terest Rates for Jan. 17, 2013.</w:t>
      </w:r>
      <w:r>
        <w:t xml:space="preserve"> &lt;</w:t>
      </w:r>
      <w:r w:rsidRPr="00332DC3">
        <w:t>http://finance.yahoo.com/news/credit-card-interest-rates-jan-080125568.html</w:t>
      </w:r>
      <w:r w:rsidR="00434D4C">
        <w:t xml:space="preserve">&gt;. </w:t>
      </w:r>
      <w:r>
        <w:t>Accessed 17 January 2013.</w:t>
      </w:r>
    </w:p>
    <w:p w:rsidR="000F7191" w:rsidRDefault="000F7191" w:rsidP="000F7191"/>
    <w:p w:rsidR="000F7191" w:rsidRDefault="000F7191" w:rsidP="000F7191">
      <w:r>
        <w:t>Berlin, Ira</w:t>
      </w:r>
    </w:p>
    <w:p w:rsidR="000F7191" w:rsidRPr="00EB4A99" w:rsidRDefault="000F7191" w:rsidP="000F7191">
      <w:r>
        <w:t>1998</w:t>
      </w:r>
      <w:r>
        <w:tab/>
      </w:r>
      <w:r w:rsidRPr="003E2BAE">
        <w:rPr>
          <w:i/>
        </w:rPr>
        <w:t xml:space="preserve">Many Thousands Gone: The First Two Centuries of Slavery in </w:t>
      </w:r>
      <w:smartTag w:uri="urn:schemas-microsoft-com:office:smarttags" w:element="place">
        <w:r w:rsidRPr="003E2BAE">
          <w:rPr>
            <w:i/>
          </w:rPr>
          <w:t>North America</w:t>
        </w:r>
      </w:smartTag>
      <w:r w:rsidR="00434D4C">
        <w:t xml:space="preserve">. </w:t>
      </w:r>
      <w:r>
        <w:t>The Belknap Press of Harvard University Press, Cambridge, MA.</w:t>
      </w:r>
    </w:p>
    <w:p w:rsidR="000F7191" w:rsidRDefault="000F7191" w:rsidP="000F7191"/>
    <w:p w:rsidR="000F7191" w:rsidRDefault="000F7191" w:rsidP="000F7191">
      <w:r>
        <w:t>Bezdek, Richard H.</w:t>
      </w:r>
      <w:r>
        <w:br/>
        <w:t xml:space="preserve">1994    </w:t>
      </w:r>
      <w:r>
        <w:rPr>
          <w:rStyle w:val="Emphasis"/>
        </w:rPr>
        <w:t>American Swords and Sword Makers</w:t>
      </w:r>
      <w:r w:rsidR="00434D4C">
        <w:t>, vol. 1. </w:t>
      </w:r>
      <w:r>
        <w:t>Paladin Press, Boulder, CO.</w:t>
      </w:r>
    </w:p>
    <w:p w:rsidR="000F7191" w:rsidRDefault="000F7191" w:rsidP="000F7191"/>
    <w:p w:rsidR="000F7191" w:rsidRDefault="000F7191" w:rsidP="000F7191">
      <w:pPr>
        <w:autoSpaceDE w:val="0"/>
        <w:autoSpaceDN w:val="0"/>
        <w:adjustRightInd w:val="0"/>
        <w:rPr>
          <w:rFonts w:eastAsia="Calibri"/>
        </w:rPr>
      </w:pPr>
      <w:r>
        <w:rPr>
          <w:rFonts w:eastAsia="Calibri"/>
        </w:rPr>
        <w:t xml:space="preserve">Bourdieu, Pierre </w:t>
      </w:r>
    </w:p>
    <w:p w:rsidR="000F7191" w:rsidRDefault="000F7191" w:rsidP="000F7191">
      <w:pPr>
        <w:autoSpaceDE w:val="0"/>
        <w:autoSpaceDN w:val="0"/>
        <w:adjustRightInd w:val="0"/>
        <w:rPr>
          <w:rFonts w:eastAsia="Calibri"/>
        </w:rPr>
      </w:pPr>
      <w:r>
        <w:rPr>
          <w:rFonts w:eastAsia="Calibri"/>
        </w:rPr>
        <w:t>1984</w:t>
      </w:r>
      <w:r>
        <w:rPr>
          <w:rFonts w:eastAsia="Calibri"/>
        </w:rPr>
        <w:tab/>
      </w:r>
      <w:r>
        <w:rPr>
          <w:rFonts w:eastAsia="Calibri"/>
          <w:i/>
          <w:iCs/>
        </w:rPr>
        <w:t>Distinction: A Social Critique of the Judgment of Taste</w:t>
      </w:r>
      <w:r w:rsidR="00434D4C">
        <w:rPr>
          <w:rFonts w:eastAsia="Calibri"/>
        </w:rPr>
        <w:t xml:space="preserve">. </w:t>
      </w:r>
      <w:r>
        <w:rPr>
          <w:rFonts w:eastAsia="Calibri"/>
        </w:rPr>
        <w:t>Routledge, London, UK.</w:t>
      </w:r>
    </w:p>
    <w:p w:rsidR="000F7191" w:rsidRDefault="000F7191" w:rsidP="000F7191">
      <w:pPr>
        <w:rPr>
          <w:rFonts w:eastAsia="Times New Roman"/>
        </w:rPr>
      </w:pPr>
    </w:p>
    <w:p w:rsidR="000F7191" w:rsidRDefault="000F7191" w:rsidP="000F7191">
      <w:pPr>
        <w:rPr>
          <w:rFonts w:eastAsia="Times New Roman"/>
        </w:rPr>
      </w:pPr>
      <w:r>
        <w:rPr>
          <w:rFonts w:eastAsia="Times New Roman"/>
        </w:rPr>
        <w:t>Bowen, Joanne</w:t>
      </w:r>
    </w:p>
    <w:p w:rsidR="000F7191" w:rsidRDefault="000F7191" w:rsidP="000F7191">
      <w:pPr>
        <w:rPr>
          <w:rFonts w:eastAsia="Times New Roman"/>
        </w:rPr>
      </w:pPr>
      <w:r>
        <w:rPr>
          <w:rFonts w:eastAsia="Times New Roman"/>
        </w:rPr>
        <w:t>1993</w:t>
      </w:r>
      <w:r>
        <w:rPr>
          <w:rFonts w:eastAsia="Times New Roman"/>
        </w:rPr>
        <w:tab/>
        <w:t>Faunal Remains from the House for</w:t>
      </w:r>
      <w:r w:rsidR="00434D4C">
        <w:rPr>
          <w:rFonts w:eastAsia="Times New Roman"/>
        </w:rPr>
        <w:t xml:space="preserve"> Families Cellar (44FX762/47). </w:t>
      </w:r>
      <w:r w:rsidRPr="00027D28">
        <w:rPr>
          <w:rFonts w:eastAsia="Times New Roman"/>
        </w:rPr>
        <w:t>Report to Mount Vernon Ladies’ Association, Mount Vernon, VA.</w:t>
      </w:r>
    </w:p>
    <w:p w:rsidR="000F7191" w:rsidRDefault="000F7191" w:rsidP="000F7191">
      <w:pPr>
        <w:rPr>
          <w:rFonts w:eastAsia="Times New Roman"/>
        </w:rPr>
      </w:pPr>
    </w:p>
    <w:p w:rsidR="000F7191" w:rsidRPr="00027D28" w:rsidRDefault="000F7191" w:rsidP="000F7191">
      <w:pPr>
        <w:rPr>
          <w:rFonts w:eastAsia="Times New Roman"/>
        </w:rPr>
      </w:pPr>
      <w:r w:rsidRPr="00027D28">
        <w:rPr>
          <w:rFonts w:eastAsia="Times New Roman"/>
        </w:rPr>
        <w:t>Bowen, Joanne, Steve Atkins, Susan Andrews, and Dessa Lightfoot</w:t>
      </w:r>
      <w:r w:rsidRPr="00027D28">
        <w:rPr>
          <w:rFonts w:eastAsia="Times New Roman"/>
        </w:rPr>
        <w:br/>
        <w:t>2012a  Mount Vernon</w:t>
      </w:r>
      <w:r w:rsidR="00434D4C">
        <w:rPr>
          <w:rFonts w:eastAsia="Times New Roman"/>
        </w:rPr>
        <w:t xml:space="preserve"> South Grove Faunal Catalogue. </w:t>
      </w:r>
      <w:r w:rsidRPr="00027D28">
        <w:rPr>
          <w:rFonts w:eastAsia="Times New Roman"/>
        </w:rPr>
        <w:t>Report to Mount Vernon Ladies’ Association, Mount Vernon, VA.</w:t>
      </w:r>
    </w:p>
    <w:p w:rsidR="000F7191" w:rsidRPr="00027D28" w:rsidRDefault="000F7191" w:rsidP="000F7191">
      <w:pPr>
        <w:spacing w:before="100" w:beforeAutospacing="1" w:after="100" w:afterAutospacing="1"/>
        <w:rPr>
          <w:rFonts w:eastAsia="Times New Roman"/>
        </w:rPr>
      </w:pPr>
      <w:r w:rsidRPr="00027D28">
        <w:rPr>
          <w:rFonts w:eastAsia="Times New Roman"/>
        </w:rPr>
        <w:t xml:space="preserve">2012b  South Grove Phased NISP, MNI, Meat Weight, Biomass. Report to Mount Vernon Ladies’ Association, Mount Vernon, VA.  </w:t>
      </w:r>
    </w:p>
    <w:p w:rsidR="00F573AA" w:rsidRDefault="00F573AA">
      <w:r>
        <w:br w:type="page"/>
      </w:r>
    </w:p>
    <w:p w:rsidR="000F7191" w:rsidRDefault="000F7191" w:rsidP="000F7191">
      <w:r>
        <w:lastRenderedPageBreak/>
        <w:t>Breen, Eleanor E.</w:t>
      </w:r>
    </w:p>
    <w:p w:rsidR="000F7191" w:rsidRDefault="000F7191" w:rsidP="000F7191">
      <w:r>
        <w:t>2003</w:t>
      </w:r>
      <w:r>
        <w:tab/>
        <w:t>Whose Trash is it, Anyway?  A Stratigraphic and Ceramic Analysis of the South Grove Midden (44FX76</w:t>
      </w:r>
      <w:r w:rsidR="00434D4C">
        <w:t xml:space="preserve">2/17), Mount Vernon, Virginia. </w:t>
      </w:r>
      <w:r>
        <w:t>Master’s thesis, Department of Anthropology, University of Massachusetts, Boston.</w:t>
      </w:r>
    </w:p>
    <w:p w:rsidR="000F7191" w:rsidRDefault="000F7191" w:rsidP="000F7191"/>
    <w:p w:rsidR="000F7191" w:rsidRDefault="000F7191" w:rsidP="000F7191">
      <w:pPr>
        <w:rPr>
          <w:rStyle w:val="fontbold"/>
          <w:rFonts w:cs="Arial"/>
          <w:szCs w:val="22"/>
        </w:rPr>
      </w:pPr>
      <w:r>
        <w:rPr>
          <w:rStyle w:val="fontbold"/>
          <w:rFonts w:cs="Arial"/>
          <w:szCs w:val="22"/>
        </w:rPr>
        <w:t>2004</w:t>
      </w:r>
      <w:r>
        <w:rPr>
          <w:rStyle w:val="fontbold"/>
          <w:rFonts w:cs="Arial"/>
          <w:szCs w:val="22"/>
        </w:rPr>
        <w:tab/>
      </w:r>
      <w:r w:rsidR="00434D4C">
        <w:t xml:space="preserve">Whose Trash is it, Anyway? </w:t>
      </w:r>
      <w:r>
        <w:t>A Stratigraphic and Ceramic Analysis of the South Grove Midden (44FX76</w:t>
      </w:r>
      <w:r w:rsidR="00434D4C">
        <w:t xml:space="preserve">2/17), Mount Vernon, Virginia. </w:t>
      </w:r>
      <w:r w:rsidRPr="002E13C3">
        <w:rPr>
          <w:i/>
        </w:rPr>
        <w:t>Northeast Historical Archaeology</w:t>
      </w:r>
      <w:r>
        <w:t xml:space="preserve"> 33:111-130.</w:t>
      </w:r>
    </w:p>
    <w:p w:rsidR="000F7191" w:rsidRDefault="000F7191" w:rsidP="000F7191">
      <w:pPr>
        <w:rPr>
          <w:rStyle w:val="fontbold"/>
          <w:rFonts w:cs="Arial"/>
          <w:szCs w:val="22"/>
        </w:rPr>
      </w:pPr>
    </w:p>
    <w:p w:rsidR="000F7191" w:rsidRDefault="000F7191" w:rsidP="000F7191">
      <w:r>
        <w:t>2012</w:t>
      </w:r>
      <w:r>
        <w:tab/>
        <w:t>“One More Bowl and Then?”: A Material Cu</w:t>
      </w:r>
      <w:r w:rsidR="00434D4C">
        <w:t xml:space="preserve">lture Analysis of Punch Bowls. </w:t>
      </w:r>
      <w:r w:rsidRPr="00B645D4">
        <w:rPr>
          <w:i/>
        </w:rPr>
        <w:t>Journal of Middle Atlantic Archaeology</w:t>
      </w:r>
      <w:r>
        <w:t xml:space="preserve"> 28:81-97.</w:t>
      </w:r>
    </w:p>
    <w:p w:rsidR="000F7191" w:rsidRDefault="000F7191" w:rsidP="000F7191"/>
    <w:p w:rsidR="000F7191" w:rsidRDefault="000F7191" w:rsidP="000F7191">
      <w:r>
        <w:t>Breen, T.H.</w:t>
      </w:r>
    </w:p>
    <w:p w:rsidR="000F7191" w:rsidRPr="003D1F1C" w:rsidRDefault="000F7191" w:rsidP="000F7191">
      <w:r>
        <w:t>1985</w:t>
      </w:r>
      <w:r>
        <w:tab/>
      </w:r>
      <w:r>
        <w:rPr>
          <w:i/>
          <w:iCs/>
        </w:rPr>
        <w:t>Tobacco Culture: The Mentality of the Great Tidewater Planters on the Eve of Revolution</w:t>
      </w:r>
      <w:r w:rsidR="00434D4C">
        <w:t xml:space="preserve">. </w:t>
      </w:r>
      <w:r>
        <w:t>Princeton University Press, Princeton, NJ.</w:t>
      </w:r>
    </w:p>
    <w:p w:rsidR="000F7191" w:rsidRDefault="000F7191" w:rsidP="000F7191">
      <w:pPr>
        <w:rPr>
          <w:snapToGrid w:val="0"/>
        </w:rPr>
      </w:pPr>
    </w:p>
    <w:p w:rsidR="000F7191" w:rsidRDefault="000F7191" w:rsidP="000F7191">
      <w:r>
        <w:t>1994</w:t>
      </w:r>
      <w:r>
        <w:tab/>
        <w:t>“Baubles of Britain:” The American and Consumer Revoluti</w:t>
      </w:r>
      <w:r w:rsidR="00434D4C">
        <w:t xml:space="preserve">ons of the Eighteenth Century. </w:t>
      </w:r>
      <w:r>
        <w:t xml:space="preserve">In </w:t>
      </w:r>
      <w:r>
        <w:rPr>
          <w:i/>
          <w:iCs/>
        </w:rPr>
        <w:t>Of Consuming Interests: The Style of Life in the Eighteenth Century</w:t>
      </w:r>
      <w:r>
        <w:t>, Cary Carson, Ronald Hoffman, and Peter J.</w:t>
      </w:r>
      <w:r>
        <w:rPr>
          <w:i/>
          <w:iCs/>
        </w:rPr>
        <w:t xml:space="preserve"> </w:t>
      </w:r>
      <w:r w:rsidR="00434D4C">
        <w:t>Albert, editors, pp. 444-482.</w:t>
      </w:r>
      <w:r>
        <w:t xml:space="preserve">University of Virginia Press, Charlottesville, VA.    </w:t>
      </w:r>
    </w:p>
    <w:p w:rsidR="000F7191" w:rsidRDefault="000F7191" w:rsidP="000F7191"/>
    <w:p w:rsidR="000F7191" w:rsidRDefault="000F7191" w:rsidP="000F7191">
      <w:r>
        <w:t>2004</w:t>
      </w:r>
      <w:r>
        <w:tab/>
      </w:r>
      <w:r w:rsidRPr="00C6532E">
        <w:rPr>
          <w:i/>
        </w:rPr>
        <w:t xml:space="preserve">The Marketplace of Revolution: How Consumer Politics Shaped American </w:t>
      </w:r>
      <w:smartTag w:uri="urn:schemas-microsoft-com:office:smarttags" w:element="place">
        <w:smartTag w:uri="urn:schemas-microsoft-com:office:smarttags" w:element="City">
          <w:r w:rsidRPr="00C6532E">
            <w:rPr>
              <w:i/>
            </w:rPr>
            <w:t>Independence</w:t>
          </w:r>
        </w:smartTag>
      </w:smartTag>
      <w:r w:rsidRPr="00C6532E">
        <w:rPr>
          <w:i/>
        </w:rPr>
        <w:t>.</w:t>
      </w:r>
      <w:r w:rsidR="00434D4C">
        <w:t xml:space="preserve"> </w:t>
      </w:r>
      <w:r>
        <w:t>Oxford University Press, Oxford, UK.</w:t>
      </w:r>
    </w:p>
    <w:p w:rsidR="000F7191" w:rsidRDefault="000F7191" w:rsidP="000F7191"/>
    <w:p w:rsidR="000F7191" w:rsidRDefault="000F7191" w:rsidP="000F7191">
      <w:r>
        <w:t>Brekke, Linzy</w:t>
      </w:r>
    </w:p>
    <w:p w:rsidR="000F7191" w:rsidRDefault="000F7191" w:rsidP="000F7191">
      <w:r>
        <w:t>2006</w:t>
      </w:r>
      <w:r>
        <w:tab/>
        <w:t>“To Make a Figure”: Clothing and the Politics of Male Identity</w:t>
      </w:r>
      <w:r w:rsidR="00434D4C">
        <w:t xml:space="preserve"> in Eighteenth-Century America.</w:t>
      </w:r>
      <w:r>
        <w:t xml:space="preserve"> In </w:t>
      </w:r>
      <w:r w:rsidRPr="007209CE">
        <w:rPr>
          <w:i/>
        </w:rPr>
        <w:t>Gender, Taste, and Material Culture in Britain and North America, 1700-1830</w:t>
      </w:r>
      <w:r>
        <w:t>, John Styles and Amanda Vickery, editors, pp. 22</w:t>
      </w:r>
      <w:r w:rsidR="00434D4C">
        <w:t xml:space="preserve">5-246. </w:t>
      </w:r>
      <w:r>
        <w:t>Yale University Press, New Haven, CT.</w:t>
      </w:r>
    </w:p>
    <w:p w:rsidR="000F7191" w:rsidRDefault="000F7191" w:rsidP="000F7191"/>
    <w:p w:rsidR="000F7191" w:rsidRDefault="000F7191" w:rsidP="000F7191">
      <w:r>
        <w:t>Brewer, James and Roy Porter</w:t>
      </w:r>
    </w:p>
    <w:p w:rsidR="000F7191" w:rsidRDefault="000F7191" w:rsidP="000F7191">
      <w:r>
        <w:t>1993</w:t>
      </w:r>
      <w:r>
        <w:tab/>
      </w:r>
      <w:r w:rsidRPr="008E20B1">
        <w:rPr>
          <w:i/>
        </w:rPr>
        <w:t>Consumption and the World of Goods</w:t>
      </w:r>
      <w:r w:rsidR="00434D4C">
        <w:t xml:space="preserve">. </w:t>
      </w:r>
      <w:r>
        <w:t>Routledge, London.</w:t>
      </w:r>
    </w:p>
    <w:p w:rsidR="000F7191" w:rsidRDefault="000F7191" w:rsidP="000F7191"/>
    <w:p w:rsidR="000F7191" w:rsidRDefault="000F7191" w:rsidP="000F7191">
      <w:pPr>
        <w:rPr>
          <w:rFonts w:eastAsia="Calibri"/>
        </w:rPr>
      </w:pPr>
      <w:r>
        <w:rPr>
          <w:rFonts w:eastAsia="Calibri"/>
        </w:rPr>
        <w:t>Brighton, Stephen</w:t>
      </w:r>
    </w:p>
    <w:p w:rsidR="000F7191" w:rsidRDefault="000F7191" w:rsidP="000F7191">
      <w:pPr>
        <w:rPr>
          <w:rFonts w:eastAsia="Calibri"/>
        </w:rPr>
      </w:pPr>
      <w:r>
        <w:rPr>
          <w:rFonts w:eastAsia="Calibri"/>
        </w:rPr>
        <w:t>2001</w:t>
      </w:r>
      <w:r>
        <w:rPr>
          <w:rFonts w:eastAsia="Calibri"/>
        </w:rPr>
        <w:tab/>
        <w:t>Prices that Suit the Times: Shopping fo</w:t>
      </w:r>
      <w:r w:rsidR="00434D4C">
        <w:rPr>
          <w:rFonts w:eastAsia="Calibri"/>
        </w:rPr>
        <w:t xml:space="preserve">r Ceramics at the Five Points. </w:t>
      </w:r>
      <w:r w:rsidRPr="007622FF">
        <w:rPr>
          <w:rFonts w:eastAsia="Calibri"/>
          <w:i/>
        </w:rPr>
        <w:t>Historical Archaeology</w:t>
      </w:r>
      <w:r>
        <w:rPr>
          <w:rFonts w:eastAsia="Calibri"/>
        </w:rPr>
        <w:t xml:space="preserve"> 35(3):149-164.</w:t>
      </w:r>
    </w:p>
    <w:p w:rsidR="000F7191" w:rsidRDefault="000F7191" w:rsidP="000F7191">
      <w:pPr>
        <w:rPr>
          <w:rFonts w:eastAsia="Calibri"/>
        </w:rPr>
      </w:pPr>
    </w:p>
    <w:p w:rsidR="000F7191" w:rsidRDefault="000F7191" w:rsidP="000F7191">
      <w:pPr>
        <w:pStyle w:val="FootnoteText"/>
        <w:ind w:left="360" w:hanging="360"/>
        <w:rPr>
          <w:sz w:val="24"/>
          <w:szCs w:val="24"/>
        </w:rPr>
      </w:pPr>
      <w:r>
        <w:rPr>
          <w:sz w:val="24"/>
          <w:szCs w:val="24"/>
        </w:rPr>
        <w:t>British Museum</w:t>
      </w:r>
    </w:p>
    <w:p w:rsidR="000F7191" w:rsidRDefault="000F7191" w:rsidP="000F7191">
      <w:pPr>
        <w:pStyle w:val="FootnoteText"/>
        <w:rPr>
          <w:sz w:val="24"/>
          <w:szCs w:val="24"/>
        </w:rPr>
      </w:pPr>
      <w:r>
        <w:rPr>
          <w:sz w:val="24"/>
          <w:szCs w:val="24"/>
        </w:rPr>
        <w:t>2013</w:t>
      </w:r>
      <w:r>
        <w:rPr>
          <w:sz w:val="24"/>
          <w:szCs w:val="24"/>
        </w:rPr>
        <w:tab/>
        <w:t>DRAFT Trade Card of Richard D</w:t>
      </w:r>
      <w:r w:rsidR="00434D4C">
        <w:rPr>
          <w:sz w:val="24"/>
          <w:szCs w:val="24"/>
        </w:rPr>
        <w:t xml:space="preserve">urnford, pin and needle maker. </w:t>
      </w:r>
      <w:r>
        <w:rPr>
          <w:sz w:val="24"/>
          <w:szCs w:val="24"/>
        </w:rPr>
        <w:t>T</w:t>
      </w:r>
      <w:r w:rsidR="00434D4C">
        <w:rPr>
          <w:sz w:val="24"/>
          <w:szCs w:val="24"/>
        </w:rPr>
        <w:t xml:space="preserve">he British Museum, London, UK. </w:t>
      </w:r>
      <w:r>
        <w:rPr>
          <w:sz w:val="24"/>
          <w:szCs w:val="24"/>
        </w:rPr>
        <w:t>&lt;</w:t>
      </w:r>
      <w:r w:rsidRPr="00307E30">
        <w:rPr>
          <w:sz w:val="24"/>
          <w:szCs w:val="24"/>
        </w:rPr>
        <w:t>http://www.britishmuseum.org/research/collection_online/collection_object_details.aspx?objectId=3204449&amp;partId=1&amp;searchText=richard%20durnford</w:t>
      </w:r>
      <w:r w:rsidR="00434D4C">
        <w:rPr>
          <w:sz w:val="24"/>
          <w:szCs w:val="24"/>
        </w:rPr>
        <w:t xml:space="preserve">&gt;. </w:t>
      </w:r>
      <w:r>
        <w:rPr>
          <w:sz w:val="24"/>
          <w:szCs w:val="24"/>
        </w:rPr>
        <w:t xml:space="preserve">Accessed 23 June 2013. </w:t>
      </w:r>
    </w:p>
    <w:p w:rsidR="000F7191" w:rsidRDefault="000F7191" w:rsidP="000F7191">
      <w:pPr>
        <w:pStyle w:val="FootnoteText"/>
        <w:ind w:left="360" w:hanging="360"/>
        <w:rPr>
          <w:sz w:val="24"/>
          <w:szCs w:val="24"/>
        </w:rPr>
      </w:pPr>
    </w:p>
    <w:p w:rsidR="000F7191" w:rsidRDefault="000F7191" w:rsidP="000F7191">
      <w:pPr>
        <w:pStyle w:val="FootnoteText"/>
        <w:ind w:left="360" w:hanging="360"/>
        <w:rPr>
          <w:sz w:val="24"/>
          <w:szCs w:val="24"/>
        </w:rPr>
      </w:pPr>
      <w:r>
        <w:rPr>
          <w:sz w:val="24"/>
          <w:szCs w:val="24"/>
        </w:rPr>
        <w:t>Brock, Daniel</w:t>
      </w:r>
    </w:p>
    <w:p w:rsidR="000F7191" w:rsidRDefault="000F7191" w:rsidP="000F7191">
      <w:pPr>
        <w:pStyle w:val="FootnoteText"/>
        <w:rPr>
          <w:sz w:val="24"/>
          <w:szCs w:val="24"/>
        </w:rPr>
      </w:pPr>
      <w:r>
        <w:rPr>
          <w:sz w:val="24"/>
          <w:szCs w:val="24"/>
        </w:rPr>
        <w:t>2012</w:t>
      </w:r>
      <w:r>
        <w:rPr>
          <w:sz w:val="24"/>
          <w:szCs w:val="24"/>
        </w:rPr>
        <w:tab/>
        <w:t>Contextualizing the Tipton-Haynes State Historic Site (40WG59): Understanding Landscape</w:t>
      </w:r>
      <w:r w:rsidR="00434D4C">
        <w:rPr>
          <w:sz w:val="24"/>
          <w:szCs w:val="24"/>
        </w:rPr>
        <w:t xml:space="preserve"> at an Upland South Farmstead. </w:t>
      </w:r>
      <w:r>
        <w:rPr>
          <w:sz w:val="24"/>
          <w:szCs w:val="24"/>
        </w:rPr>
        <w:t>Master’s thesis, Department of Anthropology, University of Tennessee, Knoxville.</w:t>
      </w:r>
    </w:p>
    <w:p w:rsidR="000F7191" w:rsidRDefault="000F7191" w:rsidP="000F7191">
      <w:pPr>
        <w:pStyle w:val="FootnoteText"/>
        <w:ind w:left="360" w:hanging="360"/>
        <w:rPr>
          <w:sz w:val="24"/>
          <w:szCs w:val="24"/>
        </w:rPr>
      </w:pPr>
    </w:p>
    <w:p w:rsidR="000F7191" w:rsidRDefault="000F7191" w:rsidP="000F7191">
      <w:pPr>
        <w:pStyle w:val="FootnoteText"/>
        <w:ind w:left="360" w:hanging="360"/>
        <w:rPr>
          <w:sz w:val="24"/>
          <w:szCs w:val="24"/>
        </w:rPr>
      </w:pPr>
      <w:r>
        <w:rPr>
          <w:sz w:val="24"/>
          <w:szCs w:val="24"/>
        </w:rPr>
        <w:lastRenderedPageBreak/>
        <w:t>Brown, David A.</w:t>
      </w:r>
    </w:p>
    <w:p w:rsidR="000F7191" w:rsidRDefault="000F7191" w:rsidP="000F7191">
      <w:pPr>
        <w:pStyle w:val="FootnoteText"/>
        <w:rPr>
          <w:sz w:val="24"/>
          <w:szCs w:val="24"/>
        </w:rPr>
      </w:pPr>
      <w:r>
        <w:rPr>
          <w:sz w:val="24"/>
          <w:szCs w:val="24"/>
        </w:rPr>
        <w:t>2006</w:t>
      </w:r>
      <w:r>
        <w:rPr>
          <w:sz w:val="24"/>
          <w:szCs w:val="24"/>
        </w:rPr>
        <w:tab/>
      </w:r>
      <w:r w:rsidR="00434D4C">
        <w:rPr>
          <w:sz w:val="24"/>
          <w:szCs w:val="24"/>
        </w:rPr>
        <w:t xml:space="preserve">Fairfield Quarter: Background. </w:t>
      </w:r>
      <w:r>
        <w:rPr>
          <w:sz w:val="24"/>
          <w:szCs w:val="24"/>
        </w:rPr>
        <w:t>The Digital Archaeological Archive of Comparative Slavery.  &lt;</w:t>
      </w:r>
      <w:r w:rsidRPr="006C1DD6">
        <w:rPr>
          <w:sz w:val="24"/>
          <w:szCs w:val="24"/>
        </w:rPr>
        <w:t>http://www.daacs.org/resources/sites/background/13/</w:t>
      </w:r>
      <w:r w:rsidR="00434D4C">
        <w:rPr>
          <w:sz w:val="24"/>
          <w:szCs w:val="24"/>
        </w:rPr>
        <w:t xml:space="preserve">&gt;. </w:t>
      </w:r>
      <w:r>
        <w:rPr>
          <w:sz w:val="24"/>
          <w:szCs w:val="24"/>
        </w:rPr>
        <w:t>Accessed 9 July 2013.</w:t>
      </w:r>
    </w:p>
    <w:p w:rsidR="0076173E" w:rsidRDefault="0076173E">
      <w:pPr>
        <w:rPr>
          <w:rFonts w:eastAsia="Times New Roman"/>
        </w:rPr>
      </w:pPr>
    </w:p>
    <w:p w:rsidR="000F7191" w:rsidRDefault="000F7191" w:rsidP="000F7191">
      <w:pPr>
        <w:pStyle w:val="FootnoteText"/>
        <w:ind w:left="360" w:hanging="360"/>
        <w:rPr>
          <w:sz w:val="24"/>
          <w:szCs w:val="24"/>
        </w:rPr>
      </w:pPr>
      <w:r>
        <w:rPr>
          <w:sz w:val="24"/>
          <w:szCs w:val="24"/>
        </w:rPr>
        <w:t>Buchli, Victor</w:t>
      </w:r>
    </w:p>
    <w:p w:rsidR="000F7191" w:rsidRDefault="00434D4C" w:rsidP="000F7191">
      <w:pPr>
        <w:pStyle w:val="FootnoteText"/>
        <w:rPr>
          <w:sz w:val="24"/>
          <w:szCs w:val="24"/>
        </w:rPr>
      </w:pPr>
      <w:r>
        <w:rPr>
          <w:sz w:val="24"/>
          <w:szCs w:val="24"/>
        </w:rPr>
        <w:t>2002</w:t>
      </w:r>
      <w:r>
        <w:rPr>
          <w:sz w:val="24"/>
          <w:szCs w:val="24"/>
        </w:rPr>
        <w:tab/>
        <w:t xml:space="preserve">Introduction. </w:t>
      </w:r>
      <w:r w:rsidR="000F7191">
        <w:rPr>
          <w:sz w:val="24"/>
          <w:szCs w:val="24"/>
        </w:rPr>
        <w:t xml:space="preserve">In </w:t>
      </w:r>
      <w:r w:rsidR="000F7191" w:rsidRPr="003A5602">
        <w:rPr>
          <w:i/>
          <w:sz w:val="24"/>
          <w:szCs w:val="24"/>
        </w:rPr>
        <w:t>The Material Culture Reader</w:t>
      </w:r>
      <w:r w:rsidR="000F7191">
        <w:rPr>
          <w:sz w:val="24"/>
          <w:szCs w:val="24"/>
        </w:rPr>
        <w:t>, Vi</w:t>
      </w:r>
      <w:r>
        <w:rPr>
          <w:sz w:val="24"/>
          <w:szCs w:val="24"/>
        </w:rPr>
        <w:t xml:space="preserve">ctor Buchli, editor, pp. 1-22. </w:t>
      </w:r>
      <w:r w:rsidR="000F7191">
        <w:rPr>
          <w:sz w:val="24"/>
          <w:szCs w:val="24"/>
        </w:rPr>
        <w:t>Berg, New York, NY.</w:t>
      </w:r>
    </w:p>
    <w:p w:rsidR="000F7191" w:rsidRDefault="000F7191" w:rsidP="000F7191">
      <w:pPr>
        <w:pStyle w:val="FootnoteText"/>
        <w:ind w:left="360" w:hanging="360"/>
        <w:rPr>
          <w:sz w:val="24"/>
          <w:szCs w:val="24"/>
        </w:rPr>
      </w:pPr>
    </w:p>
    <w:p w:rsidR="000F7191" w:rsidRDefault="000F7191" w:rsidP="000F7191">
      <w:pPr>
        <w:pStyle w:val="FootnoteText"/>
        <w:ind w:left="360" w:hanging="360"/>
        <w:rPr>
          <w:sz w:val="24"/>
          <w:szCs w:val="24"/>
        </w:rPr>
      </w:pPr>
      <w:r>
        <w:rPr>
          <w:sz w:val="24"/>
          <w:szCs w:val="24"/>
        </w:rPr>
        <w:t xml:space="preserve">Bushman, Richard L.  </w:t>
      </w:r>
    </w:p>
    <w:p w:rsidR="000F7191" w:rsidRDefault="000F7191" w:rsidP="000F7191">
      <w:pPr>
        <w:pStyle w:val="FootnoteText"/>
        <w:rPr>
          <w:sz w:val="24"/>
          <w:szCs w:val="24"/>
        </w:rPr>
      </w:pPr>
      <w:r>
        <w:rPr>
          <w:iCs/>
          <w:sz w:val="24"/>
          <w:szCs w:val="24"/>
        </w:rPr>
        <w:t>1992</w:t>
      </w:r>
      <w:r>
        <w:rPr>
          <w:iCs/>
          <w:sz w:val="24"/>
          <w:szCs w:val="24"/>
        </w:rPr>
        <w:tab/>
      </w:r>
      <w:r>
        <w:rPr>
          <w:i/>
          <w:iCs/>
          <w:sz w:val="24"/>
          <w:szCs w:val="24"/>
        </w:rPr>
        <w:t>The Refinement of America: Persons, Houses, Cities</w:t>
      </w:r>
      <w:r>
        <w:rPr>
          <w:iCs/>
          <w:sz w:val="24"/>
          <w:szCs w:val="24"/>
        </w:rPr>
        <w:t xml:space="preserve">. </w:t>
      </w:r>
      <w:r>
        <w:rPr>
          <w:sz w:val="24"/>
          <w:szCs w:val="24"/>
        </w:rPr>
        <w:t>Random House, New York, NY.</w:t>
      </w:r>
    </w:p>
    <w:p w:rsidR="000F7191" w:rsidRDefault="000F7191" w:rsidP="000F7191">
      <w:pPr>
        <w:pStyle w:val="FootnoteText"/>
        <w:rPr>
          <w:sz w:val="24"/>
          <w:szCs w:val="24"/>
        </w:rPr>
      </w:pPr>
    </w:p>
    <w:p w:rsidR="000F7191" w:rsidRDefault="000F7191" w:rsidP="000F7191">
      <w:pPr>
        <w:pStyle w:val="FootnoteText"/>
        <w:ind w:left="360" w:hanging="360"/>
        <w:rPr>
          <w:sz w:val="24"/>
          <w:szCs w:val="24"/>
        </w:rPr>
      </w:pPr>
      <w:r>
        <w:rPr>
          <w:sz w:val="24"/>
          <w:szCs w:val="24"/>
        </w:rPr>
        <w:t xml:space="preserve">Butler, Jon  </w:t>
      </w:r>
    </w:p>
    <w:p w:rsidR="000F7191" w:rsidRDefault="000F7191" w:rsidP="000F7191">
      <w:pPr>
        <w:pStyle w:val="FootnoteText"/>
        <w:rPr>
          <w:sz w:val="24"/>
          <w:szCs w:val="24"/>
        </w:rPr>
      </w:pPr>
      <w:r>
        <w:rPr>
          <w:iCs/>
          <w:sz w:val="24"/>
          <w:szCs w:val="24"/>
        </w:rPr>
        <w:t>2000</w:t>
      </w:r>
      <w:r>
        <w:rPr>
          <w:iCs/>
          <w:sz w:val="24"/>
          <w:szCs w:val="24"/>
        </w:rPr>
        <w:tab/>
      </w:r>
      <w:r>
        <w:rPr>
          <w:i/>
          <w:iCs/>
          <w:sz w:val="24"/>
          <w:szCs w:val="24"/>
        </w:rPr>
        <w:t xml:space="preserve">Becoming </w:t>
      </w:r>
      <w:smartTag w:uri="urn:schemas-microsoft-com:office:smarttags" w:element="place">
        <w:smartTag w:uri="urn:schemas-microsoft-com:office:smarttags" w:element="country-region">
          <w:r>
            <w:rPr>
              <w:i/>
              <w:iCs/>
              <w:sz w:val="24"/>
              <w:szCs w:val="24"/>
            </w:rPr>
            <w:t>America</w:t>
          </w:r>
        </w:smartTag>
      </w:smartTag>
      <w:r>
        <w:rPr>
          <w:i/>
          <w:iCs/>
          <w:sz w:val="24"/>
          <w:szCs w:val="24"/>
        </w:rPr>
        <w:t>: The Revolution before 1776</w:t>
      </w:r>
      <w:r w:rsidR="00434D4C">
        <w:rPr>
          <w:iCs/>
          <w:sz w:val="24"/>
          <w:szCs w:val="24"/>
        </w:rPr>
        <w:t xml:space="preserve">. </w:t>
      </w:r>
      <w:r>
        <w:rPr>
          <w:iCs/>
          <w:sz w:val="24"/>
          <w:szCs w:val="24"/>
        </w:rPr>
        <w:t xml:space="preserve">Harvard University Press, </w:t>
      </w:r>
      <w:r>
        <w:rPr>
          <w:sz w:val="24"/>
          <w:szCs w:val="24"/>
        </w:rPr>
        <w:t>Cambridge, MA.</w:t>
      </w:r>
    </w:p>
    <w:p w:rsidR="000F7191" w:rsidRDefault="000F7191" w:rsidP="000F7191"/>
    <w:p w:rsidR="000F7191" w:rsidRDefault="000F7191" w:rsidP="000F7191">
      <w:pPr>
        <w:autoSpaceDE w:val="0"/>
        <w:autoSpaceDN w:val="0"/>
        <w:adjustRightInd w:val="0"/>
      </w:pPr>
      <w:r>
        <w:t>Cadou, Carol Borchart</w:t>
      </w:r>
    </w:p>
    <w:p w:rsidR="000F7191" w:rsidRDefault="000F7191" w:rsidP="000F7191">
      <w:pPr>
        <w:autoSpaceDE w:val="0"/>
        <w:autoSpaceDN w:val="0"/>
        <w:adjustRightInd w:val="0"/>
      </w:pPr>
      <w:r>
        <w:t>2006</w:t>
      </w:r>
      <w:r>
        <w:tab/>
      </w:r>
      <w:r w:rsidRPr="005F6FCA">
        <w:rPr>
          <w:i/>
        </w:rPr>
        <w:t>The George Washington Collection: Fine and Decorative Arts at Mount Vernon</w:t>
      </w:r>
      <w:r w:rsidR="00434D4C">
        <w:t xml:space="preserve">. </w:t>
      </w:r>
      <w:r>
        <w:t>Mount Vernon Ladies’ Association, Mount Vernon, VA.</w:t>
      </w:r>
    </w:p>
    <w:p w:rsidR="000F7191" w:rsidRPr="00294880" w:rsidRDefault="000F7191" w:rsidP="000F7191">
      <w:pPr>
        <w:autoSpaceDE w:val="0"/>
        <w:autoSpaceDN w:val="0"/>
        <w:adjustRightInd w:val="0"/>
      </w:pPr>
    </w:p>
    <w:p w:rsidR="000F7191" w:rsidRPr="00294880" w:rsidRDefault="000F7191" w:rsidP="000F7191">
      <w:pPr>
        <w:autoSpaceDE w:val="0"/>
        <w:autoSpaceDN w:val="0"/>
        <w:adjustRightInd w:val="0"/>
      </w:pPr>
      <w:r w:rsidRPr="00294880">
        <w:t>Callahan, Charles H.</w:t>
      </w:r>
    </w:p>
    <w:p w:rsidR="000F7191" w:rsidRPr="00294880" w:rsidRDefault="000F7191" w:rsidP="000F7191">
      <w:pPr>
        <w:autoSpaceDE w:val="0"/>
        <w:autoSpaceDN w:val="0"/>
        <w:adjustRightInd w:val="0"/>
      </w:pPr>
      <w:r>
        <w:t>1913</w:t>
      </w:r>
      <w:r>
        <w:tab/>
      </w:r>
      <w:r w:rsidRPr="00294880">
        <w:rPr>
          <w:i/>
          <w:iCs/>
        </w:rPr>
        <w:t>Washington: The Man and the Mason</w:t>
      </w:r>
      <w:r w:rsidR="00434D4C">
        <w:t xml:space="preserve">. </w:t>
      </w:r>
      <w:r w:rsidRPr="00294880">
        <w:t>Press of Gibson</w:t>
      </w:r>
      <w:r>
        <w:t xml:space="preserve"> Brothers, Inc., Washington, D</w:t>
      </w:r>
      <w:r w:rsidRPr="00294880">
        <w:t>C.</w:t>
      </w:r>
    </w:p>
    <w:p w:rsidR="000F7191" w:rsidRDefault="000F7191" w:rsidP="000F7191">
      <w:pPr>
        <w:autoSpaceDE w:val="0"/>
        <w:autoSpaceDN w:val="0"/>
        <w:adjustRightInd w:val="0"/>
      </w:pPr>
    </w:p>
    <w:p w:rsidR="000F7191" w:rsidRDefault="000F7191" w:rsidP="000F7191">
      <w:pPr>
        <w:autoSpaceDE w:val="0"/>
        <w:autoSpaceDN w:val="0"/>
        <w:adjustRightInd w:val="0"/>
      </w:pPr>
      <w:r>
        <w:t>Carr, Lois Green and Lorena S. Walsh</w:t>
      </w:r>
    </w:p>
    <w:p w:rsidR="000F7191" w:rsidRDefault="000F7191" w:rsidP="000F7191">
      <w:pPr>
        <w:autoSpaceDE w:val="0"/>
        <w:autoSpaceDN w:val="0"/>
        <w:adjustRightInd w:val="0"/>
      </w:pPr>
      <w:r>
        <w:t>1994</w:t>
      </w:r>
      <w:r>
        <w:tab/>
        <w:t xml:space="preserve">Changing Lifestyles and Consumer Behavior in the Colonial </w:t>
      </w:r>
      <w:smartTag w:uri="urn:schemas-microsoft-com:office:smarttags" w:element="City">
        <w:smartTag w:uri="urn:schemas-microsoft-com:office:smarttags" w:element="place">
          <w:r>
            <w:t>Chesapeake</w:t>
          </w:r>
        </w:smartTag>
      </w:smartTag>
      <w:r w:rsidR="00434D4C">
        <w:t xml:space="preserve">. </w:t>
      </w:r>
      <w:r>
        <w:t xml:space="preserve">In </w:t>
      </w:r>
      <w:r>
        <w:rPr>
          <w:i/>
          <w:iCs/>
        </w:rPr>
        <w:t>Of Consuming Interests: The Style of Life in the Eighteenth Century</w:t>
      </w:r>
      <w:r>
        <w:t>, Cary Carson, Ronald Hoffman, and Peter J.</w:t>
      </w:r>
      <w:r>
        <w:rPr>
          <w:i/>
          <w:iCs/>
        </w:rPr>
        <w:t xml:space="preserve"> </w:t>
      </w:r>
      <w:r w:rsidR="00434D4C">
        <w:t xml:space="preserve">Albert, editors, pp. 59-166. </w:t>
      </w:r>
      <w:r>
        <w:t xml:space="preserve">University of Virginia Press, Charlottesville.      </w:t>
      </w:r>
    </w:p>
    <w:p w:rsidR="000F7191" w:rsidRDefault="000F7191" w:rsidP="000F7191">
      <w:pPr>
        <w:autoSpaceDE w:val="0"/>
        <w:autoSpaceDN w:val="0"/>
        <w:adjustRightInd w:val="0"/>
      </w:pPr>
    </w:p>
    <w:p w:rsidR="000F7191" w:rsidRDefault="000F7191" w:rsidP="000F7191">
      <w:pPr>
        <w:autoSpaceDE w:val="0"/>
        <w:autoSpaceDN w:val="0"/>
        <w:adjustRightInd w:val="0"/>
      </w:pPr>
      <w:r>
        <w:t>Carson, Barbara G.</w:t>
      </w:r>
      <w:r>
        <w:br/>
        <w:t xml:space="preserve">1990    </w:t>
      </w:r>
      <w:r>
        <w:rPr>
          <w:rStyle w:val="Emphasis"/>
        </w:rPr>
        <w:t>Ambitious Appetites: Dining, Behavior, and Patterns of Consumption in Federal Washington</w:t>
      </w:r>
      <w:r w:rsidR="00434D4C">
        <w:t>. </w:t>
      </w:r>
      <w:r>
        <w:t>The American Institute of Architects Press, Washington, DC.</w:t>
      </w:r>
    </w:p>
    <w:p w:rsidR="000F7191" w:rsidRDefault="000F7191" w:rsidP="000F7191">
      <w:pPr>
        <w:autoSpaceDE w:val="0"/>
        <w:autoSpaceDN w:val="0"/>
        <w:adjustRightInd w:val="0"/>
      </w:pPr>
    </w:p>
    <w:p w:rsidR="000F7191" w:rsidRDefault="000F7191" w:rsidP="000F7191">
      <w:pPr>
        <w:autoSpaceDE w:val="0"/>
        <w:autoSpaceDN w:val="0"/>
        <w:adjustRightInd w:val="0"/>
      </w:pPr>
      <w:r>
        <w:t>Carson, Cary</w:t>
      </w:r>
    </w:p>
    <w:p w:rsidR="000F7191" w:rsidRPr="000D0479" w:rsidRDefault="000F7191" w:rsidP="000F7191">
      <w:pPr>
        <w:autoSpaceDE w:val="0"/>
        <w:autoSpaceDN w:val="0"/>
        <w:adjustRightInd w:val="0"/>
        <w:rPr>
          <w:i/>
          <w:iCs/>
        </w:rPr>
      </w:pPr>
      <w:r>
        <w:t>1994</w:t>
      </w:r>
      <w:r>
        <w:tab/>
        <w:t xml:space="preserve">The Consumer Revolution in Colonial </w:t>
      </w:r>
      <w:smartTag w:uri="urn:schemas-microsoft-com:office:smarttags" w:element="country-region">
        <w:smartTag w:uri="urn:schemas-microsoft-com:office:smarttags" w:element="place">
          <w:r>
            <w:t>America</w:t>
          </w:r>
        </w:smartTag>
      </w:smartTag>
      <w:r>
        <w:t xml:space="preserve">: Why Demand? In </w:t>
      </w:r>
      <w:r>
        <w:rPr>
          <w:i/>
          <w:iCs/>
        </w:rPr>
        <w:t>Of Consuming Interests: The Style of Life in the Eighteenth Century</w:t>
      </w:r>
      <w:r>
        <w:t>, Cary Carson, Ronald Hoffman, and Peter J.</w:t>
      </w:r>
      <w:r>
        <w:rPr>
          <w:i/>
          <w:iCs/>
        </w:rPr>
        <w:t xml:space="preserve"> </w:t>
      </w:r>
      <w:r w:rsidR="00434D4C">
        <w:t xml:space="preserve">Albert, editors, pp. 483-697. </w:t>
      </w:r>
      <w:r>
        <w:t xml:space="preserve">University of Virginia Press, Charlottesville.    </w:t>
      </w:r>
    </w:p>
    <w:p w:rsidR="000F7191" w:rsidRDefault="000F7191" w:rsidP="000F7191"/>
    <w:p w:rsidR="000F7191" w:rsidRDefault="000F7191" w:rsidP="000F7191">
      <w:r>
        <w:t>2001</w:t>
      </w:r>
      <w:r>
        <w:tab/>
        <w:t xml:space="preserve">Teaching Visitors </w:t>
      </w:r>
      <w:r w:rsidR="00434D4C">
        <w:t xml:space="preserve">about the Consumer Revolution. </w:t>
      </w:r>
      <w:r w:rsidRPr="00781248">
        <w:rPr>
          <w:i/>
        </w:rPr>
        <w:t>The Colonial Williamsburg Interpreter</w:t>
      </w:r>
      <w:r w:rsidR="00434D4C">
        <w:t xml:space="preserve"> 22(1). </w:t>
      </w:r>
      <w:r>
        <w:t>&lt;http://research.history.org/Historical_Research/Research_Themes/</w:t>
      </w:r>
      <w:r w:rsidR="00434D4C">
        <w:t xml:space="preserve">ThemeRespect/ConsumerRev.cfm&gt;. </w:t>
      </w:r>
      <w:r>
        <w:t>Accessed 2 May 2011.</w:t>
      </w:r>
    </w:p>
    <w:p w:rsidR="000F7191" w:rsidRDefault="000F7191" w:rsidP="000F7191"/>
    <w:p w:rsidR="000F7191" w:rsidRDefault="0003704E" w:rsidP="000F7191">
      <w:r>
        <w:t>Carson, Cary, Joanne Bowen, Wi</w:t>
      </w:r>
      <w:r w:rsidR="000F7191">
        <w:t>llie Graham, Martha McCartney, and Lorena Walsh</w:t>
      </w:r>
    </w:p>
    <w:p w:rsidR="000F7191" w:rsidRPr="00027898" w:rsidRDefault="000F7191" w:rsidP="000F7191">
      <w:r>
        <w:t>2008</w:t>
      </w:r>
      <w:r>
        <w:tab/>
        <w:t xml:space="preserve">New World, Real World: Improvising English Culture in Seventeenth-Century </w:t>
      </w:r>
      <w:smartTag w:uri="urn:schemas-microsoft-com:office:smarttags" w:element="State">
        <w:smartTag w:uri="urn:schemas-microsoft-com:office:smarttags" w:element="place">
          <w:r>
            <w:t>Virginia</w:t>
          </w:r>
        </w:smartTag>
      </w:smartTag>
      <w:r w:rsidR="00434D4C">
        <w:t xml:space="preserve">. </w:t>
      </w:r>
      <w:r w:rsidRPr="00027898">
        <w:rPr>
          <w:i/>
        </w:rPr>
        <w:t>The Journal of Southern History</w:t>
      </w:r>
      <w:r w:rsidRPr="00027898">
        <w:t xml:space="preserve"> LXXIV(1):31-88.</w:t>
      </w:r>
    </w:p>
    <w:p w:rsidR="000F7191" w:rsidRPr="00027898" w:rsidRDefault="000F7191" w:rsidP="000F7191"/>
    <w:p w:rsidR="00F573AA" w:rsidRDefault="00F573AA">
      <w:r>
        <w:br w:type="page"/>
      </w:r>
    </w:p>
    <w:p w:rsidR="000F7191" w:rsidRDefault="000F7191" w:rsidP="000F7191">
      <w:r>
        <w:lastRenderedPageBreak/>
        <w:t>Carson, Cary, Ronald Hoffman, and Peter J. Albert, editors</w:t>
      </w:r>
    </w:p>
    <w:p w:rsidR="000F7191" w:rsidRDefault="000F7191" w:rsidP="000F7191">
      <w:r>
        <w:t>1994</w:t>
      </w:r>
      <w:r>
        <w:tab/>
      </w:r>
      <w:r>
        <w:rPr>
          <w:i/>
          <w:iCs/>
        </w:rPr>
        <w:t>Of Consuming Interests: The Style of Life in the Eighteenth Century</w:t>
      </w:r>
      <w:r w:rsidR="00434D4C">
        <w:t xml:space="preserve">. </w:t>
      </w:r>
      <w:r>
        <w:t xml:space="preserve">University of Virginia Press, Charlottesville, VA.    </w:t>
      </w:r>
    </w:p>
    <w:p w:rsidR="0076173E" w:rsidRDefault="0076173E"/>
    <w:p w:rsidR="000F7191" w:rsidRDefault="000F7191" w:rsidP="000F7191">
      <w:r>
        <w:t>Casper, Scott E.</w:t>
      </w:r>
    </w:p>
    <w:p w:rsidR="000F7191" w:rsidRDefault="000F7191" w:rsidP="000F7191">
      <w:r>
        <w:t>2008a</w:t>
      </w:r>
      <w:r>
        <w:tab/>
      </w:r>
      <w:r w:rsidRPr="00067C93">
        <w:rPr>
          <w:i/>
        </w:rPr>
        <w:t xml:space="preserve">Sarah Johnson’s Mount Vernon: The Forgotten History of an American Shrine. </w:t>
      </w:r>
      <w:r>
        <w:t>Hill and Wang, New York, NY.</w:t>
      </w:r>
    </w:p>
    <w:p w:rsidR="000F7191" w:rsidRDefault="000F7191" w:rsidP="000F7191"/>
    <w:p w:rsidR="00434D4C" w:rsidRDefault="000F7191" w:rsidP="000F7191">
      <w:r>
        <w:t>2008b</w:t>
      </w:r>
      <w:r>
        <w:tab/>
        <w:t>A Mount V</w:t>
      </w:r>
      <w:r w:rsidR="00434D4C">
        <w:t xml:space="preserve">ernon Slave Census, 1815-1861. </w:t>
      </w:r>
    </w:p>
    <w:p w:rsidR="000F7191" w:rsidRDefault="000F7191" w:rsidP="000F7191">
      <w:r>
        <w:t>&lt;</w:t>
      </w:r>
      <w:r w:rsidRPr="00067C93">
        <w:t xml:space="preserve"> http://www.unr.edu/cla/history/casper.html</w:t>
      </w:r>
      <w:r w:rsidR="00434D4C">
        <w:t xml:space="preserve">&gt;. </w:t>
      </w:r>
      <w:r>
        <w:t>Accessed 23 April 2013.</w:t>
      </w:r>
    </w:p>
    <w:p w:rsidR="000F7191" w:rsidRDefault="000F7191" w:rsidP="000F7191"/>
    <w:p w:rsidR="000F7191" w:rsidRDefault="000F7191" w:rsidP="000F7191">
      <w:r>
        <w:t>Center for History and New Media, George Mason University and Gunston Hall Plantation</w:t>
      </w:r>
    </w:p>
    <w:p w:rsidR="000F7191" w:rsidRDefault="000F7191" w:rsidP="000F7191">
      <w:r>
        <w:t>2006</w:t>
      </w:r>
      <w:r>
        <w:tab/>
        <w:t>Probing the Past: Virginia and Maryland Probate Inventories, 1740-1810, George</w:t>
      </w:r>
      <w:r w:rsidR="00434D4C">
        <w:t xml:space="preserve"> Mason University, Fairfax, VA.</w:t>
      </w:r>
      <w:r>
        <w:t xml:space="preserve"> &lt;</w:t>
      </w:r>
      <w:r w:rsidRPr="00EE594E">
        <w:t xml:space="preserve"> </w:t>
      </w:r>
      <w:r w:rsidRPr="008D7A2F">
        <w:t>http://chnm.gmu.edu/probateinventory/index.php</w:t>
      </w:r>
      <w:r w:rsidR="00434D4C">
        <w:t xml:space="preserve">&gt;. </w:t>
      </w:r>
      <w:r>
        <w:t>Accessed 1 September 2009.</w:t>
      </w:r>
    </w:p>
    <w:p w:rsidR="000F7191" w:rsidRDefault="000F7191" w:rsidP="000F7191">
      <w:pPr>
        <w:ind w:left="360" w:hanging="360"/>
        <w:rPr>
          <w:rStyle w:val="emailstyle15"/>
          <w:color w:val="000000"/>
        </w:rPr>
      </w:pPr>
    </w:p>
    <w:p w:rsidR="000F7191" w:rsidRDefault="000F7191" w:rsidP="000F7191">
      <w:pPr>
        <w:ind w:left="360" w:hanging="360"/>
        <w:rPr>
          <w:rStyle w:val="emailstyle15"/>
          <w:color w:val="000000"/>
        </w:rPr>
      </w:pPr>
      <w:r>
        <w:rPr>
          <w:rStyle w:val="emailstyle15"/>
          <w:color w:val="000000"/>
        </w:rPr>
        <w:t>Chambers, Douglas B.</w:t>
      </w:r>
    </w:p>
    <w:p w:rsidR="000F7191" w:rsidRDefault="000F7191" w:rsidP="000F7191">
      <w:pPr>
        <w:rPr>
          <w:rFonts w:eastAsia="Calibri"/>
        </w:rPr>
      </w:pPr>
      <w:r>
        <w:rPr>
          <w:rFonts w:eastAsia="Calibri"/>
        </w:rPr>
        <w:t xml:space="preserve">1996 </w:t>
      </w:r>
      <w:r>
        <w:rPr>
          <w:rFonts w:eastAsia="Calibri"/>
        </w:rPr>
        <w:tab/>
        <w:t xml:space="preserve">‘He Is an African But Speaks Plain:’ Historical Creolization in Eighteenth-Century Virginia. In </w:t>
      </w:r>
      <w:r>
        <w:rPr>
          <w:rFonts w:eastAsia="Calibri"/>
          <w:i/>
          <w:iCs/>
        </w:rPr>
        <w:t>The African Diaspora</w:t>
      </w:r>
      <w:r>
        <w:rPr>
          <w:rFonts w:eastAsia="Calibri"/>
        </w:rPr>
        <w:t>, Alusine Jalloh and Stephen E.</w:t>
      </w:r>
      <w:r w:rsidR="00434D4C">
        <w:rPr>
          <w:rFonts w:eastAsia="Calibri"/>
        </w:rPr>
        <w:t xml:space="preserve"> Maizlish, editors, pp.100-133.</w:t>
      </w:r>
      <w:r>
        <w:rPr>
          <w:rFonts w:eastAsia="Calibri"/>
        </w:rPr>
        <w:t xml:space="preserve"> Texas A&amp;M University Press, College Station. </w:t>
      </w:r>
    </w:p>
    <w:p w:rsidR="000F7191" w:rsidRDefault="000F7191" w:rsidP="000F7191">
      <w:pPr>
        <w:rPr>
          <w:rFonts w:eastAsia="Calibri"/>
        </w:rPr>
      </w:pPr>
    </w:p>
    <w:p w:rsidR="000F7191" w:rsidRPr="004D2AA8" w:rsidRDefault="000F7191" w:rsidP="000F7191">
      <w:pPr>
        <w:rPr>
          <w:rStyle w:val="emailstyle15"/>
        </w:rPr>
      </w:pPr>
      <w:r>
        <w:t>2005</w:t>
      </w:r>
      <w:r>
        <w:tab/>
      </w:r>
      <w:r w:rsidRPr="003E2BAE">
        <w:rPr>
          <w:i/>
        </w:rPr>
        <w:t xml:space="preserve">Murder at </w:t>
      </w:r>
      <w:smartTag w:uri="urn:schemas-microsoft-com:office:smarttags" w:element="City">
        <w:r w:rsidRPr="003E2BAE">
          <w:rPr>
            <w:i/>
          </w:rPr>
          <w:t>Montpelier</w:t>
        </w:r>
      </w:smartTag>
      <w:r w:rsidRPr="003E2BAE">
        <w:rPr>
          <w:i/>
        </w:rPr>
        <w:t xml:space="preserve">: Igbo Africans in </w:t>
      </w:r>
      <w:smartTag w:uri="urn:schemas-microsoft-com:office:smarttags" w:element="State">
        <w:smartTag w:uri="urn:schemas-microsoft-com:office:smarttags" w:element="place">
          <w:r w:rsidRPr="003E2BAE">
            <w:rPr>
              <w:i/>
            </w:rPr>
            <w:t>Virginia</w:t>
          </w:r>
        </w:smartTag>
      </w:smartTag>
      <w:r w:rsidR="00434D4C">
        <w:t xml:space="preserve">. </w:t>
      </w:r>
      <w:r>
        <w:t>University Press of Mississippi, Jackson.</w:t>
      </w:r>
    </w:p>
    <w:p w:rsidR="000F7191" w:rsidRDefault="000F7191" w:rsidP="000F7191">
      <w:pPr>
        <w:ind w:left="360" w:hanging="360"/>
        <w:rPr>
          <w:rStyle w:val="emailstyle15"/>
          <w:color w:val="000000"/>
        </w:rPr>
      </w:pPr>
    </w:p>
    <w:p w:rsidR="000F7191" w:rsidRDefault="000F7191" w:rsidP="000F7191">
      <w:r>
        <w:t>Chase, Philander D.</w:t>
      </w:r>
      <w:r>
        <w:br/>
        <w:t xml:space="preserve">2008    </w:t>
      </w:r>
      <w:r>
        <w:rPr>
          <w:rStyle w:val="Emphasis"/>
        </w:rPr>
        <w:t>The Papers of George Washington: Revolutionary War Series</w:t>
      </w:r>
      <w:r>
        <w:t xml:space="preserve"> vol. 17. University Press of Virginia, Charlottesville.</w:t>
      </w:r>
    </w:p>
    <w:p w:rsidR="000F7191" w:rsidRDefault="000F7191" w:rsidP="000F7191">
      <w:pPr>
        <w:ind w:left="360" w:hanging="360"/>
      </w:pPr>
    </w:p>
    <w:p w:rsidR="000F7191" w:rsidRDefault="000F7191" w:rsidP="000F7191">
      <w:pPr>
        <w:rPr>
          <w:rStyle w:val="emailstyle15"/>
          <w:color w:val="000000"/>
        </w:rPr>
      </w:pPr>
      <w:r>
        <w:t>Chernow, Ron</w:t>
      </w:r>
      <w:r>
        <w:br/>
        <w:t xml:space="preserve">2010    </w:t>
      </w:r>
      <w:r>
        <w:rPr>
          <w:rStyle w:val="Emphasis"/>
        </w:rPr>
        <w:t>Washington: A Life</w:t>
      </w:r>
      <w:r w:rsidR="00434D4C">
        <w:t>. </w:t>
      </w:r>
      <w:r>
        <w:t>The Penguin Press, New York, NY.</w:t>
      </w:r>
    </w:p>
    <w:p w:rsidR="000F7191" w:rsidRDefault="000F7191" w:rsidP="000F7191">
      <w:pPr>
        <w:ind w:left="360" w:hanging="360"/>
        <w:rPr>
          <w:rStyle w:val="emailstyle15"/>
          <w:color w:val="000000"/>
        </w:rPr>
      </w:pPr>
    </w:p>
    <w:p w:rsidR="000F7191" w:rsidRDefault="000F7191" w:rsidP="000F7191">
      <w:pPr>
        <w:ind w:left="360" w:hanging="360"/>
        <w:rPr>
          <w:rStyle w:val="emailstyle15"/>
          <w:color w:val="000000"/>
        </w:rPr>
      </w:pPr>
      <w:r>
        <w:rPr>
          <w:rStyle w:val="emailstyle15"/>
          <w:color w:val="000000"/>
        </w:rPr>
        <w:t>Clark, Ellen McCallister</w:t>
      </w:r>
    </w:p>
    <w:p w:rsidR="000F7191" w:rsidRDefault="000F7191" w:rsidP="000F7191">
      <w:pPr>
        <w:rPr>
          <w:rStyle w:val="emailstyle15"/>
          <w:color w:val="000000"/>
        </w:rPr>
      </w:pPr>
      <w:r>
        <w:rPr>
          <w:rStyle w:val="emailstyle15"/>
          <w:color w:val="000000"/>
        </w:rPr>
        <w:t>1988</w:t>
      </w:r>
      <w:r>
        <w:rPr>
          <w:rStyle w:val="emailstyle15"/>
          <w:color w:val="000000"/>
        </w:rPr>
        <w:tab/>
        <w:t xml:space="preserve">George Washington and Slavery at Mount Vernon. </w:t>
      </w:r>
      <w:r>
        <w:t>Archaeology Department, Mount Vernon Ladies’ Association, Mount Vernon, VA.</w:t>
      </w:r>
    </w:p>
    <w:p w:rsidR="000F7191" w:rsidRDefault="000F7191" w:rsidP="000F7191">
      <w:pPr>
        <w:ind w:left="360" w:hanging="360"/>
        <w:rPr>
          <w:rStyle w:val="emailstyle15"/>
          <w:color w:val="000000"/>
        </w:rPr>
      </w:pPr>
    </w:p>
    <w:p w:rsidR="000F7191" w:rsidRDefault="000F7191" w:rsidP="000F7191">
      <w:pPr>
        <w:ind w:left="360" w:hanging="360"/>
        <w:rPr>
          <w:color w:val="000000"/>
        </w:rPr>
      </w:pPr>
      <w:r w:rsidRPr="00027898">
        <w:rPr>
          <w:rStyle w:val="emailstyle15"/>
          <w:color w:val="000000"/>
        </w:rPr>
        <w:t xml:space="preserve">Clemens, Paul G. E.  </w:t>
      </w:r>
    </w:p>
    <w:p w:rsidR="000F7191" w:rsidRPr="00027898" w:rsidRDefault="000F7191" w:rsidP="000F7191">
      <w:pPr>
        <w:rPr>
          <w:color w:val="000000"/>
        </w:rPr>
      </w:pPr>
      <w:r>
        <w:rPr>
          <w:color w:val="000000"/>
        </w:rPr>
        <w:t>2005</w:t>
      </w:r>
      <w:r>
        <w:rPr>
          <w:color w:val="000000"/>
        </w:rPr>
        <w:tab/>
      </w:r>
      <w:r w:rsidRPr="00027898">
        <w:rPr>
          <w:color w:val="000000"/>
        </w:rPr>
        <w:t>The Consumer Culture of the Middle Atlantic, 1760-1820</w:t>
      </w:r>
      <w:r w:rsidR="00434D4C">
        <w:rPr>
          <w:color w:val="000000"/>
        </w:rPr>
        <w:t>.</w:t>
      </w:r>
      <w:r>
        <w:rPr>
          <w:color w:val="000000"/>
        </w:rPr>
        <w:t xml:space="preserve"> </w:t>
      </w:r>
      <w:r w:rsidRPr="00027898">
        <w:rPr>
          <w:i/>
          <w:iCs/>
          <w:color w:val="000000"/>
        </w:rPr>
        <w:t>The William and Mary Quarterly</w:t>
      </w:r>
      <w:r>
        <w:rPr>
          <w:color w:val="000000"/>
        </w:rPr>
        <w:t xml:space="preserve"> 63(</w:t>
      </w:r>
      <w:r w:rsidRPr="00027898">
        <w:rPr>
          <w:color w:val="000000"/>
        </w:rPr>
        <w:t>4</w:t>
      </w:r>
      <w:r>
        <w:rPr>
          <w:color w:val="000000"/>
        </w:rPr>
        <w:t>):</w:t>
      </w:r>
      <w:r w:rsidRPr="00027898">
        <w:rPr>
          <w:color w:val="000000"/>
        </w:rPr>
        <w:t>577-624.</w:t>
      </w:r>
    </w:p>
    <w:p w:rsidR="000F7191" w:rsidRPr="00027898" w:rsidRDefault="000F7191" w:rsidP="000F7191">
      <w:pPr>
        <w:ind w:left="360" w:hanging="360"/>
        <w:rPr>
          <w:color w:val="000000"/>
        </w:rPr>
      </w:pPr>
    </w:p>
    <w:p w:rsidR="000F7191" w:rsidRDefault="000F7191" w:rsidP="000F7191">
      <w:r>
        <w:t>Crackel, Theodore J., editor</w:t>
      </w:r>
    </w:p>
    <w:p w:rsidR="000F7191" w:rsidRDefault="000F7191" w:rsidP="000F7191">
      <w:r>
        <w:t>2008</w:t>
      </w:r>
      <w:r>
        <w:tab/>
      </w:r>
      <w:r w:rsidRPr="00C92E66">
        <w:rPr>
          <w:i/>
        </w:rPr>
        <w:t>The Papers of George Washington Digital Edition</w:t>
      </w:r>
      <w:r w:rsidR="00434D4C">
        <w:t xml:space="preserve">. </w:t>
      </w:r>
      <w:r>
        <w:t>The University of Virginia Press, Charlottesville, VA.  Accessed 25 March 2012.</w:t>
      </w:r>
    </w:p>
    <w:p w:rsidR="000F7191" w:rsidRDefault="000F7191" w:rsidP="000F7191"/>
    <w:p w:rsidR="00F573AA" w:rsidRDefault="00F573AA">
      <w:r>
        <w:br w:type="page"/>
      </w:r>
    </w:p>
    <w:p w:rsidR="000F7191" w:rsidRDefault="000F7191" w:rsidP="000F7191">
      <w:r>
        <w:lastRenderedPageBreak/>
        <w:t>Crane, Brian, Julie Abell, J. Sanderson Stevens, Madeleine Pappas, Carter Shields, Marie-Lorraine Pipes, and Justine Woodward McKnight</w:t>
      </w:r>
    </w:p>
    <w:p w:rsidR="000F7191" w:rsidRDefault="000F7191" w:rsidP="000F7191">
      <w:r>
        <w:t>1999</w:t>
      </w:r>
      <w:r>
        <w:tab/>
        <w:t>Data Recovery Excavations at Site 44PW885 Town of Dumfries, Prince William County, Virginia U</w:t>
      </w:r>
      <w:r w:rsidR="00434D4C">
        <w:t xml:space="preserve">.S. Route 1/Possom Point Road. </w:t>
      </w:r>
      <w:r>
        <w:t>Report to Virginia Department of Transportation, Richmond, from De Leuw, Cather &amp; Co. and Parsons Engineering Science, Inc., Fairfax, VA.</w:t>
      </w:r>
    </w:p>
    <w:p w:rsidR="0076173E" w:rsidRDefault="0076173E"/>
    <w:p w:rsidR="000F7191" w:rsidRDefault="000F7191" w:rsidP="000F7191">
      <w:pPr>
        <w:ind w:left="360" w:hanging="360"/>
      </w:pPr>
      <w:r>
        <w:t>Crews, Ed</w:t>
      </w:r>
    </w:p>
    <w:p w:rsidR="000F7191" w:rsidRDefault="000F7191" w:rsidP="000F7191">
      <w:r>
        <w:t>2002</w:t>
      </w:r>
      <w:r>
        <w:tab/>
        <w:t xml:space="preserve">How </w:t>
      </w:r>
      <w:r w:rsidR="00434D4C">
        <w:t xml:space="preserve">Much is that in Today’s Money? </w:t>
      </w:r>
      <w:r w:rsidRPr="0071697E">
        <w:rPr>
          <w:i/>
        </w:rPr>
        <w:t>Colonial Williamsburg Journal</w:t>
      </w:r>
      <w:r>
        <w:t>, Summer.  &lt;</w:t>
      </w:r>
      <w:r w:rsidRPr="0071697E">
        <w:t>http://www.history.org/Foundation/journal/Summer02/money2.cfm</w:t>
      </w:r>
      <w:r>
        <w:t>&gt;. Accessed 3 August 2013.</w:t>
      </w:r>
    </w:p>
    <w:p w:rsidR="000F7191" w:rsidRDefault="000F7191" w:rsidP="000F7191">
      <w:pPr>
        <w:ind w:left="360" w:hanging="360"/>
      </w:pPr>
    </w:p>
    <w:p w:rsidR="003F6F13" w:rsidRDefault="003F6F13" w:rsidP="000F7191">
      <w:pPr>
        <w:ind w:left="360" w:hanging="360"/>
      </w:pPr>
      <w:r>
        <w:t>Crowl, Heather</w:t>
      </w:r>
    </w:p>
    <w:p w:rsidR="003F6F13" w:rsidRDefault="003F6F13" w:rsidP="003F6F13">
      <w:r>
        <w:t>2006</w:t>
      </w:r>
      <w:r>
        <w:tab/>
        <w:t>Archaeological Data Recovery at Site 44PW1199, Innovation Property, Pr</w:t>
      </w:r>
      <w:r w:rsidR="00434D4C">
        <w:t xml:space="preserve">ince William County, Virginia. </w:t>
      </w:r>
      <w:r>
        <w:t xml:space="preserve">Report to Prince William County Historic Preservation Division, Woodbridge, VA from URS, Gaithersburg, MD. </w:t>
      </w:r>
    </w:p>
    <w:p w:rsidR="003F6F13" w:rsidRDefault="003F6F13" w:rsidP="000F7191">
      <w:pPr>
        <w:ind w:left="360" w:hanging="360"/>
      </w:pPr>
    </w:p>
    <w:p w:rsidR="000F7191" w:rsidRDefault="000F7191" w:rsidP="000F7191">
      <w:pPr>
        <w:ind w:left="360" w:hanging="360"/>
      </w:pPr>
      <w:r>
        <w:t>Cochran, Matthew D. and Mary C. Beaudry</w:t>
      </w:r>
    </w:p>
    <w:p w:rsidR="000F7191" w:rsidRDefault="000F7191" w:rsidP="000F7191">
      <w:r>
        <w:t>2006</w:t>
      </w:r>
      <w:r>
        <w:tab/>
        <w:t>Material Culture Studi</w:t>
      </w:r>
      <w:r w:rsidR="00434D4C">
        <w:t xml:space="preserve">es and Historical Archaeology. </w:t>
      </w:r>
      <w:r>
        <w:t xml:space="preserve">In </w:t>
      </w:r>
      <w:r w:rsidRPr="00DB77A8">
        <w:rPr>
          <w:i/>
        </w:rPr>
        <w:t>The Cambridge Companion to Historical Archaeology</w:t>
      </w:r>
      <w:r>
        <w:t xml:space="preserve">, Dan Hicks and Mary C. </w:t>
      </w:r>
      <w:r w:rsidR="00434D4C">
        <w:t xml:space="preserve">Beaudry, editors, pp. 191-204. </w:t>
      </w:r>
      <w:r>
        <w:t>Cambridge University Press, Cambridge, UK.</w:t>
      </w:r>
    </w:p>
    <w:p w:rsidR="000F7191" w:rsidRPr="00EE260B" w:rsidRDefault="000F7191" w:rsidP="000F7191">
      <w:pPr>
        <w:ind w:left="360" w:hanging="360"/>
      </w:pPr>
    </w:p>
    <w:p w:rsidR="000F7191" w:rsidRPr="0038571D" w:rsidRDefault="000F7191" w:rsidP="000F7191">
      <w:pPr>
        <w:pStyle w:val="FootnoteText"/>
        <w:rPr>
          <w:sz w:val="24"/>
          <w:szCs w:val="24"/>
        </w:rPr>
      </w:pPr>
      <w:r w:rsidRPr="00EE260B">
        <w:rPr>
          <w:sz w:val="24"/>
          <w:szCs w:val="24"/>
        </w:rPr>
        <w:t xml:space="preserve">Cofield, Sara </w:t>
      </w:r>
      <w:r>
        <w:rPr>
          <w:sz w:val="24"/>
          <w:szCs w:val="24"/>
        </w:rPr>
        <w:t>Rivers</w:t>
      </w:r>
      <w:r w:rsidRPr="00EE260B">
        <w:rPr>
          <w:sz w:val="24"/>
          <w:szCs w:val="24"/>
        </w:rPr>
        <w:br/>
        <w:t xml:space="preserve">2011    </w:t>
      </w:r>
      <w:r w:rsidRPr="00EE260B">
        <w:rPr>
          <w:rStyle w:val="Emphasis"/>
          <w:sz w:val="24"/>
          <w:szCs w:val="24"/>
        </w:rPr>
        <w:t>Dazzling Duds: Metal Threads in the 17th Century</w:t>
      </w:r>
      <w:r w:rsidRPr="00EE260B">
        <w:rPr>
          <w:sz w:val="24"/>
          <w:szCs w:val="24"/>
        </w:rPr>
        <w:t>. &lt;</w:t>
      </w:r>
      <w:r w:rsidRPr="00E569C8">
        <w:rPr>
          <w:sz w:val="24"/>
          <w:szCs w:val="24"/>
        </w:rPr>
        <w:t>http://www.jefpat.org/CuratorsChoiceArchive/2011CuratorsChoice/Nov2011-Dazzling%20Duds-Metal%20Thread%20in%20the%2017th-Century.html</w:t>
      </w:r>
      <w:r w:rsidRPr="00EE260B">
        <w:rPr>
          <w:sz w:val="24"/>
          <w:szCs w:val="24"/>
        </w:rPr>
        <w:t xml:space="preserve">&gt;. Accessed 27 </w:t>
      </w:r>
      <w:r w:rsidRPr="0038571D">
        <w:rPr>
          <w:sz w:val="24"/>
          <w:szCs w:val="24"/>
        </w:rPr>
        <w:t>November 2012.</w:t>
      </w:r>
    </w:p>
    <w:p w:rsidR="000F7191" w:rsidRPr="0038571D" w:rsidRDefault="000F7191" w:rsidP="000F7191">
      <w:pPr>
        <w:pStyle w:val="FootnoteText"/>
        <w:ind w:left="360" w:hanging="360"/>
        <w:rPr>
          <w:sz w:val="24"/>
          <w:szCs w:val="24"/>
        </w:rPr>
      </w:pPr>
    </w:p>
    <w:p w:rsidR="000F7191" w:rsidRPr="00C54421" w:rsidRDefault="000F7191" w:rsidP="000F7191">
      <w:r>
        <w:rPr>
          <w:rFonts w:eastAsia="Times New Roman"/>
        </w:rPr>
        <w:t>2012</w:t>
      </w:r>
      <w:r>
        <w:rPr>
          <w:rFonts w:eastAsia="Times New Roman"/>
        </w:rPr>
        <w:tab/>
        <w:t>Linked Buttons of t</w:t>
      </w:r>
      <w:r w:rsidR="00434D4C">
        <w:rPr>
          <w:rFonts w:eastAsia="Times New Roman"/>
        </w:rPr>
        <w:t xml:space="preserve">he Middle Atlantic, 1670-1800. </w:t>
      </w:r>
      <w:r w:rsidRPr="00B645D4">
        <w:rPr>
          <w:i/>
        </w:rPr>
        <w:t>Journal of Middle Atlantic Archaeology</w:t>
      </w:r>
      <w:r>
        <w:t xml:space="preserve"> 28:99-116.</w:t>
      </w:r>
      <w:r>
        <w:rPr>
          <w:rFonts w:eastAsia="Times New Roman"/>
        </w:rPr>
        <w:t xml:space="preserve">  </w:t>
      </w:r>
    </w:p>
    <w:p w:rsidR="000F7191" w:rsidRDefault="000F7191" w:rsidP="000F7191">
      <w:pPr>
        <w:rPr>
          <w:rFonts w:eastAsia="Times New Roman"/>
        </w:rPr>
      </w:pPr>
    </w:p>
    <w:p w:rsidR="000F7191" w:rsidRPr="0038571D" w:rsidRDefault="000F7191" w:rsidP="000F7191">
      <w:pPr>
        <w:rPr>
          <w:rFonts w:eastAsia="Times New Roman"/>
        </w:rPr>
      </w:pPr>
      <w:r w:rsidRPr="0038571D">
        <w:rPr>
          <w:rFonts w:eastAsia="Times New Roman"/>
        </w:rPr>
        <w:t>Cook, Lauren J.</w:t>
      </w:r>
    </w:p>
    <w:p w:rsidR="000F7191" w:rsidRPr="0038571D" w:rsidRDefault="000F7191" w:rsidP="000F7191">
      <w:pPr>
        <w:rPr>
          <w:rFonts w:eastAsia="Times New Roman"/>
        </w:rPr>
      </w:pPr>
      <w:r>
        <w:rPr>
          <w:rFonts w:eastAsia="Times New Roman"/>
        </w:rPr>
        <w:t>1989</w:t>
      </w:r>
      <w:r>
        <w:rPr>
          <w:rFonts w:eastAsia="Times New Roman"/>
        </w:rPr>
        <w:tab/>
      </w:r>
      <w:r w:rsidRPr="0038571D">
        <w:rPr>
          <w:rFonts w:eastAsia="Times New Roman"/>
        </w:rPr>
        <w:t>Tobacco-Related Material Culture and the Construction of Working Class Culture. In Interdisciplinary Investigations of the Boott Mills, Lowell,</w:t>
      </w:r>
      <w:r>
        <w:rPr>
          <w:rFonts w:eastAsia="Times New Roman"/>
        </w:rPr>
        <w:t xml:space="preserve"> </w:t>
      </w:r>
      <w:r w:rsidRPr="0038571D">
        <w:rPr>
          <w:rFonts w:eastAsia="Times New Roman"/>
        </w:rPr>
        <w:t xml:space="preserve">Massachusetts. Vol. III: The Boarding House System as a Way of Life, Mary C. Beaudry and Stephen A. Mrozowski, </w:t>
      </w:r>
      <w:r>
        <w:rPr>
          <w:rFonts w:eastAsia="Times New Roman"/>
        </w:rPr>
        <w:t xml:space="preserve">editors, </w:t>
      </w:r>
      <w:r w:rsidR="00434D4C">
        <w:rPr>
          <w:rFonts w:eastAsia="Times New Roman"/>
        </w:rPr>
        <w:t>pp. 209-230.</w:t>
      </w:r>
      <w:r w:rsidRPr="0038571D">
        <w:rPr>
          <w:rFonts w:eastAsia="Times New Roman"/>
        </w:rPr>
        <w:t xml:space="preserve"> Cultural Resources Management Study, No. 21, U.S. Department of the Interior, National Park Service, North Atlantic Regional Office, Boston, MA.</w:t>
      </w:r>
    </w:p>
    <w:p w:rsidR="000F7191" w:rsidRPr="0038571D" w:rsidRDefault="000F7191" w:rsidP="000F7191">
      <w:pPr>
        <w:pStyle w:val="FootnoteText"/>
        <w:ind w:left="360" w:hanging="360"/>
        <w:rPr>
          <w:sz w:val="24"/>
          <w:szCs w:val="24"/>
        </w:rPr>
      </w:pPr>
    </w:p>
    <w:p w:rsidR="000F7191" w:rsidRDefault="000F7191" w:rsidP="000F7191">
      <w:pPr>
        <w:pStyle w:val="FootnoteText"/>
        <w:ind w:left="360" w:hanging="360"/>
        <w:rPr>
          <w:sz w:val="24"/>
          <w:szCs w:val="24"/>
        </w:rPr>
      </w:pPr>
      <w:r w:rsidRPr="0038571D">
        <w:rPr>
          <w:sz w:val="24"/>
          <w:szCs w:val="24"/>
        </w:rPr>
        <w:t>Coombs</w:t>
      </w:r>
      <w:r>
        <w:rPr>
          <w:sz w:val="24"/>
          <w:szCs w:val="24"/>
        </w:rPr>
        <w:t>, John C.</w:t>
      </w:r>
    </w:p>
    <w:p w:rsidR="000F7191" w:rsidRPr="00294880" w:rsidRDefault="000F7191" w:rsidP="000F7191">
      <w:pPr>
        <w:pStyle w:val="FootnoteText"/>
        <w:rPr>
          <w:sz w:val="24"/>
          <w:szCs w:val="24"/>
        </w:rPr>
      </w:pPr>
      <w:r>
        <w:rPr>
          <w:sz w:val="24"/>
          <w:szCs w:val="24"/>
        </w:rPr>
        <w:t>2011</w:t>
      </w:r>
      <w:r>
        <w:rPr>
          <w:sz w:val="24"/>
          <w:szCs w:val="24"/>
        </w:rPr>
        <w:tab/>
        <w:t xml:space="preserve">The Phases of Conversion: A New Chronology for the Rise of Slavery in Early Virginia.  </w:t>
      </w:r>
      <w:r w:rsidRPr="00294880">
        <w:rPr>
          <w:i/>
          <w:sz w:val="24"/>
          <w:szCs w:val="24"/>
        </w:rPr>
        <w:t>The William and Mary Quarterly</w:t>
      </w:r>
      <w:r w:rsidRPr="00294880">
        <w:rPr>
          <w:sz w:val="24"/>
          <w:szCs w:val="24"/>
        </w:rPr>
        <w:t xml:space="preserve"> 68(3):332-360.</w:t>
      </w:r>
    </w:p>
    <w:p w:rsidR="000F7191" w:rsidRPr="00294880" w:rsidRDefault="000F7191" w:rsidP="000F7191">
      <w:pPr>
        <w:pStyle w:val="FootnoteText"/>
        <w:ind w:left="360" w:hanging="360"/>
        <w:rPr>
          <w:sz w:val="24"/>
          <w:szCs w:val="24"/>
        </w:rPr>
      </w:pPr>
    </w:p>
    <w:p w:rsidR="000F7191" w:rsidRPr="00294880" w:rsidRDefault="000F7191" w:rsidP="000F7191">
      <w:pPr>
        <w:autoSpaceDE w:val="0"/>
        <w:autoSpaceDN w:val="0"/>
        <w:adjustRightInd w:val="0"/>
      </w:pPr>
      <w:r w:rsidRPr="00294880">
        <w:t>Cooper, J. I.</w:t>
      </w:r>
    </w:p>
    <w:p w:rsidR="000F7191" w:rsidRPr="00294880" w:rsidRDefault="000F7191" w:rsidP="000F7191">
      <w:pPr>
        <w:pStyle w:val="FootnoteText"/>
        <w:ind w:left="360" w:hanging="360"/>
        <w:rPr>
          <w:sz w:val="24"/>
          <w:szCs w:val="24"/>
        </w:rPr>
      </w:pPr>
      <w:r>
        <w:rPr>
          <w:sz w:val="24"/>
          <w:szCs w:val="24"/>
        </w:rPr>
        <w:t>1978</w:t>
      </w:r>
      <w:r>
        <w:rPr>
          <w:sz w:val="24"/>
          <w:szCs w:val="24"/>
        </w:rPr>
        <w:tab/>
      </w:r>
      <w:r w:rsidRPr="00294880">
        <w:rPr>
          <w:sz w:val="24"/>
          <w:szCs w:val="24"/>
        </w:rPr>
        <w:t xml:space="preserve">Lawrence Washington: A Neglected Older Brother. </w:t>
      </w:r>
      <w:r w:rsidRPr="00294880">
        <w:rPr>
          <w:i/>
          <w:iCs/>
          <w:sz w:val="24"/>
          <w:szCs w:val="24"/>
        </w:rPr>
        <w:t xml:space="preserve">History Today, </w:t>
      </w:r>
      <w:r w:rsidRPr="00294880">
        <w:rPr>
          <w:sz w:val="24"/>
          <w:szCs w:val="24"/>
        </w:rPr>
        <w:t>28(8):516-521.</w:t>
      </w:r>
    </w:p>
    <w:p w:rsidR="000F7191" w:rsidRPr="00294880" w:rsidRDefault="000F7191" w:rsidP="000F7191">
      <w:pPr>
        <w:pStyle w:val="FootnoteText"/>
        <w:ind w:left="360" w:hanging="360"/>
        <w:rPr>
          <w:sz w:val="24"/>
          <w:szCs w:val="24"/>
        </w:rPr>
      </w:pPr>
    </w:p>
    <w:p w:rsidR="000F7191" w:rsidRDefault="000F7191" w:rsidP="000F7191">
      <w:r>
        <w:t>Coulter, Calvin B.</w:t>
      </w:r>
    </w:p>
    <w:p w:rsidR="000F7191" w:rsidRDefault="000F7191" w:rsidP="000F7191">
      <w:r>
        <w:t>1945</w:t>
      </w:r>
      <w:r>
        <w:tab/>
        <w:t>The Impo</w:t>
      </w:r>
      <w:r w:rsidR="00434D4C">
        <w:t xml:space="preserve">rt Trade of Colonial Virginia. </w:t>
      </w:r>
      <w:r w:rsidRPr="002478D4">
        <w:rPr>
          <w:i/>
        </w:rPr>
        <w:t>The William and Mary Quarterly</w:t>
      </w:r>
      <w:r>
        <w:t xml:space="preserve"> 2(3):296-314.</w:t>
      </w:r>
    </w:p>
    <w:p w:rsidR="000F7191" w:rsidRDefault="000F7191" w:rsidP="000F7191"/>
    <w:p w:rsidR="000F7191" w:rsidRDefault="000F7191" w:rsidP="000F7191">
      <w:pPr>
        <w:pStyle w:val="FootnoteText"/>
        <w:ind w:left="360" w:hanging="360"/>
        <w:rPr>
          <w:sz w:val="24"/>
          <w:szCs w:val="24"/>
        </w:rPr>
      </w:pPr>
      <w:r>
        <w:rPr>
          <w:sz w:val="24"/>
          <w:szCs w:val="24"/>
        </w:rPr>
        <w:lastRenderedPageBreak/>
        <w:t>Cuddy, Thomas</w:t>
      </w:r>
    </w:p>
    <w:p w:rsidR="000F7191" w:rsidRDefault="000F7191" w:rsidP="000F7191">
      <w:pPr>
        <w:pStyle w:val="FootnoteText"/>
        <w:rPr>
          <w:sz w:val="24"/>
          <w:szCs w:val="24"/>
        </w:rPr>
      </w:pPr>
      <w:r>
        <w:rPr>
          <w:sz w:val="24"/>
          <w:szCs w:val="24"/>
        </w:rPr>
        <w:t>2008</w:t>
      </w:r>
      <w:r>
        <w:rPr>
          <w:sz w:val="24"/>
          <w:szCs w:val="24"/>
        </w:rPr>
        <w:tab/>
      </w:r>
      <w:r w:rsidRPr="001476DE">
        <w:rPr>
          <w:i/>
          <w:sz w:val="24"/>
          <w:szCs w:val="24"/>
        </w:rPr>
        <w:t>Revolutionary Economics: What Archaeology Reveals about the Birth of American Capitalism.</w:t>
      </w:r>
      <w:r w:rsidR="00434D4C">
        <w:rPr>
          <w:sz w:val="24"/>
          <w:szCs w:val="24"/>
        </w:rPr>
        <w:t xml:space="preserve"> </w:t>
      </w:r>
      <w:r>
        <w:rPr>
          <w:sz w:val="24"/>
          <w:szCs w:val="24"/>
        </w:rPr>
        <w:t>Alta Mira Press, Lanham, MD.</w:t>
      </w:r>
    </w:p>
    <w:p w:rsidR="000F7191" w:rsidRDefault="000F7191" w:rsidP="000F7191"/>
    <w:p w:rsidR="000F7191" w:rsidRDefault="000F7191" w:rsidP="000F7191">
      <w:pPr>
        <w:ind w:left="360" w:hanging="360"/>
      </w:pPr>
      <w:r>
        <w:t>DAACS</w:t>
      </w:r>
    </w:p>
    <w:p w:rsidR="000F7191" w:rsidRDefault="000F7191" w:rsidP="000F7191">
      <w:r>
        <w:t>2010</w:t>
      </w:r>
      <w:r>
        <w:tab/>
        <w:t>Arti</w:t>
      </w:r>
      <w:r w:rsidR="00434D4C">
        <w:t xml:space="preserve">fact Query 5, August 15, 2012. </w:t>
      </w:r>
      <w:r>
        <w:t xml:space="preserve">The Digital Archaeological Archive of Comparative Slavery. &lt;http://www.daacs.org/&gt;.  </w:t>
      </w:r>
    </w:p>
    <w:p w:rsidR="000F7191" w:rsidRDefault="000F7191" w:rsidP="000F7191"/>
    <w:p w:rsidR="000F7191" w:rsidRDefault="000F7191" w:rsidP="000F7191">
      <w:r>
        <w:t>2011</w:t>
      </w:r>
      <w:r>
        <w:tab/>
        <w:t>The Digital Archaeological Archive of Comparative Slavery.  The Thomas Jefferson Foundation, Mont</w:t>
      </w:r>
      <w:r w:rsidR="00434D4C">
        <w:t xml:space="preserve">icello, VA. &lt;www.daacs.org&gt;. </w:t>
      </w:r>
      <w:r>
        <w:t xml:space="preserve">Accessed 23 April 2013.  </w:t>
      </w:r>
    </w:p>
    <w:p w:rsidR="000F7191" w:rsidRDefault="000F7191" w:rsidP="000F7191"/>
    <w:p w:rsidR="000F7191" w:rsidRDefault="000F7191" w:rsidP="000F7191">
      <w:r>
        <w:t>2012a</w:t>
      </w:r>
      <w:r>
        <w:tab/>
        <w:t>Artif</w:t>
      </w:r>
      <w:r w:rsidR="00434D4C">
        <w:t xml:space="preserve">act Query 4, November 8, 2012. </w:t>
      </w:r>
      <w:r>
        <w:t xml:space="preserve">The Digital Archaeological Archive of Comparative Slavery. &lt;http://www.daacs.org/&gt;.  </w:t>
      </w:r>
    </w:p>
    <w:p w:rsidR="000F7191" w:rsidRDefault="000F7191" w:rsidP="000F7191"/>
    <w:p w:rsidR="000F7191" w:rsidRDefault="000F7191" w:rsidP="000F7191">
      <w:r>
        <w:t>2012b</w:t>
      </w:r>
      <w:r>
        <w:tab/>
        <w:t>Arti</w:t>
      </w:r>
      <w:r w:rsidR="00434D4C">
        <w:t xml:space="preserve">fact Query 5, August 15, 2012. </w:t>
      </w:r>
      <w:r>
        <w:t xml:space="preserve">The Digital Archaeological Archive of Comparative Slavery. &lt;http://www.daacs.org/&gt;. </w:t>
      </w:r>
    </w:p>
    <w:p w:rsidR="000F7191" w:rsidRDefault="000F7191" w:rsidP="000F7191">
      <w:pPr>
        <w:ind w:left="360" w:hanging="360"/>
      </w:pPr>
    </w:p>
    <w:p w:rsidR="000F7191" w:rsidRDefault="000F7191" w:rsidP="000F7191">
      <w:r>
        <w:t>2013a</w:t>
      </w:r>
      <w:r>
        <w:tab/>
        <w:t>C</w:t>
      </w:r>
      <w:r w:rsidR="00434D4C">
        <w:t xml:space="preserve">ontext Query 1, June 29, 2013. </w:t>
      </w:r>
      <w:r>
        <w:t xml:space="preserve">The Digital Archaeological </w:t>
      </w:r>
      <w:r w:rsidR="00434D4C">
        <w:t>Archive of Comparative Slavery.</w:t>
      </w:r>
      <w:r>
        <w:t xml:space="preserve"> &lt;http://www.daacs.org/&gt;.</w:t>
      </w:r>
    </w:p>
    <w:p w:rsidR="000F7191" w:rsidRDefault="000F7191" w:rsidP="000F7191">
      <w:pPr>
        <w:ind w:left="360" w:hanging="360"/>
      </w:pPr>
    </w:p>
    <w:p w:rsidR="000F7191" w:rsidRDefault="000F7191" w:rsidP="000F7191">
      <w:r>
        <w:t>2013b</w:t>
      </w:r>
      <w:r>
        <w:tab/>
        <w:t>Art</w:t>
      </w:r>
      <w:r w:rsidR="00434D4C">
        <w:t xml:space="preserve">ifact Query 5, March 10, 2013. </w:t>
      </w:r>
      <w:r>
        <w:t>The Digital Archaeological Arc</w:t>
      </w:r>
      <w:r w:rsidR="00434D4C">
        <w:t>hive of Comparative Slavery.</w:t>
      </w:r>
      <w:r>
        <w:t xml:space="preserve"> &lt;http://www.daacs.org/&gt;. </w:t>
      </w:r>
    </w:p>
    <w:p w:rsidR="000F7191" w:rsidRPr="00226893" w:rsidRDefault="000F7191" w:rsidP="000F7191">
      <w:pPr>
        <w:ind w:left="360" w:hanging="360"/>
      </w:pPr>
    </w:p>
    <w:p w:rsidR="000F7191" w:rsidRDefault="000F7191" w:rsidP="000F7191">
      <w:r>
        <w:t>2013c</w:t>
      </w:r>
      <w:r>
        <w:tab/>
        <w:t>Mean Cerami</w:t>
      </w:r>
      <w:r w:rsidR="00434D4C">
        <w:t xml:space="preserve">c Date Query 1, June 26, 2013. </w:t>
      </w:r>
      <w:r>
        <w:t xml:space="preserve">The Digital Archaeological </w:t>
      </w:r>
      <w:r w:rsidR="00434D4C">
        <w:t>Archive of Comparative Slavery.</w:t>
      </w:r>
      <w:r>
        <w:t xml:space="preserve"> &lt;http://www.daacs.org/&gt;. </w:t>
      </w:r>
    </w:p>
    <w:p w:rsidR="000F7191" w:rsidRDefault="000F7191" w:rsidP="000F7191"/>
    <w:p w:rsidR="000F7191" w:rsidRDefault="000F7191" w:rsidP="000F7191">
      <w:r>
        <w:t>2013d</w:t>
      </w:r>
      <w:r>
        <w:tab/>
        <w:t>Arti</w:t>
      </w:r>
      <w:r w:rsidR="00434D4C">
        <w:t xml:space="preserve">fact Query 5, August 27, 2013. </w:t>
      </w:r>
      <w:r>
        <w:t>The Digital Archaeological A</w:t>
      </w:r>
      <w:r w:rsidR="00434D4C">
        <w:t xml:space="preserve">rchive of Comparative Slavery. </w:t>
      </w:r>
      <w:r>
        <w:t>&lt;http://www.daacs.org/&gt;.</w:t>
      </w:r>
    </w:p>
    <w:p w:rsidR="000F7191" w:rsidRPr="007D3F76" w:rsidRDefault="000F7191" w:rsidP="000F7191"/>
    <w:p w:rsidR="000F7191" w:rsidRDefault="000F7191" w:rsidP="000F7191">
      <w:r>
        <w:t>2013e</w:t>
      </w:r>
      <w:r>
        <w:tab/>
        <w:t>Arti</w:t>
      </w:r>
      <w:r w:rsidR="00434D4C">
        <w:t xml:space="preserve">fact Query 5, January 7, 2013. </w:t>
      </w:r>
      <w:r>
        <w:t>The Digital Archaeological A</w:t>
      </w:r>
      <w:r w:rsidR="00434D4C">
        <w:t xml:space="preserve">rchive of Comparative Slavery. </w:t>
      </w:r>
      <w:r>
        <w:t>&lt;http://www.daacs.org/&gt;.</w:t>
      </w:r>
      <w:r>
        <w:tab/>
      </w:r>
    </w:p>
    <w:p w:rsidR="000F7191" w:rsidRDefault="000F7191" w:rsidP="000F7191">
      <w:pPr>
        <w:autoSpaceDE w:val="0"/>
        <w:autoSpaceDN w:val="0"/>
        <w:adjustRightInd w:val="0"/>
      </w:pPr>
    </w:p>
    <w:p w:rsidR="000F7191" w:rsidRPr="007B4232" w:rsidRDefault="000F7191" w:rsidP="000F7191">
      <w:r>
        <w:t>2013f</w:t>
      </w:r>
      <w:r>
        <w:tab/>
        <w:t>Arti</w:t>
      </w:r>
      <w:r w:rsidR="00434D4C">
        <w:t xml:space="preserve">fact Query 5, August 27, 2013. </w:t>
      </w:r>
      <w:r>
        <w:t>The Digital Archaeological A</w:t>
      </w:r>
      <w:r w:rsidR="00434D4C">
        <w:t xml:space="preserve">rchive of Comparative Slavery. </w:t>
      </w:r>
      <w:r>
        <w:t>&lt;http://www.daacs.org/&gt;.</w:t>
      </w:r>
    </w:p>
    <w:p w:rsidR="000F7191" w:rsidRDefault="000F7191" w:rsidP="000F7191">
      <w:pPr>
        <w:autoSpaceDE w:val="0"/>
        <w:autoSpaceDN w:val="0"/>
        <w:adjustRightInd w:val="0"/>
      </w:pPr>
    </w:p>
    <w:p w:rsidR="000F7191" w:rsidRPr="00226893" w:rsidRDefault="000F7191" w:rsidP="000F7191">
      <w:pPr>
        <w:autoSpaceDE w:val="0"/>
        <w:autoSpaceDN w:val="0"/>
        <w:adjustRightInd w:val="0"/>
      </w:pPr>
      <w:r w:rsidRPr="00226893">
        <w:t>Dalzell, Robert F. and Lee Baldwin Dalzell.</w:t>
      </w:r>
    </w:p>
    <w:p w:rsidR="000F7191" w:rsidRPr="00226893" w:rsidRDefault="000F7191" w:rsidP="000F7191">
      <w:pPr>
        <w:autoSpaceDE w:val="0"/>
        <w:autoSpaceDN w:val="0"/>
        <w:adjustRightInd w:val="0"/>
      </w:pPr>
      <w:r>
        <w:t>1998</w:t>
      </w:r>
      <w:r>
        <w:tab/>
      </w:r>
      <w:r w:rsidRPr="00226893">
        <w:rPr>
          <w:i/>
          <w:iCs/>
        </w:rPr>
        <w:t>George Washington’s Mount Vernon: At Home in Revolutionary America</w:t>
      </w:r>
      <w:r w:rsidRPr="00226893">
        <w:t>. Oxford</w:t>
      </w:r>
    </w:p>
    <w:p w:rsidR="000F7191" w:rsidRPr="00226893" w:rsidRDefault="000F7191" w:rsidP="000F7191">
      <w:r w:rsidRPr="00226893">
        <w:t>University Press, Oxford</w:t>
      </w:r>
      <w:r>
        <w:t>, UK</w:t>
      </w:r>
      <w:r w:rsidRPr="00226893">
        <w:t>.</w:t>
      </w:r>
    </w:p>
    <w:p w:rsidR="000F7191" w:rsidRDefault="000F7191" w:rsidP="000F7191">
      <w:pPr>
        <w:ind w:left="360" w:hanging="360"/>
      </w:pPr>
    </w:p>
    <w:p w:rsidR="000F7191" w:rsidRDefault="000F7191" w:rsidP="000F7191">
      <w:r>
        <w:t>Deagan, Kathleen A.</w:t>
      </w:r>
      <w:r>
        <w:br/>
        <w:t xml:space="preserve">2002    </w:t>
      </w:r>
      <w:r>
        <w:rPr>
          <w:rStyle w:val="Emphasis"/>
        </w:rPr>
        <w:t>Artifacts of the Spanish Colonies of Florida and the Caribbean, 1500-1800, Vol. 2, Portable Personal Possessions</w:t>
      </w:r>
      <w:r w:rsidR="00434D4C">
        <w:t>. </w:t>
      </w:r>
      <w:r>
        <w:t>Smithsonian Institution, Washington, DC.</w:t>
      </w:r>
    </w:p>
    <w:p w:rsidR="000F7191" w:rsidRDefault="000F7191" w:rsidP="000F7191">
      <w:pPr>
        <w:ind w:left="360" w:hanging="360"/>
      </w:pPr>
    </w:p>
    <w:p w:rsidR="000F7191" w:rsidRDefault="000F7191" w:rsidP="000F7191">
      <w:pPr>
        <w:ind w:left="360" w:hanging="360"/>
      </w:pPr>
      <w:r>
        <w:t>Deetz, James</w:t>
      </w:r>
    </w:p>
    <w:p w:rsidR="000F7191" w:rsidRDefault="000F7191" w:rsidP="000F7191">
      <w:r>
        <w:t>1977</w:t>
      </w:r>
      <w:r>
        <w:tab/>
      </w:r>
      <w:r w:rsidRPr="00B87242">
        <w:rPr>
          <w:i/>
        </w:rPr>
        <w:t>In Small Things Forgotten: The Archaeology of Early American Life</w:t>
      </w:r>
      <w:r w:rsidR="00434D4C">
        <w:t xml:space="preserve">. </w:t>
      </w:r>
      <w:r>
        <w:t>Doubleday, Garden City, NJ.</w:t>
      </w:r>
    </w:p>
    <w:p w:rsidR="000F7191" w:rsidRDefault="000F7191" w:rsidP="000F7191">
      <w:pPr>
        <w:rPr>
          <w:rFonts w:eastAsia="Calibri"/>
        </w:rPr>
      </w:pPr>
      <w:r>
        <w:rPr>
          <w:rFonts w:eastAsia="Calibri"/>
        </w:rPr>
        <w:lastRenderedPageBreak/>
        <w:t>Delle, James A., Stephen A. Mrozowski, Robert Paynter</w:t>
      </w:r>
    </w:p>
    <w:p w:rsidR="000F7191" w:rsidRDefault="000F7191" w:rsidP="000F7191">
      <w:pPr>
        <w:rPr>
          <w:rFonts w:eastAsia="Calibri"/>
        </w:rPr>
      </w:pPr>
      <w:r>
        <w:rPr>
          <w:rFonts w:eastAsia="Calibri"/>
        </w:rPr>
        <w:t>2000</w:t>
      </w:r>
      <w:r>
        <w:rPr>
          <w:rFonts w:eastAsia="Calibri"/>
        </w:rPr>
        <w:tab/>
      </w:r>
      <w:r w:rsidRPr="00F43B7D">
        <w:rPr>
          <w:rFonts w:eastAsia="Calibri"/>
          <w:i/>
        </w:rPr>
        <w:t>Lines that Divide: Historical Archaeologies of Race, Class, and Gender</w:t>
      </w:r>
      <w:r w:rsidR="00434D4C">
        <w:rPr>
          <w:rFonts w:eastAsia="Calibri"/>
        </w:rPr>
        <w:t xml:space="preserve">. </w:t>
      </w:r>
      <w:r>
        <w:rPr>
          <w:rFonts w:eastAsia="Calibri"/>
        </w:rPr>
        <w:t>The University of Tennessee Press, Knoxville.</w:t>
      </w:r>
    </w:p>
    <w:p w:rsidR="000F7191" w:rsidRDefault="000F7191" w:rsidP="000F7191">
      <w:pPr>
        <w:rPr>
          <w:rFonts w:eastAsia="Calibri"/>
        </w:rPr>
      </w:pPr>
    </w:p>
    <w:p w:rsidR="000F7191" w:rsidRDefault="000F7191" w:rsidP="000F7191">
      <w:r>
        <w:t xml:space="preserve">Demos, John </w:t>
      </w:r>
    </w:p>
    <w:p w:rsidR="000F7191" w:rsidRDefault="000F7191" w:rsidP="000F7191">
      <w:r>
        <w:t>2004</w:t>
      </w:r>
      <w:r>
        <w:tab/>
      </w:r>
      <w:r>
        <w:rPr>
          <w:i/>
          <w:iCs/>
        </w:rPr>
        <w:t>Circles and Lines: The Shape of Life in Early America</w:t>
      </w:r>
      <w:r w:rsidR="00434D4C">
        <w:t xml:space="preserve">. </w:t>
      </w:r>
      <w:r>
        <w:t>Harvard University Press, Cambridge, UK.</w:t>
      </w:r>
    </w:p>
    <w:p w:rsidR="0076173E" w:rsidRDefault="0076173E"/>
    <w:p w:rsidR="000F7191" w:rsidRDefault="000F7191" w:rsidP="000F7191">
      <w:r>
        <w:t>Detweiler, Susan G.</w:t>
      </w:r>
    </w:p>
    <w:p w:rsidR="000F7191" w:rsidRDefault="000F7191" w:rsidP="000F7191">
      <w:r>
        <w:t>1982</w:t>
      </w:r>
      <w:r>
        <w:tab/>
      </w:r>
      <w:r w:rsidRPr="00B14B3A">
        <w:rPr>
          <w:i/>
        </w:rPr>
        <w:t>George Washington’s Chinaware</w:t>
      </w:r>
      <w:r w:rsidR="00434D4C">
        <w:t xml:space="preserve">. </w:t>
      </w:r>
      <w:r>
        <w:t>Harry N. Abrams, Inc., New York, NY.</w:t>
      </w:r>
    </w:p>
    <w:p w:rsidR="000F7191" w:rsidRDefault="000F7191" w:rsidP="000F7191">
      <w:pPr>
        <w:rPr>
          <w:rFonts w:eastAsia="Calibri"/>
        </w:rPr>
      </w:pPr>
    </w:p>
    <w:p w:rsidR="000F7191" w:rsidRDefault="000F7191" w:rsidP="000F7191">
      <w:pPr>
        <w:rPr>
          <w:rFonts w:eastAsia="Calibri"/>
        </w:rPr>
      </w:pPr>
      <w:r>
        <w:t>Digital Encyclopedia of George Washington</w:t>
      </w:r>
      <w:r>
        <w:br/>
        <w:t>2012</w:t>
      </w:r>
      <w:r>
        <w:tab/>
        <w:t>Slave Clothing. Mount Vernon Ladies’ Association, Mount Vernon, VA.  &lt;</w:t>
      </w:r>
      <w:r w:rsidRPr="00DE0200">
        <w:t>http://www.mountvernon.org/educational-resources/encyclopedia/slave-clothing</w:t>
      </w:r>
      <w:r w:rsidR="00434D4C">
        <w:t xml:space="preserve">&gt;. </w:t>
      </w:r>
      <w:r>
        <w:t>Accessed 1 December 2012.</w:t>
      </w:r>
    </w:p>
    <w:p w:rsidR="000F7191" w:rsidRDefault="000F7191" w:rsidP="000F7191">
      <w:pPr>
        <w:rPr>
          <w:rFonts w:eastAsia="Calibri"/>
        </w:rPr>
      </w:pPr>
    </w:p>
    <w:p w:rsidR="000F7191" w:rsidRDefault="000F7191" w:rsidP="000F7191">
      <w:pPr>
        <w:rPr>
          <w:rFonts w:eastAsia="Calibri"/>
        </w:rPr>
      </w:pPr>
      <w:r>
        <w:rPr>
          <w:rFonts w:eastAsia="Calibri"/>
        </w:rPr>
        <w:t>Douglas, Mary and Baron Isherwood</w:t>
      </w:r>
    </w:p>
    <w:p w:rsidR="000F7191" w:rsidRDefault="000F7191" w:rsidP="000F7191">
      <w:r>
        <w:rPr>
          <w:rFonts w:eastAsia="Calibri"/>
        </w:rPr>
        <w:t xml:space="preserve">1979 </w:t>
      </w:r>
      <w:r>
        <w:rPr>
          <w:rFonts w:eastAsia="Calibri"/>
        </w:rPr>
        <w:tab/>
      </w:r>
      <w:r w:rsidRPr="008706BE">
        <w:rPr>
          <w:rFonts w:eastAsia="Calibri"/>
          <w:i/>
        </w:rPr>
        <w:t>The World of Goods: Towards Anthropology of Consumption</w:t>
      </w:r>
      <w:r w:rsidR="00434D4C">
        <w:rPr>
          <w:rFonts w:eastAsia="Calibri"/>
        </w:rPr>
        <w:t>. Basic Books, New York, NY.</w:t>
      </w:r>
      <w:r>
        <w:rPr>
          <w:rFonts w:eastAsia="Calibri"/>
        </w:rPr>
        <w:t xml:space="preserve"> Reprinted with a new introduction by Mary Douglas and Baron Isherwood 1996 by Routledge, London, UK</w:t>
      </w:r>
      <w:r>
        <w:t>.</w:t>
      </w:r>
    </w:p>
    <w:p w:rsidR="000F7191" w:rsidRDefault="000F7191" w:rsidP="000F7191"/>
    <w:p w:rsidR="000F7191" w:rsidRDefault="000F7191" w:rsidP="000F7191">
      <w:r>
        <w:t>Dutton, H.I. and S.R.H Jones</w:t>
      </w:r>
      <w:r>
        <w:br/>
        <w:t>1983</w:t>
      </w:r>
      <w:r>
        <w:tab/>
        <w:t xml:space="preserve">Invention and Innovation in the British Pin Industry, 1790-1850. </w:t>
      </w:r>
      <w:r w:rsidRPr="00B32825">
        <w:rPr>
          <w:i/>
        </w:rPr>
        <w:t xml:space="preserve">The Business History Review </w:t>
      </w:r>
      <w:r>
        <w:t>57(2):175-193.</w:t>
      </w:r>
    </w:p>
    <w:p w:rsidR="000F7191" w:rsidRDefault="000F7191" w:rsidP="000F7191"/>
    <w:p w:rsidR="000F7191" w:rsidRDefault="000F7191" w:rsidP="000F7191">
      <w:pPr>
        <w:rPr>
          <w:szCs w:val="22"/>
        </w:rPr>
      </w:pPr>
      <w:r>
        <w:rPr>
          <w:szCs w:val="22"/>
        </w:rPr>
        <w:t>Edwards-Ingram, Ywone</w:t>
      </w:r>
    </w:p>
    <w:p w:rsidR="000F7191" w:rsidRDefault="000F7191" w:rsidP="000F7191">
      <w:pPr>
        <w:rPr>
          <w:szCs w:val="22"/>
        </w:rPr>
      </w:pPr>
      <w:r>
        <w:rPr>
          <w:szCs w:val="22"/>
        </w:rPr>
        <w:t>2005</w:t>
      </w:r>
      <w:r>
        <w:rPr>
          <w:szCs w:val="22"/>
        </w:rPr>
        <w:tab/>
      </w:r>
      <w:r w:rsidRPr="002D47CA">
        <w:rPr>
          <w:i/>
          <w:szCs w:val="22"/>
        </w:rPr>
        <w:t>Medicating Slavery: Motherhood, Heath Care, and Cultural Practices in the African Diaspora</w:t>
      </w:r>
      <w:r w:rsidR="00434D4C">
        <w:rPr>
          <w:szCs w:val="22"/>
        </w:rPr>
        <w:t>.</w:t>
      </w:r>
      <w:r>
        <w:rPr>
          <w:szCs w:val="22"/>
        </w:rPr>
        <w:t xml:space="preserve"> </w:t>
      </w:r>
      <w:r>
        <w:t xml:space="preserve">Doctoral dissertation, </w:t>
      </w:r>
      <w:r>
        <w:rPr>
          <w:szCs w:val="22"/>
        </w:rPr>
        <w:t>Department of American Studies, College of Will</w:t>
      </w:r>
      <w:r w:rsidR="00434D4C">
        <w:rPr>
          <w:szCs w:val="22"/>
        </w:rPr>
        <w:t>iam and Mary, Williamsburg, VA.</w:t>
      </w:r>
      <w:r>
        <w:rPr>
          <w:szCs w:val="22"/>
        </w:rPr>
        <w:t xml:space="preserve"> </w:t>
      </w:r>
      <w:r>
        <w:t>University Microfilms International, Ann Arbor, MI.</w:t>
      </w:r>
    </w:p>
    <w:p w:rsidR="000F7191" w:rsidRDefault="000F7191" w:rsidP="000F7191">
      <w:pPr>
        <w:rPr>
          <w:szCs w:val="22"/>
        </w:rPr>
      </w:pPr>
    </w:p>
    <w:p w:rsidR="000F7191" w:rsidRPr="00DE0200" w:rsidRDefault="000F7191" w:rsidP="000F7191">
      <w:pPr>
        <w:pStyle w:val="FootnoteText"/>
        <w:rPr>
          <w:sz w:val="24"/>
          <w:szCs w:val="24"/>
        </w:rPr>
      </w:pPr>
      <w:r w:rsidRPr="00DE0200">
        <w:rPr>
          <w:sz w:val="24"/>
          <w:szCs w:val="24"/>
        </w:rPr>
        <w:t>Fales, Martha Gandy</w:t>
      </w:r>
      <w:r w:rsidRPr="00DE0200">
        <w:rPr>
          <w:sz w:val="24"/>
          <w:szCs w:val="24"/>
        </w:rPr>
        <w:br/>
        <w:t xml:space="preserve">1995    </w:t>
      </w:r>
      <w:r w:rsidRPr="00DE0200">
        <w:rPr>
          <w:rStyle w:val="Emphasis"/>
          <w:sz w:val="24"/>
          <w:szCs w:val="24"/>
        </w:rPr>
        <w:t>Jewelry in America, 1600-1900</w:t>
      </w:r>
      <w:r w:rsidR="00434D4C">
        <w:rPr>
          <w:sz w:val="24"/>
          <w:szCs w:val="24"/>
        </w:rPr>
        <w:t>. </w:t>
      </w:r>
      <w:r w:rsidRPr="00DE0200">
        <w:rPr>
          <w:sz w:val="24"/>
          <w:szCs w:val="24"/>
        </w:rPr>
        <w:t xml:space="preserve">Antique’s Collectors’ Club Ltd., Suffolk, </w:t>
      </w:r>
      <w:r>
        <w:rPr>
          <w:sz w:val="24"/>
          <w:szCs w:val="24"/>
        </w:rPr>
        <w:t>UK</w:t>
      </w:r>
      <w:r w:rsidRPr="00DE0200">
        <w:rPr>
          <w:sz w:val="24"/>
          <w:szCs w:val="24"/>
        </w:rPr>
        <w:t xml:space="preserve">.  </w:t>
      </w:r>
    </w:p>
    <w:p w:rsidR="000F7191" w:rsidRPr="00DE0200" w:rsidRDefault="000F7191" w:rsidP="000F7191">
      <w:pPr>
        <w:pStyle w:val="FootnoteText"/>
        <w:ind w:left="360" w:hanging="360"/>
        <w:rPr>
          <w:sz w:val="24"/>
          <w:szCs w:val="24"/>
        </w:rPr>
      </w:pPr>
    </w:p>
    <w:p w:rsidR="000F7191" w:rsidRPr="00DE0200" w:rsidRDefault="000F7191" w:rsidP="000F7191">
      <w:pPr>
        <w:pStyle w:val="FootnoteText"/>
        <w:ind w:left="360" w:hanging="360"/>
        <w:rPr>
          <w:sz w:val="24"/>
          <w:szCs w:val="24"/>
        </w:rPr>
      </w:pPr>
      <w:r w:rsidRPr="00DE0200">
        <w:rPr>
          <w:sz w:val="24"/>
          <w:szCs w:val="24"/>
        </w:rPr>
        <w:t>Farner, Richard L. and Barbara A. Farner</w:t>
      </w:r>
    </w:p>
    <w:p w:rsidR="000F7191" w:rsidRDefault="000F7191" w:rsidP="000F7191">
      <w:pPr>
        <w:pStyle w:val="FootnoteText"/>
        <w:rPr>
          <w:sz w:val="24"/>
          <w:szCs w:val="24"/>
        </w:rPr>
      </w:pPr>
      <w:r w:rsidRPr="00DE0200">
        <w:rPr>
          <w:sz w:val="24"/>
          <w:szCs w:val="24"/>
        </w:rPr>
        <w:t>2000</w:t>
      </w:r>
      <w:r w:rsidRPr="00DE0200">
        <w:rPr>
          <w:sz w:val="24"/>
          <w:szCs w:val="24"/>
        </w:rPr>
        <w:tab/>
        <w:t>Gunston Hall Plantation Probate Inventory Database Manual.  &lt;http</w:t>
      </w:r>
      <w:r w:rsidRPr="00AC5DCF">
        <w:rPr>
          <w:sz w:val="24"/>
          <w:szCs w:val="24"/>
        </w:rPr>
        <w:t>://www.gunstonhall.org/library/probate/manual.pdf</w:t>
      </w:r>
      <w:r w:rsidR="00434D4C">
        <w:rPr>
          <w:sz w:val="24"/>
          <w:szCs w:val="24"/>
        </w:rPr>
        <w:t xml:space="preserve">&gt;. </w:t>
      </w:r>
      <w:r>
        <w:rPr>
          <w:sz w:val="24"/>
          <w:szCs w:val="24"/>
        </w:rPr>
        <w:t>Accessed 23 April 2013.</w:t>
      </w:r>
    </w:p>
    <w:p w:rsidR="000F7191" w:rsidRDefault="000F7191" w:rsidP="000F7191">
      <w:pPr>
        <w:pStyle w:val="FootnoteText"/>
        <w:ind w:left="360" w:hanging="360"/>
        <w:rPr>
          <w:sz w:val="24"/>
          <w:szCs w:val="24"/>
        </w:rPr>
      </w:pPr>
    </w:p>
    <w:p w:rsidR="000F7191" w:rsidRPr="00251F62" w:rsidRDefault="000F7191" w:rsidP="000F7191">
      <w:pPr>
        <w:pStyle w:val="FootnoteText"/>
        <w:ind w:left="360" w:hanging="360"/>
        <w:rPr>
          <w:sz w:val="24"/>
          <w:szCs w:val="24"/>
        </w:rPr>
      </w:pPr>
      <w:r w:rsidRPr="00251F62">
        <w:rPr>
          <w:sz w:val="24"/>
          <w:szCs w:val="24"/>
        </w:rPr>
        <w:t>Fauber, J. Everette, Jr.</w:t>
      </w:r>
    </w:p>
    <w:p w:rsidR="000F7191" w:rsidRPr="00251F62" w:rsidRDefault="000F7191" w:rsidP="000F7191">
      <w:pPr>
        <w:pStyle w:val="FootnoteText"/>
        <w:rPr>
          <w:sz w:val="24"/>
          <w:szCs w:val="24"/>
        </w:rPr>
      </w:pPr>
      <w:r w:rsidRPr="00251F62">
        <w:rPr>
          <w:sz w:val="24"/>
          <w:szCs w:val="24"/>
        </w:rPr>
        <w:t>1980</w:t>
      </w:r>
      <w:r w:rsidRPr="00251F62">
        <w:rPr>
          <w:sz w:val="24"/>
          <w:szCs w:val="24"/>
        </w:rPr>
        <w:tab/>
        <w:t>The John Carlyle House, Alexandria, Virginia. Restoration Report for the Northern Virginia Regional Park Authority, from Fauber Garbee, Inc., Forest, VA.</w:t>
      </w:r>
    </w:p>
    <w:p w:rsidR="000F7191" w:rsidRPr="00226893" w:rsidRDefault="000F7191" w:rsidP="000F7191">
      <w:pPr>
        <w:pStyle w:val="FootnoteText"/>
        <w:ind w:left="360" w:hanging="360"/>
        <w:rPr>
          <w:sz w:val="24"/>
          <w:szCs w:val="24"/>
        </w:rPr>
      </w:pPr>
    </w:p>
    <w:p w:rsidR="000F7191" w:rsidRDefault="000F7191" w:rsidP="000F7191">
      <w:pPr>
        <w:autoSpaceDE w:val="0"/>
        <w:autoSpaceDN w:val="0"/>
        <w:adjustRightInd w:val="0"/>
      </w:pPr>
      <w:r>
        <w:t>Fitzpatrick, John C. (editor)</w:t>
      </w:r>
      <w:r>
        <w:br/>
        <w:t xml:space="preserve">1931    </w:t>
      </w:r>
      <w:r>
        <w:rPr>
          <w:rStyle w:val="Emphasis"/>
        </w:rPr>
        <w:t>The Writings of George Washington from the Original Manuscript Sources,</w:t>
      </w:r>
      <w:r>
        <w:t xml:space="preserve"> vol. 2. United States Government Printing Office, Washington, DC.</w:t>
      </w:r>
    </w:p>
    <w:p w:rsidR="000F7191" w:rsidRDefault="000F7191" w:rsidP="000F7191">
      <w:pPr>
        <w:autoSpaceDE w:val="0"/>
        <w:autoSpaceDN w:val="0"/>
        <w:adjustRightInd w:val="0"/>
      </w:pPr>
    </w:p>
    <w:p w:rsidR="00895732" w:rsidRDefault="00895732" w:rsidP="000F7191">
      <w:pPr>
        <w:autoSpaceDE w:val="0"/>
        <w:autoSpaceDN w:val="0"/>
        <w:adjustRightInd w:val="0"/>
      </w:pPr>
      <w:r>
        <w:lastRenderedPageBreak/>
        <w:t>1937</w:t>
      </w:r>
      <w:r>
        <w:tab/>
      </w:r>
      <w:r w:rsidRPr="00895732">
        <w:rPr>
          <w:i/>
        </w:rPr>
        <w:t xml:space="preserve">The Writings of George Washington from the Original Manuscript </w:t>
      </w:r>
      <w:r>
        <w:rPr>
          <w:i/>
        </w:rPr>
        <w:t xml:space="preserve">Sources, </w:t>
      </w:r>
      <w:r>
        <w:t>vol. 3. United States Government Printing Office, Washington, DC.</w:t>
      </w:r>
    </w:p>
    <w:p w:rsidR="00895732" w:rsidRDefault="00895732" w:rsidP="000F7191">
      <w:pPr>
        <w:autoSpaceDE w:val="0"/>
        <w:autoSpaceDN w:val="0"/>
        <w:adjustRightInd w:val="0"/>
      </w:pPr>
    </w:p>
    <w:p w:rsidR="000F7191" w:rsidRDefault="000F7191" w:rsidP="000F7191">
      <w:pPr>
        <w:autoSpaceDE w:val="0"/>
        <w:autoSpaceDN w:val="0"/>
        <w:adjustRightInd w:val="0"/>
      </w:pPr>
      <w:r>
        <w:t>Franklin, Maria</w:t>
      </w:r>
    </w:p>
    <w:p w:rsidR="000F7191" w:rsidRDefault="000F7191" w:rsidP="000F7191">
      <w:pPr>
        <w:autoSpaceDE w:val="0"/>
        <w:autoSpaceDN w:val="0"/>
        <w:adjustRightInd w:val="0"/>
      </w:pPr>
      <w:r>
        <w:t>2004</w:t>
      </w:r>
      <w:r>
        <w:tab/>
      </w:r>
      <w:r w:rsidRPr="00907063">
        <w:rPr>
          <w:i/>
        </w:rPr>
        <w:t>An Archaeological Study of the Rich Neck Slave Quarter and Enslaved Domestic Life</w:t>
      </w:r>
      <w:r>
        <w:t>.  Colonial Williamsburg Research Publications, Williamsburg, VA and Dietz Press, Richmond, VA.</w:t>
      </w:r>
    </w:p>
    <w:p w:rsidR="000F7191" w:rsidRDefault="000F7191" w:rsidP="000F7191">
      <w:pPr>
        <w:autoSpaceDE w:val="0"/>
        <w:autoSpaceDN w:val="0"/>
        <w:adjustRightInd w:val="0"/>
      </w:pPr>
    </w:p>
    <w:p w:rsidR="000F7191" w:rsidRDefault="007135EB" w:rsidP="000F7191">
      <w:r>
        <w:t>2007</w:t>
      </w:r>
      <w:r>
        <w:tab/>
        <w:t xml:space="preserve">Palace Lands: Background. </w:t>
      </w:r>
      <w:r w:rsidR="000F7191">
        <w:t>The Digital Archaeological Archive of Comparative Slavery.  &lt;</w:t>
      </w:r>
      <w:r w:rsidR="000F7191" w:rsidRPr="00083298">
        <w:t>http://www.daacs.org/resources/sites/background/</w:t>
      </w:r>
      <w:r w:rsidR="000F7191">
        <w:t>3</w:t>
      </w:r>
      <w:r w:rsidR="000F7191" w:rsidRPr="00083298">
        <w:t>4/</w:t>
      </w:r>
      <w:r>
        <w:t xml:space="preserve">&gt;. </w:t>
      </w:r>
      <w:r w:rsidR="000F7191">
        <w:t>Accessed 1 September 2013.</w:t>
      </w:r>
    </w:p>
    <w:p w:rsidR="0076173E" w:rsidRDefault="0076173E"/>
    <w:p w:rsidR="000F7191" w:rsidRPr="00226893" w:rsidRDefault="000F7191" w:rsidP="000F7191">
      <w:pPr>
        <w:autoSpaceDE w:val="0"/>
        <w:autoSpaceDN w:val="0"/>
        <w:adjustRightInd w:val="0"/>
      </w:pPr>
      <w:r w:rsidRPr="00226893">
        <w:t>Freeman, Douglas A.</w:t>
      </w:r>
    </w:p>
    <w:p w:rsidR="000F7191" w:rsidRPr="00226893" w:rsidRDefault="000F7191" w:rsidP="000F7191">
      <w:pPr>
        <w:autoSpaceDE w:val="0"/>
        <w:autoSpaceDN w:val="0"/>
        <w:adjustRightInd w:val="0"/>
      </w:pPr>
      <w:r>
        <w:t>1948</w:t>
      </w:r>
      <w:r>
        <w:tab/>
      </w:r>
      <w:r w:rsidRPr="00226893">
        <w:rPr>
          <w:i/>
          <w:iCs/>
        </w:rPr>
        <w:t>George Washington, A Biography: Volume 1, Young Washington</w:t>
      </w:r>
      <w:r w:rsidRPr="00226893">
        <w:t>. Charles Scribner’s Sons,</w:t>
      </w:r>
      <w:r>
        <w:t xml:space="preserve"> </w:t>
      </w:r>
      <w:r w:rsidRPr="00226893">
        <w:t>New York</w:t>
      </w:r>
      <w:r>
        <w:t>, NY</w:t>
      </w:r>
      <w:r w:rsidRPr="00226893">
        <w:t>.</w:t>
      </w:r>
    </w:p>
    <w:p w:rsidR="000F7191" w:rsidRPr="00226893" w:rsidRDefault="000F7191" w:rsidP="000F7191">
      <w:pPr>
        <w:pStyle w:val="FootnoteText"/>
        <w:ind w:left="360" w:hanging="360"/>
        <w:rPr>
          <w:sz w:val="24"/>
          <w:szCs w:val="24"/>
        </w:rPr>
      </w:pPr>
    </w:p>
    <w:p w:rsidR="000F7191" w:rsidRDefault="000F7191" w:rsidP="000F7191">
      <w:r>
        <w:t>Ford, Worthington Chauncey</w:t>
      </w:r>
    </w:p>
    <w:p w:rsidR="000F7191" w:rsidRDefault="000F7191" w:rsidP="000F7191">
      <w:r>
        <w:t>1900</w:t>
      </w:r>
      <w:r>
        <w:tab/>
      </w:r>
      <w:r w:rsidRPr="002478D4">
        <w:rPr>
          <w:i/>
        </w:rPr>
        <w:t>George Washington, Volume 1</w:t>
      </w:r>
      <w:r w:rsidR="007135EB">
        <w:t xml:space="preserve">. </w:t>
      </w:r>
      <w:r>
        <w:t>Charles Scribner’s Sons, New York.</w:t>
      </w:r>
    </w:p>
    <w:p w:rsidR="000F7191" w:rsidRDefault="000F7191" w:rsidP="000F7191"/>
    <w:p w:rsidR="000F7191" w:rsidRPr="00251F62" w:rsidRDefault="000F7191" w:rsidP="000F7191">
      <w:pPr>
        <w:pStyle w:val="FootnoteText"/>
        <w:ind w:left="360" w:hanging="360"/>
        <w:rPr>
          <w:sz w:val="24"/>
          <w:szCs w:val="24"/>
        </w:rPr>
      </w:pPr>
      <w:r w:rsidRPr="00251F62">
        <w:rPr>
          <w:sz w:val="24"/>
          <w:szCs w:val="24"/>
        </w:rPr>
        <w:t>Furgerson, Kathleen A., Varna G. Boyd, Thomas Cuddy, and Cassandra Michaud</w:t>
      </w:r>
    </w:p>
    <w:p w:rsidR="000F7191" w:rsidRPr="00251F62" w:rsidRDefault="000F7191" w:rsidP="000F7191">
      <w:pPr>
        <w:pStyle w:val="FootnoteText"/>
        <w:rPr>
          <w:sz w:val="24"/>
          <w:szCs w:val="24"/>
        </w:rPr>
      </w:pPr>
      <w:r w:rsidRPr="00251F62">
        <w:rPr>
          <w:sz w:val="24"/>
          <w:szCs w:val="24"/>
        </w:rPr>
        <w:t>2005</w:t>
      </w:r>
      <w:r w:rsidRPr="00251F62">
        <w:rPr>
          <w:sz w:val="24"/>
          <w:szCs w:val="24"/>
        </w:rPr>
        <w:tab/>
        <w:t>Phase III Archaeological Data Recovery Sites 18PR476, 18PR478, 18PR482, and 18PR496, Preserve at Piscataw</w:t>
      </w:r>
      <w:r w:rsidR="007135EB">
        <w:rPr>
          <w:sz w:val="24"/>
          <w:szCs w:val="24"/>
        </w:rPr>
        <w:t>ay, Prince George’s County, MD.</w:t>
      </w:r>
      <w:r w:rsidRPr="00251F62">
        <w:rPr>
          <w:sz w:val="24"/>
          <w:szCs w:val="24"/>
        </w:rPr>
        <w:t xml:space="preserve"> Report to Bailey’s Associates, L. P., Vienna, VA from URS Corporation, Gaithersburg, MD.</w:t>
      </w:r>
    </w:p>
    <w:p w:rsidR="000F7191" w:rsidRPr="00294880" w:rsidRDefault="000F7191" w:rsidP="000F7191">
      <w:pPr>
        <w:pStyle w:val="FootnoteText"/>
        <w:ind w:left="360" w:hanging="360"/>
        <w:rPr>
          <w:sz w:val="24"/>
          <w:szCs w:val="24"/>
        </w:rPr>
      </w:pPr>
    </w:p>
    <w:p w:rsidR="000F7191" w:rsidRPr="00294880" w:rsidRDefault="000F7191" w:rsidP="000F7191">
      <w:pPr>
        <w:autoSpaceDE w:val="0"/>
        <w:autoSpaceDN w:val="0"/>
        <w:adjustRightInd w:val="0"/>
      </w:pPr>
      <w:r w:rsidRPr="00294880">
        <w:t>Gaines, William H.</w:t>
      </w:r>
    </w:p>
    <w:p w:rsidR="000F7191" w:rsidRPr="00294880" w:rsidRDefault="000F7191" w:rsidP="000F7191">
      <w:pPr>
        <w:autoSpaceDE w:val="0"/>
        <w:autoSpaceDN w:val="0"/>
        <w:adjustRightInd w:val="0"/>
      </w:pPr>
      <w:r>
        <w:t>1955</w:t>
      </w:r>
      <w:r>
        <w:tab/>
      </w:r>
      <w:r w:rsidRPr="00294880">
        <w:t xml:space="preserve">To the Walls of Cartagena, or How ‘Mount Vernon’ Got its Name. </w:t>
      </w:r>
      <w:r w:rsidRPr="00294880">
        <w:rPr>
          <w:i/>
          <w:iCs/>
        </w:rPr>
        <w:t>Virginia Cavalcade</w:t>
      </w:r>
      <w:r w:rsidRPr="00294880">
        <w:t xml:space="preserve"> 5(3):4-7.</w:t>
      </w:r>
    </w:p>
    <w:p w:rsidR="000F7191" w:rsidRDefault="000F7191" w:rsidP="000F7191">
      <w:pPr>
        <w:pStyle w:val="FootnoteText"/>
        <w:ind w:left="360" w:hanging="360"/>
        <w:rPr>
          <w:rFonts w:ascii="Times-Roman" w:hAnsi="Times-Roman" w:cs="Times-Roman"/>
          <w:szCs w:val="24"/>
        </w:rPr>
      </w:pPr>
    </w:p>
    <w:p w:rsidR="000F7191" w:rsidRDefault="000F7191" w:rsidP="000F7191">
      <w:pPr>
        <w:pStyle w:val="FootnoteText"/>
        <w:ind w:left="360" w:hanging="360"/>
        <w:rPr>
          <w:sz w:val="24"/>
          <w:szCs w:val="24"/>
        </w:rPr>
      </w:pPr>
      <w:r>
        <w:rPr>
          <w:sz w:val="24"/>
          <w:szCs w:val="24"/>
        </w:rPr>
        <w:t>Galle, Jillian E.</w:t>
      </w:r>
    </w:p>
    <w:p w:rsidR="000F7191" w:rsidRDefault="000F7191" w:rsidP="000F7191">
      <w:pPr>
        <w:pStyle w:val="FootnoteText"/>
        <w:rPr>
          <w:sz w:val="24"/>
          <w:szCs w:val="24"/>
        </w:rPr>
      </w:pPr>
      <w:r>
        <w:rPr>
          <w:sz w:val="24"/>
          <w:szCs w:val="24"/>
        </w:rPr>
        <w:t>2006</w:t>
      </w:r>
      <w:r>
        <w:rPr>
          <w:sz w:val="24"/>
          <w:szCs w:val="24"/>
        </w:rPr>
        <w:tab/>
      </w:r>
      <w:r w:rsidRPr="00A14228">
        <w:rPr>
          <w:i/>
          <w:sz w:val="24"/>
          <w:szCs w:val="24"/>
        </w:rPr>
        <w:t>Strategic Consumption: Archaeological Evidence for Costly Signaling among Enslaved Men and Women in the Eighteenth-Century Chesapeake.</w:t>
      </w:r>
      <w:r w:rsidR="007135EB">
        <w:rPr>
          <w:sz w:val="24"/>
          <w:szCs w:val="24"/>
        </w:rPr>
        <w:t xml:space="preserve"> </w:t>
      </w:r>
      <w:r>
        <w:rPr>
          <w:sz w:val="24"/>
          <w:szCs w:val="24"/>
        </w:rPr>
        <w:t>Doctoral dissertation, Department of Anthropology, University</w:t>
      </w:r>
      <w:r w:rsidR="007135EB">
        <w:rPr>
          <w:sz w:val="24"/>
          <w:szCs w:val="24"/>
        </w:rPr>
        <w:t xml:space="preserve"> of Virginia, Charlottesville. </w:t>
      </w:r>
      <w:r>
        <w:rPr>
          <w:sz w:val="24"/>
          <w:szCs w:val="24"/>
        </w:rPr>
        <w:t>University Microfilms International, Ann Arbor, MI.</w:t>
      </w:r>
    </w:p>
    <w:p w:rsidR="000F7191" w:rsidRDefault="000F7191" w:rsidP="000F7191">
      <w:pPr>
        <w:pStyle w:val="FootnoteText"/>
        <w:rPr>
          <w:sz w:val="24"/>
          <w:szCs w:val="24"/>
        </w:rPr>
      </w:pPr>
    </w:p>
    <w:p w:rsidR="000F7191" w:rsidRDefault="000F7191" w:rsidP="000F7191">
      <w:pPr>
        <w:pStyle w:val="FootnoteText"/>
        <w:rPr>
          <w:sz w:val="24"/>
          <w:szCs w:val="24"/>
        </w:rPr>
      </w:pPr>
      <w:r>
        <w:rPr>
          <w:sz w:val="24"/>
          <w:szCs w:val="24"/>
        </w:rPr>
        <w:t>2010</w:t>
      </w:r>
      <w:r>
        <w:rPr>
          <w:sz w:val="24"/>
          <w:szCs w:val="24"/>
        </w:rPr>
        <w:tab/>
        <w:t xml:space="preserve">Costly Signaling and Gendered Social Strategies among Slaves in the Eighteenth-Century Chesapeake: An Archaeological Perspective. </w:t>
      </w:r>
      <w:r w:rsidRPr="00EB05EC">
        <w:rPr>
          <w:i/>
          <w:sz w:val="24"/>
          <w:szCs w:val="24"/>
        </w:rPr>
        <w:t>American Antiquity</w:t>
      </w:r>
      <w:r>
        <w:rPr>
          <w:sz w:val="24"/>
          <w:szCs w:val="24"/>
        </w:rPr>
        <w:t xml:space="preserve"> 75(1):19-43.</w:t>
      </w:r>
    </w:p>
    <w:p w:rsidR="000F7191" w:rsidRPr="00251F62" w:rsidRDefault="000F7191" w:rsidP="000F7191">
      <w:pPr>
        <w:pStyle w:val="FootnoteText"/>
        <w:ind w:left="360" w:hanging="360"/>
        <w:rPr>
          <w:sz w:val="24"/>
          <w:szCs w:val="24"/>
        </w:rPr>
      </w:pPr>
    </w:p>
    <w:p w:rsidR="000F7191" w:rsidRPr="00251F62" w:rsidRDefault="000F7191" w:rsidP="000F7191">
      <w:r w:rsidRPr="00251F62">
        <w:t>Gardner, William M., Kimberly A. Snyder, Gwen J. Hurst, and Tammy Bryant</w:t>
      </w:r>
    </w:p>
    <w:p w:rsidR="000F7191" w:rsidRPr="00251F62" w:rsidRDefault="000F7191" w:rsidP="000F7191">
      <w:r w:rsidRPr="00251F62">
        <w:t>1996</w:t>
      </w:r>
      <w:r w:rsidRPr="00251F62">
        <w:tab/>
        <w:t>Phase II and Phase III Archeological Investigations of 44FX885, Fairfax County, Virgi</w:t>
      </w:r>
      <w:r w:rsidR="007135EB">
        <w:t xml:space="preserve">nia (VDHR File No. 95-2142-F). </w:t>
      </w:r>
      <w:r w:rsidRPr="00251F62">
        <w:t>Report to Chambers Construction Company, Lorton, VA, from Thunderbird Archeological Associates, Inc., Woodstock, VA.</w:t>
      </w:r>
    </w:p>
    <w:p w:rsidR="000F7191" w:rsidRPr="00251F62" w:rsidRDefault="000F7191" w:rsidP="000F7191"/>
    <w:p w:rsidR="000F7191" w:rsidRPr="00251F62" w:rsidRDefault="000F7191" w:rsidP="000F7191">
      <w:r w:rsidRPr="00251F62">
        <w:t>Garrow, Patrick H. and Thomas R. Wheaton, Jr.</w:t>
      </w:r>
    </w:p>
    <w:p w:rsidR="000F7191" w:rsidRPr="00251F62" w:rsidRDefault="000F7191" w:rsidP="000F7191">
      <w:pPr>
        <w:pStyle w:val="FootnoteText"/>
        <w:rPr>
          <w:sz w:val="24"/>
          <w:szCs w:val="24"/>
        </w:rPr>
      </w:pPr>
      <w:r w:rsidRPr="00251F62">
        <w:rPr>
          <w:sz w:val="24"/>
          <w:szCs w:val="24"/>
        </w:rPr>
        <w:t>1986</w:t>
      </w:r>
      <w:r w:rsidRPr="00251F62">
        <w:rPr>
          <w:sz w:val="24"/>
          <w:szCs w:val="24"/>
        </w:rPr>
        <w:tab/>
        <w:t>Final Report, Oxon Hill Manor, Archaeological Site Mitigation Project, I-95/MD 210/I-295. Vols. 1 and 2. Report prepared for the Maryland Department of Transportation, by Garrow and Associates, Inc, Atlanta, GA.</w:t>
      </w:r>
    </w:p>
    <w:p w:rsidR="000F7191" w:rsidRPr="00251F62" w:rsidRDefault="000F7191" w:rsidP="000F7191"/>
    <w:p w:rsidR="00F573AA" w:rsidRDefault="00F573AA">
      <w:r>
        <w:br w:type="page"/>
      </w:r>
    </w:p>
    <w:p w:rsidR="000F7191" w:rsidRDefault="000F7191" w:rsidP="000F7191">
      <w:r>
        <w:lastRenderedPageBreak/>
        <w:t>Gazin-Schwarz, Amy</w:t>
      </w:r>
    </w:p>
    <w:p w:rsidR="000F7191" w:rsidRDefault="000F7191" w:rsidP="000F7191">
      <w:r>
        <w:t>2001</w:t>
      </w:r>
      <w:r>
        <w:tab/>
        <w:t>Archaeology and Folklore of Material Cultu</w:t>
      </w:r>
      <w:r w:rsidR="007135EB">
        <w:t xml:space="preserve">re, Ritual, and Everyday Life. </w:t>
      </w:r>
      <w:r w:rsidRPr="00E05451">
        <w:rPr>
          <w:i/>
        </w:rPr>
        <w:t>International Journal of Historical Archaeology</w:t>
      </w:r>
      <w:r>
        <w:t xml:space="preserve"> 5(4):263-280.</w:t>
      </w:r>
    </w:p>
    <w:p w:rsidR="000F7191" w:rsidRDefault="000F7191" w:rsidP="000F7191"/>
    <w:p w:rsidR="000F7191" w:rsidRDefault="000F7191" w:rsidP="000F7191">
      <w:r>
        <w:t>Glassie, Henry</w:t>
      </w:r>
    </w:p>
    <w:p w:rsidR="000F7191" w:rsidRDefault="000F7191" w:rsidP="000F7191">
      <w:r>
        <w:t>1975</w:t>
      </w:r>
      <w:r>
        <w:tab/>
      </w:r>
      <w:r w:rsidRPr="000E61D5">
        <w:rPr>
          <w:i/>
        </w:rPr>
        <w:t>Folk Housing in Middle Virginia: A Structural Analysis of Historic Artifacts</w:t>
      </w:r>
      <w:r w:rsidR="007135EB">
        <w:t xml:space="preserve">. </w:t>
      </w:r>
      <w:r>
        <w:t>University of Tennessee Press, Knoxville.</w:t>
      </w:r>
    </w:p>
    <w:p w:rsidR="000F7191" w:rsidRDefault="000F7191" w:rsidP="000F7191"/>
    <w:p w:rsidR="000F7191" w:rsidRDefault="000F7191" w:rsidP="000F7191">
      <w:pPr>
        <w:rPr>
          <w:rFonts w:eastAsia="Calibri"/>
          <w:i/>
        </w:rPr>
      </w:pPr>
      <w:r>
        <w:rPr>
          <w:rFonts w:eastAsia="Calibri"/>
        </w:rPr>
        <w:t>Gomez, Michael A.</w:t>
      </w:r>
      <w:r>
        <w:rPr>
          <w:rFonts w:eastAsia="Calibri"/>
          <w:i/>
        </w:rPr>
        <w:t xml:space="preserve"> </w:t>
      </w:r>
    </w:p>
    <w:p w:rsidR="000F7191" w:rsidRDefault="000F7191" w:rsidP="000F7191">
      <w:pPr>
        <w:rPr>
          <w:rFonts w:eastAsia="Calibri"/>
        </w:rPr>
      </w:pPr>
      <w:r>
        <w:rPr>
          <w:rFonts w:eastAsia="Calibri"/>
        </w:rPr>
        <w:t>1998</w:t>
      </w:r>
      <w:r>
        <w:rPr>
          <w:rFonts w:eastAsia="Calibri"/>
        </w:rPr>
        <w:tab/>
      </w:r>
      <w:r>
        <w:rPr>
          <w:rFonts w:eastAsia="Calibri"/>
          <w:i/>
        </w:rPr>
        <w:t>Exchanging Our Country Marks: The Transformation of African Identities in the Colonial and Antebellum South</w:t>
      </w:r>
      <w:r w:rsidR="007135EB">
        <w:rPr>
          <w:rFonts w:eastAsia="Calibri"/>
        </w:rPr>
        <w:t xml:space="preserve">. </w:t>
      </w:r>
      <w:r>
        <w:rPr>
          <w:rFonts w:eastAsia="Calibri"/>
        </w:rPr>
        <w:t xml:space="preserve">University of North Carolina Press, Chapel Hill.  </w:t>
      </w:r>
    </w:p>
    <w:p w:rsidR="000F7191" w:rsidRDefault="000F7191" w:rsidP="000F7191">
      <w:pPr>
        <w:rPr>
          <w:rFonts w:eastAsia="Calibri"/>
        </w:rPr>
      </w:pPr>
    </w:p>
    <w:p w:rsidR="000F7191" w:rsidRDefault="000F7191" w:rsidP="000F7191">
      <w:r>
        <w:t>Goodwin, Lorinda B. R.</w:t>
      </w:r>
    </w:p>
    <w:p w:rsidR="000F7191" w:rsidRDefault="000F7191" w:rsidP="000F7191">
      <w:r>
        <w:t>1999</w:t>
      </w:r>
      <w:r>
        <w:tab/>
      </w:r>
      <w:r>
        <w:rPr>
          <w:i/>
        </w:rPr>
        <w:t>An Archae</w:t>
      </w:r>
      <w:r w:rsidRPr="004119A3">
        <w:rPr>
          <w:i/>
        </w:rPr>
        <w:t xml:space="preserve">ology of Manners: The Polite World of the Merchant Elite of Colonial </w:t>
      </w:r>
      <w:smartTag w:uri="urn:schemas-microsoft-com:office:smarttags" w:element="place">
        <w:smartTag w:uri="urn:schemas-microsoft-com:office:smarttags" w:element="State">
          <w:r w:rsidRPr="004119A3">
            <w:rPr>
              <w:i/>
            </w:rPr>
            <w:t>Massachusetts</w:t>
          </w:r>
        </w:smartTag>
      </w:smartTag>
      <w:r w:rsidR="007135EB">
        <w:t xml:space="preserve">. </w:t>
      </w:r>
      <w:r>
        <w:t>Kluwer Academic/Plenum Publishers, New York, NY.</w:t>
      </w:r>
    </w:p>
    <w:p w:rsidR="000F7191" w:rsidRDefault="000F7191" w:rsidP="000F7191"/>
    <w:p w:rsidR="000F7191" w:rsidRDefault="000F7191" w:rsidP="000F7191">
      <w:r>
        <w:t>Graham, Willie, Carter L. Hudgins, Carl R. Lounsbury, Fraser D. Neiman, and James P. Whittenburg</w:t>
      </w:r>
    </w:p>
    <w:p w:rsidR="000F7191" w:rsidRDefault="000F7191" w:rsidP="000F7191">
      <w:r>
        <w:t>2007</w:t>
      </w:r>
      <w:r>
        <w:tab/>
        <w:t>Adaptation and Innovation: Archaeological and Architectural Perspectives on the Seventeenth-Century Chesapeake</w:t>
      </w:r>
      <w:r w:rsidR="007135EB">
        <w:t>.</w:t>
      </w:r>
      <w:r>
        <w:t xml:space="preserve"> </w:t>
      </w:r>
      <w:r w:rsidRPr="0033654A">
        <w:rPr>
          <w:i/>
        </w:rPr>
        <w:t>The William and Mary Quarterly</w:t>
      </w:r>
      <w:r>
        <w:t xml:space="preserve"> 64(3):451-522</w:t>
      </w:r>
    </w:p>
    <w:p w:rsidR="000F7191" w:rsidRPr="00B645D4" w:rsidRDefault="000F7191" w:rsidP="000F7191"/>
    <w:p w:rsidR="000F7191" w:rsidRPr="00B645D4" w:rsidRDefault="000F7191" w:rsidP="000F7191">
      <w:pPr>
        <w:autoSpaceDE w:val="0"/>
        <w:autoSpaceDN w:val="0"/>
        <w:adjustRightInd w:val="0"/>
      </w:pPr>
      <w:r w:rsidRPr="00B645D4">
        <w:t>Green, Chris</w:t>
      </w:r>
    </w:p>
    <w:p w:rsidR="000F7191" w:rsidRPr="00B645D4" w:rsidRDefault="000F7191" w:rsidP="000F7191">
      <w:r>
        <w:t>1999</w:t>
      </w:r>
      <w:r>
        <w:tab/>
      </w:r>
      <w:r w:rsidRPr="00B645D4">
        <w:rPr>
          <w:i/>
          <w:iCs/>
        </w:rPr>
        <w:t>John Dwight’s Fulham Pottery: Excavations 1971-79</w:t>
      </w:r>
      <w:r w:rsidRPr="00B645D4">
        <w:t>. English Heritage, London</w:t>
      </w:r>
      <w:r>
        <w:t>, UK</w:t>
      </w:r>
      <w:r w:rsidRPr="00B645D4">
        <w:t>.</w:t>
      </w:r>
    </w:p>
    <w:p w:rsidR="000F7191" w:rsidRPr="00B645D4" w:rsidRDefault="000F7191" w:rsidP="000F7191"/>
    <w:p w:rsidR="000F7191" w:rsidRDefault="000F7191" w:rsidP="000F7191">
      <w:r>
        <w:t xml:space="preserve">Greene, Jack P. </w:t>
      </w:r>
    </w:p>
    <w:p w:rsidR="000F7191" w:rsidRDefault="000F7191" w:rsidP="000F7191">
      <w:r>
        <w:t>1988</w:t>
      </w:r>
      <w:r>
        <w:tab/>
      </w:r>
      <w:r>
        <w:rPr>
          <w:i/>
          <w:iCs/>
        </w:rPr>
        <w:t>Pursuits of Happiness: The Social Development of Early Modern British Colonies and the Formation of American</w:t>
      </w:r>
      <w:r w:rsidRPr="003F16C5">
        <w:rPr>
          <w:i/>
          <w:iCs/>
        </w:rPr>
        <w:t xml:space="preserve"> Culture</w:t>
      </w:r>
      <w:r w:rsidR="007135EB">
        <w:rPr>
          <w:iCs/>
        </w:rPr>
        <w:t xml:space="preserve">. </w:t>
      </w:r>
      <w:r>
        <w:t xml:space="preserve">University of North Carolina Press, </w:t>
      </w:r>
      <w:r w:rsidRPr="003F16C5">
        <w:t>Chapel</w:t>
      </w:r>
      <w:r>
        <w:t xml:space="preserve"> Hill.</w:t>
      </w:r>
    </w:p>
    <w:p w:rsidR="000F7191" w:rsidRDefault="000F7191" w:rsidP="000F7191"/>
    <w:p w:rsidR="000F7191" w:rsidRDefault="000F7191" w:rsidP="000F7191">
      <w:r>
        <w:t>Griffenhagan, George B. and James Harvey Young</w:t>
      </w:r>
    </w:p>
    <w:p w:rsidR="000F7191" w:rsidRDefault="000F7191" w:rsidP="000F7191">
      <w:r>
        <w:t>1992</w:t>
      </w:r>
      <w:r>
        <w:tab/>
        <w:t>Old Englis</w:t>
      </w:r>
      <w:r w:rsidR="007135EB">
        <w:t xml:space="preserve">h Patent Medicines in America. </w:t>
      </w:r>
      <w:r w:rsidRPr="00970014">
        <w:rPr>
          <w:i/>
        </w:rPr>
        <w:t>Pharmacy in Histor</w:t>
      </w:r>
      <w:r>
        <w:rPr>
          <w:i/>
        </w:rPr>
        <w:t>y</w:t>
      </w:r>
      <w:r>
        <w:t xml:space="preserve"> 34(4):199-229.</w:t>
      </w:r>
    </w:p>
    <w:p w:rsidR="000F7191" w:rsidRDefault="000F7191" w:rsidP="000F7191"/>
    <w:p w:rsidR="000F7191" w:rsidRDefault="000F7191" w:rsidP="000F7191">
      <w:r>
        <w:t>Grillo, Kate and Jennifer Aultman</w:t>
      </w:r>
    </w:p>
    <w:p w:rsidR="000F7191" w:rsidRDefault="000F7191" w:rsidP="000F7191">
      <w:r>
        <w:t>2003</w:t>
      </w:r>
      <w:r>
        <w:tab/>
        <w:t>DA</w:t>
      </w:r>
      <w:r w:rsidR="007135EB">
        <w:t xml:space="preserve">ACS Cataloguing Manual: Beads. </w:t>
      </w:r>
      <w:r>
        <w:t>The Digital Archaeological Archive of Comparative Slavery.  &lt;</w:t>
      </w:r>
      <w:r w:rsidRPr="006C1DD6">
        <w:t>http://www.daacs.org/wp-content/uploads/beads.pdf</w:t>
      </w:r>
      <w:r w:rsidR="007135EB">
        <w:t xml:space="preserve">&gt;. </w:t>
      </w:r>
      <w:r>
        <w:t>Accessed 9 July 2013.</w:t>
      </w:r>
    </w:p>
    <w:p w:rsidR="000F7191" w:rsidRDefault="000F7191" w:rsidP="000F7191"/>
    <w:p w:rsidR="000F7191" w:rsidRDefault="000F7191" w:rsidP="000F7191">
      <w:r>
        <w:t>Grillo, Kate, Jennifer Aultman, and Nick Bon-Harper</w:t>
      </w:r>
    </w:p>
    <w:p w:rsidR="000F7191" w:rsidRDefault="000F7191" w:rsidP="000F7191">
      <w:r>
        <w:t>2003</w:t>
      </w:r>
      <w:r>
        <w:tab/>
        <w:t>DAA</w:t>
      </w:r>
      <w:r w:rsidR="007135EB">
        <w:t>CS Cataloguing Manual: Buckles.</w:t>
      </w:r>
      <w:r>
        <w:t xml:space="preserve"> The Digital Archaeological Archive of Comparative Slavery. &lt;</w:t>
      </w:r>
      <w:r w:rsidRPr="006C1DD6">
        <w:t>http://www.daacs.org/wp-content/uploads</w:t>
      </w:r>
      <w:r>
        <w:t>/buckle</w:t>
      </w:r>
      <w:r w:rsidRPr="006C1DD6">
        <w:t>s.pdf</w:t>
      </w:r>
      <w:r w:rsidR="007135EB">
        <w:t xml:space="preserve">&gt;. </w:t>
      </w:r>
      <w:r>
        <w:t>Accessed 1 September 2013.</w:t>
      </w:r>
    </w:p>
    <w:p w:rsidR="000F7191" w:rsidRDefault="000F7191" w:rsidP="000F7191"/>
    <w:p w:rsidR="000F7191" w:rsidRDefault="000F7191" w:rsidP="000F7191">
      <w:r>
        <w:t>Groover, Mark D. and Timothy E. Baumann</w:t>
      </w:r>
    </w:p>
    <w:p w:rsidR="000F7191" w:rsidRDefault="000F7191" w:rsidP="000F7191">
      <w:r>
        <w:t>1996</w:t>
      </w:r>
      <w:r>
        <w:tab/>
        <w:t>“They Worked their own Remedy:” Medicine</w:t>
      </w:r>
      <w:r w:rsidR="007135EB">
        <w:t xml:space="preserve"> and the Archaeological Record.</w:t>
      </w:r>
      <w:r>
        <w:t xml:space="preserve"> </w:t>
      </w:r>
      <w:r w:rsidRPr="002D47CA">
        <w:rPr>
          <w:i/>
        </w:rPr>
        <w:t xml:space="preserve">South Carolina Antiques </w:t>
      </w:r>
      <w:r>
        <w:t>28(1 and 2):21-32.</w:t>
      </w:r>
    </w:p>
    <w:p w:rsidR="000F7191" w:rsidRDefault="000F7191" w:rsidP="000F7191"/>
    <w:p w:rsidR="00F573AA" w:rsidRDefault="00F573AA">
      <w:r>
        <w:br w:type="page"/>
      </w:r>
    </w:p>
    <w:p w:rsidR="000F7191" w:rsidRDefault="000F7191" w:rsidP="000F7191">
      <w:r>
        <w:lastRenderedPageBreak/>
        <w:t>Hackett, John Francis, revised by Harry G. Heiss and Mary A. Lacy</w:t>
      </w:r>
    </w:p>
    <w:p w:rsidR="000F7191" w:rsidRPr="003E5951" w:rsidRDefault="000F7191" w:rsidP="000F7191">
      <w:r>
        <w:t>2000</w:t>
      </w:r>
      <w:r>
        <w:tab/>
        <w:t>John Glassford and Company: A Register of Its Recor</w:t>
      </w:r>
      <w:r w:rsidR="007135EB">
        <w:t xml:space="preserve">ds in the Library of Congress. </w:t>
      </w:r>
      <w:r>
        <w:t>Finding Aid prepared by Manuscript Division, Library of Congress, Washington, DC &lt;</w:t>
      </w:r>
      <w:r w:rsidRPr="003E5951">
        <w:t xml:space="preserve"> http://lcweb2.loc.gov/service/mss/eadxmlmss/eadpdfmss/1998/ms998016.pdf</w:t>
      </w:r>
      <w:r w:rsidR="007135EB">
        <w:t xml:space="preserve">&gt;. </w:t>
      </w:r>
      <w:r>
        <w:t>Accessed 23 April 2013.</w:t>
      </w:r>
    </w:p>
    <w:p w:rsidR="000F7191" w:rsidRDefault="000F7191" w:rsidP="000F7191"/>
    <w:p w:rsidR="000F7191" w:rsidRDefault="000F7191" w:rsidP="000F7191">
      <w:r>
        <w:t>Hall, David D.</w:t>
      </w:r>
      <w:r>
        <w:br/>
        <w:t xml:space="preserve">1994    Books and Reading </w:t>
      </w:r>
      <w:r w:rsidR="007135EB">
        <w:t>in Eighteenth-Century America. </w:t>
      </w:r>
      <w:r>
        <w:t xml:space="preserve">In </w:t>
      </w:r>
      <w:r>
        <w:rPr>
          <w:rStyle w:val="Emphasis"/>
        </w:rPr>
        <w:t>Of Consuming Interests: The Style of Life in the Eighteenth Century,</w:t>
      </w:r>
      <w:r>
        <w:t xml:space="preserve"> Peter J. Albert, Cary Carson, and Ronald </w:t>
      </w:r>
      <w:r w:rsidR="007135EB">
        <w:t>Hoffman, editors, pp. 354-372. </w:t>
      </w:r>
      <w:r>
        <w:t>The University Press of Virginia, Charlottesville.</w:t>
      </w:r>
    </w:p>
    <w:p w:rsidR="0076173E" w:rsidRDefault="0076173E"/>
    <w:p w:rsidR="000F7191" w:rsidRDefault="000F7191" w:rsidP="000F7191">
      <w:r>
        <w:t>Hamrick, Charles and Virginia Hamrick</w:t>
      </w:r>
    </w:p>
    <w:p w:rsidR="000F7191" w:rsidRDefault="000F7191" w:rsidP="000F7191">
      <w:r>
        <w:t>1999</w:t>
      </w:r>
      <w:r>
        <w:tab/>
      </w:r>
      <w:r w:rsidRPr="00E63479">
        <w:rPr>
          <w:i/>
        </w:rPr>
        <w:t>Virginia Merchants: Alexander Henderson, Factor for John Glassford at this Colchester Store (Fairfax County, VA), His Letterbook of 1758-1766.</w:t>
      </w:r>
      <w:r w:rsidR="007135EB">
        <w:t xml:space="preserve"> </w:t>
      </w:r>
      <w:r>
        <w:t>Iberian Publishing Company, Athens, GA.</w:t>
      </w:r>
    </w:p>
    <w:p w:rsidR="000F7191" w:rsidRDefault="000F7191" w:rsidP="000F7191"/>
    <w:p w:rsidR="000F7191" w:rsidRDefault="000F7191" w:rsidP="000F7191">
      <w:r>
        <w:t>2004</w:t>
      </w:r>
      <w:r>
        <w:tab/>
      </w:r>
      <w:r w:rsidRPr="00394774">
        <w:rPr>
          <w:i/>
        </w:rPr>
        <w:t>Virginia Merchants: Alexander Smith &amp; Son, Alexandria County, Virginia: His Letter Book of 1803-1822</w:t>
      </w:r>
      <w:r w:rsidR="007135EB">
        <w:t xml:space="preserve">. </w:t>
      </w:r>
      <w:r>
        <w:t xml:space="preserve">New Papyrus Publishing, Athens, GA.  </w:t>
      </w:r>
    </w:p>
    <w:p w:rsidR="000F7191" w:rsidRDefault="000F7191" w:rsidP="000F7191"/>
    <w:p w:rsidR="000F7191" w:rsidRDefault="000F7191" w:rsidP="000F7191">
      <w:r>
        <w:t>2007</w:t>
      </w:r>
      <w:r>
        <w:tab/>
      </w:r>
      <w:r w:rsidRPr="00E63479">
        <w:rPr>
          <w:i/>
        </w:rPr>
        <w:t>Colonial Supermarket: Daniel Payne’s Ledger for his Store at Dumfries in Prince William County, Virginia for the Years 1758-1764, a Transcript.</w:t>
      </w:r>
      <w:r w:rsidR="007135EB">
        <w:t xml:space="preserve"> </w:t>
      </w:r>
      <w:r>
        <w:t>New Papyrus Publishing, Athens, GA.</w:t>
      </w:r>
    </w:p>
    <w:p w:rsidR="000F7191" w:rsidRDefault="000F7191" w:rsidP="000F7191"/>
    <w:p w:rsidR="000F7191" w:rsidRDefault="000F7191" w:rsidP="000F7191">
      <w:r>
        <w:t>2011</w:t>
      </w:r>
      <w:r>
        <w:tab/>
      </w:r>
      <w:r w:rsidRPr="00394774">
        <w:rPr>
          <w:i/>
        </w:rPr>
        <w:t>Virginia Merchants: William Hodgson of Alexandria, His Daybook for 1800-1803: A Transcript Based on the Original Daybook</w:t>
      </w:r>
      <w:r w:rsidR="007135EB">
        <w:t xml:space="preserve">. </w:t>
      </w:r>
      <w:r>
        <w:t xml:space="preserve">Iberian Publishing Company, Athens, GA.  </w:t>
      </w:r>
    </w:p>
    <w:p w:rsidR="000F7191" w:rsidRDefault="000F7191" w:rsidP="000F7191"/>
    <w:p w:rsidR="000F7191" w:rsidRDefault="000F7191" w:rsidP="000F7191">
      <w:r>
        <w:t>Hancock, David</w:t>
      </w:r>
    </w:p>
    <w:p w:rsidR="000F7191" w:rsidRDefault="000F7191" w:rsidP="000F7191">
      <w:r>
        <w:t>2009</w:t>
      </w:r>
      <w:r>
        <w:tab/>
      </w:r>
      <w:r w:rsidRPr="00027D28">
        <w:rPr>
          <w:i/>
        </w:rPr>
        <w:t>Oceans of Wine: Madeira and the Emergence of America Trade and Taste</w:t>
      </w:r>
      <w:r w:rsidR="007135EB">
        <w:t xml:space="preserve">. </w:t>
      </w:r>
      <w:r>
        <w:t>Yale University Press, New Haven, CT.</w:t>
      </w:r>
    </w:p>
    <w:p w:rsidR="000F7191" w:rsidRDefault="000F7191" w:rsidP="000F7191"/>
    <w:p w:rsidR="000F7191" w:rsidRDefault="000F7191" w:rsidP="000F7191">
      <w:r>
        <w:t>Handler, Jerome</w:t>
      </w:r>
    </w:p>
    <w:p w:rsidR="000F7191" w:rsidRDefault="000F7191" w:rsidP="000F7191">
      <w:r>
        <w:t>1994</w:t>
      </w:r>
      <w:r>
        <w:tab/>
        <w:t>Determining African Birth from Skeletal Remain</w:t>
      </w:r>
      <w:r w:rsidR="007135EB">
        <w:t xml:space="preserve">s: A Note on Tooth Mutilation. </w:t>
      </w:r>
      <w:r w:rsidRPr="00A34163">
        <w:rPr>
          <w:i/>
        </w:rPr>
        <w:t>Historical Archaeology</w:t>
      </w:r>
      <w:r>
        <w:t xml:space="preserve"> 28(3):113-119.</w:t>
      </w:r>
    </w:p>
    <w:p w:rsidR="000F7191" w:rsidRDefault="000F7191" w:rsidP="000F7191"/>
    <w:p w:rsidR="000F7191" w:rsidRDefault="000F7191" w:rsidP="000F7191">
      <w:r>
        <w:t>Hanson, James A.</w:t>
      </w:r>
      <w:r>
        <w:br/>
        <w:t>2001</w:t>
      </w:r>
      <w:r>
        <w:tab/>
        <w:t xml:space="preserve">Shot Sizes – What do they mean? </w:t>
      </w:r>
      <w:r w:rsidRPr="002F4283">
        <w:rPr>
          <w:i/>
        </w:rPr>
        <w:t>Quarterly – The Museum of the Fur Trade</w:t>
      </w:r>
      <w:r>
        <w:t xml:space="preserve"> 2001:7-13.</w:t>
      </w:r>
    </w:p>
    <w:p w:rsidR="000F7191" w:rsidRDefault="000F7191" w:rsidP="000F7191"/>
    <w:p w:rsidR="000F7191" w:rsidRDefault="000F7191" w:rsidP="000F7191">
      <w:r>
        <w:t>Hardin, John and Gersham Keyes</w:t>
      </w:r>
    </w:p>
    <w:p w:rsidR="000F7191" w:rsidRDefault="000F7191" w:rsidP="000F7191">
      <w:r>
        <w:t>1752</w:t>
      </w:r>
      <w:r>
        <w:tab/>
      </w:r>
      <w:r w:rsidRPr="002D303A">
        <w:t>Inventory of Lawrence Washington Esq. Estate in Frederick County, December 23. Historical Manuscript Collection, Mount Vernon Ladies' Association, Mount Vernon, VA.</w:t>
      </w:r>
    </w:p>
    <w:p w:rsidR="000F7191" w:rsidRDefault="000F7191" w:rsidP="000F7191"/>
    <w:p w:rsidR="000F7191" w:rsidRDefault="000F7191" w:rsidP="000F7191">
      <w:r>
        <w:t>Harris, Sarah</w:t>
      </w:r>
    </w:p>
    <w:p w:rsidR="000F7191" w:rsidRDefault="000F7191" w:rsidP="000F7191">
      <w:r>
        <w:t>2012</w:t>
      </w:r>
      <w:r>
        <w:tab/>
        <w:t xml:space="preserve">The Sight of Roadkill Makes a Pretty, Data-Rich Picture.  </w:t>
      </w:r>
      <w:r w:rsidRPr="00EE260B">
        <w:rPr>
          <w:i/>
        </w:rPr>
        <w:t>All Things Considered</w:t>
      </w:r>
      <w:r>
        <w:t>, National Public R</w:t>
      </w:r>
      <w:r w:rsidR="007135EB">
        <w:t>adio, December 1.</w:t>
      </w:r>
      <w:r>
        <w:t xml:space="preserve"> &lt;</w:t>
      </w:r>
      <w:r w:rsidRPr="00EE260B">
        <w:t>http://www.npr.org/blogs/alltechconsidered/2012/12/02/166320907/the-sight-of-road-kill-makes-a-pretty-data-rich-picture</w:t>
      </w:r>
      <w:r w:rsidR="007135EB">
        <w:t xml:space="preserve">&gt;. </w:t>
      </w:r>
      <w:r>
        <w:t>Accessed 4 July 2013.</w:t>
      </w:r>
    </w:p>
    <w:p w:rsidR="000F7191" w:rsidRDefault="000F7191" w:rsidP="000F7191">
      <w:r>
        <w:lastRenderedPageBreak/>
        <w:t>Hartzler, David D.</w:t>
      </w:r>
      <w:r>
        <w:br/>
        <w:t xml:space="preserve">2000    </w:t>
      </w:r>
      <w:r>
        <w:rPr>
          <w:rStyle w:val="Emphasis"/>
        </w:rPr>
        <w:t>Silver Mounted Swords: The Lattimer Family Collection featuring Silver Hilts through the Golden Age</w:t>
      </w:r>
      <w:r w:rsidR="007135EB">
        <w:t>, vol. 1.</w:t>
      </w:r>
      <w:r>
        <w:t xml:space="preserve"> Josten’s Printing Company, State College, PA.</w:t>
      </w:r>
    </w:p>
    <w:p w:rsidR="000F7191" w:rsidRPr="00101687" w:rsidRDefault="000F7191" w:rsidP="000F7191"/>
    <w:p w:rsidR="000F7191" w:rsidRPr="00101687" w:rsidRDefault="000F7191" w:rsidP="000F7191">
      <w:pPr>
        <w:autoSpaceDE w:val="0"/>
        <w:autoSpaceDN w:val="0"/>
        <w:adjustRightInd w:val="0"/>
      </w:pPr>
      <w:r w:rsidRPr="00101687">
        <w:t>Harvey, Karen</w:t>
      </w:r>
    </w:p>
    <w:p w:rsidR="000F7191" w:rsidRPr="0054105E" w:rsidRDefault="000F7191" w:rsidP="000F7191">
      <w:pPr>
        <w:autoSpaceDE w:val="0"/>
        <w:autoSpaceDN w:val="0"/>
        <w:adjustRightInd w:val="0"/>
        <w:rPr>
          <w:i/>
          <w:iCs/>
        </w:rPr>
      </w:pPr>
      <w:r>
        <w:t>2008</w:t>
      </w:r>
      <w:r>
        <w:tab/>
      </w:r>
      <w:r w:rsidRPr="00101687">
        <w:t>Barbarity in a Teacup? Punch, Domesticity and Ge</w:t>
      </w:r>
      <w:r w:rsidR="007135EB">
        <w:t xml:space="preserve">nder in the Eighteenth Century. </w:t>
      </w:r>
      <w:r w:rsidRPr="00101687">
        <w:rPr>
          <w:i/>
          <w:iCs/>
        </w:rPr>
        <w:t>Journal</w:t>
      </w:r>
      <w:r>
        <w:rPr>
          <w:i/>
          <w:iCs/>
        </w:rPr>
        <w:t xml:space="preserve"> </w:t>
      </w:r>
      <w:r w:rsidRPr="00101687">
        <w:rPr>
          <w:i/>
          <w:iCs/>
        </w:rPr>
        <w:t xml:space="preserve">of Design History </w:t>
      </w:r>
      <w:r w:rsidRPr="00101687">
        <w:t>21(3):205-221.</w:t>
      </w:r>
    </w:p>
    <w:p w:rsidR="0076173E" w:rsidRDefault="0076173E"/>
    <w:p w:rsidR="000F7191" w:rsidRDefault="000F7191" w:rsidP="000F7191">
      <w:r>
        <w:t>Hatch, Danny Brad</w:t>
      </w:r>
    </w:p>
    <w:p w:rsidR="000F7191" w:rsidRDefault="000F7191" w:rsidP="000F7191">
      <w:r>
        <w:t>2009</w:t>
      </w:r>
      <w:r>
        <w:tab/>
        <w:t>Bottomless Pits: The Decline of Subfloor Pits and the Rise of African Ame</w:t>
      </w:r>
      <w:r w:rsidR="007135EB">
        <w:t xml:space="preserve">rican Consumerism in Virginia. </w:t>
      </w:r>
      <w:r>
        <w:t xml:space="preserve">Master’s Thesis, Department of Anthropology, The College of William and Mary, Williamsburg, VA. </w:t>
      </w:r>
    </w:p>
    <w:p w:rsidR="000F7191" w:rsidRDefault="000F7191" w:rsidP="000F7191"/>
    <w:p w:rsidR="000F7191" w:rsidRDefault="000F7191" w:rsidP="000F7191">
      <w:r>
        <w:t>Heath, Barbara J.</w:t>
      </w:r>
    </w:p>
    <w:p w:rsidR="00AE3A1E" w:rsidRDefault="00AE3A1E" w:rsidP="000F7191">
      <w:r>
        <w:t>1996</w:t>
      </w:r>
      <w:r>
        <w:tab/>
        <w:t>Temper, Temper: Recent Scholarship on Colonoware in 18</w:t>
      </w:r>
      <w:r w:rsidRPr="00AE3A1E">
        <w:rPr>
          <w:vertAlign w:val="superscript"/>
        </w:rPr>
        <w:t>th</w:t>
      </w:r>
      <w:r w:rsidR="007135EB">
        <w:t>-Century Virginia.</w:t>
      </w:r>
      <w:r>
        <w:t xml:space="preserve"> In </w:t>
      </w:r>
      <w:r w:rsidRPr="00AE3A1E">
        <w:rPr>
          <w:i/>
        </w:rPr>
        <w:t>The Archaeology of 18</w:t>
      </w:r>
      <w:r w:rsidRPr="00AE3A1E">
        <w:rPr>
          <w:i/>
          <w:vertAlign w:val="superscript"/>
        </w:rPr>
        <w:t>th</w:t>
      </w:r>
      <w:r w:rsidRPr="00AE3A1E">
        <w:rPr>
          <w:i/>
        </w:rPr>
        <w:t>-Century Virginia</w:t>
      </w:r>
      <w:r>
        <w:t xml:space="preserve">, Theodore R. </w:t>
      </w:r>
      <w:r w:rsidR="007135EB">
        <w:t xml:space="preserve">Reinhart, editor, pp. 149-177. </w:t>
      </w:r>
      <w:r>
        <w:t xml:space="preserve">Spectrum Press, Richmond, VA. </w:t>
      </w:r>
    </w:p>
    <w:p w:rsidR="00AE3A1E" w:rsidRDefault="00AE3A1E" w:rsidP="000F7191"/>
    <w:p w:rsidR="000F7191" w:rsidRDefault="000F7191" w:rsidP="000F7191">
      <w:r>
        <w:t>1997</w:t>
      </w:r>
      <w:r>
        <w:tab/>
        <w:t xml:space="preserve">Slavery and Consumerism: A Case Study from Central Virginia. </w:t>
      </w:r>
      <w:r w:rsidRPr="00B14B3A">
        <w:rPr>
          <w:i/>
        </w:rPr>
        <w:t>Newsletter of the African-American Archaeology Network</w:t>
      </w:r>
      <w:r w:rsidR="007135EB">
        <w:t>, Number 19.</w:t>
      </w:r>
      <w:r>
        <w:t xml:space="preserve"> &lt;</w:t>
      </w:r>
      <w:r w:rsidRPr="00B14B3A">
        <w:t xml:space="preserve"> </w:t>
      </w:r>
      <w:r w:rsidRPr="006C5DB4">
        <w:rPr>
          <w:rFonts w:eastAsia="Calibri"/>
        </w:rPr>
        <w:t>http://www.diaspora.uiuc.edu/A-AAnewsletter/newsletter19.html#slavery</w:t>
      </w:r>
      <w:r w:rsidR="007135EB">
        <w:t xml:space="preserve">&gt;. </w:t>
      </w:r>
      <w:r>
        <w:t>Accessed 19 November 2011.</w:t>
      </w:r>
    </w:p>
    <w:p w:rsidR="000F7191" w:rsidRDefault="000F7191" w:rsidP="000F7191"/>
    <w:p w:rsidR="000F7191" w:rsidRDefault="000F7191" w:rsidP="000F7191">
      <w:r>
        <w:t>1999a</w:t>
      </w:r>
      <w:r>
        <w:tab/>
      </w:r>
      <w:r w:rsidRPr="00B14B3A">
        <w:rPr>
          <w:i/>
        </w:rPr>
        <w:t>Hidden Lives: The Archaeology of Slave Life at Thomas Jefferson’s Poplar Forest</w:t>
      </w:r>
      <w:r w:rsidR="007135EB">
        <w:t xml:space="preserve">. </w:t>
      </w:r>
      <w:r>
        <w:t>University Press of Virginia, Charlottesville.</w:t>
      </w:r>
    </w:p>
    <w:p w:rsidR="000F7191" w:rsidRDefault="000F7191" w:rsidP="000F7191"/>
    <w:p w:rsidR="000F7191" w:rsidRDefault="000F7191" w:rsidP="000F7191">
      <w:r>
        <w:t>1999b</w:t>
      </w:r>
      <w:r>
        <w:tab/>
        <w:t>Buttons, Beads and Buckles: Contextualizing Adornment</w:t>
      </w:r>
      <w:r w:rsidR="007135EB">
        <w:t xml:space="preserve"> Within the Bounds of Slavery. </w:t>
      </w:r>
      <w:r>
        <w:t xml:space="preserve">In </w:t>
      </w:r>
      <w:r w:rsidRPr="00F50EB0">
        <w:rPr>
          <w:i/>
        </w:rPr>
        <w:t>Historical Archaeology, Identity Formation, and the Interpretation of Ethnicity</w:t>
      </w:r>
      <w:r>
        <w:t xml:space="preserve">, Maria Franklin and Garrett Fesler, editors, pp. </w:t>
      </w:r>
      <w:r w:rsidR="007135EB">
        <w:t xml:space="preserve">47-70. </w:t>
      </w:r>
      <w:r>
        <w:t>Dietz Press, Richmond, VA.</w:t>
      </w:r>
    </w:p>
    <w:p w:rsidR="000F7191" w:rsidRDefault="000F7191" w:rsidP="000F7191"/>
    <w:p w:rsidR="000F7191" w:rsidRDefault="000F7191" w:rsidP="000F7191">
      <w:r>
        <w:t>1999c</w:t>
      </w:r>
      <w:r>
        <w:tab/>
        <w:t>‘Your Humble Servant:’ Free Artisan</w:t>
      </w:r>
      <w:r w:rsidR="007135EB">
        <w:t xml:space="preserve">s in the Monticello Community. </w:t>
      </w:r>
      <w:r>
        <w:t>In ‘I</w:t>
      </w:r>
      <w:r w:rsidRPr="000E61D5">
        <w:rPr>
          <w:i/>
        </w:rPr>
        <w:t>, Too, Am America:’ Archaeological Studies of African-American Life</w:t>
      </w:r>
      <w:r>
        <w:t xml:space="preserve">, Theresa A. </w:t>
      </w:r>
      <w:r w:rsidR="007135EB">
        <w:t>Singleton, editor, pp. 193-217.</w:t>
      </w:r>
      <w:r>
        <w:t xml:space="preserve"> University of Virginia Press, Charlottesville.</w:t>
      </w:r>
    </w:p>
    <w:p w:rsidR="000F7191" w:rsidRDefault="000F7191" w:rsidP="000F7191"/>
    <w:p w:rsidR="000F7191" w:rsidRDefault="000F7191" w:rsidP="000F7191">
      <w:r>
        <w:t>2000</w:t>
      </w:r>
      <w:r>
        <w:tab/>
        <w:t xml:space="preserve">The Data are in the Details: Thoughts on the Utility of the Digital Archaeological </w:t>
      </w:r>
      <w:r w:rsidR="007135EB">
        <w:t xml:space="preserve">Archive of Chesapeake Slavery. </w:t>
      </w:r>
      <w:r>
        <w:t>Paper presented at the Digital Archaeological Archive of Chesapeake Slavery’s Steering Committee Workshop, Charlottes</w:t>
      </w:r>
      <w:r w:rsidR="007135EB">
        <w:t>ville, VA.</w:t>
      </w:r>
      <w:r>
        <w:t xml:space="preserve"> &lt;</w:t>
      </w:r>
      <w:r w:rsidRPr="002E13C3">
        <w:t xml:space="preserve"> http://www.daacs.org/wp-content/uploads/heath.pdf</w:t>
      </w:r>
      <w:r w:rsidR="007135EB">
        <w:t xml:space="preserve">&gt;. </w:t>
      </w:r>
      <w:r>
        <w:t xml:space="preserve">Accessed 30 June 2013.  </w:t>
      </w:r>
    </w:p>
    <w:p w:rsidR="000F7191" w:rsidRDefault="000F7191" w:rsidP="000F7191"/>
    <w:p w:rsidR="000F7191" w:rsidRDefault="000F7191" w:rsidP="000F7191">
      <w:r>
        <w:t>2004</w:t>
      </w:r>
      <w:r>
        <w:tab/>
        <w:t>Engendering Choice: Slavery and C</w:t>
      </w:r>
      <w:r w:rsidR="007135EB">
        <w:t>onsumerism in Central Virginia.</w:t>
      </w:r>
      <w:r>
        <w:t xml:space="preserve"> In </w:t>
      </w:r>
      <w:r w:rsidRPr="001967D1">
        <w:rPr>
          <w:i/>
        </w:rPr>
        <w:t>Engendering African American Archaeology: A Southern Perspective</w:t>
      </w:r>
      <w:r>
        <w:t xml:space="preserve">, Jillian E. </w:t>
      </w:r>
      <w:smartTag w:uri="urn:schemas-microsoft-com:office:smarttags" w:element="place">
        <w:smartTag w:uri="urn:schemas-microsoft-com:office:smarttags" w:element="City">
          <w:r>
            <w:t>Galle</w:t>
          </w:r>
        </w:smartTag>
      </w:smartTag>
      <w:r>
        <w:t xml:space="preserve"> and Amy</w:t>
      </w:r>
      <w:r w:rsidR="007135EB">
        <w:t xml:space="preserve"> L. Young, editors, pp. 19-38. </w:t>
      </w:r>
      <w:r>
        <w:t>University of Tennessee Press, Knoxville.</w:t>
      </w:r>
    </w:p>
    <w:p w:rsidR="000F7191" w:rsidRDefault="000F7191" w:rsidP="000F7191"/>
    <w:p w:rsidR="000F7191" w:rsidRDefault="000F7191" w:rsidP="000F7191">
      <w:r>
        <w:t>Heath, Barbara J. and Amber Bennett</w:t>
      </w:r>
    </w:p>
    <w:p w:rsidR="000F7191" w:rsidRDefault="000F7191" w:rsidP="000F7191">
      <w:r>
        <w:t>2000</w:t>
      </w:r>
      <w:r>
        <w:tab/>
        <w:t>“The little Spots allow’d them”: The Archaeological St</w:t>
      </w:r>
      <w:r w:rsidR="007135EB">
        <w:t xml:space="preserve">udy of African-American Yards. </w:t>
      </w:r>
      <w:r w:rsidRPr="00BD6568">
        <w:rPr>
          <w:i/>
        </w:rPr>
        <w:t>Historical Archaeology</w:t>
      </w:r>
      <w:r>
        <w:t xml:space="preserve"> 34(2):38-55.</w:t>
      </w:r>
    </w:p>
    <w:p w:rsidR="000F7191" w:rsidRDefault="000F7191" w:rsidP="000F7191"/>
    <w:p w:rsidR="000F7191" w:rsidRDefault="000F7191" w:rsidP="000F7191">
      <w:r>
        <w:lastRenderedPageBreak/>
        <w:t>Heath, Barbara J. and Eleanor E. Breen</w:t>
      </w:r>
    </w:p>
    <w:p w:rsidR="000F7191" w:rsidRPr="00553C9E" w:rsidRDefault="000F7191" w:rsidP="000F7191">
      <w:r>
        <w:t>2012</w:t>
      </w:r>
      <w:r>
        <w:tab/>
        <w:t>Assessing Variability among</w:t>
      </w:r>
      <w:r w:rsidR="007135EB">
        <w:t xml:space="preserve"> Quartering Sites in Virginia. </w:t>
      </w:r>
      <w:r w:rsidRPr="00553C9E">
        <w:rPr>
          <w:i/>
        </w:rPr>
        <w:t>Northeast Historical Archaeology</w:t>
      </w:r>
      <w:r>
        <w:t xml:space="preserve"> 38:1-28.</w:t>
      </w:r>
    </w:p>
    <w:p w:rsidR="000F7191" w:rsidRPr="00294880" w:rsidRDefault="000F7191" w:rsidP="000F7191"/>
    <w:p w:rsidR="000F7191" w:rsidRDefault="000F7191" w:rsidP="000F7191">
      <w:pPr>
        <w:autoSpaceDE w:val="0"/>
        <w:autoSpaceDN w:val="0"/>
        <w:adjustRightInd w:val="0"/>
      </w:pPr>
      <w:r>
        <w:t>Heath, Barbara J., Randy Lichtenberger, Keith Adams, Lori Lee, and Elizabeth Paull</w:t>
      </w:r>
    </w:p>
    <w:p w:rsidR="007135EB" w:rsidRDefault="000F7191" w:rsidP="000F7191">
      <w:pPr>
        <w:autoSpaceDE w:val="0"/>
        <w:autoSpaceDN w:val="0"/>
        <w:adjustRightInd w:val="0"/>
      </w:pPr>
      <w:r>
        <w:t>2005</w:t>
      </w:r>
      <w:r>
        <w:tab/>
        <w:t>Poplar Forest Archaeology: Studies in Plantation Life and Landscape, Excavations and Analysis of Site B, Southeast Curtilage, June 2004-August 2005.  Report to</w:t>
      </w:r>
      <w:r w:rsidR="007135EB">
        <w:t xml:space="preserve"> the Public Welfare Foundation.</w:t>
      </w:r>
      <w:r>
        <w:t xml:space="preserve"> </w:t>
      </w:r>
    </w:p>
    <w:p w:rsidR="000F7191" w:rsidRDefault="000F7191" w:rsidP="000F7191">
      <w:pPr>
        <w:autoSpaceDE w:val="0"/>
        <w:autoSpaceDN w:val="0"/>
        <w:adjustRightInd w:val="0"/>
      </w:pPr>
      <w:r>
        <w:t>&lt;</w:t>
      </w:r>
      <w:r w:rsidRPr="00DE15A4">
        <w:t xml:space="preserve"> http://www.poplarforest.org/sites/default/files/Site%20B%20%28Heath%202005%29.pdf</w:t>
      </w:r>
      <w:r w:rsidR="007135EB">
        <w:t>&gt;.</w:t>
      </w:r>
      <w:r>
        <w:t xml:space="preserve"> Accessed 27 July 2013.</w:t>
      </w:r>
    </w:p>
    <w:p w:rsidR="0076173E" w:rsidRDefault="0076173E"/>
    <w:p w:rsidR="000F7191" w:rsidRPr="00294880" w:rsidRDefault="000F7191" w:rsidP="000F7191">
      <w:pPr>
        <w:autoSpaceDE w:val="0"/>
        <w:autoSpaceDN w:val="0"/>
        <w:adjustRightInd w:val="0"/>
      </w:pPr>
      <w:r w:rsidRPr="00294880">
        <w:t>Henriques, Peter</w:t>
      </w:r>
    </w:p>
    <w:p w:rsidR="000F7191" w:rsidRPr="00294880" w:rsidRDefault="000F7191" w:rsidP="000F7191">
      <w:pPr>
        <w:autoSpaceDE w:val="0"/>
        <w:autoSpaceDN w:val="0"/>
        <w:adjustRightInd w:val="0"/>
      </w:pPr>
      <w:r>
        <w:t>1992</w:t>
      </w:r>
      <w:r>
        <w:tab/>
      </w:r>
      <w:r w:rsidRPr="00294880">
        <w:t xml:space="preserve">Major Lawrence Versus the Reverend Charles Green: A Case Study of the Squire and the Parson. </w:t>
      </w:r>
      <w:r w:rsidRPr="00294880">
        <w:rPr>
          <w:i/>
          <w:iCs/>
        </w:rPr>
        <w:t>Virginia Magazine</w:t>
      </w:r>
      <w:r w:rsidRPr="00294880">
        <w:t>, 100(2):233-264.</w:t>
      </w:r>
    </w:p>
    <w:p w:rsidR="000F7191" w:rsidRDefault="000F7191" w:rsidP="000F7191">
      <w:pPr>
        <w:rPr>
          <w:rFonts w:ascii="Times-Roman" w:hAnsi="Times-Roman" w:cs="Times-Roman"/>
        </w:rPr>
      </w:pPr>
    </w:p>
    <w:p w:rsidR="00AE3A1E" w:rsidRDefault="00AE3A1E" w:rsidP="000F7191">
      <w:r>
        <w:t xml:space="preserve">Higgins, Thomas F., III, Charles M. Downing, Kenneth E. Stuck, </w:t>
      </w:r>
      <w:r w:rsidR="003F6F13">
        <w:t>Deborah L. Davenport, Joanne Bowen, Gregory J. Brown, and Susan T. Andrews</w:t>
      </w:r>
    </w:p>
    <w:p w:rsidR="003F6F13" w:rsidRDefault="003F6F13" w:rsidP="000F7191">
      <w:r>
        <w:t>1997</w:t>
      </w:r>
      <w:r>
        <w:tab/>
        <w:t>A Post-Revolutionary Farmstead in Northern Virginia: Archaeological Data Recovery at Site 44FX1965 Associated with the Proposed Interstate</w:t>
      </w:r>
      <w:r w:rsidR="000E182D">
        <w:t xml:space="preserve"> 66 Widening and Route 28 Inter</w:t>
      </w:r>
      <w:r>
        <w:t>change Project, Fairfax and Prince Wi</w:t>
      </w:r>
      <w:r w:rsidR="007135EB">
        <w:t xml:space="preserve">lliam Counties, Virginia. </w:t>
      </w:r>
      <w:r>
        <w:t>Report to Dewberry &amp; Davis from William and Mary Center for Archaeological Research, Williamsburg, VA.</w:t>
      </w:r>
    </w:p>
    <w:p w:rsidR="00AE3A1E" w:rsidRDefault="00AE3A1E" w:rsidP="000F7191"/>
    <w:p w:rsidR="000F7191" w:rsidRDefault="000F7191" w:rsidP="000F7191">
      <w:r>
        <w:t>Hill, Erica</w:t>
      </w:r>
    </w:p>
    <w:p w:rsidR="000F7191" w:rsidRDefault="000F7191" w:rsidP="000F7191">
      <w:r>
        <w:t>1995</w:t>
      </w:r>
      <w:r>
        <w:tab/>
        <w:t>Thimbles and Thimble Rings from the Circ</w:t>
      </w:r>
      <w:r w:rsidR="007135EB">
        <w:t>um-Caribbean Region, 1500-1800.</w:t>
      </w:r>
      <w:r>
        <w:t xml:space="preserve"> </w:t>
      </w:r>
      <w:r w:rsidRPr="009E6F89">
        <w:rPr>
          <w:i/>
        </w:rPr>
        <w:t>Historical Archaeology</w:t>
      </w:r>
      <w:r>
        <w:t xml:space="preserve"> 29(1):84-92.</w:t>
      </w:r>
    </w:p>
    <w:p w:rsidR="000F7191" w:rsidRDefault="000F7191" w:rsidP="000F7191"/>
    <w:p w:rsidR="000F7191" w:rsidRDefault="000F7191" w:rsidP="000F7191">
      <w:r>
        <w:t>Hill, Martha</w:t>
      </w:r>
    </w:p>
    <w:p w:rsidR="000F7191" w:rsidRDefault="007135EB" w:rsidP="000F7191">
      <w:r>
        <w:t>2003</w:t>
      </w:r>
      <w:r>
        <w:tab/>
        <w:t>Building o: Background. T</w:t>
      </w:r>
      <w:r w:rsidR="000F7191">
        <w:t>he Digital Archaeological Archive of Comparative Slavery.  &lt;</w:t>
      </w:r>
      <w:r w:rsidR="000F7191" w:rsidRPr="00083298">
        <w:t>http://www.daacs.org/resources/sites/background/4/</w:t>
      </w:r>
      <w:r>
        <w:t xml:space="preserve">&gt;. </w:t>
      </w:r>
      <w:r w:rsidR="000F7191">
        <w:t>Accessed 27 August 2013.</w:t>
      </w:r>
    </w:p>
    <w:p w:rsidR="000F7191" w:rsidRDefault="000F7191" w:rsidP="000F7191"/>
    <w:p w:rsidR="000F7191" w:rsidRDefault="000F7191" w:rsidP="000F7191">
      <w:r>
        <w:t>Hinks, Stephen</w:t>
      </w:r>
      <w:r>
        <w:br/>
        <w:t>1988    A Structural and Functional Analysis of Eightee</w:t>
      </w:r>
      <w:r w:rsidR="007135EB">
        <w:t>nth Century Buttons. </w:t>
      </w:r>
      <w:r>
        <w:t xml:space="preserve">Master’s thesis, Department of Anthropology, College of William and Mary, Williamsburg, VA.  </w:t>
      </w:r>
    </w:p>
    <w:p w:rsidR="000F7191" w:rsidRDefault="000F7191" w:rsidP="000F7191"/>
    <w:p w:rsidR="000F7191" w:rsidRDefault="000F7191" w:rsidP="000F7191">
      <w:r>
        <w:t>History’s Best Dressed</w:t>
      </w:r>
    </w:p>
    <w:p w:rsidR="000F7191" w:rsidRDefault="000F7191" w:rsidP="000F7191">
      <w:r>
        <w:t>2011</w:t>
      </w:r>
      <w:r>
        <w:tab/>
        <w:t>George Washington:</w:t>
      </w:r>
      <w:r w:rsidR="007135EB">
        <w:t xml:space="preserve"> America’s First Fashion Icon. </w:t>
      </w:r>
      <w:r>
        <w:t>&lt;</w:t>
      </w:r>
      <w:r w:rsidRPr="000F469B">
        <w:t>http://historysbestdressed.tumblr.com/tagged/George_Washington</w:t>
      </w:r>
      <w:r>
        <w:t>&gt;.</w:t>
      </w:r>
      <w:r w:rsidR="007135EB">
        <w:t xml:space="preserve"> Accessed 1 November 2013.</w:t>
      </w:r>
    </w:p>
    <w:p w:rsidR="000F7191" w:rsidRDefault="000F7191" w:rsidP="000F7191"/>
    <w:p w:rsidR="000F7191" w:rsidRDefault="000F7191" w:rsidP="000F7191">
      <w:r>
        <w:t>Hodge, Christina J.</w:t>
      </w:r>
    </w:p>
    <w:p w:rsidR="000F7191" w:rsidRDefault="000F7191" w:rsidP="000F7191">
      <w:r>
        <w:t>2010</w:t>
      </w:r>
      <w:r>
        <w:tab/>
        <w:t>Widow Pratt’s World of Goods: Implications of Consumer Choice in C</w:t>
      </w:r>
      <w:r w:rsidR="00804B57">
        <w:t xml:space="preserve">olonial Newport, Rhode Island. </w:t>
      </w:r>
      <w:r w:rsidRPr="00166109">
        <w:rPr>
          <w:i/>
        </w:rPr>
        <w:t>Early American Studies</w:t>
      </w:r>
      <w:r>
        <w:t xml:space="preserve"> (Spring):217-234.</w:t>
      </w:r>
    </w:p>
    <w:p w:rsidR="000F7191" w:rsidRDefault="000F7191" w:rsidP="000F7191"/>
    <w:p w:rsidR="000F7191" w:rsidRDefault="000F7191" w:rsidP="000F7191">
      <w:r>
        <w:t>Hoth, David R.</w:t>
      </w:r>
      <w:r>
        <w:br/>
        <w:t xml:space="preserve">2006    </w:t>
      </w:r>
      <w:r>
        <w:rPr>
          <w:rStyle w:val="Emphasis"/>
        </w:rPr>
        <w:t>The Papers of George Washington: Revolutionary War Series</w:t>
      </w:r>
      <w:r>
        <w:t xml:space="preserve"> vol.</w:t>
      </w:r>
      <w:r w:rsidR="00804B57">
        <w:t xml:space="preserve"> 16. </w:t>
      </w:r>
      <w:r>
        <w:t>University Press of Virginia, Charlottesville, VA.</w:t>
      </w:r>
    </w:p>
    <w:p w:rsidR="000F7191" w:rsidRPr="00771D5C" w:rsidRDefault="000F7191" w:rsidP="000F7191">
      <w:r w:rsidRPr="00771D5C">
        <w:lastRenderedPageBreak/>
        <w:t xml:space="preserve">Howson, Jean.  </w:t>
      </w:r>
    </w:p>
    <w:p w:rsidR="000F7191" w:rsidRDefault="000F7191" w:rsidP="000F7191">
      <w:r>
        <w:t>1990</w:t>
      </w:r>
      <w:r>
        <w:tab/>
      </w:r>
      <w:r w:rsidRPr="00771D5C">
        <w:t xml:space="preserve">Social Relations and Material Culture: A Critique of the Archaeology of </w:t>
      </w:r>
      <w:smartTag w:uri="urn:schemas-microsoft-com:office:smarttags" w:element="place">
        <w:smartTag w:uri="urn:schemas-microsoft-com:office:smarttags" w:element="City">
          <w:r w:rsidRPr="00771D5C">
            <w:t>Plantation</w:t>
          </w:r>
        </w:smartTag>
      </w:smartTag>
      <w:r>
        <w:t xml:space="preserve"> Slavery.</w:t>
      </w:r>
      <w:r w:rsidRPr="00771D5C">
        <w:t xml:space="preserve"> </w:t>
      </w:r>
      <w:r w:rsidRPr="00771D5C">
        <w:rPr>
          <w:i/>
        </w:rPr>
        <w:t>Historical Archaeology</w:t>
      </w:r>
      <w:r w:rsidRPr="00771D5C">
        <w:t xml:space="preserve"> 24(4):78-91.  </w:t>
      </w:r>
    </w:p>
    <w:p w:rsidR="000F7191" w:rsidRDefault="000F7191" w:rsidP="000F7191"/>
    <w:p w:rsidR="000F7191" w:rsidRDefault="000F7191" w:rsidP="000F7191">
      <w:pPr>
        <w:rPr>
          <w:szCs w:val="22"/>
        </w:rPr>
      </w:pPr>
      <w:r>
        <w:rPr>
          <w:rFonts w:cs="EILJDE+TimesNewRoman"/>
          <w:color w:val="000000"/>
          <w:sz w:val="23"/>
          <w:szCs w:val="23"/>
        </w:rPr>
        <w:t>1995</w:t>
      </w:r>
      <w:r>
        <w:rPr>
          <w:rFonts w:cs="EILJDE+TimesNewRoman"/>
          <w:color w:val="000000"/>
          <w:sz w:val="23"/>
          <w:szCs w:val="23"/>
        </w:rPr>
        <w:tab/>
      </w:r>
      <w:r w:rsidRPr="00BD6568">
        <w:rPr>
          <w:rFonts w:ascii="EILJFG+TimesNewRoman,Italic" w:hAnsi="EILJFG+TimesNewRoman,Italic" w:cs="EILJFG+TimesNewRoman,Italic"/>
          <w:i/>
          <w:color w:val="000000"/>
          <w:sz w:val="23"/>
          <w:szCs w:val="23"/>
        </w:rPr>
        <w:t>Colonial Goods and the Plantation Village: Consumption and the Internal Economy in Montserrat from Slavery to Freedom</w:t>
      </w:r>
      <w:r>
        <w:rPr>
          <w:rFonts w:cs="EILJDE+TimesNewRoman"/>
          <w:color w:val="000000"/>
          <w:sz w:val="23"/>
          <w:szCs w:val="23"/>
        </w:rPr>
        <w:t>. Ph.D. dissertation, Department of Anthropology, New York University, New York. University Microfilms, Ann Arbor, MI.</w:t>
      </w:r>
    </w:p>
    <w:p w:rsidR="000F7191" w:rsidRDefault="000F7191" w:rsidP="000F7191">
      <w:pPr>
        <w:rPr>
          <w:szCs w:val="22"/>
        </w:rPr>
      </w:pPr>
    </w:p>
    <w:p w:rsidR="000F7191" w:rsidRDefault="000F7191" w:rsidP="000F7191">
      <w:pPr>
        <w:rPr>
          <w:szCs w:val="22"/>
        </w:rPr>
      </w:pPr>
      <w:r>
        <w:rPr>
          <w:szCs w:val="22"/>
        </w:rPr>
        <w:t>Hudson, Larry E., Jr.</w:t>
      </w:r>
    </w:p>
    <w:p w:rsidR="000F7191" w:rsidRDefault="000F7191" w:rsidP="000F7191">
      <w:pPr>
        <w:rPr>
          <w:szCs w:val="22"/>
        </w:rPr>
      </w:pPr>
      <w:r>
        <w:rPr>
          <w:szCs w:val="22"/>
        </w:rPr>
        <w:t>1994</w:t>
      </w:r>
      <w:r>
        <w:rPr>
          <w:szCs w:val="22"/>
        </w:rPr>
        <w:tab/>
      </w:r>
      <w:r w:rsidRPr="0016513D">
        <w:rPr>
          <w:i/>
          <w:szCs w:val="22"/>
        </w:rPr>
        <w:t>Working Toward Freedom: Slave Society and Domestic Economy in the American South</w:t>
      </w:r>
      <w:r w:rsidR="00804B57">
        <w:rPr>
          <w:szCs w:val="22"/>
        </w:rPr>
        <w:t xml:space="preserve">. </w:t>
      </w:r>
      <w:r>
        <w:rPr>
          <w:szCs w:val="22"/>
        </w:rPr>
        <w:t>University of Rochester Press, Rochester, NY.</w:t>
      </w:r>
    </w:p>
    <w:p w:rsidR="000F7191" w:rsidRDefault="000F7191" w:rsidP="000F7191">
      <w:pPr>
        <w:rPr>
          <w:szCs w:val="22"/>
        </w:rPr>
      </w:pPr>
    </w:p>
    <w:p w:rsidR="000F7191" w:rsidRDefault="000F7191" w:rsidP="000F7191">
      <w:pPr>
        <w:rPr>
          <w:szCs w:val="22"/>
        </w:rPr>
      </w:pPr>
      <w:r>
        <w:rPr>
          <w:szCs w:val="22"/>
        </w:rPr>
        <w:t>Isaac, Rhys</w:t>
      </w:r>
    </w:p>
    <w:p w:rsidR="000F7191" w:rsidRDefault="000F7191" w:rsidP="000F7191">
      <w:pPr>
        <w:rPr>
          <w:szCs w:val="22"/>
        </w:rPr>
      </w:pPr>
      <w:r w:rsidRPr="0054105E">
        <w:rPr>
          <w:szCs w:val="22"/>
        </w:rPr>
        <w:t>1982</w:t>
      </w:r>
      <w:r>
        <w:rPr>
          <w:szCs w:val="22"/>
        </w:rPr>
        <w:tab/>
      </w:r>
      <w:r w:rsidRPr="00A16FAE">
        <w:rPr>
          <w:i/>
          <w:szCs w:val="22"/>
        </w:rPr>
        <w:t>The Transformation of Virginia, 1740-1790</w:t>
      </w:r>
      <w:r w:rsidR="00804B57">
        <w:rPr>
          <w:szCs w:val="22"/>
        </w:rPr>
        <w:t xml:space="preserve">. </w:t>
      </w:r>
      <w:r>
        <w:rPr>
          <w:szCs w:val="22"/>
        </w:rPr>
        <w:t xml:space="preserve">The University of North Carolina Press, Chapel Hill. </w:t>
      </w:r>
    </w:p>
    <w:p w:rsidR="0076173E" w:rsidRDefault="0076173E"/>
    <w:p w:rsidR="000F7191" w:rsidRDefault="000F7191" w:rsidP="000F7191">
      <w:pPr>
        <w:rPr>
          <w:szCs w:val="22"/>
        </w:rPr>
      </w:pPr>
      <w:r>
        <w:t>1983    Books and the Social Authority of Learning: The Case of Mi</w:t>
      </w:r>
      <w:r w:rsidR="00804B57">
        <w:t>d-Eighteenth-Century Virginia. </w:t>
      </w:r>
      <w:r>
        <w:t xml:space="preserve">In </w:t>
      </w:r>
      <w:r>
        <w:rPr>
          <w:rStyle w:val="Emphasis"/>
        </w:rPr>
        <w:t>Printing and Society in Early America</w:t>
      </w:r>
      <w:r>
        <w:t>, William L. Joyce, David D. Hall, Richard D. Brown, and John B</w:t>
      </w:r>
      <w:r w:rsidR="00804B57">
        <w:t>. Hench, editors, pp. 228-249. </w:t>
      </w:r>
      <w:r>
        <w:t xml:space="preserve">American Antiquarian Society, Worcester, MA.  </w:t>
      </w:r>
      <w:r>
        <w:rPr>
          <w:szCs w:val="22"/>
        </w:rPr>
        <w:t xml:space="preserve"> </w:t>
      </w:r>
    </w:p>
    <w:p w:rsidR="000F7191" w:rsidRPr="00226893" w:rsidRDefault="000F7191" w:rsidP="000F7191">
      <w:pPr>
        <w:rPr>
          <w:szCs w:val="22"/>
        </w:rPr>
      </w:pPr>
    </w:p>
    <w:p w:rsidR="000F7191" w:rsidRPr="00226893" w:rsidRDefault="000F7191" w:rsidP="000F7191">
      <w:pPr>
        <w:autoSpaceDE w:val="0"/>
        <w:autoSpaceDN w:val="0"/>
        <w:adjustRightInd w:val="0"/>
      </w:pPr>
      <w:r>
        <w:t>Jackson, Donald and</w:t>
      </w:r>
      <w:r w:rsidRPr="00226893">
        <w:t xml:space="preserve"> Dorothy Twohig (editors)</w:t>
      </w:r>
    </w:p>
    <w:p w:rsidR="000F7191" w:rsidRPr="00226893" w:rsidRDefault="000F7191" w:rsidP="000F7191">
      <w:pPr>
        <w:autoSpaceDE w:val="0"/>
        <w:autoSpaceDN w:val="0"/>
        <w:adjustRightInd w:val="0"/>
      </w:pPr>
      <w:r>
        <w:t>1976</w:t>
      </w:r>
      <w:r>
        <w:tab/>
      </w:r>
      <w:r w:rsidRPr="00226893">
        <w:rPr>
          <w:i/>
          <w:iCs/>
        </w:rPr>
        <w:t xml:space="preserve">The Papers of George Washington: Diaries </w:t>
      </w:r>
      <w:r w:rsidRPr="00226893">
        <w:t>vol. 1, 1748-1765. University Press of Virginia, Charlottesville</w:t>
      </w:r>
      <w:r>
        <w:t>, VA</w:t>
      </w:r>
      <w:r w:rsidRPr="00226893">
        <w:t>.</w:t>
      </w:r>
    </w:p>
    <w:p w:rsidR="000F7191" w:rsidRPr="00226893" w:rsidRDefault="000F7191" w:rsidP="000F7191"/>
    <w:p w:rsidR="000F7191" w:rsidRPr="00394774" w:rsidRDefault="000F7191" w:rsidP="000F7191">
      <w:pPr>
        <w:autoSpaceDE w:val="0"/>
        <w:autoSpaceDN w:val="0"/>
        <w:adjustRightInd w:val="0"/>
      </w:pPr>
      <w:r w:rsidRPr="00AF6EB3">
        <w:rPr>
          <w:szCs w:val="22"/>
        </w:rPr>
        <w:t>1978</w:t>
      </w:r>
      <w:r>
        <w:rPr>
          <w:szCs w:val="22"/>
        </w:rPr>
        <w:tab/>
      </w:r>
      <w:r w:rsidRPr="00226893">
        <w:rPr>
          <w:i/>
          <w:iCs/>
        </w:rPr>
        <w:t xml:space="preserve">The Papers of George Washington: Diaries </w:t>
      </w:r>
      <w:r>
        <w:t>vol. 4, 17</w:t>
      </w:r>
      <w:r w:rsidRPr="00226893">
        <w:t>8</w:t>
      </w:r>
      <w:r>
        <w:t>4-1786</w:t>
      </w:r>
      <w:r w:rsidRPr="00226893">
        <w:t xml:space="preserve">. University Press of Virginia, </w:t>
      </w:r>
      <w:r w:rsidRPr="00394774">
        <w:t>Charlottesville, VA.</w:t>
      </w:r>
    </w:p>
    <w:p w:rsidR="000F7191" w:rsidRPr="00394774" w:rsidRDefault="000F7191" w:rsidP="000F7191">
      <w:pPr>
        <w:rPr>
          <w:szCs w:val="22"/>
        </w:rPr>
      </w:pPr>
    </w:p>
    <w:p w:rsidR="000F7191" w:rsidRDefault="000F7191" w:rsidP="000F7191">
      <w:pPr>
        <w:autoSpaceDE w:val="0"/>
        <w:autoSpaceDN w:val="0"/>
      </w:pPr>
      <w:r>
        <w:t>Jobe, Brock</w:t>
      </w:r>
      <w:r>
        <w:br/>
        <w:t>1987</w:t>
      </w:r>
      <w:r>
        <w:tab/>
        <w:t xml:space="preserve">The Boston Upholstery Trade, 1700-1775. In </w:t>
      </w:r>
      <w:r w:rsidRPr="00DE0200">
        <w:rPr>
          <w:i/>
        </w:rPr>
        <w:t>Upholstery in America and Europe from the Seventeenth Century to World War I</w:t>
      </w:r>
      <w:r>
        <w:t>, Edward S. Cooke, Jr., editor, pp. 65-89. W.W. Norton and Company, Inc, New York.</w:t>
      </w:r>
    </w:p>
    <w:p w:rsidR="000F7191" w:rsidRDefault="000F7191" w:rsidP="000F7191">
      <w:pPr>
        <w:autoSpaceDE w:val="0"/>
        <w:autoSpaceDN w:val="0"/>
      </w:pPr>
    </w:p>
    <w:p w:rsidR="000F7191" w:rsidRPr="00394774" w:rsidRDefault="000F7191" w:rsidP="000F7191">
      <w:pPr>
        <w:autoSpaceDE w:val="0"/>
        <w:autoSpaceDN w:val="0"/>
      </w:pPr>
      <w:r w:rsidRPr="00394774">
        <w:t>John Glassford and Company Records</w:t>
      </w:r>
    </w:p>
    <w:p w:rsidR="000F7191" w:rsidRDefault="000F7191" w:rsidP="000F7191">
      <w:pPr>
        <w:autoSpaceDE w:val="0"/>
        <w:autoSpaceDN w:val="0"/>
      </w:pPr>
      <w:r>
        <w:t>1758-1769</w:t>
      </w:r>
      <w:r w:rsidR="00804B57">
        <w:t>  Alexandria Store Ledger.</w:t>
      </w:r>
      <w:r w:rsidRPr="00394774">
        <w:t xml:space="preserve"> John</w:t>
      </w:r>
      <w:r>
        <w:t xml:space="preserve"> Glassford and Company Records, Library of Congress, Microfilm, Mount Vernon Ladies Association, Mount Vernon, VA.</w:t>
      </w:r>
    </w:p>
    <w:p w:rsidR="00EB7F38" w:rsidRDefault="00EB7F38" w:rsidP="000F7191">
      <w:pPr>
        <w:autoSpaceDE w:val="0"/>
        <w:autoSpaceDN w:val="0"/>
      </w:pPr>
    </w:p>
    <w:p w:rsidR="00EB7F38" w:rsidRPr="00394774" w:rsidRDefault="00EB7F38" w:rsidP="00EB7F38">
      <w:pPr>
        <w:autoSpaceDE w:val="0"/>
        <w:autoSpaceDN w:val="0"/>
      </w:pPr>
      <w:r w:rsidRPr="00394774">
        <w:t>John Glassford and Company Records</w:t>
      </w:r>
    </w:p>
    <w:p w:rsidR="00EB7F38" w:rsidRPr="00394774" w:rsidRDefault="00EB7F38" w:rsidP="000F7191">
      <w:pPr>
        <w:autoSpaceDE w:val="0"/>
        <w:autoSpaceDN w:val="0"/>
        <w:rPr>
          <w:rFonts w:ascii="Times-Roman" w:hAnsi="Times-Roman"/>
        </w:rPr>
      </w:pPr>
      <w:r>
        <w:t>1760</w:t>
      </w:r>
      <w:r>
        <w:tab/>
        <w:t>Colchester</w:t>
      </w:r>
      <w:r w:rsidR="00804B57">
        <w:t xml:space="preserve"> Store Ledger. </w:t>
      </w:r>
      <w:r w:rsidRPr="00394774">
        <w:t>John</w:t>
      </w:r>
      <w:r>
        <w:t xml:space="preserve"> Glassford and Company Records, Library of Congress, Microfilm, Mount Vernon Ladies Association, Mount Vernon, VA.</w:t>
      </w:r>
    </w:p>
    <w:p w:rsidR="000F7191" w:rsidRDefault="000F7191" w:rsidP="000F7191">
      <w:pPr>
        <w:rPr>
          <w:szCs w:val="22"/>
        </w:rPr>
      </w:pPr>
    </w:p>
    <w:p w:rsidR="000F7191" w:rsidRPr="00911401" w:rsidRDefault="000F7191" w:rsidP="000F7191">
      <w:pPr>
        <w:rPr>
          <w:szCs w:val="22"/>
        </w:rPr>
      </w:pPr>
      <w:r w:rsidRPr="00911401">
        <w:rPr>
          <w:szCs w:val="22"/>
        </w:rPr>
        <w:t>John Milner Associates</w:t>
      </w:r>
    </w:p>
    <w:p w:rsidR="000F7191" w:rsidRPr="0011113D" w:rsidRDefault="000F7191" w:rsidP="000F7191">
      <w:r w:rsidRPr="00911401">
        <w:rPr>
          <w:szCs w:val="22"/>
        </w:rPr>
        <w:t>2004</w:t>
      </w:r>
      <w:r>
        <w:rPr>
          <w:szCs w:val="22"/>
        </w:rPr>
        <w:tab/>
      </w:r>
      <w:r>
        <w:t>Mount Vernon Estate and Gardens Cult</w:t>
      </w:r>
      <w:r w:rsidR="00804B57">
        <w:t>ural Landscape Study, volume 1.</w:t>
      </w:r>
      <w:r>
        <w:t xml:space="preserve"> Report to Mount Vernon Ladies’ Association, Mount Vernon, VA from John Milner Associates, Inc. in </w:t>
      </w:r>
      <w:r w:rsidRPr="0011113D">
        <w:t>association with Rivanna Archaeological Consulting, Charlottesville, VA.</w:t>
      </w:r>
    </w:p>
    <w:p w:rsidR="000F7191" w:rsidRPr="0011113D" w:rsidRDefault="000F7191" w:rsidP="000F7191"/>
    <w:p w:rsidR="00F573AA" w:rsidRDefault="00F573AA">
      <w:pPr>
        <w:rPr>
          <w:rFonts w:eastAsia="Times New Roman"/>
        </w:rPr>
      </w:pPr>
      <w:r>
        <w:rPr>
          <w:rFonts w:eastAsia="Times New Roman"/>
        </w:rPr>
        <w:br w:type="page"/>
      </w:r>
    </w:p>
    <w:p w:rsidR="000F7191" w:rsidRDefault="000F7191" w:rsidP="000F7191">
      <w:pPr>
        <w:rPr>
          <w:rFonts w:eastAsia="Times New Roman"/>
        </w:rPr>
      </w:pPr>
      <w:r>
        <w:rPr>
          <w:rFonts w:eastAsia="Times New Roman"/>
        </w:rPr>
        <w:lastRenderedPageBreak/>
        <w:t>Johnson, Paul</w:t>
      </w:r>
    </w:p>
    <w:p w:rsidR="000F7191" w:rsidRDefault="000F7191" w:rsidP="000F7191">
      <w:pPr>
        <w:rPr>
          <w:rFonts w:eastAsia="Times New Roman"/>
        </w:rPr>
      </w:pPr>
      <w:r>
        <w:rPr>
          <w:rFonts w:eastAsia="Times New Roman"/>
        </w:rPr>
        <w:t>2005</w:t>
      </w:r>
      <w:r>
        <w:rPr>
          <w:rFonts w:eastAsia="Times New Roman"/>
        </w:rPr>
        <w:tab/>
      </w:r>
      <w:r w:rsidRPr="00A427B9">
        <w:rPr>
          <w:rFonts w:eastAsia="Times New Roman"/>
          <w:i/>
        </w:rPr>
        <w:t>The Founding Father: George Washington.</w:t>
      </w:r>
      <w:r w:rsidR="00804B57">
        <w:rPr>
          <w:rFonts w:eastAsia="Times New Roman"/>
        </w:rPr>
        <w:t xml:space="preserve"> </w:t>
      </w:r>
      <w:r>
        <w:rPr>
          <w:rFonts w:eastAsia="Times New Roman"/>
        </w:rPr>
        <w:t>Harper Collins Publishers, New York, NY.</w:t>
      </w:r>
    </w:p>
    <w:p w:rsidR="000F7191" w:rsidRDefault="000F7191" w:rsidP="000F7191">
      <w:pPr>
        <w:rPr>
          <w:rFonts w:eastAsia="Times New Roman"/>
        </w:rPr>
      </w:pPr>
    </w:p>
    <w:p w:rsidR="000F7191" w:rsidRPr="0011113D" w:rsidRDefault="000F7191" w:rsidP="000F7191">
      <w:pPr>
        <w:rPr>
          <w:rFonts w:eastAsia="Times New Roman"/>
        </w:rPr>
      </w:pPr>
      <w:r w:rsidRPr="0011113D">
        <w:rPr>
          <w:rFonts w:eastAsia="Times New Roman"/>
        </w:rPr>
        <w:t>Karklins, Karlis</w:t>
      </w:r>
    </w:p>
    <w:p w:rsidR="000F7191" w:rsidRPr="0011113D" w:rsidRDefault="000F7191" w:rsidP="000F7191">
      <w:pPr>
        <w:rPr>
          <w:rFonts w:eastAsia="Times New Roman"/>
        </w:rPr>
      </w:pPr>
      <w:r w:rsidRPr="0011113D">
        <w:rPr>
          <w:rFonts w:eastAsia="Times New Roman"/>
        </w:rPr>
        <w:t>1985</w:t>
      </w:r>
      <w:r w:rsidRPr="0011113D">
        <w:rPr>
          <w:rFonts w:eastAsia="Times New Roman"/>
        </w:rPr>
        <w:tab/>
      </w:r>
      <w:r w:rsidRPr="0011113D">
        <w:rPr>
          <w:rFonts w:eastAsia="Times New Roman"/>
          <w:i/>
        </w:rPr>
        <w:t>Glass Beads: The 19</w:t>
      </w:r>
      <w:r w:rsidRPr="0011113D">
        <w:rPr>
          <w:rFonts w:eastAsia="Times New Roman"/>
          <w:i/>
          <w:vertAlign w:val="superscript"/>
        </w:rPr>
        <w:t>th</w:t>
      </w:r>
      <w:r w:rsidRPr="0011113D">
        <w:rPr>
          <w:rFonts w:eastAsia="Times New Roman"/>
          <w:i/>
        </w:rPr>
        <w:t xml:space="preserve">-Century Levin Catalogue and Venetian Bead Book and Guide to the Description and </w:t>
      </w:r>
      <w:r w:rsidR="00804B57">
        <w:rPr>
          <w:rFonts w:eastAsia="Times New Roman"/>
          <w:i/>
        </w:rPr>
        <w:t xml:space="preserve">Classification of Glass Beads. </w:t>
      </w:r>
      <w:r w:rsidRPr="0011113D">
        <w:rPr>
          <w:rFonts w:eastAsia="Times New Roman"/>
          <w:i/>
        </w:rPr>
        <w:t>Studies in Archaeology, Architecture and History.</w:t>
      </w:r>
      <w:r w:rsidR="00804B57">
        <w:rPr>
          <w:rFonts w:eastAsia="Times New Roman"/>
        </w:rPr>
        <w:t xml:space="preserve"> </w:t>
      </w:r>
      <w:r>
        <w:rPr>
          <w:rFonts w:eastAsia="Times New Roman"/>
        </w:rPr>
        <w:t>Environment Canada-Parks,</w:t>
      </w:r>
      <w:r w:rsidRPr="0011113D">
        <w:rPr>
          <w:rFonts w:eastAsia="Times New Roman"/>
        </w:rPr>
        <w:t xml:space="preserve"> Ottawa</w:t>
      </w:r>
      <w:r>
        <w:rPr>
          <w:rFonts w:eastAsia="Times New Roman"/>
        </w:rPr>
        <w:t>, Ontario</w:t>
      </w:r>
      <w:r w:rsidRPr="0011113D">
        <w:rPr>
          <w:rFonts w:eastAsia="Times New Roman"/>
        </w:rPr>
        <w:t>.</w:t>
      </w:r>
    </w:p>
    <w:p w:rsidR="000F7191" w:rsidRPr="0011113D" w:rsidRDefault="000F7191" w:rsidP="000F7191"/>
    <w:p w:rsidR="000F7191" w:rsidRDefault="000F7191" w:rsidP="000F7191">
      <w:pPr>
        <w:rPr>
          <w:szCs w:val="22"/>
        </w:rPr>
      </w:pPr>
      <w:r w:rsidRPr="0011113D">
        <w:t>Kellar</w:t>
      </w:r>
      <w:r>
        <w:rPr>
          <w:szCs w:val="22"/>
        </w:rPr>
        <w:t>, Elizabeth</w:t>
      </w:r>
    </w:p>
    <w:p w:rsidR="000F7191" w:rsidRDefault="000F7191" w:rsidP="000F7191">
      <w:pPr>
        <w:rPr>
          <w:szCs w:val="22"/>
        </w:rPr>
      </w:pPr>
      <w:r>
        <w:rPr>
          <w:szCs w:val="22"/>
        </w:rPr>
        <w:t>2004</w:t>
      </w:r>
      <w:r>
        <w:rPr>
          <w:szCs w:val="22"/>
        </w:rPr>
        <w:tab/>
      </w:r>
      <w:r>
        <w:rPr>
          <w:i/>
          <w:iCs/>
        </w:rPr>
        <w:t>The Construction and Expression of Identity: An Archaeological Investigation of the Laborer Villages at Adrian Estate, St. John, USVI.</w:t>
      </w:r>
      <w:r>
        <w:t xml:space="preserve"> Doctoral dissertation, Department of Anthrop</w:t>
      </w:r>
      <w:r w:rsidR="00804B57">
        <w:t xml:space="preserve">ology, Syracuse University, NY. </w:t>
      </w:r>
      <w:r>
        <w:t>University Microfilms International, Ann Arbor, MI.</w:t>
      </w:r>
    </w:p>
    <w:p w:rsidR="000F7191" w:rsidRDefault="000F7191" w:rsidP="000F7191"/>
    <w:p w:rsidR="000F7191" w:rsidRDefault="000F7191" w:rsidP="000F7191">
      <w:r>
        <w:t>Kern, Susan</w:t>
      </w:r>
    </w:p>
    <w:p w:rsidR="000F7191" w:rsidRDefault="000F7191" w:rsidP="000F7191">
      <w:r>
        <w:t>2010</w:t>
      </w:r>
      <w:r>
        <w:tab/>
      </w:r>
      <w:r w:rsidRPr="00B14B3A">
        <w:rPr>
          <w:i/>
        </w:rPr>
        <w:t>The Jeffersons at Shadwell</w:t>
      </w:r>
      <w:r w:rsidR="00804B57">
        <w:t xml:space="preserve">. </w:t>
      </w:r>
      <w:r>
        <w:t>Yale University Press, New Haven, CT.</w:t>
      </w:r>
    </w:p>
    <w:p w:rsidR="000F7191" w:rsidRPr="00251F62" w:rsidRDefault="000F7191" w:rsidP="000F7191"/>
    <w:p w:rsidR="000F7191" w:rsidRPr="00251F62" w:rsidRDefault="000F7191" w:rsidP="000F7191">
      <w:r w:rsidRPr="00251F62">
        <w:t>Kimbel, Steve</w:t>
      </w:r>
    </w:p>
    <w:p w:rsidR="000F7191" w:rsidRPr="00251F62" w:rsidRDefault="000F7191" w:rsidP="000F7191">
      <w:r w:rsidRPr="00251F62">
        <w:t>2010</w:t>
      </w:r>
      <w:r w:rsidRPr="00251F62">
        <w:tab/>
        <w:t>The Arc</w:t>
      </w:r>
      <w:r w:rsidR="00804B57">
        <w:t xml:space="preserve">haeology of The Carlyle House. </w:t>
      </w:r>
      <w:r w:rsidRPr="00251F62">
        <w:rPr>
          <w:i/>
        </w:rPr>
        <w:t>Carlyle House Docent Dispatch</w:t>
      </w:r>
      <w:r w:rsidRPr="00251F62">
        <w:t xml:space="preserve"> January: 1-4.</w:t>
      </w:r>
    </w:p>
    <w:p w:rsidR="000F7191" w:rsidRPr="00251F62" w:rsidRDefault="000F7191" w:rsidP="000F7191"/>
    <w:p w:rsidR="000F7191" w:rsidRDefault="000F7191" w:rsidP="000F7191">
      <w:r>
        <w:t xml:space="preserve">King, Julia A., Catherine L. Alston, Gregory J. Brown, Edward E. Chaney, John C. Coombs, C. Jane Cox, David Gadsby, Philip Levy, Al Luckenbach, David F. Muraca, Dennis J. Pogue, Benjamin J. Porter, and Shawn Sharpe </w:t>
      </w:r>
    </w:p>
    <w:p w:rsidR="00804B57" w:rsidRDefault="000F7191" w:rsidP="000F7191">
      <w:r>
        <w:t>2006</w:t>
      </w:r>
      <w:r>
        <w:tab/>
        <w:t xml:space="preserve">A Comparative Archaeological Study of Colonial </w:t>
      </w:r>
      <w:smartTag w:uri="urn:schemas-microsoft-com:office:smarttags" w:element="City">
        <w:smartTag w:uri="urn:schemas-microsoft-com:office:smarttags" w:element="place">
          <w:r>
            <w:t>Chesapeake</w:t>
          </w:r>
        </w:smartTag>
      </w:smartTag>
      <w:r>
        <w:t xml:space="preserve"> Culture Final Report.  Prepared for The National Endowment for the Humanities (RZ-20896-02) and The Virginia Department of Historic Resources, Washington, DC and Richmond, VA </w:t>
      </w:r>
    </w:p>
    <w:p w:rsidR="000F7191" w:rsidRDefault="000F7191" w:rsidP="000F7191">
      <w:r>
        <w:t>&lt;</w:t>
      </w:r>
      <w:r w:rsidRPr="008D7A2F">
        <w:t xml:space="preserve"> http://www.chesapeakearchaeology.org/Interpretations/NEHFinalReportIntro.cfm</w:t>
      </w:r>
      <w:r w:rsidR="00804B57">
        <w:t xml:space="preserve">&gt;. </w:t>
      </w:r>
      <w:r>
        <w:t xml:space="preserve">Accessed 23 April 2013. </w:t>
      </w:r>
    </w:p>
    <w:p w:rsidR="000F7191" w:rsidRPr="00D245C9" w:rsidRDefault="000F7191" w:rsidP="000F7191"/>
    <w:p w:rsidR="000F7191" w:rsidRDefault="000F7191" w:rsidP="000F7191">
      <w:pPr>
        <w:autoSpaceDE w:val="0"/>
        <w:autoSpaceDN w:val="0"/>
        <w:adjustRightInd w:val="0"/>
      </w:pPr>
      <w:r>
        <w:t>King-Hammond, Leslie</w:t>
      </w:r>
    </w:p>
    <w:p w:rsidR="000F7191" w:rsidRDefault="000F7191" w:rsidP="000F7191">
      <w:pPr>
        <w:autoSpaceDE w:val="0"/>
        <w:autoSpaceDN w:val="0"/>
        <w:adjustRightInd w:val="0"/>
      </w:pPr>
      <w:r>
        <w:t>2008</w:t>
      </w:r>
      <w:r>
        <w:tab/>
        <w:t>Identifying Spaces of Blackness: The Aesthetics of Resistance and Identi</w:t>
      </w:r>
      <w:r w:rsidR="00804B57">
        <w:t xml:space="preserve">ty in American Plantation Art. </w:t>
      </w:r>
      <w:r>
        <w:t xml:space="preserve">In </w:t>
      </w:r>
      <w:r w:rsidRPr="00DA016D">
        <w:rPr>
          <w:i/>
        </w:rPr>
        <w:t>Landscapes of Slavery</w:t>
      </w:r>
      <w:r>
        <w:rPr>
          <w:i/>
        </w:rPr>
        <w:t>:</w:t>
      </w:r>
      <w:r w:rsidRPr="00DA016D">
        <w:rPr>
          <w:i/>
        </w:rPr>
        <w:t xml:space="preserve"> The Plantation in American Art</w:t>
      </w:r>
      <w:r>
        <w:t>, Angela D. Mack and Stephen G. Hoffius, editors, pp. 58-85.</w:t>
      </w:r>
    </w:p>
    <w:p w:rsidR="000F7191" w:rsidRDefault="000F7191" w:rsidP="000F7191">
      <w:pPr>
        <w:autoSpaceDE w:val="0"/>
        <w:autoSpaceDN w:val="0"/>
        <w:adjustRightInd w:val="0"/>
      </w:pPr>
    </w:p>
    <w:p w:rsidR="000F7191" w:rsidRPr="00D245C9" w:rsidRDefault="000F7191" w:rsidP="000F7191">
      <w:pPr>
        <w:autoSpaceDE w:val="0"/>
        <w:autoSpaceDN w:val="0"/>
        <w:adjustRightInd w:val="0"/>
      </w:pPr>
      <w:r w:rsidRPr="00D245C9">
        <w:t>Knollenberg, Bernhard</w:t>
      </w:r>
    </w:p>
    <w:p w:rsidR="000F7191" w:rsidRPr="00D245C9" w:rsidRDefault="000F7191" w:rsidP="000F7191">
      <w:pPr>
        <w:autoSpaceDE w:val="0"/>
        <w:autoSpaceDN w:val="0"/>
        <w:adjustRightInd w:val="0"/>
      </w:pPr>
      <w:r w:rsidRPr="00D245C9">
        <w:t>1964</w:t>
      </w:r>
      <w:r w:rsidRPr="00D245C9">
        <w:tab/>
      </w:r>
      <w:r w:rsidRPr="00D245C9">
        <w:rPr>
          <w:i/>
          <w:iCs/>
        </w:rPr>
        <w:t>George Washington: The Virginia Period, 1732-1775</w:t>
      </w:r>
      <w:r w:rsidR="00804B57">
        <w:t xml:space="preserve">. </w:t>
      </w:r>
      <w:r w:rsidRPr="00D245C9">
        <w:t>Duke University Press, Durham, NC.</w:t>
      </w:r>
    </w:p>
    <w:p w:rsidR="000F7191" w:rsidRPr="00D245C9" w:rsidRDefault="000F7191" w:rsidP="000F7191"/>
    <w:p w:rsidR="000F7191" w:rsidRDefault="000F7191" w:rsidP="000F7191">
      <w:r>
        <w:t xml:space="preserve">Krofft, Heidi E. </w:t>
      </w:r>
      <w:r>
        <w:br/>
        <w:t>2012</w:t>
      </w:r>
      <w:r>
        <w:tab/>
        <w:t xml:space="preserve">Growing up a Washington. Master’s thesis, Historical Archaeology Program, University of Massachusetts Boston, Boston. </w:t>
      </w:r>
    </w:p>
    <w:p w:rsidR="000F7191" w:rsidRDefault="000F7191" w:rsidP="000F7191"/>
    <w:p w:rsidR="000F7191" w:rsidRDefault="000F7191" w:rsidP="000F7191">
      <w:r>
        <w:t>Kulikoff, Alan</w:t>
      </w:r>
    </w:p>
    <w:p w:rsidR="000F7191" w:rsidRPr="00EB4A99" w:rsidRDefault="000F7191" w:rsidP="000F7191">
      <w:r>
        <w:t>1986</w:t>
      </w:r>
      <w:r>
        <w:tab/>
      </w:r>
      <w:r w:rsidRPr="00D36EE9">
        <w:rPr>
          <w:i/>
        </w:rPr>
        <w:t>Tobacco and Slaves: The Development of Southern Cultures in the Chesapeake, 1680-1800</w:t>
      </w:r>
      <w:r w:rsidR="00804B57">
        <w:t>.</w:t>
      </w:r>
      <w:r>
        <w:t xml:space="preserve"> University of North Carolina Press, Chapel Hill.</w:t>
      </w:r>
    </w:p>
    <w:p w:rsidR="000F7191" w:rsidRPr="00101687" w:rsidRDefault="000F7191" w:rsidP="000F7191">
      <w:pPr>
        <w:pStyle w:val="NormalWeb"/>
        <w:spacing w:before="0" w:beforeAutospacing="0" w:after="0" w:afterAutospacing="0" w:line="240" w:lineRule="auto"/>
        <w:rPr>
          <w:rFonts w:ascii="Times New Roman" w:hAnsi="Times New Roman"/>
          <w:sz w:val="24"/>
          <w:szCs w:val="24"/>
        </w:rPr>
      </w:pPr>
    </w:p>
    <w:p w:rsidR="00F573AA" w:rsidRDefault="00F573AA">
      <w:r>
        <w:br w:type="page"/>
      </w:r>
    </w:p>
    <w:p w:rsidR="000F7191" w:rsidRPr="00101687" w:rsidRDefault="000F7191" w:rsidP="000F7191">
      <w:pPr>
        <w:autoSpaceDE w:val="0"/>
        <w:autoSpaceDN w:val="0"/>
        <w:adjustRightInd w:val="0"/>
      </w:pPr>
      <w:r w:rsidRPr="00101687">
        <w:lastRenderedPageBreak/>
        <w:t>Lange, Amanda E.</w:t>
      </w:r>
    </w:p>
    <w:p w:rsidR="000F7191" w:rsidRPr="00101687" w:rsidRDefault="000F7191" w:rsidP="000F7191">
      <w:pPr>
        <w:autoSpaceDE w:val="0"/>
        <w:autoSpaceDN w:val="0"/>
        <w:adjustRightInd w:val="0"/>
      </w:pPr>
      <w:r>
        <w:t>2001</w:t>
      </w:r>
      <w:r>
        <w:tab/>
      </w:r>
      <w:r w:rsidRPr="00101687">
        <w:rPr>
          <w:i/>
          <w:iCs/>
        </w:rPr>
        <w:t>Delftware at Historic Deerfield, 1600-1800</w:t>
      </w:r>
      <w:r w:rsidRPr="00101687">
        <w:t>. Historic Deerfield Inc., Deerfield, MA.</w:t>
      </w:r>
    </w:p>
    <w:p w:rsidR="000F7191" w:rsidRPr="00101687" w:rsidRDefault="000F7191" w:rsidP="000F7191">
      <w:pPr>
        <w:autoSpaceDE w:val="0"/>
        <w:autoSpaceDN w:val="0"/>
        <w:adjustRightInd w:val="0"/>
      </w:pPr>
    </w:p>
    <w:p w:rsidR="000F7191" w:rsidRDefault="000F7191" w:rsidP="000F7191">
      <w:pPr>
        <w:autoSpaceDE w:val="0"/>
        <w:autoSpaceDN w:val="0"/>
        <w:adjustRightInd w:val="0"/>
      </w:pPr>
      <w:r>
        <w:t>Lee, Lori</w:t>
      </w:r>
    </w:p>
    <w:p w:rsidR="000F7191" w:rsidRPr="00FF5624" w:rsidRDefault="000F7191" w:rsidP="000F7191">
      <w:pPr>
        <w:autoSpaceDE w:val="0"/>
        <w:autoSpaceDN w:val="0"/>
        <w:adjustRightInd w:val="0"/>
        <w:rPr>
          <w:i/>
        </w:rPr>
      </w:pPr>
      <w:r>
        <w:t>2008</w:t>
      </w:r>
      <w:r>
        <w:tab/>
        <w:t xml:space="preserve">Late Antebellum Slavery at Poplar Forest (1828-62). </w:t>
      </w:r>
      <w:r w:rsidRPr="00FF5624">
        <w:rPr>
          <w:i/>
        </w:rPr>
        <w:t>Archeological Society of</w:t>
      </w:r>
    </w:p>
    <w:p w:rsidR="000F7191" w:rsidRDefault="000F7191" w:rsidP="000F7191">
      <w:r w:rsidRPr="00FF5624">
        <w:rPr>
          <w:i/>
        </w:rPr>
        <w:t>Virginia Quarterly Bulletin</w:t>
      </w:r>
      <w:r>
        <w:t xml:space="preserve"> 63(3):165-177.</w:t>
      </w:r>
    </w:p>
    <w:p w:rsidR="000F7191" w:rsidRDefault="000F7191" w:rsidP="000F7191"/>
    <w:p w:rsidR="000F7191" w:rsidRDefault="000F7191" w:rsidP="000F7191">
      <w:r>
        <w:t>2012</w:t>
      </w:r>
      <w:r>
        <w:tab/>
        <w:t>Consumerism, Social Relations, and Antebel</w:t>
      </w:r>
      <w:r w:rsidR="00804B57">
        <w:t xml:space="preserve">lum Slavery at Popular Forest. </w:t>
      </w:r>
      <w:r>
        <w:t xml:space="preserve">In </w:t>
      </w:r>
      <w:r w:rsidRPr="00FF5624">
        <w:rPr>
          <w:i/>
        </w:rPr>
        <w:t>Thomas Jefferson’s Poplar Forest: Unearthing a Virginia Plantation</w:t>
      </w:r>
      <w:r>
        <w:t>, Barbara Heath and Ja</w:t>
      </w:r>
      <w:r w:rsidR="00804B57">
        <w:t xml:space="preserve">ck Gary, editors, pp. 261-285. </w:t>
      </w:r>
      <w:r>
        <w:t>University Press of Florida, Gainesville.</w:t>
      </w:r>
    </w:p>
    <w:p w:rsidR="000F7191" w:rsidRDefault="000F7191" w:rsidP="000F7191"/>
    <w:p w:rsidR="000F7191" w:rsidRDefault="000F7191" w:rsidP="000F7191">
      <w:r>
        <w:t>Leone, Mark</w:t>
      </w:r>
    </w:p>
    <w:p w:rsidR="000F7191" w:rsidRDefault="000F7191" w:rsidP="000F7191">
      <w:r>
        <w:t>1984</w:t>
      </w:r>
      <w:r>
        <w:tab/>
        <w:t xml:space="preserve">Interpreting Ideology in Historical Archaeology: Using the Rule of Perspective in the William Paca </w:t>
      </w:r>
      <w:r w:rsidR="00804B57">
        <w:t xml:space="preserve">Garden in Annapolis, Maryland. </w:t>
      </w:r>
      <w:r>
        <w:t xml:space="preserve">In </w:t>
      </w:r>
      <w:r w:rsidRPr="003F16C5">
        <w:rPr>
          <w:i/>
        </w:rPr>
        <w:t>Ideology, Power, and Prehistory</w:t>
      </w:r>
      <w:r>
        <w:t>, Daniel Miller and Christoph</w:t>
      </w:r>
      <w:r w:rsidR="00804B57">
        <w:t xml:space="preserve">er Tilley, editors, pp. 25-35. </w:t>
      </w:r>
      <w:r>
        <w:t>Cambridge University Press, Cambridge, UK.</w:t>
      </w:r>
    </w:p>
    <w:p w:rsidR="000F7191" w:rsidRDefault="000F7191" w:rsidP="000F7191"/>
    <w:p w:rsidR="000F7191" w:rsidRDefault="000F7191" w:rsidP="000F7191">
      <w:r>
        <w:t>1988</w:t>
      </w:r>
      <w:r>
        <w:tab/>
        <w:t>The Georgian Order as the Order of Merchant Capi</w:t>
      </w:r>
      <w:r w:rsidR="00804B57">
        <w:t xml:space="preserve">talism in Annapolis, Maryland. </w:t>
      </w:r>
      <w:r>
        <w:t xml:space="preserve">In </w:t>
      </w:r>
      <w:r w:rsidRPr="003F16C5">
        <w:rPr>
          <w:i/>
        </w:rPr>
        <w:t>The Recovery of Meaning: Historical Archaeology in the Eastern United States</w:t>
      </w:r>
      <w:r>
        <w:t>, Mark Leone and Parker</w:t>
      </w:r>
      <w:r w:rsidR="00804B57">
        <w:t xml:space="preserve"> Potter, editors, pp. 235-261. </w:t>
      </w:r>
      <w:r>
        <w:t>Smithsonian Institution Press, Washington, DC.</w:t>
      </w:r>
    </w:p>
    <w:p w:rsidR="000F7191" w:rsidRDefault="000F7191" w:rsidP="000F7191"/>
    <w:p w:rsidR="000F7191" w:rsidRDefault="000F7191" w:rsidP="000F7191">
      <w:r>
        <w:t>2005</w:t>
      </w:r>
      <w:r>
        <w:tab/>
      </w:r>
      <w:r w:rsidRPr="00A346A0">
        <w:rPr>
          <w:i/>
        </w:rPr>
        <w:t xml:space="preserve">The Archaeology of Liberty in an American Capital: Excavations in Annapolis. </w:t>
      </w:r>
      <w:r>
        <w:t xml:space="preserve">University of California Press, Berkeley. </w:t>
      </w:r>
    </w:p>
    <w:p w:rsidR="000F7191" w:rsidRDefault="000F7191" w:rsidP="000F7191"/>
    <w:p w:rsidR="000F7191" w:rsidRDefault="000F7191" w:rsidP="000F7191">
      <w:r>
        <w:t>Library of Congress</w:t>
      </w:r>
    </w:p>
    <w:p w:rsidR="000F7191" w:rsidRDefault="000F7191" w:rsidP="000F7191">
      <w:r>
        <w:t>1999</w:t>
      </w:r>
      <w:r>
        <w:tab/>
        <w:t>George Washington Papers at the L</w:t>
      </w:r>
      <w:r w:rsidR="00804B57">
        <w:t xml:space="preserve">ibrary of Congress, 1741-1799. </w:t>
      </w:r>
      <w:r>
        <w:t>Manuscript Division, Libra</w:t>
      </w:r>
      <w:r w:rsidR="00804B57">
        <w:t>ry of Congress, Washington, DC.</w:t>
      </w:r>
      <w:r>
        <w:t xml:space="preserve"> &lt;</w:t>
      </w:r>
      <w:r w:rsidRPr="00F55C4A">
        <w:t xml:space="preserve"> http://memory.loc.gov/ammem/gwhtml/</w:t>
      </w:r>
      <w:r w:rsidR="00804B57">
        <w:t xml:space="preserve">&gt;. </w:t>
      </w:r>
      <w:r>
        <w:t>Accessed 12 March 2012.</w:t>
      </w:r>
    </w:p>
    <w:p w:rsidR="000F7191" w:rsidRDefault="000F7191" w:rsidP="000F7191"/>
    <w:p w:rsidR="000F7191" w:rsidRDefault="000F7191" w:rsidP="000F7191">
      <w:r>
        <w:t xml:space="preserve">Lockridge, Kenneth A. </w:t>
      </w:r>
    </w:p>
    <w:p w:rsidR="000F7191" w:rsidRDefault="000F7191" w:rsidP="000F7191">
      <w:pPr>
        <w:rPr>
          <w:rFonts w:eastAsia="Calibri"/>
        </w:rPr>
      </w:pPr>
      <w:r>
        <w:t>1985</w:t>
      </w:r>
      <w:r>
        <w:tab/>
      </w:r>
      <w:r>
        <w:rPr>
          <w:i/>
          <w:iCs/>
        </w:rPr>
        <w:t>A New England Town: The First Hindered Years</w:t>
      </w:r>
      <w:r w:rsidR="00804B57">
        <w:t xml:space="preserve">. </w:t>
      </w:r>
      <w:r>
        <w:t>Norton, New York, NY.</w:t>
      </w:r>
    </w:p>
    <w:p w:rsidR="000F7191" w:rsidRDefault="000F7191" w:rsidP="000F7191">
      <w:pPr>
        <w:rPr>
          <w:rFonts w:eastAsia="Calibri"/>
        </w:rPr>
      </w:pPr>
    </w:p>
    <w:p w:rsidR="000F7191" w:rsidRDefault="000F7191" w:rsidP="000F7191">
      <w:pPr>
        <w:rPr>
          <w:rFonts w:eastAsia="Calibri"/>
        </w:rPr>
      </w:pPr>
      <w:r>
        <w:rPr>
          <w:rFonts w:eastAsia="Calibri"/>
        </w:rPr>
        <w:t>Lovejoy, Paul E.</w:t>
      </w:r>
    </w:p>
    <w:p w:rsidR="000F7191" w:rsidRDefault="000F7191" w:rsidP="000F7191">
      <w:pPr>
        <w:rPr>
          <w:rFonts w:eastAsia="Calibri"/>
        </w:rPr>
      </w:pPr>
      <w:r>
        <w:rPr>
          <w:rFonts w:eastAsia="Calibri"/>
        </w:rPr>
        <w:t>1997</w:t>
      </w:r>
      <w:r>
        <w:rPr>
          <w:rFonts w:eastAsia="Calibri"/>
        </w:rPr>
        <w:tab/>
      </w:r>
      <w:r w:rsidRPr="00A6406E">
        <w:rPr>
          <w:rFonts w:eastAsia="Calibri" w:cs="ANKKLL+TimesNewRoman,Bold"/>
          <w:bCs/>
          <w:color w:val="000000"/>
        </w:rPr>
        <w:t>The African Diaspora: Revisionist Interpretations of Ethnicity, Culture a</w:t>
      </w:r>
      <w:r w:rsidR="00804B57">
        <w:rPr>
          <w:rFonts w:eastAsia="Calibri"/>
          <w:bCs/>
          <w:color w:val="000000"/>
        </w:rPr>
        <w:t>nd Religion under Slavery.</w:t>
      </w:r>
      <w:r w:rsidRPr="00A6406E">
        <w:rPr>
          <w:rFonts w:eastAsia="Calibri"/>
          <w:bCs/>
          <w:color w:val="000000"/>
        </w:rPr>
        <w:t xml:space="preserve"> </w:t>
      </w:r>
      <w:r w:rsidRPr="00A6406E">
        <w:rPr>
          <w:rFonts w:eastAsia="Calibri"/>
          <w:i/>
          <w:color w:val="000000"/>
        </w:rPr>
        <w:t>Studies in the World History of Slavery, Abolition and Emancipation</w:t>
      </w:r>
      <w:r>
        <w:rPr>
          <w:rFonts w:eastAsia="Calibri"/>
          <w:color w:val="000000"/>
        </w:rPr>
        <w:t xml:space="preserve"> II(</w:t>
      </w:r>
      <w:r w:rsidRPr="00A6406E">
        <w:rPr>
          <w:rFonts w:eastAsia="Calibri"/>
          <w:color w:val="000000"/>
        </w:rPr>
        <w:t>1</w:t>
      </w:r>
      <w:r>
        <w:rPr>
          <w:rFonts w:eastAsia="Calibri"/>
          <w:color w:val="000000"/>
        </w:rPr>
        <w:t>):1-23.</w:t>
      </w:r>
    </w:p>
    <w:p w:rsidR="000F7191" w:rsidRDefault="000F7191" w:rsidP="000F7191">
      <w:pPr>
        <w:rPr>
          <w:rFonts w:eastAsia="Calibri"/>
        </w:rPr>
      </w:pPr>
    </w:p>
    <w:p w:rsidR="000F7191" w:rsidRDefault="000F7191" w:rsidP="000F7191">
      <w:r>
        <w:t>Madsen, Andrew David</w:t>
      </w:r>
    </w:p>
    <w:p w:rsidR="000F7191" w:rsidRDefault="000F7191" w:rsidP="000F7191">
      <w:r>
        <w:t>1995</w:t>
      </w:r>
      <w:r>
        <w:tab/>
        <w:t>‘All Sorts of China Ware… Large, Noble and Rich Chinese Bowls:’ Eighteenth-Century Chines</w:t>
      </w:r>
      <w:r w:rsidR="00804B57">
        <w:t>e Export Porcelain in Virginia.</w:t>
      </w:r>
      <w:r>
        <w:t xml:space="preserve"> Master’s Thesis, Department of Anthropology, College of William and Mary, Williamsburg, VA.</w:t>
      </w:r>
    </w:p>
    <w:p w:rsidR="000F7191" w:rsidRDefault="000F7191" w:rsidP="000F7191"/>
    <w:p w:rsidR="000F7191" w:rsidRPr="00C173EB" w:rsidRDefault="000F7191" w:rsidP="000F7191">
      <w:pPr>
        <w:rPr>
          <w:rFonts w:eastAsia="Calibri"/>
        </w:rPr>
      </w:pPr>
      <w:r w:rsidRPr="00C173EB">
        <w:rPr>
          <w:rFonts w:eastAsia="Calibri"/>
        </w:rPr>
        <w:t>Majewski, Teresita and Michael Brian Schiffer</w:t>
      </w:r>
    </w:p>
    <w:p w:rsidR="000F7191" w:rsidRDefault="000F7191" w:rsidP="000F7191">
      <w:pPr>
        <w:pStyle w:val="NormalWeb"/>
        <w:spacing w:before="0" w:beforeAutospacing="0" w:after="0" w:afterAutospacing="0" w:line="240" w:lineRule="auto"/>
        <w:rPr>
          <w:rFonts w:ascii="Times New Roman" w:hAnsi="Times New Roman"/>
          <w:sz w:val="24"/>
          <w:szCs w:val="24"/>
        </w:rPr>
      </w:pPr>
      <w:r w:rsidRPr="00C173EB">
        <w:rPr>
          <w:rFonts w:ascii="Times New Roman" w:eastAsia="Calibri" w:hAnsi="Times New Roman"/>
          <w:sz w:val="24"/>
          <w:szCs w:val="24"/>
        </w:rPr>
        <w:t>2009</w:t>
      </w:r>
      <w:r w:rsidRPr="00C173EB">
        <w:rPr>
          <w:rFonts w:ascii="Times New Roman" w:eastAsia="Calibri" w:hAnsi="Times New Roman"/>
          <w:sz w:val="24"/>
          <w:szCs w:val="24"/>
        </w:rPr>
        <w:tab/>
        <w:t xml:space="preserve">Beyond Consumption: Toward </w:t>
      </w:r>
      <w:r w:rsidR="00804B57">
        <w:rPr>
          <w:rFonts w:ascii="Times New Roman" w:eastAsia="Calibri" w:hAnsi="Times New Roman"/>
          <w:sz w:val="24"/>
          <w:szCs w:val="24"/>
        </w:rPr>
        <w:t xml:space="preserve">an Archaeology of Consumerism. </w:t>
      </w:r>
      <w:r w:rsidRPr="00C173EB">
        <w:rPr>
          <w:rFonts w:ascii="Times New Roman" w:hAnsi="Times New Roman"/>
          <w:sz w:val="24"/>
          <w:szCs w:val="24"/>
        </w:rPr>
        <w:t xml:space="preserve">In </w:t>
      </w:r>
      <w:r w:rsidRPr="00C173EB">
        <w:rPr>
          <w:rFonts w:ascii="Times New Roman" w:hAnsi="Times New Roman"/>
          <w:i/>
          <w:iCs/>
          <w:sz w:val="24"/>
          <w:szCs w:val="24"/>
        </w:rPr>
        <w:t>International Handbook of Historical Archaeology</w:t>
      </w:r>
      <w:r w:rsidRPr="00C173EB">
        <w:rPr>
          <w:rFonts w:ascii="Times New Roman" w:hAnsi="Times New Roman"/>
          <w:sz w:val="24"/>
          <w:szCs w:val="24"/>
        </w:rPr>
        <w:t xml:space="preserve">, T. Majewski and D. Gaimster, editors, pp. </w:t>
      </w:r>
      <w:r>
        <w:rPr>
          <w:rFonts w:ascii="Times New Roman" w:hAnsi="Times New Roman"/>
          <w:sz w:val="24"/>
          <w:szCs w:val="24"/>
        </w:rPr>
        <w:t>191-208</w:t>
      </w:r>
      <w:r w:rsidR="00804B57">
        <w:rPr>
          <w:rFonts w:ascii="Times New Roman" w:hAnsi="Times New Roman"/>
          <w:sz w:val="24"/>
          <w:szCs w:val="24"/>
        </w:rPr>
        <w:t>. </w:t>
      </w:r>
      <w:r w:rsidRPr="00C173EB">
        <w:rPr>
          <w:rFonts w:ascii="Times New Roman" w:hAnsi="Times New Roman"/>
          <w:sz w:val="24"/>
          <w:szCs w:val="24"/>
        </w:rPr>
        <w:t xml:space="preserve">Springer Science+Business Media, LLC, New York.  </w:t>
      </w:r>
    </w:p>
    <w:p w:rsidR="000F7191" w:rsidRDefault="000F7191" w:rsidP="000F7191">
      <w:pPr>
        <w:pStyle w:val="NormalWeb"/>
        <w:spacing w:before="0" w:beforeAutospacing="0" w:after="0" w:afterAutospacing="0" w:line="240" w:lineRule="auto"/>
        <w:rPr>
          <w:rFonts w:ascii="Times New Roman" w:hAnsi="Times New Roman"/>
          <w:sz w:val="24"/>
          <w:szCs w:val="24"/>
        </w:rPr>
      </w:pPr>
    </w:p>
    <w:p w:rsidR="00F573AA" w:rsidRDefault="00F573AA">
      <w:r>
        <w:br w:type="page"/>
      </w:r>
    </w:p>
    <w:p w:rsidR="000F7191" w:rsidRDefault="000F7191" w:rsidP="000F7191">
      <w:r>
        <w:lastRenderedPageBreak/>
        <w:t>Manca, Joseph</w:t>
      </w:r>
    </w:p>
    <w:p w:rsidR="000F7191" w:rsidRDefault="000F7191" w:rsidP="000F7191">
      <w:r>
        <w:t>2012</w:t>
      </w:r>
      <w:r>
        <w:tab/>
      </w:r>
      <w:r w:rsidRPr="00EF2FB9">
        <w:rPr>
          <w:i/>
        </w:rPr>
        <w:t>George Washington’s Eye: Landscape, Architecture, and Design at Mount Vernon</w:t>
      </w:r>
      <w:r w:rsidR="00804B57">
        <w:t xml:space="preserve">. </w:t>
      </w:r>
      <w:r>
        <w:t>The Johns Hopkins University Press, Baltimore, MD.</w:t>
      </w:r>
    </w:p>
    <w:p w:rsidR="000F7191" w:rsidRDefault="000F7191" w:rsidP="000F7191"/>
    <w:p w:rsidR="000F7191" w:rsidRDefault="000F7191" w:rsidP="000F7191">
      <w:r>
        <w:t>Marsh, Gail</w:t>
      </w:r>
      <w:r>
        <w:br/>
        <w:t xml:space="preserve">2006   </w:t>
      </w:r>
      <w:r>
        <w:rPr>
          <w:rStyle w:val="Emphasis"/>
        </w:rPr>
        <w:t>18th Century Embroidery Techniques</w:t>
      </w:r>
      <w:r>
        <w:t>. Guild of Master Craftsman Publications, East Sussex, UK.</w:t>
      </w:r>
    </w:p>
    <w:p w:rsidR="000F7191" w:rsidRDefault="000F7191" w:rsidP="000F7191"/>
    <w:p w:rsidR="000F7191" w:rsidRDefault="000F7191" w:rsidP="000F7191">
      <w:r>
        <w:t>Martin, Ann Smart</w:t>
      </w:r>
    </w:p>
    <w:p w:rsidR="000F7191" w:rsidRDefault="000F7191" w:rsidP="000F7191">
      <w:r>
        <w:t>1993</w:t>
      </w:r>
      <w:r>
        <w:tab/>
      </w:r>
      <w:r w:rsidRPr="00A17BFF">
        <w:t>Buying into the World of Goods: Eighteenth-Century Consumerism from London to the Virginia Frontier.</w:t>
      </w:r>
      <w:r w:rsidR="00804B57">
        <w:t xml:space="preserve"> </w:t>
      </w:r>
      <w:r>
        <w:t>PhD Dissertation, Department of Anthropology, College of William and Mary, Williamsburg, VA.</w:t>
      </w:r>
    </w:p>
    <w:p w:rsidR="000F7191" w:rsidRDefault="000F7191" w:rsidP="000F7191">
      <w:r>
        <w:br/>
        <w:t xml:space="preserve">1994    “Fashionable Sugar Dishes, Latest Fashion Ware:” The Creamware Revolution in the </w:t>
      </w:r>
      <w:r w:rsidR="00804B57">
        <w:t>Eighteenth-Century Chesapeake. </w:t>
      </w:r>
      <w:r>
        <w:t xml:space="preserve">In </w:t>
      </w:r>
      <w:r>
        <w:rPr>
          <w:rStyle w:val="Emphasis"/>
        </w:rPr>
        <w:t>Historical Archaeology of the Chesapeake</w:t>
      </w:r>
      <w:r>
        <w:t>, Paul A. Shackel and Barbara J.</w:t>
      </w:r>
      <w:r w:rsidR="00804B57">
        <w:t xml:space="preserve"> Little, editors, pp. 169-187. </w:t>
      </w:r>
      <w:r>
        <w:t>Smithsonian Institution Press, Washington, DC.</w:t>
      </w:r>
    </w:p>
    <w:p w:rsidR="000F7191" w:rsidRDefault="000F7191" w:rsidP="000F7191"/>
    <w:p w:rsidR="000F7191" w:rsidRPr="00544273" w:rsidRDefault="000F7191" w:rsidP="000F7191">
      <w:r w:rsidRPr="00771D5C">
        <w:t>2008</w:t>
      </w:r>
      <w:r w:rsidRPr="00771D5C">
        <w:tab/>
      </w:r>
      <w:r w:rsidRPr="00771D5C">
        <w:rPr>
          <w:i/>
        </w:rPr>
        <w:t>Buying into the World of Goods: Early Consumers in Backcountry Virginia</w:t>
      </w:r>
      <w:r w:rsidR="00804B57">
        <w:t xml:space="preserve">. </w:t>
      </w:r>
      <w:r w:rsidRPr="00771D5C">
        <w:t>The John Hopkins University Press, Baltimore</w:t>
      </w:r>
      <w:r>
        <w:t>, MD</w:t>
      </w:r>
      <w:r w:rsidRPr="00771D5C">
        <w:t xml:space="preserve">.  </w:t>
      </w:r>
    </w:p>
    <w:p w:rsidR="0076173E" w:rsidRDefault="0076173E"/>
    <w:p w:rsidR="000F7191" w:rsidRDefault="000F7191" w:rsidP="000F7191">
      <w:r>
        <w:t>McClellan, Elisabeth</w:t>
      </w:r>
    </w:p>
    <w:p w:rsidR="000F7191" w:rsidRDefault="000F7191" w:rsidP="000F7191">
      <w:r>
        <w:t>1904</w:t>
      </w:r>
      <w:r>
        <w:tab/>
      </w:r>
      <w:r w:rsidRPr="002A5BFB">
        <w:rPr>
          <w:i/>
        </w:rPr>
        <w:t>Historic Dress in America, 1607-1800</w:t>
      </w:r>
      <w:r w:rsidR="00804B57">
        <w:t xml:space="preserve">. </w:t>
      </w:r>
      <w:r>
        <w:t>George W. Jacobs &amp; Company, Philadelphia.</w:t>
      </w:r>
    </w:p>
    <w:p w:rsidR="000F7191" w:rsidRDefault="000F7191" w:rsidP="000F7191"/>
    <w:p w:rsidR="000F7191" w:rsidRDefault="000F7191" w:rsidP="000F7191">
      <w:r>
        <w:t>McCracken, Grant</w:t>
      </w:r>
    </w:p>
    <w:p w:rsidR="000F7191" w:rsidRDefault="000F7191" w:rsidP="000F7191">
      <w:r>
        <w:t>1988</w:t>
      </w:r>
      <w:r>
        <w:tab/>
      </w:r>
      <w:r w:rsidRPr="004119A3">
        <w:rPr>
          <w:i/>
        </w:rPr>
        <w:t>Culture and Consumption: New Approaches to the Symbolic Character of Consumer Goods and Activities</w:t>
      </w:r>
      <w:r w:rsidR="00804B57">
        <w:t xml:space="preserve">. </w:t>
      </w:r>
      <w:r>
        <w:t>Indiana University Press, Bloomington.</w:t>
      </w:r>
    </w:p>
    <w:p w:rsidR="000F7191" w:rsidRDefault="000F7191" w:rsidP="000F7191">
      <w:pPr>
        <w:rPr>
          <w:rFonts w:eastAsia="Calibri"/>
        </w:rPr>
      </w:pPr>
    </w:p>
    <w:p w:rsidR="000F7191" w:rsidRDefault="000F7191" w:rsidP="000F7191">
      <w:pPr>
        <w:rPr>
          <w:rFonts w:eastAsia="Calibri"/>
        </w:rPr>
      </w:pPr>
      <w:r>
        <w:rPr>
          <w:rFonts w:eastAsia="Calibri"/>
        </w:rPr>
        <w:t>McKendrick, Neil, John Brewer, and J. H. Plumb</w:t>
      </w:r>
    </w:p>
    <w:p w:rsidR="000F7191" w:rsidRDefault="000F7191" w:rsidP="000F7191">
      <w:pPr>
        <w:rPr>
          <w:rFonts w:eastAsia="Calibri"/>
        </w:rPr>
      </w:pPr>
      <w:r>
        <w:rPr>
          <w:rFonts w:eastAsia="Calibri"/>
        </w:rPr>
        <w:t>1982</w:t>
      </w:r>
      <w:r>
        <w:rPr>
          <w:rFonts w:eastAsia="Calibri"/>
        </w:rPr>
        <w:tab/>
      </w:r>
      <w:r w:rsidRPr="00986659">
        <w:rPr>
          <w:rFonts w:eastAsia="Calibri"/>
          <w:i/>
        </w:rPr>
        <w:t xml:space="preserve">The Birth of a Consumer Society: The Commercialization of Eighteenth-Century </w:t>
      </w:r>
      <w:smartTag w:uri="urn:schemas-microsoft-com:office:smarttags" w:element="place">
        <w:smartTag w:uri="urn:schemas-microsoft-com:office:smarttags" w:element="country-region">
          <w:r w:rsidRPr="00986659">
            <w:rPr>
              <w:rFonts w:eastAsia="Calibri"/>
              <w:i/>
            </w:rPr>
            <w:t>England</w:t>
          </w:r>
        </w:smartTag>
      </w:smartTag>
      <w:r w:rsidR="00804B57">
        <w:rPr>
          <w:rFonts w:eastAsia="Calibri"/>
        </w:rPr>
        <w:t xml:space="preserve">. </w:t>
      </w:r>
      <w:r>
        <w:rPr>
          <w:rFonts w:eastAsia="Calibri"/>
        </w:rPr>
        <w:t xml:space="preserve">Indiana University Press, Bloomington. </w:t>
      </w:r>
    </w:p>
    <w:p w:rsidR="000F7191" w:rsidRDefault="000F7191" w:rsidP="000F7191">
      <w:pPr>
        <w:rPr>
          <w:rFonts w:eastAsia="Calibri"/>
        </w:rPr>
      </w:pPr>
    </w:p>
    <w:p w:rsidR="000F7191" w:rsidRDefault="000F7191" w:rsidP="000F7191">
      <w:r>
        <w:t>McKnight, Justine Woodward</w:t>
      </w:r>
      <w:r>
        <w:br/>
        <w:t xml:space="preserve">2012    </w:t>
      </w:r>
      <w:r w:rsidRPr="00B14847">
        <w:t>Report on the Analysis of Flotation and Waterscreen-recovered Archeobotanical Remains from the South Grove Midden</w:t>
      </w:r>
      <w:r>
        <w:t>, Mount Vernon, 44FX762/17: Cumulative Results of the 2011-2012 Laborat</w:t>
      </w:r>
      <w:r w:rsidR="00804B57">
        <w:t>ory Research Effort, March 12. </w:t>
      </w:r>
      <w:r>
        <w:t>Report to Mount Vernon Ladies’ Association, Mount Vernon, VA, from Justine Woodward McKnight, Archeobotanical Consultant, Severna Park, MD</w:t>
      </w:r>
    </w:p>
    <w:p w:rsidR="000F7191" w:rsidRDefault="000F7191" w:rsidP="000F7191"/>
    <w:p w:rsidR="000F7191" w:rsidRDefault="000F7191" w:rsidP="000F7191">
      <w:r>
        <w:t>McWilliams, James E.</w:t>
      </w:r>
    </w:p>
    <w:p w:rsidR="000F7191" w:rsidRDefault="000F7191" w:rsidP="000F7191">
      <w:r>
        <w:t>2005</w:t>
      </w:r>
      <w:r>
        <w:tab/>
      </w:r>
      <w:r w:rsidRPr="002A5BFB">
        <w:rPr>
          <w:i/>
        </w:rPr>
        <w:t>A Revolution in Eating: How the Quest for Food Shaped America</w:t>
      </w:r>
      <w:r w:rsidR="00804B57">
        <w:t xml:space="preserve">. </w:t>
      </w:r>
      <w:r>
        <w:t>Columbia University Press, New York.</w:t>
      </w:r>
    </w:p>
    <w:p w:rsidR="000F7191" w:rsidRDefault="000F7191" w:rsidP="000F7191"/>
    <w:p w:rsidR="000F7191" w:rsidRDefault="000F7191" w:rsidP="000F7191">
      <w:r>
        <w:t>Menard, Russell</w:t>
      </w:r>
    </w:p>
    <w:p w:rsidR="000F7191" w:rsidRDefault="000F7191" w:rsidP="000F7191">
      <w:r>
        <w:t>1997</w:t>
      </w:r>
      <w:r>
        <w:tab/>
        <w:t>Reckoning with Williams: “Capitalism and Slavery” and the Reconstruct</w:t>
      </w:r>
      <w:r w:rsidR="00804B57">
        <w:t xml:space="preserve">ion of Early American History. </w:t>
      </w:r>
      <w:r w:rsidRPr="00207978">
        <w:rPr>
          <w:i/>
        </w:rPr>
        <w:t>Callaloo</w:t>
      </w:r>
      <w:r>
        <w:t xml:space="preserve"> 20(4):791-799.</w:t>
      </w:r>
    </w:p>
    <w:p w:rsidR="000F7191" w:rsidRPr="000A0D40" w:rsidRDefault="000F7191" w:rsidP="000F7191"/>
    <w:p w:rsidR="000F7191" w:rsidRPr="000A0D40" w:rsidRDefault="000F7191" w:rsidP="000F7191">
      <w:pPr>
        <w:autoSpaceDE w:val="0"/>
        <w:autoSpaceDN w:val="0"/>
        <w:adjustRightInd w:val="0"/>
      </w:pPr>
      <w:r w:rsidRPr="000A0D40">
        <w:lastRenderedPageBreak/>
        <w:t>Mesick, Cohen, Waite Architects</w:t>
      </w:r>
    </w:p>
    <w:p w:rsidR="000F7191" w:rsidRPr="000A0D40" w:rsidRDefault="000F7191" w:rsidP="000F7191">
      <w:pPr>
        <w:autoSpaceDE w:val="0"/>
        <w:autoSpaceDN w:val="0"/>
        <w:adjustRightInd w:val="0"/>
      </w:pPr>
      <w:r w:rsidRPr="000A0D40">
        <w:t>1993</w:t>
      </w:r>
      <w:r w:rsidRPr="000A0D40">
        <w:tab/>
        <w:t>Mount Vernon Historic Structures Report, Volume 1. Prepared for the Mount Vernon Ladies Association, Mount Vernon, VA by Mesick, Cohen, Waite Architects, Albany, NY.</w:t>
      </w:r>
    </w:p>
    <w:p w:rsidR="000F7191" w:rsidRPr="00B645D4" w:rsidRDefault="000F7191" w:rsidP="000F7191"/>
    <w:p w:rsidR="000F7191" w:rsidRPr="00B645D4" w:rsidRDefault="000F7191" w:rsidP="000F7191">
      <w:pPr>
        <w:autoSpaceDE w:val="0"/>
        <w:autoSpaceDN w:val="0"/>
        <w:adjustRightInd w:val="0"/>
      </w:pPr>
      <w:r w:rsidRPr="00B645D4">
        <w:t>Miervaldis, Wendy</w:t>
      </w:r>
    </w:p>
    <w:p w:rsidR="000F7191" w:rsidRPr="00B645D4" w:rsidRDefault="000F7191" w:rsidP="000F7191">
      <w:pPr>
        <w:autoSpaceDE w:val="0"/>
        <w:autoSpaceDN w:val="0"/>
        <w:adjustRightInd w:val="0"/>
      </w:pPr>
      <w:r>
        <w:t>2012a</w:t>
      </w:r>
      <w:r>
        <w:tab/>
      </w:r>
      <w:r w:rsidRPr="00B645D4">
        <w:t>Summary of Bowl Capacity Calculations and Formulas to Date, revised February 26.</w:t>
      </w:r>
    </w:p>
    <w:p w:rsidR="000F7191" w:rsidRDefault="000F7191" w:rsidP="000F7191">
      <w:r w:rsidRPr="00B645D4">
        <w:t>Manuscript on file, Mount Vernon Archaeology Department, Mount Vernon, VA.</w:t>
      </w:r>
    </w:p>
    <w:p w:rsidR="000F7191" w:rsidRDefault="000F7191" w:rsidP="000F7191"/>
    <w:p w:rsidR="000F7191" w:rsidRPr="00B645D4" w:rsidRDefault="000F7191" w:rsidP="000F7191">
      <w:r>
        <w:t>2012b</w:t>
      </w:r>
      <w:r>
        <w:tab/>
        <w:t>Statistical Analysis of the Straight Pins Excavated at Mount Vernon’s South Grove Midden and Comparisons to the Straight Pins Excavated at Mount Vernon’</w:t>
      </w:r>
      <w:r w:rsidR="00603654">
        <w:t>s House for Families and DAACS.</w:t>
      </w:r>
      <w:r w:rsidRPr="00B32825">
        <w:t xml:space="preserve"> </w:t>
      </w:r>
      <w:r w:rsidRPr="00B645D4">
        <w:t>Manuscript on file, Mount Vernon Archaeology Department, Mount Vernon, VA.</w:t>
      </w:r>
      <w:r>
        <w:t xml:space="preserve">  </w:t>
      </w:r>
    </w:p>
    <w:p w:rsidR="000F7191" w:rsidRDefault="000F7191" w:rsidP="000F7191"/>
    <w:p w:rsidR="000F7191" w:rsidRPr="00AF6EB3" w:rsidRDefault="000F7191" w:rsidP="000F7191">
      <w:r w:rsidRPr="00AF6EB3">
        <w:t>Miles</w:t>
      </w:r>
      <w:r>
        <w:t>, D. W. H.</w:t>
      </w:r>
      <w:r w:rsidRPr="00AF6EB3">
        <w:t xml:space="preserve"> and </w:t>
      </w:r>
      <w:r>
        <w:t xml:space="preserve">M. J. </w:t>
      </w:r>
      <w:r w:rsidRPr="00AF6EB3">
        <w:t>Worthington</w:t>
      </w:r>
    </w:p>
    <w:p w:rsidR="000F7191" w:rsidRDefault="000F7191" w:rsidP="000F7191">
      <w:r w:rsidRPr="00AF6EB3">
        <w:t>2006</w:t>
      </w:r>
      <w:r w:rsidRPr="00AF6EB3">
        <w:tab/>
        <w:t xml:space="preserve">The Tree-Ring Dating of </w:t>
      </w:r>
      <w:r>
        <w:t>Timbers from the Mansion House C</w:t>
      </w:r>
      <w:r w:rsidRPr="00AF6EB3">
        <w:t>ellar,</w:t>
      </w:r>
      <w:r>
        <w:t xml:space="preserve"> </w:t>
      </w:r>
      <w:r w:rsidRPr="00AF6EB3">
        <w:t>Mount Vernon Estate and Gardens,</w:t>
      </w:r>
      <w:r>
        <w:t xml:space="preserve"> </w:t>
      </w:r>
      <w:r w:rsidRPr="00AF6EB3">
        <w:t>Fairfax County, Virginia</w:t>
      </w:r>
      <w:r w:rsidR="00603654">
        <w:t>.</w:t>
      </w:r>
      <w:r>
        <w:t xml:space="preserve"> Report to the Mount Vernon Ladies’ Association, Mount Vernon, VA from Oxford Dendrochronology Laboratory, South Oxfordshire, UK.</w:t>
      </w:r>
    </w:p>
    <w:p w:rsidR="000F7191" w:rsidRDefault="000F7191" w:rsidP="000F7191"/>
    <w:p w:rsidR="000F7191" w:rsidRDefault="000F7191" w:rsidP="000F7191">
      <w:pPr>
        <w:rPr>
          <w:rFonts w:eastAsia="Calibri"/>
        </w:rPr>
      </w:pPr>
      <w:r>
        <w:rPr>
          <w:rFonts w:eastAsia="Calibri"/>
        </w:rPr>
        <w:t>Miller, Daniel</w:t>
      </w:r>
    </w:p>
    <w:p w:rsidR="000F7191" w:rsidRDefault="000F7191" w:rsidP="000F7191">
      <w:pPr>
        <w:rPr>
          <w:rFonts w:eastAsia="Calibri"/>
        </w:rPr>
      </w:pPr>
      <w:r>
        <w:rPr>
          <w:rFonts w:eastAsia="Calibri"/>
        </w:rPr>
        <w:t>1987</w:t>
      </w:r>
      <w:r>
        <w:rPr>
          <w:rFonts w:eastAsia="Calibri"/>
        </w:rPr>
        <w:tab/>
      </w:r>
      <w:r w:rsidRPr="00223A14">
        <w:rPr>
          <w:rFonts w:eastAsia="Calibri"/>
          <w:i/>
        </w:rPr>
        <w:t>Material Culture and Mass Consumption</w:t>
      </w:r>
      <w:r w:rsidR="00603654">
        <w:rPr>
          <w:rFonts w:eastAsia="Calibri"/>
        </w:rPr>
        <w:t xml:space="preserve">. </w:t>
      </w:r>
      <w:r>
        <w:rPr>
          <w:rFonts w:eastAsia="Calibri"/>
        </w:rPr>
        <w:t>Basil Blackwell, Oxford, UK.</w:t>
      </w:r>
    </w:p>
    <w:p w:rsidR="000F7191" w:rsidRDefault="000F7191" w:rsidP="000F7191">
      <w:pPr>
        <w:rPr>
          <w:rFonts w:eastAsia="Calibri"/>
        </w:rPr>
      </w:pPr>
    </w:p>
    <w:p w:rsidR="000F7191" w:rsidRDefault="000F7191" w:rsidP="000F7191">
      <w:pPr>
        <w:rPr>
          <w:rFonts w:eastAsia="Calibri"/>
        </w:rPr>
      </w:pPr>
      <w:r>
        <w:rPr>
          <w:rFonts w:eastAsia="Calibri"/>
        </w:rPr>
        <w:t>Miller, George</w:t>
      </w:r>
    </w:p>
    <w:p w:rsidR="000F7191" w:rsidRDefault="000F7191" w:rsidP="000F7191">
      <w:pPr>
        <w:rPr>
          <w:rFonts w:eastAsia="Calibri"/>
        </w:rPr>
      </w:pPr>
      <w:r>
        <w:rPr>
          <w:rFonts w:eastAsia="Calibri"/>
        </w:rPr>
        <w:t>1980</w:t>
      </w:r>
      <w:r>
        <w:rPr>
          <w:rFonts w:eastAsia="Calibri"/>
        </w:rPr>
        <w:tab/>
        <w:t>Classification and Economic Scaling of 19</w:t>
      </w:r>
      <w:r w:rsidRPr="00E538D6">
        <w:rPr>
          <w:rFonts w:eastAsia="Calibri"/>
          <w:vertAlign w:val="superscript"/>
        </w:rPr>
        <w:t>th</w:t>
      </w:r>
      <w:r w:rsidR="00603654">
        <w:rPr>
          <w:rFonts w:eastAsia="Calibri"/>
        </w:rPr>
        <w:t xml:space="preserve"> Century Ceramics. </w:t>
      </w:r>
      <w:r w:rsidRPr="00E538D6">
        <w:rPr>
          <w:rFonts w:eastAsia="Calibri"/>
          <w:i/>
        </w:rPr>
        <w:t>Historical Archaeology</w:t>
      </w:r>
      <w:r>
        <w:rPr>
          <w:rFonts w:eastAsia="Calibri"/>
        </w:rPr>
        <w:t xml:space="preserve"> 14:1-40.</w:t>
      </w:r>
    </w:p>
    <w:p w:rsidR="000F7191" w:rsidRDefault="000F7191" w:rsidP="000F7191">
      <w:pPr>
        <w:rPr>
          <w:rFonts w:eastAsia="Calibri"/>
        </w:rPr>
      </w:pPr>
    </w:p>
    <w:p w:rsidR="000F7191" w:rsidRDefault="000F7191" w:rsidP="000F7191">
      <w:pPr>
        <w:rPr>
          <w:rFonts w:eastAsia="Calibri"/>
        </w:rPr>
      </w:pPr>
      <w:r>
        <w:rPr>
          <w:rFonts w:eastAsia="Calibri"/>
        </w:rPr>
        <w:t>1991</w:t>
      </w:r>
      <w:r>
        <w:rPr>
          <w:rFonts w:eastAsia="Calibri"/>
        </w:rPr>
        <w:tab/>
        <w:t>A Revised Set of CC Index Values for Classification and Economic Scaling of Engli</w:t>
      </w:r>
      <w:r w:rsidR="00603654">
        <w:rPr>
          <w:rFonts w:eastAsia="Calibri"/>
        </w:rPr>
        <w:t xml:space="preserve">sh Ceramics from 1787 to 1880. </w:t>
      </w:r>
      <w:r w:rsidRPr="00E538D6">
        <w:rPr>
          <w:rFonts w:eastAsia="Calibri"/>
          <w:i/>
        </w:rPr>
        <w:t>Historical Archaeology</w:t>
      </w:r>
      <w:r>
        <w:rPr>
          <w:rFonts w:eastAsia="Calibri"/>
        </w:rPr>
        <w:t xml:space="preserve"> 25(1):1-25.</w:t>
      </w:r>
    </w:p>
    <w:p w:rsidR="000F7191" w:rsidRDefault="000F7191" w:rsidP="000F7191">
      <w:pPr>
        <w:rPr>
          <w:rFonts w:eastAsia="Calibri"/>
        </w:rPr>
      </w:pPr>
    </w:p>
    <w:p w:rsidR="00E4380E" w:rsidRDefault="00E4380E" w:rsidP="000F7191">
      <w:pPr>
        <w:rPr>
          <w:rFonts w:eastAsia="Calibri"/>
        </w:rPr>
      </w:pPr>
      <w:r>
        <w:rPr>
          <w:rFonts w:eastAsia="Calibri"/>
        </w:rPr>
        <w:t>Miller, George L. and Silas D. Hurry</w:t>
      </w:r>
    </w:p>
    <w:p w:rsidR="00E4380E" w:rsidRDefault="00E4380E" w:rsidP="000F7191">
      <w:pPr>
        <w:rPr>
          <w:rFonts w:eastAsia="Calibri"/>
        </w:rPr>
      </w:pPr>
      <w:r>
        <w:rPr>
          <w:rFonts w:eastAsia="Calibri"/>
        </w:rPr>
        <w:t>1983</w:t>
      </w:r>
      <w:r>
        <w:rPr>
          <w:rFonts w:eastAsia="Calibri"/>
        </w:rPr>
        <w:tab/>
        <w:t>Ceramic Supply in an Economically Isolated Frontier Community: Portage County of the Oh</w:t>
      </w:r>
      <w:r w:rsidR="00603654">
        <w:rPr>
          <w:rFonts w:eastAsia="Calibri"/>
        </w:rPr>
        <w:t xml:space="preserve">io Western Reserve, 1800-1825. </w:t>
      </w:r>
      <w:r w:rsidRPr="00E4380E">
        <w:rPr>
          <w:rFonts w:eastAsia="Calibri"/>
          <w:i/>
        </w:rPr>
        <w:t>Historical Archaeology</w:t>
      </w:r>
      <w:r>
        <w:rPr>
          <w:rFonts w:eastAsia="Calibri"/>
        </w:rPr>
        <w:t xml:space="preserve"> 17(2):80-92.</w:t>
      </w:r>
    </w:p>
    <w:p w:rsidR="00E4380E" w:rsidRDefault="00E4380E" w:rsidP="000F7191">
      <w:pPr>
        <w:rPr>
          <w:rFonts w:eastAsia="Calibri"/>
        </w:rPr>
      </w:pPr>
    </w:p>
    <w:p w:rsidR="000F7191" w:rsidRDefault="000F7191" w:rsidP="000F7191">
      <w:pPr>
        <w:rPr>
          <w:rFonts w:eastAsia="Calibri"/>
        </w:rPr>
      </w:pPr>
      <w:r>
        <w:rPr>
          <w:rFonts w:eastAsia="Calibri"/>
        </w:rPr>
        <w:t>Moreland, John</w:t>
      </w:r>
    </w:p>
    <w:p w:rsidR="000F7191" w:rsidRDefault="000F7191" w:rsidP="000F7191">
      <w:pPr>
        <w:rPr>
          <w:rFonts w:eastAsia="Calibri"/>
        </w:rPr>
      </w:pPr>
      <w:r>
        <w:rPr>
          <w:rFonts w:eastAsia="Calibri"/>
        </w:rPr>
        <w:t>2001</w:t>
      </w:r>
      <w:r>
        <w:rPr>
          <w:rFonts w:eastAsia="Calibri"/>
        </w:rPr>
        <w:tab/>
      </w:r>
      <w:r w:rsidRPr="00397353">
        <w:rPr>
          <w:rFonts w:eastAsia="Calibri"/>
          <w:i/>
        </w:rPr>
        <w:t>Archaeology and Text</w:t>
      </w:r>
      <w:r w:rsidR="00603654">
        <w:rPr>
          <w:rFonts w:eastAsia="Calibri"/>
        </w:rPr>
        <w:t xml:space="preserve">. </w:t>
      </w:r>
      <w:r>
        <w:rPr>
          <w:rFonts w:eastAsia="Calibri"/>
        </w:rPr>
        <w:t>Duckworth Publishing, London, UK.</w:t>
      </w:r>
    </w:p>
    <w:p w:rsidR="000F7191" w:rsidRDefault="000F7191" w:rsidP="000F7191">
      <w:pPr>
        <w:rPr>
          <w:rFonts w:eastAsia="Calibri"/>
        </w:rPr>
      </w:pPr>
    </w:p>
    <w:p w:rsidR="000F7191" w:rsidRDefault="000F7191" w:rsidP="000F7191">
      <w:pPr>
        <w:rPr>
          <w:rFonts w:eastAsia="Calibri"/>
        </w:rPr>
      </w:pPr>
      <w:r>
        <w:rPr>
          <w:rFonts w:eastAsia="Calibri"/>
        </w:rPr>
        <w:t>Morgan, Philip D.</w:t>
      </w:r>
    </w:p>
    <w:p w:rsidR="000F7191" w:rsidRDefault="000F7191" w:rsidP="000F7191">
      <w:pPr>
        <w:autoSpaceDE w:val="0"/>
        <w:autoSpaceDN w:val="0"/>
        <w:adjustRightInd w:val="0"/>
      </w:pPr>
      <w:r>
        <w:t>1997</w:t>
      </w:r>
      <w:r>
        <w:tab/>
        <w:t>The Cultural Implications of the Atlantic Slave Trade: African Regional Origins, American Destination</w:t>
      </w:r>
      <w:r w:rsidR="00603654">
        <w:t xml:space="preserve">s, and New World Developments. </w:t>
      </w:r>
      <w:r w:rsidRPr="00587836">
        <w:rPr>
          <w:i/>
        </w:rPr>
        <w:t>Slavery and Abolition</w:t>
      </w:r>
      <w:r>
        <w:t xml:space="preserve"> 18(1):112-145.</w:t>
      </w:r>
    </w:p>
    <w:p w:rsidR="000F7191" w:rsidRDefault="000F7191" w:rsidP="000F7191">
      <w:pPr>
        <w:autoSpaceDE w:val="0"/>
        <w:autoSpaceDN w:val="0"/>
        <w:adjustRightInd w:val="0"/>
      </w:pPr>
    </w:p>
    <w:p w:rsidR="000F7191" w:rsidRDefault="000F7191" w:rsidP="000F7191">
      <w:pPr>
        <w:autoSpaceDE w:val="0"/>
        <w:autoSpaceDN w:val="0"/>
        <w:adjustRightInd w:val="0"/>
        <w:rPr>
          <w:i/>
          <w:iCs/>
        </w:rPr>
      </w:pPr>
      <w:r>
        <w:t>1998</w:t>
      </w:r>
      <w:r>
        <w:tab/>
      </w:r>
      <w:r>
        <w:rPr>
          <w:i/>
          <w:iCs/>
        </w:rPr>
        <w:t>Slave Counterpoint: Black Culture in the Eighteenth-Century Chesapeake and</w:t>
      </w:r>
    </w:p>
    <w:p w:rsidR="000F7191" w:rsidRDefault="000F7191" w:rsidP="000F7191">
      <w:pPr>
        <w:ind w:left="360" w:hanging="360"/>
      </w:pPr>
      <w:r>
        <w:rPr>
          <w:i/>
          <w:iCs/>
        </w:rPr>
        <w:t>Lowcountry</w:t>
      </w:r>
      <w:r>
        <w:t>. University of North Carolina Press, Chapel Hill.</w:t>
      </w:r>
    </w:p>
    <w:p w:rsidR="000F7191" w:rsidRDefault="000F7191" w:rsidP="000F7191">
      <w:pPr>
        <w:rPr>
          <w:rFonts w:eastAsia="Calibri"/>
        </w:rPr>
      </w:pPr>
    </w:p>
    <w:p w:rsidR="000F7191" w:rsidRDefault="000F7191" w:rsidP="000F7191">
      <w:pPr>
        <w:rPr>
          <w:rFonts w:eastAsia="Calibri"/>
        </w:rPr>
      </w:pPr>
      <w:r>
        <w:rPr>
          <w:rFonts w:eastAsia="Calibri"/>
        </w:rPr>
        <w:t>Morgan, Philip D. and Michael L. Nicholls</w:t>
      </w:r>
    </w:p>
    <w:p w:rsidR="000F7191" w:rsidRDefault="000F7191" w:rsidP="000F7191">
      <w:pPr>
        <w:rPr>
          <w:rFonts w:eastAsia="Calibri"/>
        </w:rPr>
      </w:pPr>
      <w:r>
        <w:rPr>
          <w:rFonts w:eastAsia="Calibri"/>
        </w:rPr>
        <w:t>1989</w:t>
      </w:r>
      <w:r>
        <w:rPr>
          <w:rFonts w:eastAsia="Calibri"/>
        </w:rPr>
        <w:tab/>
        <w:t>Slaves in</w:t>
      </w:r>
      <w:r w:rsidR="00603654">
        <w:rPr>
          <w:rFonts w:eastAsia="Calibri"/>
        </w:rPr>
        <w:t xml:space="preserve"> Piedmont Virginia, 1720-1790. </w:t>
      </w:r>
      <w:r w:rsidRPr="006633C2">
        <w:rPr>
          <w:rFonts w:eastAsia="Calibri"/>
          <w:i/>
        </w:rPr>
        <w:t>The William and Mary Quarterly</w:t>
      </w:r>
      <w:r>
        <w:rPr>
          <w:rFonts w:eastAsia="Calibri"/>
        </w:rPr>
        <w:t xml:space="preserve"> 46(2):212-251.</w:t>
      </w:r>
    </w:p>
    <w:p w:rsidR="000F7191" w:rsidRDefault="000F7191" w:rsidP="000F7191">
      <w:pPr>
        <w:rPr>
          <w:rFonts w:eastAsia="Calibri"/>
        </w:rPr>
      </w:pPr>
    </w:p>
    <w:p w:rsidR="00AE3A1E" w:rsidRDefault="00AE3A1E" w:rsidP="000F7191">
      <w:r>
        <w:rPr>
          <w:rFonts w:eastAsia="Calibri"/>
        </w:rPr>
        <w:lastRenderedPageBreak/>
        <w:t xml:space="preserve">Mouer, Daniel L., Mary Ellen N. Hodges, Stephen R. Potter, Susan L. Henry Renaud, Ivor </w:t>
      </w:r>
      <w:r>
        <w:t>Noël Hume, Dennis J. Pogue, Martha W. McCartney, and Thomas E. Davidson</w:t>
      </w:r>
    </w:p>
    <w:p w:rsidR="00AE3A1E" w:rsidRDefault="00AE3A1E" w:rsidP="000F7191">
      <w:pPr>
        <w:rPr>
          <w:rFonts w:eastAsia="Calibri"/>
        </w:rPr>
      </w:pPr>
      <w:r>
        <w:t>1999</w:t>
      </w:r>
      <w:r>
        <w:tab/>
        <w:t>Colonoware Pottery, Chesapeake Pipes,</w:t>
      </w:r>
      <w:r w:rsidR="00603654">
        <w:t xml:space="preserve"> and “Uncritical Assumptions.” </w:t>
      </w:r>
      <w:r>
        <w:t xml:space="preserve">In </w:t>
      </w:r>
      <w:r w:rsidRPr="00AE3A1E">
        <w:rPr>
          <w:i/>
        </w:rPr>
        <w:t>I, Too, Am America: Archaeological Studies of African-American Life</w:t>
      </w:r>
      <w:r>
        <w:t xml:space="preserve">, Theresa A. </w:t>
      </w:r>
      <w:r w:rsidR="00603654">
        <w:t xml:space="preserve">Singleton, editor, pp. 83-115. </w:t>
      </w:r>
      <w:r>
        <w:t>University Press of Virginia, Charlottesville.</w:t>
      </w:r>
    </w:p>
    <w:p w:rsidR="00AE3A1E" w:rsidRDefault="00AE3A1E" w:rsidP="000F7191">
      <w:pPr>
        <w:rPr>
          <w:rFonts w:eastAsia="Calibri"/>
        </w:rPr>
      </w:pPr>
    </w:p>
    <w:p w:rsidR="000F7191" w:rsidRDefault="000F7191" w:rsidP="000F7191">
      <w:pPr>
        <w:rPr>
          <w:rFonts w:eastAsia="Calibri"/>
        </w:rPr>
      </w:pPr>
      <w:r>
        <w:rPr>
          <w:rFonts w:eastAsia="Calibri"/>
        </w:rPr>
        <w:t>Mount Vernon Archaeology Department</w:t>
      </w:r>
    </w:p>
    <w:p w:rsidR="000F7191" w:rsidRDefault="000F7191" w:rsidP="000F7191">
      <w:pPr>
        <w:rPr>
          <w:rFonts w:eastAsia="Calibri"/>
        </w:rPr>
      </w:pPr>
      <w:r w:rsidRPr="00113BB1">
        <w:rPr>
          <w:rFonts w:eastAsia="Calibri"/>
        </w:rPr>
        <w:t>1991</w:t>
      </w:r>
      <w:r>
        <w:rPr>
          <w:rFonts w:eastAsia="Calibri"/>
        </w:rPr>
        <w:tab/>
        <w:t>Mount Vernon Ar</w:t>
      </w:r>
      <w:r w:rsidR="00603654">
        <w:rPr>
          <w:rFonts w:eastAsia="Calibri"/>
        </w:rPr>
        <w:t xml:space="preserve">chaeology Program Description. </w:t>
      </w:r>
      <w:r>
        <w:rPr>
          <w:rFonts w:eastAsia="Calibri"/>
        </w:rPr>
        <w:t>Mount Vernon Ladies’ Association, Mount Vernon, VA.</w:t>
      </w:r>
    </w:p>
    <w:p w:rsidR="000F7191" w:rsidRDefault="000F7191" w:rsidP="000F7191">
      <w:pPr>
        <w:rPr>
          <w:rFonts w:eastAsia="Calibri"/>
        </w:rPr>
      </w:pPr>
    </w:p>
    <w:p w:rsidR="000F7191" w:rsidRDefault="000F7191" w:rsidP="000F7191">
      <w:pPr>
        <w:rPr>
          <w:rFonts w:eastAsia="Calibri"/>
        </w:rPr>
      </w:pPr>
      <w:r>
        <w:rPr>
          <w:rFonts w:eastAsia="Calibri"/>
        </w:rPr>
        <w:t>1996</w:t>
      </w:r>
      <w:r>
        <w:rPr>
          <w:rFonts w:eastAsia="Calibri"/>
        </w:rPr>
        <w:tab/>
        <w:t>Field Records for Mansion Drain Proje</w:t>
      </w:r>
      <w:r w:rsidR="00603654">
        <w:rPr>
          <w:rFonts w:eastAsia="Calibri"/>
        </w:rPr>
        <w:t xml:space="preserve">ct (44FX762/49) Test Unit 123. </w:t>
      </w:r>
      <w:r>
        <w:rPr>
          <w:rFonts w:eastAsia="Calibri"/>
        </w:rPr>
        <w:t xml:space="preserve">Mount Vernon Ladies’ Association, Mount Vernon, VA.    </w:t>
      </w:r>
    </w:p>
    <w:p w:rsidR="000F7191" w:rsidRDefault="000F7191" w:rsidP="000F7191">
      <w:pPr>
        <w:rPr>
          <w:rFonts w:eastAsia="Calibri"/>
        </w:rPr>
      </w:pPr>
    </w:p>
    <w:p w:rsidR="000F7191" w:rsidRDefault="000F7191" w:rsidP="000F7191">
      <w:pPr>
        <w:rPr>
          <w:rFonts w:eastAsia="Calibri"/>
        </w:rPr>
      </w:pPr>
      <w:r>
        <w:rPr>
          <w:rFonts w:eastAsia="Calibri"/>
        </w:rPr>
        <w:t>1997a</w:t>
      </w:r>
      <w:r>
        <w:rPr>
          <w:rFonts w:eastAsia="Calibri"/>
        </w:rPr>
        <w:tab/>
        <w:t>George Washington Inventory Project</w:t>
      </w:r>
      <w:r w:rsidR="00603654">
        <w:rPr>
          <w:rFonts w:eastAsia="Calibri"/>
        </w:rPr>
        <w:t xml:space="preserve"> Cataloguer’s Manual, April 7. </w:t>
      </w:r>
      <w:r>
        <w:rPr>
          <w:rFonts w:eastAsia="Calibri"/>
        </w:rPr>
        <w:t xml:space="preserve">Mount Vernon Ladies’ Association, Mount Vernon, VA.  </w:t>
      </w:r>
    </w:p>
    <w:p w:rsidR="000F7191" w:rsidRDefault="000F7191" w:rsidP="000F7191">
      <w:pPr>
        <w:rPr>
          <w:rFonts w:eastAsia="Calibri"/>
        </w:rPr>
      </w:pPr>
    </w:p>
    <w:p w:rsidR="000F7191" w:rsidRDefault="000F7191" w:rsidP="000F7191">
      <w:pPr>
        <w:rPr>
          <w:rFonts w:eastAsia="Calibri"/>
        </w:rPr>
      </w:pPr>
      <w:r>
        <w:rPr>
          <w:rFonts w:eastAsia="Calibri"/>
        </w:rPr>
        <w:t>1997b</w:t>
      </w:r>
      <w:r>
        <w:rPr>
          <w:rFonts w:eastAsia="Calibri"/>
        </w:rPr>
        <w:tab/>
        <w:t xml:space="preserve">Summary of the </w:t>
      </w:r>
      <w:r w:rsidR="00603654">
        <w:rPr>
          <w:rFonts w:eastAsia="Calibri"/>
        </w:rPr>
        <w:t xml:space="preserve">GW Database Project, April 14. </w:t>
      </w:r>
      <w:r>
        <w:rPr>
          <w:rFonts w:eastAsia="Calibri"/>
        </w:rPr>
        <w:t>Memorandum, Mount Vernon Ladies’ Association, Mount Vernon, VA.</w:t>
      </w:r>
    </w:p>
    <w:p w:rsidR="000F7191" w:rsidRDefault="000F7191" w:rsidP="000F7191">
      <w:pPr>
        <w:rPr>
          <w:rFonts w:eastAsia="Calibri"/>
        </w:rPr>
      </w:pPr>
    </w:p>
    <w:p w:rsidR="000F7191" w:rsidRDefault="000F7191" w:rsidP="000F7191">
      <w:r>
        <w:t>2012a</w:t>
      </w:r>
      <w:r>
        <w:tab/>
        <w:t>George Washingto</w:t>
      </w:r>
      <w:r w:rsidR="00603654">
        <w:t>n Invoices and Orders Project. </w:t>
      </w:r>
      <w:r>
        <w:t xml:space="preserve">Mount Vernon Ladies’ </w:t>
      </w:r>
      <w:r w:rsidR="00603654">
        <w:t>Association, Mount Vernon, VA. </w:t>
      </w:r>
      <w:r>
        <w:t>&lt;</w:t>
      </w:r>
      <w:r w:rsidRPr="00E569C8">
        <w:t>http://www.mountvernonmidden.org/data/searchI.html</w:t>
      </w:r>
      <w:r w:rsidR="00603654">
        <w:t>&gt;. </w:t>
      </w:r>
      <w:r>
        <w:t>Accessed 26 January 2013.</w:t>
      </w:r>
    </w:p>
    <w:p w:rsidR="000F7191" w:rsidRDefault="000F7191" w:rsidP="000F7191">
      <w:r>
        <w:br/>
        <w:t>2012b</w:t>
      </w:r>
      <w:r>
        <w:tab/>
        <w:t>Alexander Henderson's Colchester Scheme of Goods Project. Mount Vernon Ladies' Association, Mount Vernon, VA. &lt;http://www.mountvernonmidden.org/data/henderson.html&gt;. Accessed 26 January 2013.</w:t>
      </w:r>
    </w:p>
    <w:p w:rsidR="000F7191" w:rsidRDefault="000F7191" w:rsidP="000F7191"/>
    <w:p w:rsidR="000F7191" w:rsidRDefault="000F7191" w:rsidP="000F7191">
      <w:r>
        <w:t>Mount Vernon Glassford and Henderson Transcription Project</w:t>
      </w:r>
    </w:p>
    <w:p w:rsidR="000F7191" w:rsidRDefault="000F7191" w:rsidP="000F7191">
      <w:r>
        <w:t>2012</w:t>
      </w:r>
      <w:r>
        <w:tab/>
        <w:t>Transcription Manual: Alexandria and Colchester Store Accounts of John Glassford and Alex</w:t>
      </w:r>
      <w:r w:rsidR="00603654">
        <w:t xml:space="preserve">ander Henderson, September 14. </w:t>
      </w:r>
      <w:r>
        <w:t>Mount Vernon Archaeology Department, Mount Vernon, VA.</w:t>
      </w:r>
    </w:p>
    <w:p w:rsidR="000F7191" w:rsidRDefault="000F7191" w:rsidP="000F7191"/>
    <w:p w:rsidR="000F7191" w:rsidRDefault="000F7191" w:rsidP="000F7191">
      <w:r>
        <w:t>Mount Vernon Ladies’ Association</w:t>
      </w:r>
    </w:p>
    <w:p w:rsidR="000F7191" w:rsidRDefault="000F7191" w:rsidP="000F7191">
      <w:r>
        <w:t>1764</w:t>
      </w:r>
      <w:r w:rsidR="00603654">
        <w:t>-1769  Alexandria Store Ledger.</w:t>
      </w:r>
      <w:r>
        <w:t xml:space="preserve"> John Glassford and Company Records, Microfilm, Mount Vernon Library, Mount Vernon, VA.  </w:t>
      </w:r>
    </w:p>
    <w:p w:rsidR="000F7191" w:rsidRDefault="000F7191" w:rsidP="000F7191"/>
    <w:p w:rsidR="000F7191" w:rsidRDefault="000F7191" w:rsidP="000F7191">
      <w:r>
        <w:t>1774</w:t>
      </w:r>
      <w:r>
        <w:tab/>
      </w:r>
      <w:r w:rsidRPr="00C92E66">
        <w:t>Inventory of Furniture Bought by George Washington at Belvoir Sale, 1774 August 15.</w:t>
      </w:r>
      <w:r w:rsidR="00603654">
        <w:t xml:space="preserve"> </w:t>
      </w:r>
      <w:r w:rsidRPr="00C92E66">
        <w:t>Reproduction, Mount Vernon Ladies' Association, Mount Vernon, VA.</w:t>
      </w:r>
    </w:p>
    <w:p w:rsidR="000F7191" w:rsidRDefault="000F7191" w:rsidP="000F7191">
      <w:r>
        <w:br/>
        <w:t xml:space="preserve">1963    </w:t>
      </w:r>
      <w:r>
        <w:rPr>
          <w:rStyle w:val="Emphasis"/>
        </w:rPr>
        <w:t>General Washington’s Military Equipment</w:t>
      </w:r>
      <w:r>
        <w:t>.</w:t>
      </w:r>
      <w:r w:rsidR="00603654">
        <w:t> </w:t>
      </w:r>
      <w:r>
        <w:t>Mount Vernon Ladies’ Association, Mount Vernon, VA. </w:t>
      </w:r>
    </w:p>
    <w:p w:rsidR="000F7191" w:rsidRDefault="000F7191" w:rsidP="000F7191"/>
    <w:p w:rsidR="00603654" w:rsidRDefault="00603654" w:rsidP="000F7191">
      <w:pPr>
        <w:autoSpaceDE w:val="0"/>
        <w:autoSpaceDN w:val="0"/>
        <w:adjustRightInd w:val="0"/>
      </w:pPr>
      <w:r>
        <w:t>2009</w:t>
      </w:r>
      <w:r>
        <w:tab/>
        <w:t xml:space="preserve">Fireback, 1787. </w:t>
      </w:r>
      <w:r w:rsidR="000F7191">
        <w:t>E-museum, Mount Vernon Ladies’</w:t>
      </w:r>
      <w:r>
        <w:t xml:space="preserve"> Association, Mount Vernon, VA.</w:t>
      </w:r>
      <w:r w:rsidR="000F7191">
        <w:t xml:space="preserve"> </w:t>
      </w:r>
    </w:p>
    <w:p w:rsidR="000F7191" w:rsidRDefault="000F7191" w:rsidP="000F7191">
      <w:pPr>
        <w:autoSpaceDE w:val="0"/>
        <w:autoSpaceDN w:val="0"/>
        <w:adjustRightInd w:val="0"/>
      </w:pPr>
      <w:r>
        <w:t>&lt;</w:t>
      </w:r>
      <w:r w:rsidRPr="009779DC">
        <w:t>http://emuseum.mountvernon.org/code/emuseum.asp?style=single&amp;currentrecord=26&amp;page=search&amp;profile=objects&amp;searchdesc=hard&amp;quicksearch=hard&amp;sessionid=141C6906-9F4B-44FB-9F3D-CE9979509197&amp;action=quicksearch&amp;currentrecord=25</w:t>
      </w:r>
      <w:r w:rsidR="00603654">
        <w:t xml:space="preserve">&gt;. </w:t>
      </w:r>
      <w:r>
        <w:t>Accessed 27 July 2013.</w:t>
      </w:r>
    </w:p>
    <w:p w:rsidR="000F7191" w:rsidRPr="00226893" w:rsidRDefault="000F7191" w:rsidP="000F7191">
      <w:pPr>
        <w:autoSpaceDE w:val="0"/>
        <w:autoSpaceDN w:val="0"/>
        <w:adjustRightInd w:val="0"/>
      </w:pPr>
      <w:r w:rsidRPr="00226893">
        <w:lastRenderedPageBreak/>
        <w:t>Moxham, Robert M.</w:t>
      </w:r>
    </w:p>
    <w:p w:rsidR="000F7191" w:rsidRPr="00226893" w:rsidRDefault="000F7191" w:rsidP="000F7191">
      <w:pPr>
        <w:autoSpaceDE w:val="0"/>
        <w:autoSpaceDN w:val="0"/>
        <w:adjustRightInd w:val="0"/>
      </w:pPr>
      <w:r>
        <w:t>1976</w:t>
      </w:r>
      <w:r>
        <w:tab/>
      </w:r>
      <w:r w:rsidRPr="00226893">
        <w:rPr>
          <w:i/>
          <w:iCs/>
        </w:rPr>
        <w:t>The First Hundred Years at Mount Vernon, 1653-1753</w:t>
      </w:r>
      <w:r w:rsidRPr="00226893">
        <w:t>. Colonial Press, North Springfield, VA.</w:t>
      </w:r>
    </w:p>
    <w:p w:rsidR="000F7191" w:rsidRDefault="000F7191" w:rsidP="000F7191">
      <w:pPr>
        <w:rPr>
          <w:rFonts w:ascii="Times-Roman" w:hAnsi="Times-Roman" w:cs="Times-Roman"/>
        </w:rPr>
      </w:pPr>
    </w:p>
    <w:p w:rsidR="000F7191" w:rsidRPr="00B32825" w:rsidRDefault="000F7191" w:rsidP="000F7191">
      <w:pPr>
        <w:rPr>
          <w:rFonts w:eastAsia="Times New Roman"/>
        </w:rPr>
      </w:pPr>
      <w:r w:rsidRPr="00B32825">
        <w:rPr>
          <w:rFonts w:eastAsia="Times New Roman"/>
        </w:rPr>
        <w:t xml:space="preserve">Mrozowski, Stephen A. </w:t>
      </w:r>
    </w:p>
    <w:p w:rsidR="000F7191" w:rsidRPr="00B32825" w:rsidRDefault="000F7191" w:rsidP="000F7191">
      <w:pPr>
        <w:rPr>
          <w:rFonts w:eastAsia="Times New Roman"/>
        </w:rPr>
      </w:pPr>
      <w:r w:rsidRPr="00B32825">
        <w:rPr>
          <w:rFonts w:eastAsia="Times New Roman"/>
        </w:rPr>
        <w:t>2006</w:t>
      </w:r>
      <w:r w:rsidRPr="00B32825">
        <w:rPr>
          <w:rFonts w:eastAsia="Times New Roman"/>
        </w:rPr>
        <w:tab/>
      </w:r>
      <w:r w:rsidRPr="00B32825">
        <w:rPr>
          <w:rFonts w:eastAsia="Times New Roman"/>
          <w:i/>
        </w:rPr>
        <w:t>The Archaeology of Class in Urban America.</w:t>
      </w:r>
      <w:r w:rsidR="00603654">
        <w:rPr>
          <w:rFonts w:eastAsia="Times New Roman"/>
        </w:rPr>
        <w:t xml:space="preserve"> </w:t>
      </w:r>
      <w:r w:rsidRPr="00B32825">
        <w:rPr>
          <w:rFonts w:eastAsia="Times New Roman"/>
        </w:rPr>
        <w:t>Cambridge University, New York, NY.</w:t>
      </w:r>
    </w:p>
    <w:p w:rsidR="000F7191" w:rsidRPr="00B32825" w:rsidRDefault="000F7191" w:rsidP="000F7191">
      <w:pPr>
        <w:rPr>
          <w:rFonts w:eastAsia="Calibri"/>
        </w:rPr>
      </w:pPr>
    </w:p>
    <w:p w:rsidR="000F7191" w:rsidRPr="0039640B" w:rsidRDefault="000F7191" w:rsidP="000F7191">
      <w:pPr>
        <w:rPr>
          <w:rFonts w:eastAsia="Calibri"/>
        </w:rPr>
      </w:pPr>
      <w:r w:rsidRPr="0039640B">
        <w:rPr>
          <w:rFonts w:eastAsia="Calibri"/>
        </w:rPr>
        <w:t>Mullins, Paul R.</w:t>
      </w:r>
    </w:p>
    <w:p w:rsidR="000F7191" w:rsidRDefault="000F7191" w:rsidP="000F7191">
      <w:pPr>
        <w:rPr>
          <w:rFonts w:eastAsia="Calibri"/>
        </w:rPr>
      </w:pPr>
      <w:r>
        <w:rPr>
          <w:rFonts w:eastAsia="Calibri"/>
        </w:rPr>
        <w:t>1996</w:t>
      </w:r>
      <w:r>
        <w:rPr>
          <w:rFonts w:eastAsia="Calibri"/>
        </w:rPr>
        <w:tab/>
        <w:t>The Contradictions of Consumption: An Archaeology of African America an</w:t>
      </w:r>
      <w:r w:rsidR="00603654">
        <w:rPr>
          <w:rFonts w:eastAsia="Calibri"/>
        </w:rPr>
        <w:t xml:space="preserve">d Consumer Culture, 1850-1930. </w:t>
      </w:r>
      <w:r>
        <w:rPr>
          <w:rFonts w:eastAsia="Calibri"/>
        </w:rPr>
        <w:t xml:space="preserve">Doctoral dissertation, Department of Anthropology, University of Massachusetts, Amherst. </w:t>
      </w:r>
    </w:p>
    <w:p w:rsidR="000F7191" w:rsidRDefault="000F7191" w:rsidP="000F7191">
      <w:pPr>
        <w:rPr>
          <w:rFonts w:eastAsia="Calibri"/>
        </w:rPr>
      </w:pPr>
    </w:p>
    <w:p w:rsidR="000F7191" w:rsidRDefault="000F7191" w:rsidP="000F7191">
      <w:pPr>
        <w:rPr>
          <w:rFonts w:eastAsia="Calibri"/>
        </w:rPr>
      </w:pPr>
      <w:r>
        <w:rPr>
          <w:rFonts w:eastAsia="Calibri"/>
        </w:rPr>
        <w:t>1999</w:t>
      </w:r>
      <w:r>
        <w:rPr>
          <w:rFonts w:eastAsia="Calibri"/>
        </w:rPr>
        <w:tab/>
        <w:t>Race and the Genteel Consumer: Class and African-Am</w:t>
      </w:r>
      <w:r w:rsidR="00603654">
        <w:rPr>
          <w:rFonts w:eastAsia="Calibri"/>
        </w:rPr>
        <w:t xml:space="preserve">erican Consumption, 1850-1930. </w:t>
      </w:r>
      <w:r w:rsidRPr="00CC2A8B">
        <w:rPr>
          <w:rFonts w:eastAsia="Calibri"/>
          <w:i/>
        </w:rPr>
        <w:t>Historical Archaeology</w:t>
      </w:r>
      <w:r>
        <w:rPr>
          <w:rFonts w:eastAsia="Calibri"/>
        </w:rPr>
        <w:t xml:space="preserve"> 33(1):22-38.</w:t>
      </w:r>
    </w:p>
    <w:p w:rsidR="000F7191" w:rsidRDefault="000F7191" w:rsidP="000F7191">
      <w:pPr>
        <w:rPr>
          <w:rFonts w:eastAsia="Calibri"/>
        </w:rPr>
      </w:pPr>
    </w:p>
    <w:p w:rsidR="000F7191" w:rsidRPr="0039640B" w:rsidRDefault="000F7191" w:rsidP="000F7191">
      <w:pPr>
        <w:rPr>
          <w:rFonts w:eastAsia="Calibri"/>
        </w:rPr>
      </w:pPr>
      <w:r w:rsidRPr="0039640B">
        <w:rPr>
          <w:rFonts w:eastAsia="Calibri"/>
        </w:rPr>
        <w:t>2004</w:t>
      </w:r>
      <w:r w:rsidRPr="0039640B">
        <w:rPr>
          <w:rFonts w:eastAsia="Calibri"/>
        </w:rPr>
        <w:tab/>
        <w:t>Ideology, Power, and Capitalism: The Historical Archaeology of</w:t>
      </w:r>
      <w:r w:rsidR="00603654">
        <w:rPr>
          <w:rFonts w:eastAsia="Calibri"/>
        </w:rPr>
        <w:t xml:space="preserve"> Consumption. </w:t>
      </w:r>
      <w:r w:rsidRPr="0039640B">
        <w:rPr>
          <w:rFonts w:eastAsia="Calibri"/>
        </w:rPr>
        <w:t xml:space="preserve">In </w:t>
      </w:r>
      <w:r w:rsidRPr="0039640B">
        <w:rPr>
          <w:rFonts w:eastAsia="Calibri"/>
          <w:i/>
        </w:rPr>
        <w:t>A Companion to Social Archaeology</w:t>
      </w:r>
      <w:r w:rsidRPr="0039640B">
        <w:rPr>
          <w:rFonts w:eastAsia="Calibri"/>
        </w:rPr>
        <w:t>, Lynn Meskell and Robert W. Preucel, editors</w:t>
      </w:r>
      <w:r>
        <w:rPr>
          <w:rFonts w:eastAsia="Calibri"/>
        </w:rPr>
        <w:t>, pp. 195-212</w:t>
      </w:r>
      <w:r w:rsidR="00603654">
        <w:rPr>
          <w:rFonts w:eastAsia="Calibri"/>
        </w:rPr>
        <w:t xml:space="preserve">. </w:t>
      </w:r>
      <w:r w:rsidRPr="0039640B">
        <w:rPr>
          <w:rFonts w:eastAsia="Calibri"/>
        </w:rPr>
        <w:t>Blackwell Publishing, Ltd., Oxford</w:t>
      </w:r>
      <w:r>
        <w:rPr>
          <w:rFonts w:eastAsia="Calibri"/>
        </w:rPr>
        <w:t>, UK</w:t>
      </w:r>
      <w:r w:rsidRPr="0039640B">
        <w:t>.</w:t>
      </w:r>
    </w:p>
    <w:p w:rsidR="000F7191" w:rsidRPr="0039640B" w:rsidRDefault="000F7191" w:rsidP="000F7191">
      <w:pPr>
        <w:rPr>
          <w:rFonts w:eastAsia="Calibri"/>
        </w:rPr>
      </w:pPr>
    </w:p>
    <w:p w:rsidR="000F7191" w:rsidRDefault="000F7191" w:rsidP="000F7191">
      <w:pPr>
        <w:ind w:left="360" w:hanging="360"/>
      </w:pPr>
      <w:r>
        <w:t>2011</w:t>
      </w:r>
      <w:r>
        <w:tab/>
      </w:r>
      <w:r w:rsidRPr="0076002D">
        <w:rPr>
          <w:i/>
        </w:rPr>
        <w:t>The Archaeology of Consumer Culture</w:t>
      </w:r>
      <w:r w:rsidR="00603654">
        <w:t xml:space="preserve">. </w:t>
      </w:r>
      <w:r>
        <w:t>University Press of Florida, Gainesville.</w:t>
      </w:r>
    </w:p>
    <w:p w:rsidR="000F7191" w:rsidRDefault="000F7191" w:rsidP="000F7191">
      <w:pPr>
        <w:ind w:left="360" w:hanging="360"/>
      </w:pPr>
    </w:p>
    <w:p w:rsidR="0079388D" w:rsidRDefault="0079388D" w:rsidP="000F7191">
      <w:pPr>
        <w:ind w:left="360" w:hanging="360"/>
      </w:pPr>
      <w:r>
        <w:t>Murtha, Hillary</w:t>
      </w:r>
    </w:p>
    <w:p w:rsidR="0079388D" w:rsidRDefault="0079388D" w:rsidP="0079388D">
      <w:r>
        <w:t>2011</w:t>
      </w:r>
      <w:r>
        <w:tab/>
        <w:t xml:space="preserve">Bells and Horns. In World of a Slave: Encyclopedia of the Material Life of Slaves in the United States, Martha B. Katz-Hyman and Kym S. Rice, editors, pp. 57-61. Greenwood Publishing Group, Santa Barbara, CA. </w:t>
      </w:r>
    </w:p>
    <w:p w:rsidR="0079388D" w:rsidRDefault="0079388D" w:rsidP="000F7191">
      <w:pPr>
        <w:ind w:left="360" w:hanging="360"/>
      </w:pPr>
    </w:p>
    <w:p w:rsidR="000F7191" w:rsidRPr="00493674" w:rsidRDefault="000F7191" w:rsidP="000F7191">
      <w:pPr>
        <w:ind w:left="360" w:hanging="360"/>
      </w:pPr>
      <w:r w:rsidRPr="00493674">
        <w:t>Nash,</w:t>
      </w:r>
      <w:r>
        <w:t xml:space="preserve"> R. C.</w:t>
      </w:r>
    </w:p>
    <w:p w:rsidR="000F7191" w:rsidRDefault="000F7191" w:rsidP="000F7191">
      <w:r w:rsidRPr="00493674">
        <w:t>2009</w:t>
      </w:r>
      <w:r>
        <w:tab/>
        <w:t>Domestic Material Culture and Consumer Demand in the British Atlantic World: Colon</w:t>
      </w:r>
      <w:r w:rsidR="00603654">
        <w:t xml:space="preserve">ial South Carolina, 1670-1770. </w:t>
      </w:r>
      <w:r>
        <w:t xml:space="preserve">In </w:t>
      </w:r>
      <w:r w:rsidRPr="00493674">
        <w:rPr>
          <w:i/>
        </w:rPr>
        <w:t>Material Culture in Anglo-America: Regional Identity and Urbanity in the Tidewater, Lowcountry, and Caribbean</w:t>
      </w:r>
      <w:r>
        <w:t>, David S. Shields, editor, pp</w:t>
      </w:r>
      <w:r w:rsidR="00603654">
        <w:t xml:space="preserve">. 221-266. </w:t>
      </w:r>
      <w:r>
        <w:t xml:space="preserve">University of South Carolina Press, Columbia. </w:t>
      </w:r>
    </w:p>
    <w:p w:rsidR="0076173E" w:rsidRDefault="0076173E"/>
    <w:p w:rsidR="000F7191" w:rsidRDefault="000F7191" w:rsidP="000F7191">
      <w:r>
        <w:t>Niemcewicz, Julian Ursyn</w:t>
      </w:r>
    </w:p>
    <w:p w:rsidR="000F7191" w:rsidRDefault="000F7191" w:rsidP="000F7191">
      <w:r>
        <w:t>1965</w:t>
      </w:r>
      <w:r>
        <w:tab/>
      </w:r>
      <w:r w:rsidRPr="007B4232">
        <w:rPr>
          <w:i/>
        </w:rPr>
        <w:t>U</w:t>
      </w:r>
      <w:r>
        <w:rPr>
          <w:rStyle w:val="Emphasis"/>
        </w:rPr>
        <w:t>nder Their Vine and Fig Tree: Travels through America in 1797-1799, 1805 with some further account of life in New Jersey</w:t>
      </w:r>
      <w:r w:rsidR="00603654">
        <w:t xml:space="preserve">, Metchie J.E. Budka, editor. </w:t>
      </w:r>
      <w:r>
        <w:t>The Grassman Publishing Company, Inc., Elizabeth, NJ.</w:t>
      </w:r>
    </w:p>
    <w:p w:rsidR="000F7191" w:rsidRDefault="000F7191" w:rsidP="000F7191"/>
    <w:p w:rsidR="000F7191" w:rsidRDefault="000F7191" w:rsidP="000F7191">
      <w:pPr>
        <w:rPr>
          <w:highlight w:val="yellow"/>
        </w:rPr>
      </w:pPr>
      <w:r>
        <w:t>Nivelon, Francis</w:t>
      </w:r>
      <w:r>
        <w:br/>
        <w:t>1737</w:t>
      </w:r>
      <w:r>
        <w:tab/>
      </w:r>
      <w:r w:rsidRPr="00166109">
        <w:rPr>
          <w:i/>
        </w:rPr>
        <w:t>The Rudiments of Genteel Behavior</w:t>
      </w:r>
      <w:r w:rsidR="00603654">
        <w:t xml:space="preserve">. </w:t>
      </w:r>
      <w:r>
        <w:t>Reprinted facsimile 2003 by Paul Holberton Publishing, London, UK.</w:t>
      </w:r>
      <w:r w:rsidRPr="000017FC">
        <w:rPr>
          <w:highlight w:val="yellow"/>
        </w:rPr>
        <w:t xml:space="preserve"> </w:t>
      </w:r>
    </w:p>
    <w:p w:rsidR="000F7191" w:rsidRDefault="000F7191" w:rsidP="000F7191">
      <w:pPr>
        <w:ind w:left="360" w:hanging="360"/>
        <w:rPr>
          <w:highlight w:val="yellow"/>
        </w:rPr>
      </w:pPr>
    </w:p>
    <w:p w:rsidR="00F573AA" w:rsidRDefault="00F573AA">
      <w:r>
        <w:br w:type="page"/>
      </w:r>
    </w:p>
    <w:p w:rsidR="000F7191" w:rsidRDefault="000F7191" w:rsidP="000F7191">
      <w:pPr>
        <w:ind w:left="360" w:hanging="360"/>
      </w:pPr>
      <w:r w:rsidRPr="00055206">
        <w:lastRenderedPageBreak/>
        <w:t>Noël Hume,</w:t>
      </w:r>
      <w:r>
        <w:t xml:space="preserve"> Audrey</w:t>
      </w:r>
    </w:p>
    <w:p w:rsidR="000F7191" w:rsidRPr="00055206" w:rsidRDefault="000F7191" w:rsidP="000F7191">
      <w:r>
        <w:t>1971</w:t>
      </w:r>
      <w:r>
        <w:tab/>
        <w:t>Wetherburn’s Tavern Archaeological Report, Block 9 Building 00 Lot 20 &amp; 21.  Colonial Williamsburg Foundation Library Research Report Series 1182, Colonial Williamsburg Foundation Library, Williamsburg, VA.  &lt;</w:t>
      </w:r>
      <w:r w:rsidRPr="00055206">
        <w:t>http://research.history.org/DigitalLibrary/View/index.cfm?doc=ResearchReports\RR1182.xml</w:t>
      </w:r>
      <w:r w:rsidR="00603654">
        <w:t>&gt;.</w:t>
      </w:r>
      <w:r>
        <w:t xml:space="preserve"> Accessed 1 September 2012.</w:t>
      </w:r>
    </w:p>
    <w:p w:rsidR="000F7191" w:rsidRDefault="000F7191" w:rsidP="000F7191">
      <w:pPr>
        <w:ind w:left="360" w:hanging="360"/>
      </w:pPr>
    </w:p>
    <w:p w:rsidR="000F7191" w:rsidRDefault="000F7191" w:rsidP="000F7191">
      <w:pPr>
        <w:ind w:left="360" w:hanging="360"/>
      </w:pPr>
      <w:r>
        <w:t>Noël Hume, Ivor</w:t>
      </w:r>
    </w:p>
    <w:p w:rsidR="000F7191" w:rsidRDefault="000F7191" w:rsidP="000F7191">
      <w:r>
        <w:t>1969</w:t>
      </w:r>
      <w:r>
        <w:tab/>
      </w:r>
      <w:r w:rsidRPr="00470977">
        <w:rPr>
          <w:i/>
        </w:rPr>
        <w:t>A Guide to Artifacts of Colonial America</w:t>
      </w:r>
      <w:r w:rsidR="00603654">
        <w:t xml:space="preserve">. </w:t>
      </w:r>
      <w:r>
        <w:t>University of Pennsylvania Press, Philadelphia.</w:t>
      </w:r>
    </w:p>
    <w:p w:rsidR="000F7191" w:rsidRDefault="000F7191" w:rsidP="000F7191">
      <w:pPr>
        <w:ind w:left="360" w:hanging="360"/>
      </w:pPr>
    </w:p>
    <w:p w:rsidR="000F7191" w:rsidRDefault="000F7191" w:rsidP="000F7191">
      <w:pPr>
        <w:ind w:left="360" w:hanging="360"/>
      </w:pPr>
      <w:r w:rsidRPr="00265896">
        <w:t>Ogundiran</w:t>
      </w:r>
      <w:r>
        <w:t>,</w:t>
      </w:r>
      <w:r w:rsidRPr="00265896">
        <w:t xml:space="preserve"> Akinwumi </w:t>
      </w:r>
      <w:r>
        <w:t>and Toyin Falola</w:t>
      </w:r>
      <w:r w:rsidRPr="00265896">
        <w:t xml:space="preserve"> </w:t>
      </w:r>
      <w:r>
        <w:t xml:space="preserve"> </w:t>
      </w:r>
    </w:p>
    <w:p w:rsidR="000F7191" w:rsidRPr="00265896" w:rsidRDefault="000F7191" w:rsidP="000F7191">
      <w:r>
        <w:t>2007</w:t>
      </w:r>
      <w:r>
        <w:tab/>
      </w:r>
      <w:r w:rsidRPr="00265896">
        <w:t>Pathways in the Arch</w:t>
      </w:r>
      <w:r>
        <w:t xml:space="preserve">aeology of Transatlantic </w:t>
      </w:r>
      <w:smartTag w:uri="urn:schemas-microsoft-com:office:smarttags" w:element="place">
        <w:r>
          <w:t>Africa</w:t>
        </w:r>
      </w:smartTag>
      <w:r w:rsidR="00603654">
        <w:t xml:space="preserve">. </w:t>
      </w:r>
      <w:r>
        <w:t>I</w:t>
      </w:r>
      <w:r w:rsidRPr="00265896">
        <w:t xml:space="preserve">n </w:t>
      </w:r>
      <w:r w:rsidRPr="00265896">
        <w:rPr>
          <w:i/>
        </w:rPr>
        <w:t>Archaeology of Atlantic Africa and the African Diaspora</w:t>
      </w:r>
      <w:r>
        <w:t xml:space="preserve">, </w:t>
      </w:r>
      <w:r w:rsidRPr="00265896">
        <w:t xml:space="preserve">Akinwumi Ogundiran and </w:t>
      </w:r>
      <w:r>
        <w:t xml:space="preserve">Toyin </w:t>
      </w:r>
      <w:r w:rsidRPr="00265896">
        <w:t>Falola</w:t>
      </w:r>
      <w:r>
        <w:t xml:space="preserve">, editors, pp. </w:t>
      </w:r>
      <w:r w:rsidRPr="00F67ACD">
        <w:t>249-287</w:t>
      </w:r>
      <w:r w:rsidR="00603654">
        <w:t xml:space="preserve">. </w:t>
      </w:r>
      <w:r w:rsidRPr="00265896">
        <w:t>Indiana University</w:t>
      </w:r>
      <w:r>
        <w:t xml:space="preserve"> Press, </w:t>
      </w:r>
      <w:r w:rsidRPr="00265896">
        <w:t>Bloomington</w:t>
      </w:r>
      <w:r>
        <w:t>.</w:t>
      </w:r>
    </w:p>
    <w:p w:rsidR="000F7191" w:rsidRDefault="000F7191" w:rsidP="000F7191"/>
    <w:p w:rsidR="000F7191" w:rsidRDefault="000F7191" w:rsidP="000F7191">
      <w:r>
        <w:t>Orser, Charles E. Jr.</w:t>
      </w:r>
    </w:p>
    <w:p w:rsidR="000F7191" w:rsidRDefault="000F7191" w:rsidP="000F7191">
      <w:r>
        <w:t>1987</w:t>
      </w:r>
      <w:r>
        <w:tab/>
        <w:t>Plantation Status and Consumer Choice: A Materialist Framewo</w:t>
      </w:r>
      <w:r w:rsidR="00603654">
        <w:t xml:space="preserve">rk for Historical Archaeology. </w:t>
      </w:r>
      <w:r>
        <w:t xml:space="preserve">In </w:t>
      </w:r>
      <w:r w:rsidRPr="00B61460">
        <w:rPr>
          <w:i/>
        </w:rPr>
        <w:t>Consumer Choice in Historical Archaeology</w:t>
      </w:r>
      <w:r>
        <w:t>, Suzanne Spen</w:t>
      </w:r>
      <w:r w:rsidR="00603654">
        <w:t xml:space="preserve">cer-Wood, editor, pp. 121-137. </w:t>
      </w:r>
      <w:r>
        <w:t>Plenum Press, New York, NY.</w:t>
      </w:r>
    </w:p>
    <w:p w:rsidR="000F7191" w:rsidRDefault="000F7191" w:rsidP="000F7191"/>
    <w:p w:rsidR="000F7191" w:rsidRPr="009A15A7" w:rsidRDefault="000F7191" w:rsidP="000F7191">
      <w:pPr>
        <w:rPr>
          <w:rFonts w:eastAsia="Calibri"/>
        </w:rPr>
      </w:pPr>
      <w:r>
        <w:rPr>
          <w:rFonts w:eastAsia="Calibri"/>
        </w:rPr>
        <w:t>2007</w:t>
      </w:r>
      <w:r>
        <w:rPr>
          <w:rFonts w:eastAsia="Calibri"/>
        </w:rPr>
        <w:tab/>
      </w:r>
      <w:r w:rsidRPr="007622FF">
        <w:rPr>
          <w:rFonts w:eastAsia="Calibri"/>
          <w:i/>
        </w:rPr>
        <w:t>The Archaeology of Race and Racialization</w:t>
      </w:r>
      <w:r w:rsidR="00603654">
        <w:rPr>
          <w:rFonts w:eastAsia="Calibri"/>
        </w:rPr>
        <w:t xml:space="preserve">. </w:t>
      </w:r>
      <w:r>
        <w:rPr>
          <w:rFonts w:eastAsia="Calibri"/>
        </w:rPr>
        <w:t>University Press of Florida, Gainesville.</w:t>
      </w:r>
    </w:p>
    <w:p w:rsidR="000F7191" w:rsidRDefault="000F7191" w:rsidP="000F7191"/>
    <w:p w:rsidR="000F7191" w:rsidRDefault="000F7191" w:rsidP="000F7191">
      <w:r>
        <w:t>Otto, John Solomon</w:t>
      </w:r>
    </w:p>
    <w:p w:rsidR="000F7191" w:rsidRDefault="000F7191" w:rsidP="000F7191">
      <w:r>
        <w:t>1984</w:t>
      </w:r>
      <w:r>
        <w:tab/>
      </w:r>
      <w:r w:rsidRPr="00732996">
        <w:rPr>
          <w:rStyle w:val="searchword"/>
          <w:i/>
        </w:rPr>
        <w:t>Cannon’s</w:t>
      </w:r>
      <w:r w:rsidRPr="00732996">
        <w:rPr>
          <w:i/>
        </w:rPr>
        <w:t xml:space="preserve"> </w:t>
      </w:r>
      <w:r w:rsidRPr="00732996">
        <w:rPr>
          <w:rStyle w:val="searchword"/>
          <w:i/>
        </w:rPr>
        <w:t>Point</w:t>
      </w:r>
      <w:r w:rsidRPr="00732996">
        <w:rPr>
          <w:i/>
        </w:rPr>
        <w:t xml:space="preserve"> Plantation, 1794-1860: Living Conditions and Status Patterns in the Old South</w:t>
      </w:r>
      <w:r w:rsidR="00603654">
        <w:t xml:space="preserve">. </w:t>
      </w:r>
      <w:r>
        <w:t>Academic Press, New York, NY.</w:t>
      </w:r>
    </w:p>
    <w:p w:rsidR="000F7191" w:rsidRDefault="000F7191" w:rsidP="000F7191"/>
    <w:p w:rsidR="000F7191" w:rsidRPr="0039640B" w:rsidRDefault="000F7191" w:rsidP="000F7191">
      <w:r>
        <w:t>Oxford English Dictionary</w:t>
      </w:r>
    </w:p>
    <w:p w:rsidR="000F7191" w:rsidRDefault="002154B9" w:rsidP="000F7191">
      <w:r>
        <w:t>2012</w:t>
      </w:r>
      <w:r>
        <w:tab/>
        <w:t>“take, v.”</w:t>
      </w:r>
      <w:r w:rsidR="000F7191">
        <w:t xml:space="preserve">  </w:t>
      </w:r>
      <w:r w:rsidR="000F7191" w:rsidRPr="005355ED">
        <w:rPr>
          <w:i/>
        </w:rPr>
        <w:t>OED Online</w:t>
      </w:r>
      <w:r w:rsidR="000F7191">
        <w:t>.  Oxford University Press. &lt;http://www.oed.com/view/Entry/197158?rskey=fBbUfq&amp;result=1&amp;isAdvanced=false&gt;.   Accessed 25 March 2012.</w:t>
      </w:r>
    </w:p>
    <w:p w:rsidR="000F7191" w:rsidRDefault="000F7191" w:rsidP="000F7191"/>
    <w:p w:rsidR="002154B9" w:rsidRPr="0039640B" w:rsidRDefault="002154B9" w:rsidP="002154B9">
      <w:r>
        <w:t>Oxford English Dictionary</w:t>
      </w:r>
    </w:p>
    <w:p w:rsidR="00603654" w:rsidRDefault="00603654" w:rsidP="000F7191">
      <w:r>
        <w:t>2013</w:t>
      </w:r>
      <w:r>
        <w:tab/>
        <w:t xml:space="preserve">“corking-pin, n.” </w:t>
      </w:r>
      <w:r w:rsidR="002154B9" w:rsidRPr="005355ED">
        <w:rPr>
          <w:i/>
        </w:rPr>
        <w:t>OED Online</w:t>
      </w:r>
      <w:r>
        <w:t xml:space="preserve">. </w:t>
      </w:r>
      <w:r w:rsidR="002154B9">
        <w:t xml:space="preserve">Oxford University Press. </w:t>
      </w:r>
    </w:p>
    <w:p w:rsidR="002154B9" w:rsidRDefault="002154B9" w:rsidP="000F7191">
      <w:r>
        <w:t>&lt;</w:t>
      </w:r>
      <w:r w:rsidRPr="002154B9">
        <w:t>http://www.oed.com.proxy.lib.utk.edu:90/view/Entry/41557?rskey=gwEDYP&amp;result=5&amp;isAdvanced=false#</w:t>
      </w:r>
      <w:r w:rsidR="00603654">
        <w:t xml:space="preserve">&gt;. </w:t>
      </w:r>
      <w:r>
        <w:t>Accessed 5 October 2013.</w:t>
      </w:r>
    </w:p>
    <w:p w:rsidR="002154B9" w:rsidRDefault="002154B9" w:rsidP="000F7191"/>
    <w:p w:rsidR="000F7191" w:rsidRDefault="000F7191" w:rsidP="000F7191">
      <w:r>
        <w:t>Paresi, Alicia</w:t>
      </w:r>
    </w:p>
    <w:p w:rsidR="00603654" w:rsidRDefault="000F7191" w:rsidP="000F7191">
      <w:r>
        <w:t>2013</w:t>
      </w:r>
      <w:r>
        <w:tab/>
      </w:r>
      <w:r w:rsidR="00603654">
        <w:t xml:space="preserve">What’s Love Got to do with it? </w:t>
      </w:r>
      <w:r>
        <w:t xml:space="preserve">Northeast Museum Services Center Archeology &amp; Museum Blog, Museum Servives for the Northeast Region of the National Park Service.  </w:t>
      </w:r>
    </w:p>
    <w:p w:rsidR="000F7191" w:rsidRDefault="000F7191" w:rsidP="000F7191">
      <w:r>
        <w:t>&lt;</w:t>
      </w:r>
      <w:r w:rsidRPr="00B53C27">
        <w:t xml:space="preserve"> http://nmscarcheologylab.wordpress.com/2013/02/14/whats-love-got-to-do-with-it/</w:t>
      </w:r>
      <w:r>
        <w:t>&gt;.  Accessed 1 September 2013.</w:t>
      </w:r>
    </w:p>
    <w:p w:rsidR="000F7191" w:rsidRDefault="000F7191" w:rsidP="000F7191"/>
    <w:p w:rsidR="000F7191" w:rsidRDefault="000F7191" w:rsidP="000F7191">
      <w:r>
        <w:t>Patrick, Steven E.</w:t>
      </w:r>
    </w:p>
    <w:p w:rsidR="000F7191" w:rsidRDefault="000F7191" w:rsidP="000F7191">
      <w:r>
        <w:t>1990</w:t>
      </w:r>
      <w:r>
        <w:tab/>
        <w:t>“I Would Not Begrudge to Give a Few Pounds More:” Elite Consumer Choices in the Chesapeake, 1720-1785, The Cal</w:t>
      </w:r>
      <w:r w:rsidR="00603654">
        <w:t xml:space="preserve">vert House Ceramic Assemblage. </w:t>
      </w:r>
      <w:r>
        <w:t>Master’s Thesis, Department of Anthropology, College of William and Mary, Williamsburg, VA.</w:t>
      </w:r>
    </w:p>
    <w:p w:rsidR="000F7191" w:rsidRDefault="000F7191" w:rsidP="000F7191">
      <w:r>
        <w:lastRenderedPageBreak/>
        <w:t>Pecoraro, Luke</w:t>
      </w:r>
    </w:p>
    <w:p w:rsidR="00603654" w:rsidRDefault="000F7191" w:rsidP="000F7191">
      <w:r>
        <w:t>2011</w:t>
      </w:r>
      <w:r>
        <w:tab/>
        <w:t>Who are t</w:t>
      </w:r>
      <w:r w:rsidR="00603654">
        <w:t xml:space="preserve">he People in the Neighborhood? </w:t>
      </w:r>
      <w:r>
        <w:t xml:space="preserve">Mount Vernon’s Mystery Midden Blog, Mount Vernon Archaeology Department, Mount Vernon, VA.  </w:t>
      </w:r>
    </w:p>
    <w:p w:rsidR="000F7191" w:rsidRDefault="000F7191" w:rsidP="000F7191">
      <w:r>
        <w:t>&lt;</w:t>
      </w:r>
      <w:r w:rsidRPr="00C92E66">
        <w:t xml:space="preserve"> </w:t>
      </w:r>
      <w:r w:rsidRPr="000D29C4">
        <w:t>http://mountvernonmidden.org/wordpress/?p=292</w:t>
      </w:r>
      <w:r>
        <w:t>&gt;. Accessed 23 April 2013.</w:t>
      </w:r>
    </w:p>
    <w:p w:rsidR="000F7191" w:rsidRDefault="000F7191" w:rsidP="000F7191"/>
    <w:p w:rsidR="000F7191" w:rsidRPr="00C92E66" w:rsidRDefault="000F7191" w:rsidP="000F7191">
      <w:r>
        <w:t>2012</w:t>
      </w:r>
      <w:r>
        <w:tab/>
        <w:t>Reanalysis of 44FX</w:t>
      </w:r>
      <w:r w:rsidR="00603654">
        <w:t xml:space="preserve">885, Fairfax County, Virginia. </w:t>
      </w:r>
      <w:r>
        <w:t>Archaeology Department, Mount Vernon Ladies’ Association, Mount Vernon, Virginia.</w:t>
      </w:r>
    </w:p>
    <w:p w:rsidR="000F7191" w:rsidRDefault="000F7191" w:rsidP="000F7191">
      <w:pPr>
        <w:rPr>
          <w:rFonts w:eastAsia="Calibri"/>
        </w:rPr>
      </w:pPr>
    </w:p>
    <w:p w:rsidR="000F7191" w:rsidRPr="00771D5C" w:rsidRDefault="000F7191" w:rsidP="000F7191">
      <w:pPr>
        <w:rPr>
          <w:rFonts w:eastAsia="Calibri"/>
        </w:rPr>
      </w:pPr>
      <w:r w:rsidRPr="00771D5C">
        <w:rPr>
          <w:rFonts w:eastAsia="Calibri"/>
        </w:rPr>
        <w:t>Penningroth, Dylan C.</w:t>
      </w:r>
    </w:p>
    <w:p w:rsidR="000F7191" w:rsidRDefault="000F7191" w:rsidP="000F7191">
      <w:pPr>
        <w:rPr>
          <w:rFonts w:eastAsia="Calibri"/>
        </w:rPr>
      </w:pPr>
      <w:r>
        <w:rPr>
          <w:rFonts w:eastAsia="Calibri"/>
        </w:rPr>
        <w:t>1997</w:t>
      </w:r>
      <w:r>
        <w:rPr>
          <w:rFonts w:eastAsia="Calibri"/>
        </w:rPr>
        <w:tab/>
        <w:t>Slavery, Freedom, and Social Claims to Property among African-Americans in Liberty County, Ge</w:t>
      </w:r>
      <w:r w:rsidR="00603654">
        <w:rPr>
          <w:rFonts w:eastAsia="Calibri"/>
        </w:rPr>
        <w:t>orgia, 1850-1880.</w:t>
      </w:r>
      <w:r>
        <w:rPr>
          <w:rFonts w:eastAsia="Calibri"/>
        </w:rPr>
        <w:t xml:space="preserve"> </w:t>
      </w:r>
      <w:r w:rsidRPr="00F663D8">
        <w:rPr>
          <w:rFonts w:eastAsia="Calibri"/>
          <w:i/>
        </w:rPr>
        <w:t>Journal of American History</w:t>
      </w:r>
      <w:r>
        <w:rPr>
          <w:rFonts w:eastAsia="Calibri"/>
        </w:rPr>
        <w:t xml:space="preserve"> 84:405-435</w:t>
      </w:r>
    </w:p>
    <w:p w:rsidR="000F7191" w:rsidRDefault="000F7191" w:rsidP="000F7191">
      <w:pPr>
        <w:rPr>
          <w:rFonts w:eastAsia="Calibri"/>
        </w:rPr>
      </w:pPr>
    </w:p>
    <w:p w:rsidR="000F7191" w:rsidRDefault="000F7191" w:rsidP="000F7191">
      <w:pPr>
        <w:rPr>
          <w:rFonts w:eastAsia="Calibri"/>
        </w:rPr>
      </w:pPr>
      <w:r w:rsidRPr="00771D5C">
        <w:rPr>
          <w:rFonts w:eastAsia="Calibri"/>
        </w:rPr>
        <w:t>2003</w:t>
      </w:r>
      <w:r w:rsidRPr="00771D5C">
        <w:rPr>
          <w:rFonts w:eastAsia="Calibri"/>
        </w:rPr>
        <w:tab/>
      </w:r>
      <w:r w:rsidRPr="00771D5C">
        <w:rPr>
          <w:rFonts w:eastAsia="Calibri"/>
          <w:i/>
        </w:rPr>
        <w:t>The Claims of Kinfolk: African American Property and Community in the Nineteenth-Century South</w:t>
      </w:r>
      <w:r w:rsidR="00603654">
        <w:rPr>
          <w:rFonts w:eastAsia="Calibri"/>
        </w:rPr>
        <w:t xml:space="preserve">. </w:t>
      </w:r>
      <w:r w:rsidRPr="00771D5C">
        <w:rPr>
          <w:rFonts w:eastAsia="Calibri"/>
        </w:rPr>
        <w:t xml:space="preserve">The University of North Carolina Press, Chapel Hill. </w:t>
      </w:r>
    </w:p>
    <w:p w:rsidR="000F7191" w:rsidRDefault="000F7191" w:rsidP="000F7191">
      <w:pPr>
        <w:rPr>
          <w:rFonts w:eastAsia="Calibri"/>
        </w:rPr>
      </w:pPr>
    </w:p>
    <w:p w:rsidR="000F7191" w:rsidRDefault="000F7191" w:rsidP="000F7191">
      <w:r>
        <w:rPr>
          <w:rFonts w:eastAsia="Calibri"/>
        </w:rPr>
        <w:t>2007</w:t>
      </w:r>
      <w:r>
        <w:rPr>
          <w:rFonts w:eastAsia="Calibri"/>
        </w:rPr>
        <w:tab/>
        <w:t>The Claims of Slaves and Ex-Slaves to Family and Propert</w:t>
      </w:r>
      <w:r w:rsidR="00603654">
        <w:rPr>
          <w:rFonts w:eastAsia="Calibri"/>
        </w:rPr>
        <w:t xml:space="preserve">y: A Transatlantic Comparison. </w:t>
      </w:r>
      <w:r w:rsidRPr="00F663D8">
        <w:rPr>
          <w:rFonts w:eastAsia="Calibri"/>
          <w:i/>
        </w:rPr>
        <w:t>American Historical Review</w:t>
      </w:r>
      <w:r>
        <w:rPr>
          <w:rFonts w:eastAsia="Calibri"/>
        </w:rPr>
        <w:t xml:space="preserve"> 112(4):1039-1069</w:t>
      </w:r>
    </w:p>
    <w:p w:rsidR="000F7191" w:rsidRDefault="000F7191" w:rsidP="000F7191"/>
    <w:p w:rsidR="000F7191" w:rsidRPr="00902169" w:rsidRDefault="000F7191" w:rsidP="000F7191">
      <w:pPr>
        <w:rPr>
          <w:lang w:val="fr-FR"/>
        </w:rPr>
      </w:pPr>
      <w:r w:rsidRPr="00902169">
        <w:rPr>
          <w:lang w:val="fr-FR"/>
        </w:rPr>
        <w:t>Pogue, Dennis</w:t>
      </w:r>
      <w:r>
        <w:rPr>
          <w:lang w:val="fr-FR"/>
        </w:rPr>
        <w:t xml:space="preserve"> J.</w:t>
      </w:r>
    </w:p>
    <w:p w:rsidR="000F7191" w:rsidRDefault="000F7191" w:rsidP="000F7191">
      <w:r w:rsidRPr="00784BBC">
        <w:t>1988</w:t>
      </w:r>
      <w:r>
        <w:tab/>
        <w:t>Archaeology at George Washing</w:t>
      </w:r>
      <w:r w:rsidR="00603654">
        <w:t xml:space="preserve">ton’s Mount Vernon: 1931-1987. </w:t>
      </w:r>
      <w:r>
        <w:t>Archaeology Department, Mount Vernon Ladies’ Association, Mount Vernon, VA.</w:t>
      </w:r>
    </w:p>
    <w:p w:rsidR="000F7191" w:rsidRDefault="000F7191" w:rsidP="000F7191"/>
    <w:p w:rsidR="000F7191" w:rsidRDefault="000F7191" w:rsidP="000F7191">
      <w:r>
        <w:t>1993</w:t>
      </w:r>
      <w:r>
        <w:tab/>
        <w:t xml:space="preserve">Standards of Living in the 17th-Century Chesapeake: Patterns of Variability Among Artifact Assemblages. In </w:t>
      </w:r>
      <w:r>
        <w:rPr>
          <w:i/>
          <w:iCs/>
        </w:rPr>
        <w:t>The Archaeology of 17th-Century Virginia</w:t>
      </w:r>
      <w:r>
        <w:rPr>
          <w:iCs/>
        </w:rPr>
        <w:t>,</w:t>
      </w:r>
      <w:r>
        <w:t xml:space="preserve"> Theodore R. Reinhart and Dennis J. Pogue, editors, pp. 371-399. Dietz Press, Richmond, VA. </w:t>
      </w:r>
    </w:p>
    <w:p w:rsidR="000F7191" w:rsidRDefault="000F7191" w:rsidP="000F7191"/>
    <w:p w:rsidR="000F7191" w:rsidRDefault="000F7191" w:rsidP="000F7191">
      <w:r>
        <w:t>1994</w:t>
      </w:r>
      <w:r>
        <w:tab/>
        <w:t>Mount Vernon: Transformation of an Eightee</w:t>
      </w:r>
      <w:r w:rsidR="00603654">
        <w:t xml:space="preserve">nth-Century Plantation System. </w:t>
      </w:r>
      <w:r>
        <w:t xml:space="preserve">In </w:t>
      </w:r>
      <w:r w:rsidRPr="00A85C36">
        <w:rPr>
          <w:i/>
        </w:rPr>
        <w:t>Historical Archaeology of the Chesapeake</w:t>
      </w:r>
      <w:r>
        <w:t>, Paul Shackel and Barbara</w:t>
      </w:r>
      <w:r w:rsidR="00603654">
        <w:t xml:space="preserve"> Little, editors, pp. 101-114. </w:t>
      </w:r>
      <w:r>
        <w:t>Smithsonian Institution Press, Washington, DC.</w:t>
      </w:r>
    </w:p>
    <w:p w:rsidR="000F7191" w:rsidRDefault="000F7191" w:rsidP="000F7191"/>
    <w:p w:rsidR="000F7191" w:rsidRDefault="000F7191" w:rsidP="000F7191">
      <w:pPr>
        <w:rPr>
          <w:lang w:val="fr-FR"/>
        </w:rPr>
      </w:pPr>
      <w:r>
        <w:t>1997</w:t>
      </w:r>
      <w:r>
        <w:tab/>
        <w:t>Culture Change Along the Tobac</w:t>
      </w:r>
      <w:r w:rsidR="00603654">
        <w:t xml:space="preserve">co Coast: 1670-1720. </w:t>
      </w:r>
      <w:r>
        <w:t>Doctoral dissertation, Department of Anthropology, American University, Washington, DC.</w:t>
      </w:r>
    </w:p>
    <w:p w:rsidR="000F7191" w:rsidRDefault="000F7191" w:rsidP="000F7191">
      <w:pPr>
        <w:rPr>
          <w:lang w:val="fr-FR"/>
        </w:rPr>
      </w:pPr>
    </w:p>
    <w:p w:rsidR="000F7191" w:rsidRDefault="000F7191" w:rsidP="000F7191">
      <w:r>
        <w:t>2001a</w:t>
      </w:r>
      <w:r>
        <w:tab/>
        <w:t>The Transformation of America: Georgian Sensibility, Capitalist Conspi</w:t>
      </w:r>
      <w:r w:rsidR="00603654">
        <w:t xml:space="preserve">racy, or Consumer Revolution?” </w:t>
      </w:r>
      <w:r>
        <w:rPr>
          <w:i/>
          <w:iCs/>
        </w:rPr>
        <w:t>Historical Archaeology</w:t>
      </w:r>
      <w:r>
        <w:t xml:space="preserve"> 35(2): 41-57.</w:t>
      </w:r>
    </w:p>
    <w:p w:rsidR="000F7191" w:rsidRPr="00C6740B" w:rsidRDefault="000F7191" w:rsidP="000F7191"/>
    <w:p w:rsidR="000F7191" w:rsidRPr="00C6740B" w:rsidRDefault="000F7191" w:rsidP="000F7191">
      <w:r w:rsidRPr="00C6740B">
        <w:t>2001</w:t>
      </w:r>
      <w:r>
        <w:t>b</w:t>
      </w:r>
      <w:r w:rsidRPr="00C6740B">
        <w:tab/>
        <w:t xml:space="preserve">Slave Lifeways at Mount Vernon: </w:t>
      </w:r>
      <w:r w:rsidR="00603654">
        <w:t xml:space="preserve">An Archaeological Perspective. </w:t>
      </w:r>
      <w:r w:rsidRPr="00C6740B">
        <w:t xml:space="preserve">In </w:t>
      </w:r>
      <w:r w:rsidRPr="00C6740B">
        <w:rPr>
          <w:i/>
        </w:rPr>
        <w:t>Slavery at the Home of George Washington</w:t>
      </w:r>
      <w:r w:rsidRPr="00C6740B">
        <w:t>, Philip J.</w:t>
      </w:r>
      <w:r>
        <w:t xml:space="preserve"> </w:t>
      </w:r>
      <w:r w:rsidR="00603654">
        <w:t xml:space="preserve">Schwarz, editor, pp. 111-135. </w:t>
      </w:r>
      <w:r w:rsidRPr="00C6740B">
        <w:t>Mount Vernon Ladies’ Association, Mount Vernon, VA.</w:t>
      </w:r>
    </w:p>
    <w:p w:rsidR="000F7191" w:rsidRPr="00C6740B" w:rsidRDefault="000F7191" w:rsidP="000F7191"/>
    <w:p w:rsidR="000F7191" w:rsidRPr="00C6740B" w:rsidRDefault="000F7191" w:rsidP="000F7191">
      <w:r w:rsidRPr="00C6740B">
        <w:t>2002</w:t>
      </w:r>
      <w:r w:rsidRPr="00C6740B">
        <w:tab/>
        <w:t>The Domestic Architecture of Slavery at Geo</w:t>
      </w:r>
      <w:r w:rsidR="00603654">
        <w:t xml:space="preserve">rge Washington’s Mount Vernon. </w:t>
      </w:r>
      <w:r w:rsidRPr="00C6740B">
        <w:rPr>
          <w:i/>
        </w:rPr>
        <w:t>Winterthur Portfolio</w:t>
      </w:r>
      <w:r w:rsidRPr="00C6740B">
        <w:t xml:space="preserve"> 37(1):3-22.</w:t>
      </w:r>
    </w:p>
    <w:p w:rsidR="000F7191" w:rsidRPr="00C6740B" w:rsidRDefault="000F7191" w:rsidP="000F7191"/>
    <w:p w:rsidR="000F7191" w:rsidRDefault="000F7191" w:rsidP="000F7191">
      <w:r>
        <w:t>2003</w:t>
      </w:r>
      <w:r>
        <w:tab/>
        <w:t>H</w:t>
      </w:r>
      <w:r w:rsidR="00603654">
        <w:t xml:space="preserve">ouse for Families: Background. </w:t>
      </w:r>
      <w:r>
        <w:t xml:space="preserve">The Digital Archaeological </w:t>
      </w:r>
      <w:r w:rsidR="00603654">
        <w:t>Archive of Comparative Slavery.</w:t>
      </w:r>
      <w:r>
        <w:t xml:space="preserve"> &lt;</w:t>
      </w:r>
      <w:r w:rsidRPr="00537FA3">
        <w:t xml:space="preserve"> http://www.daacs.org/resources/sites/background/24/</w:t>
      </w:r>
      <w:r w:rsidR="00603654">
        <w:t xml:space="preserve">&gt;. </w:t>
      </w:r>
      <w:r>
        <w:t>Accessed 30 June 2013.</w:t>
      </w:r>
    </w:p>
    <w:p w:rsidR="000F7191" w:rsidRDefault="000F7191" w:rsidP="000F7191"/>
    <w:p w:rsidR="000F7191" w:rsidRPr="00C6740B" w:rsidRDefault="000F7191" w:rsidP="000F7191">
      <w:r w:rsidRPr="00C6740B">
        <w:lastRenderedPageBreak/>
        <w:t>Pogue, Dennis J. and Esther C. White</w:t>
      </w:r>
    </w:p>
    <w:p w:rsidR="000F7191" w:rsidRPr="00C6740B" w:rsidRDefault="000F7191" w:rsidP="000F7191">
      <w:r w:rsidRPr="00C6740B">
        <w:t>1991</w:t>
      </w:r>
      <w:r w:rsidRPr="00C6740B">
        <w:tab/>
        <w:t>Summary Report of the “House for Families” Slave Quarter Site (44FX762/40-47), Mount Vernon</w:t>
      </w:r>
      <w:r w:rsidR="00603654">
        <w:t xml:space="preserve"> Plantation, Mount Vernon, VA. </w:t>
      </w:r>
      <w:r w:rsidRPr="00C6740B">
        <w:t>Manuscript, Mount Vernon Ladies’ Association, Archaeology Department, Mount Vernon, VA.</w:t>
      </w:r>
    </w:p>
    <w:p w:rsidR="000F7191" w:rsidRPr="00C6740B" w:rsidRDefault="000F7191" w:rsidP="000F7191"/>
    <w:p w:rsidR="000F7191" w:rsidRPr="00781248" w:rsidRDefault="000F7191" w:rsidP="000F7191">
      <w:r w:rsidRPr="00781248">
        <w:t>Pogue, Dennis J., Esther C. White, and Eleanor E. Breen</w:t>
      </w:r>
    </w:p>
    <w:p w:rsidR="000F7191" w:rsidRPr="00781248" w:rsidRDefault="000F7191" w:rsidP="000F7191">
      <w:r w:rsidRPr="00781248">
        <w:t>2005</w:t>
      </w:r>
      <w:r w:rsidRPr="00781248">
        <w:tab/>
        <w:t>Digging for Trash and Fin</w:t>
      </w:r>
      <w:r w:rsidR="00603654">
        <w:t xml:space="preserve">ding Treasure at Mount Vernon. </w:t>
      </w:r>
      <w:r w:rsidRPr="00781248">
        <w:rPr>
          <w:bCs/>
          <w:i/>
          <w:snapToGrid w:val="0"/>
        </w:rPr>
        <w:t>The Magazine Antiques</w:t>
      </w:r>
      <w:r w:rsidRPr="00781248">
        <w:rPr>
          <w:bCs/>
          <w:snapToGrid w:val="0"/>
        </w:rPr>
        <w:t xml:space="preserve"> CLXVIII(3):88-95 </w:t>
      </w:r>
      <w:r w:rsidRPr="00781248">
        <w:t xml:space="preserve">  </w:t>
      </w:r>
    </w:p>
    <w:p w:rsidR="000F7191" w:rsidRPr="00781248" w:rsidRDefault="000F7191" w:rsidP="000F7191"/>
    <w:p w:rsidR="000F7191" w:rsidRDefault="000F7191" w:rsidP="000F7191">
      <w:r>
        <w:t>Posey, John</w:t>
      </w:r>
      <w:r>
        <w:tab/>
      </w:r>
    </w:p>
    <w:p w:rsidR="000F7191" w:rsidRPr="0039640B" w:rsidRDefault="00603654" w:rsidP="000F7191">
      <w:r>
        <w:t>1765</w:t>
      </w:r>
      <w:r>
        <w:tab/>
        <w:t xml:space="preserve">Bill of Sale, October 22. </w:t>
      </w:r>
      <w:r w:rsidR="000F7191">
        <w:t>Microfilm, Fairfax Deed Book G No. 1, 1765-1768, folio 303-305</w:t>
      </w:r>
      <w:r>
        <w:t xml:space="preserve">, reel 3. </w:t>
      </w:r>
      <w:r w:rsidR="000F7191">
        <w:t>Fairfax Circuit Court Historical Records Room, Fairfax, VA.</w:t>
      </w:r>
    </w:p>
    <w:p w:rsidR="000F7191" w:rsidRDefault="000F7191" w:rsidP="000F7191"/>
    <w:p w:rsidR="000F7191" w:rsidRDefault="000F7191" w:rsidP="000F7191">
      <w:r>
        <w:t>Posey, John</w:t>
      </w:r>
      <w:r>
        <w:tab/>
      </w:r>
    </w:p>
    <w:p w:rsidR="000F7191" w:rsidRPr="0039640B" w:rsidRDefault="00603654" w:rsidP="000F7191">
      <w:r>
        <w:t>1767</w:t>
      </w:r>
      <w:r>
        <w:tab/>
        <w:t xml:space="preserve">Bill of Sale, October 2. </w:t>
      </w:r>
      <w:r w:rsidR="000F7191">
        <w:t>Microfilm, Fairfax Deed Book G No. 1, 176</w:t>
      </w:r>
      <w:r>
        <w:t xml:space="preserve">5-1768, folio 303-308, reel 3. </w:t>
      </w:r>
      <w:r w:rsidR="000F7191">
        <w:t>Fairfax Circuit Court Historical Records Room, Fairfax, VA.</w:t>
      </w:r>
    </w:p>
    <w:p w:rsidR="000F7191" w:rsidRDefault="000F7191" w:rsidP="000F7191">
      <w:pPr>
        <w:rPr>
          <w:rFonts w:eastAsia="Calibri"/>
        </w:rPr>
      </w:pPr>
    </w:p>
    <w:p w:rsidR="000F7191" w:rsidRDefault="000F7191" w:rsidP="000F7191">
      <w:r>
        <w:t>Preisser, Thomas M.</w:t>
      </w:r>
    </w:p>
    <w:p w:rsidR="000F7191" w:rsidRDefault="000F7191" w:rsidP="000F7191">
      <w:r>
        <w:t>1981</w:t>
      </w:r>
      <w:r>
        <w:tab/>
        <w:t>Alexandria and the Evolution of the Norther</w:t>
      </w:r>
      <w:r w:rsidR="00603654">
        <w:t xml:space="preserve">n Virginia Economy, 1749-1776. </w:t>
      </w:r>
      <w:r w:rsidRPr="000F0EA3">
        <w:rPr>
          <w:i/>
        </w:rPr>
        <w:t>Virginia Magazine of History and Biography</w:t>
      </w:r>
      <w:r>
        <w:t xml:space="preserve"> 89:282-293.</w:t>
      </w:r>
    </w:p>
    <w:p w:rsidR="000F7191" w:rsidRDefault="000F7191" w:rsidP="000F7191"/>
    <w:p w:rsidR="000F7191" w:rsidRDefault="000F7191" w:rsidP="000F7191">
      <w:pPr>
        <w:pStyle w:val="Footer"/>
        <w:rPr>
          <w:rFonts w:eastAsia="Calibri" w:cs="Times New Roman"/>
        </w:rPr>
      </w:pPr>
      <w:r>
        <w:rPr>
          <w:rFonts w:eastAsia="Calibri" w:cs="Times New Roman"/>
        </w:rPr>
        <w:t>Price, Richard</w:t>
      </w:r>
    </w:p>
    <w:p w:rsidR="000F7191" w:rsidRDefault="000F7191" w:rsidP="000F7191">
      <w:pPr>
        <w:rPr>
          <w:rFonts w:eastAsia="Calibri"/>
        </w:rPr>
      </w:pPr>
      <w:r>
        <w:t>2006</w:t>
      </w:r>
      <w:r>
        <w:tab/>
      </w:r>
      <w:r>
        <w:rPr>
          <w:rFonts w:eastAsia="Calibri"/>
        </w:rPr>
        <w:t>O</w:t>
      </w:r>
      <w:r w:rsidR="00603654">
        <w:rPr>
          <w:rFonts w:eastAsia="Calibri"/>
        </w:rPr>
        <w:t xml:space="preserve">n the Miracle of Creolization. </w:t>
      </w:r>
      <w:r>
        <w:rPr>
          <w:rFonts w:eastAsia="Calibri"/>
        </w:rPr>
        <w:t xml:space="preserve">In </w:t>
      </w:r>
      <w:r w:rsidRPr="000506AA">
        <w:rPr>
          <w:rFonts w:eastAsia="Calibri"/>
          <w:i/>
        </w:rPr>
        <w:t>Afro-Atlantic Dialogues: Anthropology in the Diaspora</w:t>
      </w:r>
      <w:r>
        <w:rPr>
          <w:rFonts w:eastAsia="Calibri"/>
        </w:rPr>
        <w:t>, Kevin A. Ye</w:t>
      </w:r>
      <w:r w:rsidR="00603654">
        <w:rPr>
          <w:rFonts w:eastAsia="Calibri"/>
        </w:rPr>
        <w:t xml:space="preserve">lvington, editor, pp. 113-145. </w:t>
      </w:r>
      <w:r>
        <w:rPr>
          <w:rFonts w:eastAsia="Calibri"/>
        </w:rPr>
        <w:t>School of American Research Press, Santa Fe, NM.</w:t>
      </w:r>
    </w:p>
    <w:p w:rsidR="000F7191" w:rsidRDefault="000F7191" w:rsidP="000F7191"/>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Prown, Jules D.</w:t>
      </w: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1996</w:t>
      </w:r>
      <w:r>
        <w:rPr>
          <w:rFonts w:ascii="Times New Roman" w:hAnsi="Times New Roman"/>
          <w:sz w:val="24"/>
          <w:szCs w:val="24"/>
        </w:rPr>
        <w:tab/>
        <w:t>Material/Culture: Can the Farmer a</w:t>
      </w:r>
      <w:r w:rsidR="00603654">
        <w:rPr>
          <w:rFonts w:ascii="Times New Roman" w:hAnsi="Times New Roman"/>
          <w:sz w:val="24"/>
          <w:szCs w:val="24"/>
        </w:rPr>
        <w:t>nd the Cowman Still Be Friends?</w:t>
      </w:r>
      <w:r>
        <w:rPr>
          <w:rFonts w:ascii="Times New Roman" w:hAnsi="Times New Roman"/>
          <w:sz w:val="24"/>
          <w:szCs w:val="24"/>
        </w:rPr>
        <w:t xml:space="preserve"> In </w:t>
      </w:r>
      <w:r w:rsidRPr="00F43B7D">
        <w:rPr>
          <w:rFonts w:ascii="Times New Roman" w:hAnsi="Times New Roman"/>
          <w:i/>
          <w:sz w:val="24"/>
          <w:szCs w:val="24"/>
        </w:rPr>
        <w:t>Learning from Things: Method and Theory of Material Culture Studies</w:t>
      </w:r>
      <w:r>
        <w:rPr>
          <w:rFonts w:ascii="Times New Roman" w:hAnsi="Times New Roman"/>
          <w:sz w:val="24"/>
          <w:szCs w:val="24"/>
        </w:rPr>
        <w:t>, W. Dav</w:t>
      </w:r>
      <w:r w:rsidR="00603654">
        <w:rPr>
          <w:rFonts w:ascii="Times New Roman" w:hAnsi="Times New Roman"/>
          <w:sz w:val="24"/>
          <w:szCs w:val="24"/>
        </w:rPr>
        <w:t xml:space="preserve">id, Kingery, editor, pp. 1-27. </w:t>
      </w:r>
      <w:r>
        <w:rPr>
          <w:rFonts w:ascii="Times New Roman" w:hAnsi="Times New Roman"/>
          <w:sz w:val="24"/>
          <w:szCs w:val="24"/>
        </w:rPr>
        <w:t>Smithsonian Institution Press, Washington, DC.</w:t>
      </w:r>
    </w:p>
    <w:p w:rsidR="000F7191" w:rsidRDefault="000F7191" w:rsidP="000F7191">
      <w:pPr>
        <w:pStyle w:val="NormalWeb"/>
        <w:spacing w:before="0" w:beforeAutospacing="0" w:after="0" w:afterAutospacing="0" w:line="240" w:lineRule="auto"/>
        <w:rPr>
          <w:rFonts w:ascii="Times New Roman" w:hAnsi="Times New Roman"/>
          <w:sz w:val="24"/>
          <w:szCs w:val="24"/>
        </w:rPr>
      </w:pPr>
    </w:p>
    <w:p w:rsidR="000F7191" w:rsidRDefault="000F7191" w:rsidP="000F7191">
      <w:r>
        <w:t>Ragsdale, Bruce A.</w:t>
      </w:r>
    </w:p>
    <w:p w:rsidR="000F7191" w:rsidRDefault="000F7191" w:rsidP="000F7191">
      <w:r>
        <w:t>1989</w:t>
      </w:r>
      <w:r>
        <w:tab/>
        <w:t>George Washington, the British Tobacco Trade, and Economic Opportunity</w:t>
      </w:r>
      <w:r w:rsidR="00603654">
        <w:t xml:space="preserve"> in Prerevolutionary Virginia. </w:t>
      </w:r>
      <w:r w:rsidRPr="00E12283">
        <w:rPr>
          <w:i/>
        </w:rPr>
        <w:t xml:space="preserve">The Virginia Magazine of History and Biography </w:t>
      </w:r>
      <w:r>
        <w:t>97(2):132-162.</w:t>
      </w:r>
    </w:p>
    <w:p w:rsidR="000F7191" w:rsidRDefault="000F7191" w:rsidP="000F7191"/>
    <w:p w:rsidR="000F7191" w:rsidRDefault="000F7191" w:rsidP="000F7191">
      <w:r>
        <w:t>1996</w:t>
      </w:r>
      <w:r>
        <w:tab/>
      </w:r>
      <w:r w:rsidRPr="007240D5">
        <w:rPr>
          <w:i/>
        </w:rPr>
        <w:t>A Planters’ Republic: The Search for Economic Independence in Revolutionary Virginia</w:t>
      </w:r>
      <w:r w:rsidR="00603654">
        <w:t xml:space="preserve">. </w:t>
      </w:r>
      <w:r>
        <w:t>Madison House Publishers, Inc., Madison, WI.</w:t>
      </w:r>
    </w:p>
    <w:p w:rsidR="0076173E" w:rsidRDefault="0076173E"/>
    <w:p w:rsidR="000F7191" w:rsidRDefault="000F7191" w:rsidP="000F7191">
      <w:r>
        <w:t>Rasmussen, William S. and Robert S. Tilton</w:t>
      </w:r>
    </w:p>
    <w:p w:rsidR="000F7191" w:rsidRDefault="000F7191" w:rsidP="000F7191">
      <w:r>
        <w:t>1999</w:t>
      </w:r>
      <w:r>
        <w:tab/>
      </w:r>
      <w:r w:rsidRPr="00773585">
        <w:rPr>
          <w:i/>
        </w:rPr>
        <w:t>George Washington: The Man behind the Myths</w:t>
      </w:r>
      <w:r w:rsidR="00603654">
        <w:t xml:space="preserve">. </w:t>
      </w:r>
      <w:r>
        <w:t>University Press of Virginia, Charlottesville.</w:t>
      </w:r>
    </w:p>
    <w:p w:rsidR="000F7191" w:rsidRDefault="000F7191" w:rsidP="000F7191"/>
    <w:p w:rsidR="000F7191" w:rsidRDefault="000F7191" w:rsidP="000F7191">
      <w:r>
        <w:t>Réaumur, René-Antoine Ferchault de</w:t>
      </w:r>
      <w:r>
        <w:br/>
        <w:t>1761</w:t>
      </w:r>
      <w:r>
        <w:tab/>
        <w:t>Art de l’épinglier.</w:t>
      </w:r>
      <w:r w:rsidR="00603654">
        <w:t xml:space="preserve"> Academie des Sciences, Paris. </w:t>
      </w:r>
      <w:r>
        <w:t>Microfilm, The Winterthur Library, Printed Book and Periodical Collection, Winterthur, DE.</w:t>
      </w:r>
    </w:p>
    <w:p w:rsidR="000F7191" w:rsidRDefault="000F7191" w:rsidP="000F7191"/>
    <w:p w:rsidR="000F7191" w:rsidRPr="00BD75AF" w:rsidRDefault="000F7191" w:rsidP="000F7191">
      <w:r w:rsidRPr="00BD75AF">
        <w:lastRenderedPageBreak/>
        <w:t>Reber, Paul</w:t>
      </w:r>
    </w:p>
    <w:p w:rsidR="000F7191" w:rsidRPr="00E05451" w:rsidRDefault="000F7191" w:rsidP="000F7191">
      <w:r w:rsidRPr="00BD75AF">
        <w:t>2003</w:t>
      </w:r>
      <w:r w:rsidRPr="00BD75AF">
        <w:tab/>
      </w:r>
      <w:r w:rsidRPr="00BD75AF">
        <w:rPr>
          <w:i/>
        </w:rPr>
        <w:t>Retail Trade and the Consumer in Fairfax County, Virginia, 1759-1766</w:t>
      </w:r>
      <w:r w:rsidR="00603654">
        <w:t xml:space="preserve">. </w:t>
      </w:r>
      <w:r w:rsidRPr="00BD75AF">
        <w:t>Doctoral dissertation, Department of American Studies, Univers</w:t>
      </w:r>
      <w:r w:rsidR="00603654">
        <w:t xml:space="preserve">ity of Maryland, College Park. </w:t>
      </w:r>
      <w:r w:rsidRPr="00BD75AF">
        <w:t xml:space="preserve">University </w:t>
      </w:r>
      <w:r w:rsidRPr="00E05451">
        <w:t>Microfilms International, Ann Arbor, MI.</w:t>
      </w:r>
    </w:p>
    <w:p w:rsidR="000F7191" w:rsidRPr="00E05451" w:rsidRDefault="000F7191" w:rsidP="000F7191"/>
    <w:p w:rsidR="000F7191" w:rsidRDefault="000F7191" w:rsidP="000F7191">
      <w:r>
        <w:t xml:space="preserve">Renfrew, Colin </w:t>
      </w:r>
    </w:p>
    <w:p w:rsidR="000F7191" w:rsidRPr="00E05451" w:rsidRDefault="000F7191" w:rsidP="000F7191">
      <w:r>
        <w:t>1994</w:t>
      </w:r>
      <w:r>
        <w:tab/>
        <w:t>The Archaeology of R</w:t>
      </w:r>
      <w:r w:rsidRPr="00E05451">
        <w:t>eligio</w:t>
      </w:r>
      <w:r w:rsidR="00603654">
        <w:t>n.</w:t>
      </w:r>
      <w:r>
        <w:t xml:space="preserve"> </w:t>
      </w:r>
      <w:r w:rsidRPr="00E05451">
        <w:t xml:space="preserve">In </w:t>
      </w:r>
      <w:r w:rsidRPr="00E05451">
        <w:rPr>
          <w:i/>
        </w:rPr>
        <w:t>The Ancient Mind: Elements of Cognitive Archaeology</w:t>
      </w:r>
      <w:r w:rsidRPr="00E05451">
        <w:t xml:space="preserve">, </w:t>
      </w:r>
      <w:r>
        <w:t>Colin Renfrew</w:t>
      </w:r>
      <w:r w:rsidRPr="00E05451">
        <w:t xml:space="preserve"> and </w:t>
      </w:r>
      <w:r>
        <w:t>Ezra Zubrow, editors</w:t>
      </w:r>
      <w:r w:rsidRPr="00E05451">
        <w:t>, pp. 47-54</w:t>
      </w:r>
      <w:r w:rsidR="00603654">
        <w:t xml:space="preserve">. </w:t>
      </w:r>
      <w:r w:rsidRPr="00E05451">
        <w:t>Cambri</w:t>
      </w:r>
      <w:r>
        <w:t>dge University Press, Cambridge, UK.</w:t>
      </w:r>
    </w:p>
    <w:p w:rsidR="000F7191" w:rsidRPr="00E05451" w:rsidRDefault="000F7191" w:rsidP="000F7191"/>
    <w:p w:rsidR="000F7191" w:rsidRDefault="000F7191" w:rsidP="000F7191">
      <w:r>
        <w:t>Reps, John William</w:t>
      </w:r>
    </w:p>
    <w:p w:rsidR="000F7191" w:rsidRDefault="000F7191" w:rsidP="000F7191">
      <w:r>
        <w:t>1972</w:t>
      </w:r>
      <w:r>
        <w:tab/>
      </w:r>
      <w:r w:rsidRPr="0085253F">
        <w:rPr>
          <w:i/>
        </w:rPr>
        <w:t>Tidewater Towns: City Planning in Colonial Virginia and Maryland</w:t>
      </w:r>
      <w:r w:rsidR="00603654">
        <w:t xml:space="preserve">. </w:t>
      </w:r>
      <w:r>
        <w:t>Colonial Williamsburg Foundation, Williamsburg, VA, distributed by University Press of Virginia, Charlottesville, VA.</w:t>
      </w:r>
    </w:p>
    <w:p w:rsidR="000F7191" w:rsidRDefault="000F7191" w:rsidP="000F7191"/>
    <w:p w:rsidR="00895732" w:rsidRDefault="00895732" w:rsidP="000F7191">
      <w:r>
        <w:t xml:space="preserve">Robert Cary &amp; Company </w:t>
      </w:r>
      <w:r>
        <w:br/>
        <w:t>1765</w:t>
      </w:r>
      <w:r>
        <w:tab/>
        <w:t>Invoice of Costs and Charges, 13 February. Digital file, Invoice to George Washington, Manuscript Division, The George Washington Papers, The Library of Congress, Washington, DC. &lt; http://memory.loc.gov/mss/mgw/mgw5/116/0300/0357.jpg&gt;. Accessed 1 December 2012.</w:t>
      </w:r>
    </w:p>
    <w:p w:rsidR="00895732" w:rsidRDefault="00895732" w:rsidP="000F7191"/>
    <w:p w:rsidR="000F7191" w:rsidRDefault="000F7191" w:rsidP="000F7191">
      <w:r>
        <w:t>Rohleder, Anna</w:t>
      </w:r>
    </w:p>
    <w:p w:rsidR="00603654" w:rsidRDefault="000F7191" w:rsidP="000F7191">
      <w:r>
        <w:t>2001</w:t>
      </w:r>
      <w:r>
        <w:tab/>
        <w:t>G</w:t>
      </w:r>
      <w:r w:rsidR="00603654">
        <w:t>eorge Washington Fashion Plate.</w:t>
      </w:r>
      <w:r>
        <w:t xml:space="preserve"> </w:t>
      </w:r>
      <w:r w:rsidRPr="000F469B">
        <w:rPr>
          <w:i/>
        </w:rPr>
        <w:t>Forbes</w:t>
      </w:r>
      <w:r>
        <w:t xml:space="preserve"> 13 June.  </w:t>
      </w:r>
    </w:p>
    <w:p w:rsidR="000F7191" w:rsidRDefault="000F7191" w:rsidP="000F7191">
      <w:r>
        <w:t>&lt;</w:t>
      </w:r>
      <w:r w:rsidRPr="000F469B">
        <w:t xml:space="preserve"> http://www.forbes.com/2001/06/13/0613pow.html</w:t>
      </w:r>
      <w:r>
        <w:t>&gt;. Accessed 1 Nov. 2011.</w:t>
      </w:r>
    </w:p>
    <w:p w:rsidR="000F7191" w:rsidRDefault="000F7191" w:rsidP="000F7191"/>
    <w:p w:rsidR="000F7191" w:rsidRPr="00BD75AF" w:rsidRDefault="000F7191" w:rsidP="000F7191">
      <w:r w:rsidRPr="00BD75AF">
        <w:t>Rozbicki, Michal J.</w:t>
      </w:r>
    </w:p>
    <w:p w:rsidR="000F7191" w:rsidRDefault="000F7191" w:rsidP="000F7191">
      <w:r w:rsidRPr="00BD75AF">
        <w:t>1998</w:t>
      </w:r>
      <w:r>
        <w:tab/>
      </w:r>
      <w:r w:rsidRPr="00A42918">
        <w:rPr>
          <w:i/>
        </w:rPr>
        <w:t>The Complete Colonial Gentleman: Cultural Legitimacy in Plantation America</w:t>
      </w:r>
      <w:r>
        <w:rPr>
          <w:i/>
        </w:rPr>
        <w:t>, 1720s-1770s</w:t>
      </w:r>
      <w:r w:rsidR="00603654">
        <w:t>.</w:t>
      </w:r>
      <w:r>
        <w:t xml:space="preserve"> University Press of Virginia, Charlottesville.</w:t>
      </w:r>
    </w:p>
    <w:p w:rsidR="000F7191" w:rsidRDefault="000F7191" w:rsidP="000F7191"/>
    <w:p w:rsidR="000F7191" w:rsidRPr="00207978" w:rsidRDefault="000F7191" w:rsidP="000F7191">
      <w:pPr>
        <w:rPr>
          <w:lang w:val="fr-FR"/>
        </w:rPr>
      </w:pPr>
      <w:r w:rsidRPr="00207978">
        <w:rPr>
          <w:lang w:val="fr-FR"/>
        </w:rPr>
        <w:t>Samford, Patricia M.</w:t>
      </w:r>
    </w:p>
    <w:p w:rsidR="000F7191" w:rsidRDefault="000F7191" w:rsidP="000F7191">
      <w:pPr>
        <w:rPr>
          <w:lang w:val="fr-FR"/>
        </w:rPr>
      </w:pPr>
      <w:r>
        <w:rPr>
          <w:lang w:val="fr-FR"/>
        </w:rPr>
        <w:t>1996</w:t>
      </w:r>
      <w:r>
        <w:rPr>
          <w:lang w:val="fr-FR"/>
        </w:rPr>
        <w:tab/>
        <w:t xml:space="preserve">The Archaeology of African-American Slavery and Material Culture. </w:t>
      </w:r>
      <w:r w:rsidRPr="00B61460">
        <w:rPr>
          <w:i/>
          <w:lang w:val="fr-FR"/>
        </w:rPr>
        <w:t>The William and Mary Quarterly</w:t>
      </w:r>
      <w:r>
        <w:rPr>
          <w:lang w:val="fr-FR"/>
        </w:rPr>
        <w:t xml:space="preserve"> 53(1) :87-114.</w:t>
      </w:r>
    </w:p>
    <w:p w:rsidR="000F7191" w:rsidRDefault="000F7191" w:rsidP="000F7191">
      <w:pPr>
        <w:rPr>
          <w:lang w:val="fr-FR"/>
        </w:rPr>
      </w:pPr>
    </w:p>
    <w:p w:rsidR="000F7191" w:rsidRDefault="000F7191" w:rsidP="000F7191">
      <w:r w:rsidRPr="00207978">
        <w:rPr>
          <w:lang w:val="fr-FR"/>
        </w:rPr>
        <w:t>2007</w:t>
      </w:r>
      <w:r w:rsidRPr="00207978">
        <w:rPr>
          <w:lang w:val="fr-FR"/>
        </w:rPr>
        <w:tab/>
      </w:r>
      <w:r w:rsidRPr="00207978">
        <w:rPr>
          <w:i/>
          <w:iCs/>
          <w:lang w:val="fr-FR"/>
        </w:rPr>
        <w:t>Subf</w:t>
      </w:r>
      <w:r>
        <w:rPr>
          <w:i/>
          <w:iCs/>
        </w:rPr>
        <w:t>loor Pits and the Archaeology of Slavery in Colonial Virginia</w:t>
      </w:r>
      <w:r w:rsidR="00603654">
        <w:t xml:space="preserve">. </w:t>
      </w:r>
      <w:r>
        <w:t>The University of Alabama Press, Tuscaloosa.</w:t>
      </w:r>
    </w:p>
    <w:p w:rsidR="000F7191" w:rsidRDefault="000F7191" w:rsidP="000F7191"/>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Savitt, Todd L.</w:t>
      </w: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1978</w:t>
      </w:r>
      <w:r>
        <w:rPr>
          <w:rFonts w:ascii="Times New Roman" w:hAnsi="Times New Roman"/>
          <w:sz w:val="24"/>
          <w:szCs w:val="24"/>
        </w:rPr>
        <w:tab/>
      </w:r>
      <w:r w:rsidRPr="002D47CA">
        <w:rPr>
          <w:rFonts w:ascii="Times New Roman" w:hAnsi="Times New Roman"/>
          <w:i/>
          <w:sz w:val="24"/>
          <w:szCs w:val="24"/>
        </w:rPr>
        <w:t>Medicine and Slavery: The Diseases and Health Care of Blacks in Antebellum Virginia</w:t>
      </w:r>
      <w:r w:rsidR="00603654">
        <w:rPr>
          <w:rFonts w:ascii="Times New Roman" w:hAnsi="Times New Roman"/>
          <w:sz w:val="24"/>
          <w:szCs w:val="24"/>
        </w:rPr>
        <w:t xml:space="preserve">. </w:t>
      </w:r>
      <w:r>
        <w:rPr>
          <w:rFonts w:ascii="Times New Roman" w:hAnsi="Times New Roman"/>
          <w:sz w:val="24"/>
          <w:szCs w:val="24"/>
        </w:rPr>
        <w:t>University of Illinois Press, Urbana.</w:t>
      </w:r>
    </w:p>
    <w:p w:rsidR="000F7191" w:rsidRDefault="000F7191" w:rsidP="000F7191">
      <w:pPr>
        <w:pStyle w:val="NormalWeb"/>
        <w:spacing w:before="0" w:beforeAutospacing="0" w:after="0" w:afterAutospacing="0" w:line="240" w:lineRule="auto"/>
        <w:rPr>
          <w:rFonts w:ascii="Times New Roman" w:hAnsi="Times New Roman"/>
          <w:sz w:val="24"/>
          <w:szCs w:val="24"/>
        </w:rPr>
      </w:pP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Schlereth, Thomas J.</w:t>
      </w: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1985</w:t>
      </w:r>
      <w:r>
        <w:rPr>
          <w:rFonts w:ascii="Times New Roman" w:hAnsi="Times New Roman"/>
          <w:sz w:val="24"/>
          <w:szCs w:val="24"/>
        </w:rPr>
        <w:tab/>
        <w:t xml:space="preserve">Material </w:t>
      </w:r>
      <w:r w:rsidR="00603654">
        <w:rPr>
          <w:rFonts w:ascii="Times New Roman" w:hAnsi="Times New Roman"/>
          <w:sz w:val="24"/>
          <w:szCs w:val="24"/>
        </w:rPr>
        <w:t xml:space="preserve">Culture and Cultural Research. </w:t>
      </w:r>
      <w:r>
        <w:rPr>
          <w:rFonts w:ascii="Times New Roman" w:hAnsi="Times New Roman"/>
          <w:sz w:val="24"/>
          <w:szCs w:val="24"/>
        </w:rPr>
        <w:t xml:space="preserve">In </w:t>
      </w:r>
      <w:r w:rsidRPr="00F43B7D">
        <w:rPr>
          <w:rFonts w:ascii="Times New Roman" w:hAnsi="Times New Roman"/>
          <w:i/>
          <w:sz w:val="24"/>
          <w:szCs w:val="24"/>
        </w:rPr>
        <w:t>Material Culture: A Research Guide</w:t>
      </w:r>
      <w:r>
        <w:rPr>
          <w:rFonts w:ascii="Times New Roman" w:hAnsi="Times New Roman"/>
          <w:sz w:val="24"/>
          <w:szCs w:val="24"/>
        </w:rPr>
        <w:t>, Thomas J</w:t>
      </w:r>
      <w:r w:rsidR="00603654">
        <w:rPr>
          <w:rFonts w:ascii="Times New Roman" w:hAnsi="Times New Roman"/>
          <w:sz w:val="24"/>
          <w:szCs w:val="24"/>
        </w:rPr>
        <w:t xml:space="preserve">. Schlereth, editor, pp. 1-34. </w:t>
      </w:r>
      <w:r>
        <w:rPr>
          <w:rFonts w:ascii="Times New Roman" w:hAnsi="Times New Roman"/>
          <w:sz w:val="24"/>
          <w:szCs w:val="24"/>
        </w:rPr>
        <w:t>University Press of Kansas, Lawrence.</w:t>
      </w:r>
    </w:p>
    <w:p w:rsidR="000F7191" w:rsidRDefault="000F7191" w:rsidP="000F7191">
      <w:pPr>
        <w:pStyle w:val="NormalWeb"/>
        <w:spacing w:before="0" w:beforeAutospacing="0" w:after="0" w:afterAutospacing="0" w:line="240" w:lineRule="auto"/>
        <w:rPr>
          <w:rFonts w:ascii="Times New Roman" w:hAnsi="Times New Roman"/>
          <w:sz w:val="24"/>
          <w:szCs w:val="24"/>
        </w:rPr>
      </w:pPr>
    </w:p>
    <w:p w:rsidR="00F573AA" w:rsidRDefault="00F573AA">
      <w:r>
        <w:br w:type="page"/>
      </w:r>
    </w:p>
    <w:p w:rsidR="000F7191" w:rsidRDefault="000F7191" w:rsidP="000F7191">
      <w:r>
        <w:lastRenderedPageBreak/>
        <w:t>Schroedl, Gerald F. and Todd M. Ahlman</w:t>
      </w:r>
    </w:p>
    <w:p w:rsidR="000F7191" w:rsidRDefault="000F7191" w:rsidP="000F7191">
      <w:r>
        <w:t>2002</w:t>
      </w:r>
      <w:r>
        <w:tab/>
        <w:t>The Maintenance of Cultural and Personal Identities of Enslaved Africans and British Soldiers at the Brimstone Hill Fo</w:t>
      </w:r>
      <w:r w:rsidR="00603654">
        <w:t>rtress, St. Kitts, West Indies.</w:t>
      </w:r>
      <w:r>
        <w:t xml:space="preserve"> </w:t>
      </w:r>
      <w:r w:rsidRPr="0071504E">
        <w:rPr>
          <w:i/>
        </w:rPr>
        <w:t>Historical Archaeology</w:t>
      </w:r>
      <w:r>
        <w:t xml:space="preserve"> 36(4):38-49.</w:t>
      </w:r>
    </w:p>
    <w:p w:rsidR="000F7191" w:rsidRDefault="000F7191" w:rsidP="000F7191"/>
    <w:p w:rsidR="000F7191" w:rsidRPr="0039640B" w:rsidRDefault="000F7191" w:rsidP="000F7191">
      <w:r w:rsidRPr="0039640B">
        <w:t>Shackel, Paul A.</w:t>
      </w:r>
    </w:p>
    <w:p w:rsidR="000F7191" w:rsidRDefault="000F7191" w:rsidP="000F7191">
      <w:r w:rsidRPr="0039640B">
        <w:t>1992</w:t>
      </w:r>
      <w:r w:rsidRPr="0039640B">
        <w:tab/>
        <w:t>Modern Discipline: Its Historical Conte</w:t>
      </w:r>
      <w:r w:rsidR="00603654">
        <w:t xml:space="preserve">xt in the Colonial Chesapeake. </w:t>
      </w:r>
      <w:r w:rsidRPr="0039640B">
        <w:rPr>
          <w:i/>
        </w:rPr>
        <w:t>Historical Archaeology</w:t>
      </w:r>
      <w:r w:rsidRPr="0039640B">
        <w:t xml:space="preserve"> 26(3):78-84.</w:t>
      </w:r>
    </w:p>
    <w:p w:rsidR="000F7191" w:rsidRDefault="000F7191" w:rsidP="000F7191"/>
    <w:p w:rsidR="000F7191" w:rsidRPr="0039640B" w:rsidRDefault="000F7191" w:rsidP="000F7191">
      <w:r>
        <w:t>1993</w:t>
      </w:r>
      <w:r>
        <w:tab/>
      </w:r>
      <w:r>
        <w:rPr>
          <w:i/>
          <w:iCs/>
        </w:rPr>
        <w:t>Personal Discipline and Material Culture: An Archaeology of Annapolis, Maryland, 1695-1870.</w:t>
      </w:r>
      <w:r>
        <w:t xml:space="preserve"> The University of Tennessee Press, Knoxville.</w:t>
      </w:r>
    </w:p>
    <w:p w:rsidR="000F7191" w:rsidRDefault="000F7191" w:rsidP="000F7191"/>
    <w:p w:rsidR="000F7191" w:rsidRDefault="000F7191" w:rsidP="000F7191">
      <w:pPr>
        <w:autoSpaceDE w:val="0"/>
        <w:autoSpaceDN w:val="0"/>
        <w:adjustRightInd w:val="0"/>
      </w:pPr>
      <w:r>
        <w:t>Shammas, Carole</w:t>
      </w:r>
    </w:p>
    <w:p w:rsidR="000F7191" w:rsidRDefault="000F7191" w:rsidP="000F7191">
      <w:pPr>
        <w:autoSpaceDE w:val="0"/>
        <w:autoSpaceDN w:val="0"/>
        <w:adjustRightInd w:val="0"/>
      </w:pPr>
      <w:r>
        <w:t>1985</w:t>
      </w:r>
      <w:r>
        <w:tab/>
        <w:t>Black Women’s Work and the Evolution of P</w:t>
      </w:r>
      <w:r w:rsidR="00603654">
        <w:t xml:space="preserve">lantation Society in Virginia. </w:t>
      </w:r>
      <w:r w:rsidRPr="00A04240">
        <w:rPr>
          <w:i/>
        </w:rPr>
        <w:t>Labor History</w:t>
      </w:r>
      <w:r>
        <w:t xml:space="preserve"> 29(1):5-28.</w:t>
      </w:r>
    </w:p>
    <w:p w:rsidR="000F7191" w:rsidRDefault="000F7191" w:rsidP="000F7191">
      <w:pPr>
        <w:autoSpaceDE w:val="0"/>
        <w:autoSpaceDN w:val="0"/>
        <w:adjustRightInd w:val="0"/>
      </w:pPr>
    </w:p>
    <w:p w:rsidR="000F7191" w:rsidRDefault="000F7191" w:rsidP="000F7191">
      <w:pPr>
        <w:autoSpaceDE w:val="0"/>
        <w:autoSpaceDN w:val="0"/>
        <w:adjustRightInd w:val="0"/>
      </w:pPr>
      <w:r>
        <w:t>Shick, Laura</w:t>
      </w:r>
    </w:p>
    <w:p w:rsidR="000F7191" w:rsidRDefault="000F7191" w:rsidP="000F7191">
      <w:pPr>
        <w:autoSpaceDE w:val="0"/>
        <w:autoSpaceDN w:val="0"/>
        <w:adjustRightInd w:val="0"/>
      </w:pPr>
      <w:r>
        <w:t>2004</w:t>
      </w:r>
      <w:r>
        <w:tab/>
        <w:t>An Analysis of Archaeobotanical Evidence from the House for Families Slave Quarter, Moun</w:t>
      </w:r>
      <w:r w:rsidR="00603654">
        <w:t xml:space="preserve">t Vernon Plantation, Virginia. </w:t>
      </w:r>
      <w:r>
        <w:t>Master’s thesis, Department of Anthropology, American University, Washington, DC.</w:t>
      </w:r>
    </w:p>
    <w:p w:rsidR="000F7191" w:rsidRDefault="000F7191" w:rsidP="000F7191">
      <w:pPr>
        <w:autoSpaceDE w:val="0"/>
        <w:autoSpaceDN w:val="0"/>
        <w:adjustRightInd w:val="0"/>
      </w:pPr>
    </w:p>
    <w:p w:rsidR="000F7191" w:rsidRPr="00294880" w:rsidRDefault="000F7191" w:rsidP="000F7191">
      <w:pPr>
        <w:autoSpaceDE w:val="0"/>
        <w:autoSpaceDN w:val="0"/>
        <w:adjustRightInd w:val="0"/>
      </w:pPr>
      <w:r w:rsidRPr="00294880">
        <w:t>Shott, George C.</w:t>
      </w:r>
    </w:p>
    <w:p w:rsidR="000F7191" w:rsidRPr="00294880" w:rsidRDefault="000F7191" w:rsidP="000F7191">
      <w:pPr>
        <w:autoSpaceDE w:val="0"/>
        <w:autoSpaceDN w:val="0"/>
        <w:adjustRightInd w:val="0"/>
      </w:pPr>
      <w:r w:rsidRPr="00294880">
        <w:t>1978</w:t>
      </w:r>
      <w:r w:rsidRPr="00294880">
        <w:tab/>
        <w:t>Archaeological Investigations of Belvoir Historic Site, Fort Belvoir, Virginia. U. S. Army Engineer Museum, Department of the Army, Headquarters, U. S. Engineer Center and Fort Belvoir, Fort Belvoir, VA.</w:t>
      </w:r>
    </w:p>
    <w:p w:rsidR="000F7191" w:rsidRPr="00294880" w:rsidRDefault="000F7191" w:rsidP="000F7191"/>
    <w:p w:rsidR="000F7191" w:rsidRPr="00294880" w:rsidRDefault="000F7191" w:rsidP="000F7191">
      <w:pPr>
        <w:rPr>
          <w:rFonts w:eastAsia="Calibri"/>
        </w:rPr>
      </w:pPr>
      <w:r w:rsidRPr="00294880">
        <w:rPr>
          <w:rFonts w:eastAsia="Calibri"/>
        </w:rPr>
        <w:t>Simmel, Georg</w:t>
      </w:r>
    </w:p>
    <w:p w:rsidR="000F7191" w:rsidRPr="00BE7F8C" w:rsidRDefault="000F7191" w:rsidP="000F7191">
      <w:pPr>
        <w:rPr>
          <w:rFonts w:eastAsia="Calibri"/>
        </w:rPr>
      </w:pPr>
      <w:r w:rsidRPr="00BE7F8C">
        <w:rPr>
          <w:rFonts w:eastAsia="Calibri"/>
        </w:rPr>
        <w:t>1904</w:t>
      </w:r>
      <w:r w:rsidRPr="00BE7F8C">
        <w:rPr>
          <w:rFonts w:eastAsia="Calibri"/>
        </w:rPr>
        <w:tab/>
        <w:t xml:space="preserve">Fashion.  </w:t>
      </w:r>
      <w:r w:rsidRPr="00BE7F8C">
        <w:rPr>
          <w:rFonts w:eastAsia="Calibri"/>
          <w:i/>
        </w:rPr>
        <w:t xml:space="preserve">International Quarterly </w:t>
      </w:r>
      <w:r w:rsidRPr="00BE7F8C">
        <w:rPr>
          <w:rFonts w:eastAsia="Calibri"/>
        </w:rPr>
        <w:t>10:130-155.</w:t>
      </w:r>
    </w:p>
    <w:p w:rsidR="000F7191" w:rsidRPr="00BE7F8C" w:rsidRDefault="000F7191" w:rsidP="000F7191">
      <w:pPr>
        <w:rPr>
          <w:rFonts w:eastAsia="Calibri"/>
        </w:rPr>
      </w:pPr>
    </w:p>
    <w:p w:rsidR="000F7191" w:rsidRDefault="000F7191" w:rsidP="000F7191">
      <w:r>
        <w:t>Skerry, Janine E. and Suzanne Findlen Hood</w:t>
      </w:r>
    </w:p>
    <w:p w:rsidR="000F7191" w:rsidRDefault="000F7191" w:rsidP="000F7191">
      <w:r>
        <w:t>2009</w:t>
      </w:r>
      <w:r>
        <w:tab/>
      </w:r>
      <w:r w:rsidRPr="009F563D">
        <w:rPr>
          <w:i/>
        </w:rPr>
        <w:t>Salt-glazed Stoneware in Early America.</w:t>
      </w:r>
      <w:r>
        <w:t xml:space="preserve">  University Press of New England, London, UK.</w:t>
      </w:r>
    </w:p>
    <w:p w:rsidR="000F7191" w:rsidRPr="00101687" w:rsidRDefault="000F7191" w:rsidP="000F7191"/>
    <w:p w:rsidR="000F7191" w:rsidRPr="00101687" w:rsidRDefault="000F7191" w:rsidP="000F7191">
      <w:pPr>
        <w:autoSpaceDE w:val="0"/>
        <w:autoSpaceDN w:val="0"/>
        <w:adjustRightInd w:val="0"/>
      </w:pPr>
      <w:r w:rsidRPr="00101687">
        <w:t>Smith, Frederick H.</w:t>
      </w:r>
    </w:p>
    <w:p w:rsidR="000F7191" w:rsidRPr="00101687" w:rsidRDefault="000F7191" w:rsidP="000F7191">
      <w:pPr>
        <w:autoSpaceDE w:val="0"/>
        <w:autoSpaceDN w:val="0"/>
        <w:adjustRightInd w:val="0"/>
      </w:pPr>
      <w:r>
        <w:t>2001</w:t>
      </w:r>
      <w:r>
        <w:tab/>
      </w:r>
      <w:r w:rsidRPr="00B645D4">
        <w:rPr>
          <w:i/>
        </w:rPr>
        <w:t>Volatile Spirits: The Historical Archaeology of Alcohol and Drinking in the Caribbean</w:t>
      </w:r>
      <w:r>
        <w:t xml:space="preserve">.  Doctoral </w:t>
      </w:r>
      <w:r w:rsidRPr="00101687">
        <w:t>dissertation, Department of Anthropology, University of Florida.</w:t>
      </w:r>
      <w:r>
        <w:t xml:space="preserve">  University Microfilms International, Ann Arbor, MI.</w:t>
      </w:r>
    </w:p>
    <w:p w:rsidR="000F7191" w:rsidRDefault="000F7191" w:rsidP="000F7191"/>
    <w:p w:rsidR="000F7191" w:rsidRPr="00101687" w:rsidRDefault="000F7191" w:rsidP="000F7191">
      <w:r>
        <w:t>2008</w:t>
      </w:r>
      <w:r>
        <w:tab/>
      </w:r>
      <w:r w:rsidRPr="00101687">
        <w:rPr>
          <w:i/>
          <w:iCs/>
        </w:rPr>
        <w:t>The Archaeology of Alcohol and Drinking</w:t>
      </w:r>
      <w:r w:rsidRPr="00101687">
        <w:t>. University Press of Florida, Gainesville.</w:t>
      </w:r>
    </w:p>
    <w:p w:rsidR="000F7191" w:rsidRPr="00101687" w:rsidRDefault="000F7191" w:rsidP="000F7191"/>
    <w:p w:rsidR="000F7191" w:rsidRDefault="000F7191" w:rsidP="000F7191">
      <w:r>
        <w:t>Smith, Karen and Alexandra Massey</w:t>
      </w:r>
    </w:p>
    <w:p w:rsidR="000F7191" w:rsidRDefault="000F7191" w:rsidP="000F7191">
      <w:r>
        <w:t>2011</w:t>
      </w:r>
      <w:r>
        <w:tab/>
        <w:t>Building m: Background.  The Digital Archaeological Archive of Comparative Slavery.  &lt;</w:t>
      </w:r>
      <w:r w:rsidRPr="00736E47">
        <w:t xml:space="preserve"> http://www.daacs.org/resources/sites/background/55/</w:t>
      </w:r>
      <w:r>
        <w:t>&gt;.  Accessed 27 August 2013.</w:t>
      </w:r>
    </w:p>
    <w:p w:rsidR="0076173E" w:rsidRDefault="0076173E"/>
    <w:p w:rsidR="00F573AA" w:rsidRDefault="00F573AA">
      <w:r>
        <w:br w:type="page"/>
      </w:r>
    </w:p>
    <w:p w:rsidR="000F7191" w:rsidRDefault="000F7191" w:rsidP="000F7191">
      <w:r>
        <w:lastRenderedPageBreak/>
        <w:t>Smith, S. D.</w:t>
      </w:r>
    </w:p>
    <w:p w:rsidR="000F7191" w:rsidRDefault="000F7191" w:rsidP="000F7191">
      <w:r>
        <w:t>1998</w:t>
      </w:r>
      <w:r>
        <w:tab/>
        <w:t>The Market for Manufactures in the Thirteen Continental Colonies, 1698-1</w:t>
      </w:r>
      <w:r w:rsidR="002E7C31">
        <w:t xml:space="preserve">776. </w:t>
      </w:r>
      <w:r>
        <w:t xml:space="preserve">The </w:t>
      </w:r>
      <w:r w:rsidRPr="00DB0D46">
        <w:rPr>
          <w:i/>
        </w:rPr>
        <w:t>Economic History Review</w:t>
      </w:r>
      <w:r>
        <w:t xml:space="preserve"> 51(4):676-708. </w:t>
      </w:r>
    </w:p>
    <w:p w:rsidR="000F7191" w:rsidRDefault="000F7191" w:rsidP="000F7191"/>
    <w:p w:rsidR="000F7191" w:rsidRPr="00F43B7D"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 xml:space="preserve">Spencer-Wood, </w:t>
      </w:r>
      <w:r w:rsidRPr="00F43B7D">
        <w:rPr>
          <w:rFonts w:ascii="Times New Roman" w:hAnsi="Times New Roman"/>
          <w:sz w:val="24"/>
          <w:szCs w:val="24"/>
        </w:rPr>
        <w:t>Suzanne M.</w:t>
      </w:r>
    </w:p>
    <w:p w:rsidR="000F7191" w:rsidRPr="00F43B7D" w:rsidRDefault="000F7191" w:rsidP="000F7191">
      <w:pPr>
        <w:pStyle w:val="NormalWeb"/>
        <w:spacing w:before="0" w:beforeAutospacing="0" w:after="0" w:afterAutospacing="0" w:line="240" w:lineRule="auto"/>
        <w:rPr>
          <w:rFonts w:ascii="Times New Roman" w:hAnsi="Times New Roman"/>
          <w:sz w:val="24"/>
          <w:szCs w:val="24"/>
        </w:rPr>
      </w:pPr>
      <w:r w:rsidRPr="00F43B7D">
        <w:rPr>
          <w:rFonts w:ascii="Times New Roman" w:hAnsi="Times New Roman"/>
          <w:sz w:val="24"/>
          <w:szCs w:val="24"/>
        </w:rPr>
        <w:t>1987</w:t>
      </w:r>
      <w:r w:rsidRPr="00F43B7D">
        <w:rPr>
          <w:rFonts w:ascii="Times New Roman" w:hAnsi="Times New Roman"/>
          <w:sz w:val="24"/>
          <w:szCs w:val="24"/>
        </w:rPr>
        <w:tab/>
        <w:t xml:space="preserve">Introduction. In </w:t>
      </w:r>
      <w:r w:rsidRPr="00F43B7D">
        <w:rPr>
          <w:rFonts w:ascii="Times New Roman" w:hAnsi="Times New Roman"/>
          <w:i/>
          <w:sz w:val="24"/>
          <w:szCs w:val="24"/>
        </w:rPr>
        <w:t>Consumer Choice in Historical Archaeology</w:t>
      </w:r>
      <w:r w:rsidRPr="00F43B7D">
        <w:rPr>
          <w:rFonts w:ascii="Times New Roman" w:hAnsi="Times New Roman"/>
          <w:sz w:val="24"/>
          <w:szCs w:val="24"/>
        </w:rPr>
        <w:t>, Suzan</w:t>
      </w:r>
      <w:r>
        <w:rPr>
          <w:rFonts w:ascii="Times New Roman" w:hAnsi="Times New Roman"/>
          <w:sz w:val="24"/>
          <w:szCs w:val="24"/>
        </w:rPr>
        <w:t>ne Spencer-Wood, editor, pp. 1-23</w:t>
      </w:r>
      <w:r w:rsidR="002E7C31">
        <w:rPr>
          <w:rFonts w:ascii="Times New Roman" w:hAnsi="Times New Roman"/>
          <w:sz w:val="24"/>
          <w:szCs w:val="24"/>
        </w:rPr>
        <w:t>.</w:t>
      </w:r>
      <w:r w:rsidRPr="00F43B7D">
        <w:rPr>
          <w:rFonts w:ascii="Times New Roman" w:hAnsi="Times New Roman"/>
          <w:sz w:val="24"/>
          <w:szCs w:val="24"/>
        </w:rPr>
        <w:t xml:space="preserve"> Plenum Press, New York</w:t>
      </w:r>
      <w:r>
        <w:rPr>
          <w:rFonts w:ascii="Times New Roman" w:hAnsi="Times New Roman"/>
          <w:sz w:val="24"/>
          <w:szCs w:val="24"/>
        </w:rPr>
        <w:t>, NY</w:t>
      </w:r>
      <w:r w:rsidRPr="00F43B7D">
        <w:rPr>
          <w:rFonts w:ascii="Times New Roman" w:hAnsi="Times New Roman"/>
          <w:sz w:val="24"/>
          <w:szCs w:val="24"/>
        </w:rPr>
        <w:t>.</w:t>
      </w:r>
    </w:p>
    <w:p w:rsidR="000F7191" w:rsidRDefault="000F7191" w:rsidP="000F7191"/>
    <w:p w:rsidR="000F7191" w:rsidRDefault="000F7191" w:rsidP="000F7191">
      <w:r>
        <w:t>Sprouse, Edith Moore</w:t>
      </w:r>
    </w:p>
    <w:p w:rsidR="000F7191" w:rsidRDefault="000F7191" w:rsidP="000F7191">
      <w:r>
        <w:t>1975</w:t>
      </w:r>
      <w:r>
        <w:tab/>
      </w:r>
      <w:r w:rsidRPr="00BC7A32">
        <w:rPr>
          <w:i/>
        </w:rPr>
        <w:t>Colchester: Colonial Port on the Potomac</w:t>
      </w:r>
      <w:r w:rsidR="002E7C31">
        <w:t xml:space="preserve">. </w:t>
      </w:r>
      <w:r>
        <w:t>Fairfax County Office of Comprehensive Planning, Fairfax, VA.</w:t>
      </w:r>
    </w:p>
    <w:p w:rsidR="000F7191" w:rsidRDefault="000F7191" w:rsidP="000F7191"/>
    <w:p w:rsidR="000F7191" w:rsidRDefault="000F7191" w:rsidP="000F7191">
      <w:r>
        <w:t>StatSoft, Inc.</w:t>
      </w:r>
    </w:p>
    <w:p w:rsidR="000F7191" w:rsidRDefault="000F7191" w:rsidP="000F7191">
      <w:r>
        <w:t>2013</w:t>
      </w:r>
      <w:r>
        <w:tab/>
        <w:t>E</w:t>
      </w:r>
      <w:r w:rsidR="002E7C31">
        <w:t xml:space="preserve">lectronic Statistics Textbook. StatSoft, Tusla, OK. </w:t>
      </w:r>
      <w:r>
        <w:t>&lt;</w:t>
      </w:r>
      <w:r w:rsidRPr="001D0C59">
        <w:t>http://www.statsoft.com/textbook/cluster-analysis/</w:t>
      </w:r>
      <w:r w:rsidR="002E7C31">
        <w:t xml:space="preserve">&gt;. </w:t>
      </w:r>
      <w:r>
        <w:t>Accessed 23 June 2013.</w:t>
      </w:r>
    </w:p>
    <w:p w:rsidR="000F7191" w:rsidRDefault="000F7191" w:rsidP="000F7191"/>
    <w:p w:rsidR="000F7191" w:rsidRDefault="000F7191" w:rsidP="000F7191">
      <w:r>
        <w:t>Steadman, Melvin Lee</w:t>
      </w:r>
    </w:p>
    <w:p w:rsidR="000F7191" w:rsidRDefault="000F7191" w:rsidP="000F7191">
      <w:r>
        <w:t>1964</w:t>
      </w:r>
      <w:r>
        <w:tab/>
      </w:r>
      <w:r w:rsidRPr="00784BBC">
        <w:rPr>
          <w:i/>
        </w:rPr>
        <w:t>Falls Church: By Fence and Fireside.</w:t>
      </w:r>
      <w:r w:rsidR="002E7C31">
        <w:t xml:space="preserve"> </w:t>
      </w:r>
      <w:r>
        <w:t xml:space="preserve">The Turnpike Press, Inc., Annandale, VA. </w:t>
      </w:r>
    </w:p>
    <w:p w:rsidR="000F7191" w:rsidRDefault="000F7191" w:rsidP="000F7191"/>
    <w:p w:rsidR="000F7191" w:rsidRDefault="000F7191" w:rsidP="000F7191">
      <w:r>
        <w:t>Stevenson, Brenda E.</w:t>
      </w:r>
    </w:p>
    <w:p w:rsidR="000F7191" w:rsidRDefault="000F7191" w:rsidP="000F7191">
      <w:r>
        <w:t>1996</w:t>
      </w:r>
      <w:r>
        <w:tab/>
      </w:r>
      <w:r w:rsidRPr="00A04240">
        <w:rPr>
          <w:i/>
        </w:rPr>
        <w:t>Life in Black and White: Family and Community in the Slave South</w:t>
      </w:r>
      <w:r w:rsidR="002E7C31">
        <w:t xml:space="preserve">. </w:t>
      </w:r>
      <w:r>
        <w:t xml:space="preserve">Oxford University Press, Oxford, UK. </w:t>
      </w:r>
    </w:p>
    <w:p w:rsidR="000F7191" w:rsidRDefault="000F7191" w:rsidP="000F7191"/>
    <w:p w:rsidR="000F7191" w:rsidRDefault="000F7191" w:rsidP="000F7191">
      <w:r>
        <w:t>Stiverson, Cynthia Z. and Gregory A. Stiverson</w:t>
      </w:r>
      <w:r>
        <w:br/>
        <w:t>1983    The Colonial Retail Book Trade: Availability and Affordability of Reading Material in Mi</w:t>
      </w:r>
      <w:r w:rsidR="002E7C31">
        <w:t>d-Eighteenth-Century Virginia. </w:t>
      </w:r>
      <w:r>
        <w:t xml:space="preserve">In </w:t>
      </w:r>
      <w:r>
        <w:rPr>
          <w:rStyle w:val="Emphasis"/>
        </w:rPr>
        <w:t>Printing and Society in Early America</w:t>
      </w:r>
      <w:r>
        <w:t xml:space="preserve">, William L. Joyce, David D. Hall, Richard D. Brown, and John B. Hench, </w:t>
      </w:r>
      <w:r w:rsidR="002E7C31">
        <w:t>editors, pp. 132-173. </w:t>
      </w:r>
      <w:r>
        <w:t>American Antiquarian Society, Worcester, MA.</w:t>
      </w:r>
    </w:p>
    <w:p w:rsidR="000F7191" w:rsidRDefault="000F7191" w:rsidP="000F7191"/>
    <w:p w:rsidR="000F7191" w:rsidRDefault="000F7191" w:rsidP="000F7191">
      <w:r>
        <w:t>Stone, Lyle M.</w:t>
      </w:r>
    </w:p>
    <w:p w:rsidR="000F7191" w:rsidRDefault="000F7191" w:rsidP="000F7191">
      <w:r>
        <w:t>1974</w:t>
      </w:r>
      <w:r>
        <w:tab/>
      </w:r>
      <w:r w:rsidRPr="0011113D">
        <w:rPr>
          <w:i/>
        </w:rPr>
        <w:t>Fort Michilimackinac 1715-1781.</w:t>
      </w:r>
      <w:r w:rsidR="002E7C31">
        <w:t xml:space="preserve"> </w:t>
      </w:r>
      <w:r>
        <w:t>Anthropological Series, Vol.</w:t>
      </w:r>
      <w:r w:rsidR="002E7C31">
        <w:t xml:space="preserve"> 2, Publications of the Museum.</w:t>
      </w:r>
      <w:r>
        <w:t xml:space="preserve"> Michigan State University, East Lansing, MI. </w:t>
      </w:r>
    </w:p>
    <w:p w:rsidR="000F7191" w:rsidRDefault="000F7191" w:rsidP="000F7191"/>
    <w:p w:rsidR="000F7191" w:rsidRDefault="000F7191" w:rsidP="000F7191">
      <w:r>
        <w:t>Stone, Lawrence</w:t>
      </w:r>
    </w:p>
    <w:p w:rsidR="000F7191" w:rsidRDefault="000F7191" w:rsidP="000F7191">
      <w:r>
        <w:t>1979</w:t>
      </w:r>
      <w:r>
        <w:tab/>
        <w:t>The Revival of Narrative: Ref</w:t>
      </w:r>
      <w:r w:rsidR="002E7C31">
        <w:t xml:space="preserve">lections on a New Old History. </w:t>
      </w:r>
      <w:r w:rsidRPr="007209CE">
        <w:rPr>
          <w:i/>
        </w:rPr>
        <w:t>Past &amp; Present</w:t>
      </w:r>
      <w:r>
        <w:t xml:space="preserve"> 85:3-24.</w:t>
      </w:r>
    </w:p>
    <w:p w:rsidR="000F7191" w:rsidRDefault="000F7191" w:rsidP="000F7191"/>
    <w:p w:rsidR="000F7191" w:rsidRDefault="000F7191" w:rsidP="000F7191">
      <w:r>
        <w:t>Storer, Donald</w:t>
      </w:r>
    </w:p>
    <w:p w:rsidR="000F7191" w:rsidRDefault="000F7191" w:rsidP="000F7191">
      <w:r>
        <w:t>2007-2012</w:t>
      </w:r>
      <w:r>
        <w:tab/>
        <w:t>Soil Chemical Results: So</w:t>
      </w:r>
      <w:r w:rsidR="002E7C31">
        <w:t xml:space="preserve">uth Grove Midden (44FX762/17). </w:t>
      </w:r>
      <w:r>
        <w:t>Data to Mount Vernon Ladies’ Association, Mount Vernon, VA from Donald Storer, Southern State Community College, OH.</w:t>
      </w:r>
    </w:p>
    <w:p w:rsidR="000F7191" w:rsidRDefault="000F7191" w:rsidP="000F7191"/>
    <w:p w:rsidR="000F7191" w:rsidRPr="00432A18" w:rsidRDefault="000F7191" w:rsidP="000F7191">
      <w:r>
        <w:t>Styles, John and Amanda Vickery</w:t>
      </w:r>
    </w:p>
    <w:p w:rsidR="000F7191" w:rsidRDefault="000F7191" w:rsidP="000F7191">
      <w:r>
        <w:t>2006</w:t>
      </w:r>
      <w:r>
        <w:tab/>
      </w:r>
      <w:r w:rsidRPr="007209CE">
        <w:rPr>
          <w:i/>
        </w:rPr>
        <w:t>Gender, Taste, and Material Culture in Britain and North America, 1700-1830</w:t>
      </w:r>
      <w:r w:rsidR="002E7C31">
        <w:t xml:space="preserve">. </w:t>
      </w:r>
      <w:r>
        <w:t>Yale University Press, New Haven, CT.</w:t>
      </w:r>
    </w:p>
    <w:p w:rsidR="0076173E" w:rsidRDefault="0076173E"/>
    <w:p w:rsidR="00F573AA" w:rsidRDefault="00F573AA">
      <w:r>
        <w:br w:type="page"/>
      </w:r>
    </w:p>
    <w:p w:rsidR="000F7191" w:rsidRDefault="000F7191" w:rsidP="000F7191">
      <w:r>
        <w:lastRenderedPageBreak/>
        <w:t>Sweeny, Kevin M.</w:t>
      </w:r>
    </w:p>
    <w:p w:rsidR="000F7191" w:rsidRPr="004119A3" w:rsidRDefault="000F7191" w:rsidP="000F7191">
      <w:pPr>
        <w:autoSpaceDE w:val="0"/>
        <w:autoSpaceDN w:val="0"/>
        <w:adjustRightInd w:val="0"/>
        <w:rPr>
          <w:i/>
          <w:iCs/>
        </w:rPr>
      </w:pPr>
      <w:r>
        <w:t>1994</w:t>
      </w:r>
      <w:r>
        <w:tab/>
        <w:t xml:space="preserve">High-Style Vernacular: Lifestyles of the Colonial Elite. In </w:t>
      </w:r>
      <w:r>
        <w:rPr>
          <w:i/>
          <w:iCs/>
        </w:rPr>
        <w:t>Of Consuming Interests: The Style of Life in the Eighteenth Century</w:t>
      </w:r>
      <w:r>
        <w:t>, Cary Carson, Ronald Hoffman, and Peter J.</w:t>
      </w:r>
      <w:r>
        <w:rPr>
          <w:i/>
          <w:iCs/>
        </w:rPr>
        <w:t xml:space="preserve"> </w:t>
      </w:r>
      <w:r>
        <w:t>Albert, editors, pp. 1-58. University of Virginia Press, Charlottesville.</w:t>
      </w:r>
    </w:p>
    <w:p w:rsidR="000F7191" w:rsidRDefault="000F7191" w:rsidP="000F7191"/>
    <w:p w:rsidR="000F7191" w:rsidRPr="00784BBC" w:rsidRDefault="000F7191" w:rsidP="000F7191">
      <w:r w:rsidRPr="00784BBC">
        <w:t>Sweig, Donald</w:t>
      </w:r>
    </w:p>
    <w:p w:rsidR="000F7191" w:rsidRDefault="000F7191" w:rsidP="000F7191">
      <w:r w:rsidRPr="00784BBC">
        <w:t>1978</w:t>
      </w:r>
      <w:r w:rsidRPr="00784BBC">
        <w:tab/>
      </w:r>
      <w:r>
        <w:t xml:space="preserve">1649-1800. </w:t>
      </w:r>
      <w:r w:rsidRPr="00784BBC">
        <w:t xml:space="preserve">In </w:t>
      </w:r>
      <w:r w:rsidRPr="00784BBC">
        <w:rPr>
          <w:i/>
        </w:rPr>
        <w:t>Fairfax County, Virginia: A History</w:t>
      </w:r>
      <w:r>
        <w:t>, Nan Netherton, Donald Sweig, Janice Artemel, Patricia Hickin, and Patrick Ree</w:t>
      </w:r>
      <w:r w:rsidR="002E7C31">
        <w:t xml:space="preserve">d, co-contributors, pp. 5-151. </w:t>
      </w:r>
      <w:r>
        <w:t>Fairfax County Board of Supervisors, Fairfax County, VA.</w:t>
      </w:r>
    </w:p>
    <w:p w:rsidR="000F7191" w:rsidRDefault="000F7191" w:rsidP="000F7191"/>
    <w:p w:rsidR="000F7191" w:rsidRDefault="000F7191" w:rsidP="000F7191">
      <w:r>
        <w:t>1983</w:t>
      </w:r>
      <w:r>
        <w:tab/>
        <w:t>Slavery in Fairfax County,</w:t>
      </w:r>
      <w:r w:rsidR="002E7C31">
        <w:t xml:space="preserve"> 1750-1860: A Research Report. </w:t>
      </w:r>
      <w:r>
        <w:t>History and Archaeology Section, Office of Comprehensive Planning, Fairfax County, VA.</w:t>
      </w:r>
    </w:p>
    <w:p w:rsidR="000F7191" w:rsidRDefault="000F7191" w:rsidP="000F7191"/>
    <w:p w:rsidR="000F7191" w:rsidRDefault="000F7191" w:rsidP="000F7191">
      <w:r>
        <w:t>1985</w:t>
      </w:r>
      <w:r>
        <w:tab/>
        <w:t xml:space="preserve">The Importation of African Slaves to the Potomac River, 1732-1772. </w:t>
      </w:r>
      <w:r w:rsidRPr="00025B9E">
        <w:rPr>
          <w:i/>
        </w:rPr>
        <w:t xml:space="preserve">The William and Mary Quarter </w:t>
      </w:r>
      <w:r>
        <w:t>42(4):507-524.</w:t>
      </w:r>
    </w:p>
    <w:p w:rsidR="000F7191" w:rsidRDefault="000F7191" w:rsidP="000F7191"/>
    <w:p w:rsidR="000F7191" w:rsidRDefault="000F7191" w:rsidP="000F7191">
      <w:pPr>
        <w:rPr>
          <w:rFonts w:eastAsia="Calibri"/>
        </w:rPr>
      </w:pPr>
      <w:r>
        <w:rPr>
          <w:rFonts w:eastAsia="Calibri"/>
        </w:rPr>
        <w:t>Thomas Jefferson Foundation</w:t>
      </w:r>
    </w:p>
    <w:p w:rsidR="000F7191" w:rsidRDefault="000F7191" w:rsidP="000F7191">
      <w:pPr>
        <w:rPr>
          <w:rFonts w:eastAsia="Calibri"/>
        </w:rPr>
      </w:pPr>
      <w:r>
        <w:rPr>
          <w:rFonts w:eastAsia="Calibri"/>
        </w:rPr>
        <w:t>2008</w:t>
      </w:r>
      <w:r>
        <w:rPr>
          <w:rFonts w:eastAsia="Calibri"/>
        </w:rPr>
        <w:tab/>
        <w:t>M</w:t>
      </w:r>
      <w:r w:rsidR="002E7C31">
        <w:rPr>
          <w:rFonts w:eastAsia="Calibri"/>
        </w:rPr>
        <w:t xml:space="preserve">onticello Plantation Database. </w:t>
      </w:r>
      <w:r>
        <w:rPr>
          <w:rFonts w:eastAsia="Calibri"/>
        </w:rPr>
        <w:t>&lt;</w:t>
      </w:r>
      <w:r w:rsidRPr="00252091">
        <w:t xml:space="preserve"> </w:t>
      </w:r>
      <w:r w:rsidRPr="00252091">
        <w:rPr>
          <w:rFonts w:eastAsia="Calibri"/>
        </w:rPr>
        <w:t>http://plantationdb.monticello.org/</w:t>
      </w:r>
      <w:r w:rsidR="002E7C31">
        <w:rPr>
          <w:rFonts w:eastAsia="Calibri"/>
        </w:rPr>
        <w:t xml:space="preserve">&gt;. </w:t>
      </w:r>
      <w:r>
        <w:rPr>
          <w:rFonts w:eastAsia="Calibri"/>
        </w:rPr>
        <w:t>Accessed 27 October 2012.</w:t>
      </w:r>
    </w:p>
    <w:p w:rsidR="000F7191" w:rsidRDefault="000F7191" w:rsidP="000F7191">
      <w:pPr>
        <w:rPr>
          <w:rFonts w:eastAsia="Calibri"/>
        </w:rPr>
      </w:pPr>
    </w:p>
    <w:p w:rsidR="000F7191" w:rsidRDefault="000F7191" w:rsidP="000F7191">
      <w:r>
        <w:t>Thompson, John Thornton</w:t>
      </w:r>
    </w:p>
    <w:p w:rsidR="000F7191" w:rsidRDefault="000F7191" w:rsidP="000F7191">
      <w:r>
        <w:t>1989</w:t>
      </w:r>
      <w:r>
        <w:tab/>
        <w:t>The Improvident Ferryman of Mount Vernon: The</w:t>
      </w:r>
      <w:r w:rsidR="002E7C31">
        <w:t xml:space="preserve"> Trials of Captain John Posey. </w:t>
      </w:r>
      <w:r w:rsidRPr="00B61460">
        <w:rPr>
          <w:i/>
        </w:rPr>
        <w:t>Virginia Cavalcade</w:t>
      </w:r>
      <w:r>
        <w:t xml:space="preserve"> 39(1):36-47.</w:t>
      </w:r>
    </w:p>
    <w:p w:rsidR="000F7191" w:rsidRDefault="000F7191" w:rsidP="000F7191"/>
    <w:p w:rsidR="000F7191" w:rsidRDefault="000F7191" w:rsidP="000F7191">
      <w:r>
        <w:t>Thompson, Mary</w:t>
      </w:r>
    </w:p>
    <w:p w:rsidR="000F7191" w:rsidRPr="0003289F" w:rsidRDefault="000F7191" w:rsidP="000F7191">
      <w:pPr>
        <w:rPr>
          <w:rFonts w:eastAsia="Calibri"/>
        </w:rPr>
      </w:pPr>
      <w:r>
        <w:t>1991</w:t>
      </w:r>
      <w:r>
        <w:tab/>
        <w:t>African-American Families at M</w:t>
      </w:r>
      <w:r w:rsidR="002E7C31">
        <w:t xml:space="preserve">ount Vernon, 1799. </w:t>
      </w:r>
      <w:r>
        <w:rPr>
          <w:rFonts w:eastAsia="Calibri"/>
        </w:rPr>
        <w:t xml:space="preserve">Mount Vernon Ladies’ Association, Mount Vernon, VA.  </w:t>
      </w:r>
    </w:p>
    <w:p w:rsidR="000F7191" w:rsidRDefault="000F7191" w:rsidP="000F7191"/>
    <w:p w:rsidR="000F7191" w:rsidRPr="00397353" w:rsidRDefault="000F7191" w:rsidP="000F7191">
      <w:r>
        <w:t>2001</w:t>
      </w:r>
      <w:r>
        <w:tab/>
        <w:t xml:space="preserve">They Appear to Live Comfortable Together: Private Lives of the Mount Vernon Slaves.  In </w:t>
      </w:r>
      <w:r w:rsidRPr="00124DBF">
        <w:rPr>
          <w:i/>
        </w:rPr>
        <w:t>Slavery at the Home of George Washington</w:t>
      </w:r>
      <w:r>
        <w:t>,</w:t>
      </w:r>
      <w:r w:rsidRPr="00397353">
        <w:t xml:space="preserve"> </w:t>
      </w:r>
      <w:r>
        <w:t xml:space="preserve">Philip </w:t>
      </w:r>
      <w:r w:rsidR="002E7C31">
        <w:t>J. Schwarz, editor, pp. 79-109.</w:t>
      </w:r>
      <w:r>
        <w:t xml:space="preserve"> Mount Vernon Ladies’ Association, Mount Vernon, VA.  </w:t>
      </w:r>
    </w:p>
    <w:p w:rsidR="000F7191" w:rsidRDefault="000F7191" w:rsidP="000F7191"/>
    <w:p w:rsidR="000F7191" w:rsidRPr="00B40CF6" w:rsidRDefault="000F7191" w:rsidP="000F7191">
      <w:pPr>
        <w:rPr>
          <w:rFonts w:eastAsia="Calibri"/>
        </w:rPr>
      </w:pPr>
      <w:r>
        <w:t>2002</w:t>
      </w:r>
      <w:r>
        <w:tab/>
        <w:t>“Remarkable for the Excellence of its Domestics:” Food</w:t>
      </w:r>
      <w:r w:rsidR="002E7C31">
        <w:t xml:space="preserve"> Service Jobs at Mount Vernon. </w:t>
      </w:r>
      <w:r>
        <w:t xml:space="preserve">Archaeology Department, </w:t>
      </w:r>
      <w:r>
        <w:rPr>
          <w:rFonts w:eastAsia="Calibri"/>
        </w:rPr>
        <w:t xml:space="preserve">Mount Vernon Ladies’ Association, Mount Vernon, VA.  </w:t>
      </w:r>
      <w:r>
        <w:t xml:space="preserve">  </w:t>
      </w:r>
    </w:p>
    <w:p w:rsidR="000F7191" w:rsidRDefault="000F7191" w:rsidP="000F7191"/>
    <w:p w:rsidR="002E7C31" w:rsidRDefault="000F7191" w:rsidP="000F7191">
      <w:r>
        <w:t>2006</w:t>
      </w:r>
      <w:r>
        <w:tab/>
        <w:t>Different People, Different Stories: The Life Stores of Individual Slaves from Mount Vernon and their Relationships with George and Martha Washingt</w:t>
      </w:r>
      <w:r w:rsidR="002E7C31">
        <w:t xml:space="preserve">on, revised from 2001 version. </w:t>
      </w:r>
      <w:r>
        <w:t xml:space="preserve">Paper presented at the George Washington and Slavery Symposium, Mount Vernon, VA.  </w:t>
      </w:r>
    </w:p>
    <w:p w:rsidR="000F7191" w:rsidRDefault="000F7191" w:rsidP="000F7191">
      <w:r>
        <w:t>&lt;</w:t>
      </w:r>
      <w:r w:rsidRPr="00B407B5">
        <w:t>http://www.mountvernon.org/sites/mountvernon.org/files/Different%20People%20Different%20Stories_JS%20edits.pdf</w:t>
      </w:r>
      <w:r w:rsidR="002E7C31">
        <w:t xml:space="preserve">&gt;. </w:t>
      </w:r>
      <w:r>
        <w:t>Accessed 15 December 2012.</w:t>
      </w:r>
    </w:p>
    <w:p w:rsidR="000F7191" w:rsidRDefault="000F7191" w:rsidP="000F7191"/>
    <w:p w:rsidR="000F7191" w:rsidRDefault="000F7191" w:rsidP="000F7191">
      <w:r>
        <w:t>2011</w:t>
      </w:r>
      <w:r>
        <w:tab/>
        <w:t>George Washington’s Acquisitions of Slaves</w:t>
      </w:r>
      <w:r w:rsidR="002E7C31">
        <w:t xml:space="preserve"> Compiled by Mary V. Thompson. </w:t>
      </w:r>
      <w:r>
        <w:t xml:space="preserve">Archaeology Department, </w:t>
      </w:r>
      <w:r>
        <w:rPr>
          <w:rFonts w:eastAsia="Calibri"/>
        </w:rPr>
        <w:t>Mount Vernon Ladies’ Association, Mount Vernon, VA.</w:t>
      </w:r>
      <w:r>
        <w:tab/>
      </w:r>
    </w:p>
    <w:p w:rsidR="000F7191" w:rsidRDefault="000F7191" w:rsidP="000F7191"/>
    <w:p w:rsidR="000F7191" w:rsidRDefault="000F7191" w:rsidP="000F7191">
      <w:r>
        <w:t>2012</w:t>
      </w:r>
      <w:r>
        <w:tab/>
        <w:t>Virginia Laws Regarding the Enumeration of Tithables d</w:t>
      </w:r>
      <w:r w:rsidR="002E7C31">
        <w:t xml:space="preserve">uring the American Revolution. </w:t>
      </w:r>
      <w:r>
        <w:t>Archaeology Department, Mount Vernon Ladies’ Association, Mount Vernon, VA.</w:t>
      </w:r>
    </w:p>
    <w:p w:rsidR="000F7191" w:rsidRDefault="000F7191" w:rsidP="000F7191">
      <w:r>
        <w:lastRenderedPageBreak/>
        <w:t>2013</w:t>
      </w:r>
      <w:r>
        <w:tab/>
        <w:t>Information on Mount Vernon Slaves Who Died, Were Sold, or Escaped Prior to the Summer of 1799 and the Compilation of George</w:t>
      </w:r>
      <w:r w:rsidR="002E7C31">
        <w:t xml:space="preserve"> Washington’s Final Slave List.</w:t>
      </w:r>
      <w:r>
        <w:t xml:space="preserve"> Archaeology Department, Mount Vernon Ladies’ Association, Mount Vernon, VA.  </w:t>
      </w:r>
    </w:p>
    <w:p w:rsidR="000F7191" w:rsidRDefault="000F7191" w:rsidP="000F7191"/>
    <w:p w:rsidR="000F7191" w:rsidRDefault="000F7191" w:rsidP="000F7191">
      <w:pPr>
        <w:rPr>
          <w:rFonts w:eastAsia="Calibri"/>
          <w:i/>
        </w:rPr>
      </w:pPr>
      <w:r>
        <w:rPr>
          <w:rFonts w:eastAsia="Calibri"/>
        </w:rPr>
        <w:t>Thornton,</w:t>
      </w:r>
      <w:r w:rsidRPr="00C16678">
        <w:rPr>
          <w:rFonts w:eastAsia="Calibri"/>
          <w:i/>
        </w:rPr>
        <w:t xml:space="preserve"> </w:t>
      </w:r>
      <w:r>
        <w:rPr>
          <w:rFonts w:eastAsia="Calibri"/>
        </w:rPr>
        <w:t>John</w:t>
      </w:r>
    </w:p>
    <w:p w:rsidR="000F7191" w:rsidRDefault="000F7191" w:rsidP="000F7191">
      <w:pPr>
        <w:rPr>
          <w:rFonts w:eastAsia="Calibri"/>
        </w:rPr>
      </w:pPr>
      <w:r w:rsidRPr="00486789">
        <w:rPr>
          <w:rFonts w:eastAsia="Calibri"/>
        </w:rPr>
        <w:t>1998</w:t>
      </w:r>
      <w:r w:rsidRPr="00486789">
        <w:rPr>
          <w:rFonts w:eastAsia="Calibri"/>
        </w:rPr>
        <w:tab/>
      </w:r>
      <w:r w:rsidRPr="00C16678">
        <w:rPr>
          <w:rFonts w:eastAsia="Calibri"/>
          <w:i/>
        </w:rPr>
        <w:t>Africa and Africans in the Making of the Atlantic World, 1400-1800</w:t>
      </w:r>
      <w:r w:rsidR="002E7C31">
        <w:rPr>
          <w:rFonts w:eastAsia="Calibri"/>
        </w:rPr>
        <w:t xml:space="preserve"> (Second Edition). </w:t>
      </w:r>
      <w:r>
        <w:rPr>
          <w:rFonts w:eastAsia="Calibri"/>
        </w:rPr>
        <w:t>Cambridge University Press, Cambridge, UK.</w:t>
      </w:r>
    </w:p>
    <w:p w:rsidR="000F7191" w:rsidRDefault="000F7191" w:rsidP="000F7191">
      <w:pPr>
        <w:rPr>
          <w:rFonts w:eastAsia="Calibri"/>
        </w:rPr>
      </w:pPr>
    </w:p>
    <w:p w:rsidR="000F7191" w:rsidRDefault="000F7191" w:rsidP="000F7191">
      <w:r>
        <w:t>Toner, J.M.</w:t>
      </w:r>
    </w:p>
    <w:p w:rsidR="000F7191" w:rsidRDefault="000F7191" w:rsidP="000F7191">
      <w:r>
        <w:t>[1890]</w:t>
      </w:r>
      <w:r>
        <w:tab/>
        <w:t>Transcript of an Account Book Kept by George Washington in the Years 1747-1750, 1760, 1763-1</w:t>
      </w:r>
      <w:r w:rsidR="002E7C31">
        <w:t xml:space="preserve">766, copied from the original. </w:t>
      </w:r>
      <w:r>
        <w:t>Manuscript Collection, Mount Vernon Library, Mount Vernon Ladies’ Association, Mount Vernon, VA.</w:t>
      </w:r>
    </w:p>
    <w:p w:rsidR="000F7191" w:rsidRDefault="000F7191" w:rsidP="000F7191"/>
    <w:p w:rsidR="000F7191" w:rsidRPr="002D303A" w:rsidRDefault="000F7191" w:rsidP="000F7191">
      <w:r w:rsidRPr="002D303A">
        <w:t>Toner, Joseph M.</w:t>
      </w:r>
    </w:p>
    <w:p w:rsidR="000F7191" w:rsidRDefault="000F7191" w:rsidP="000F7191">
      <w:r w:rsidRPr="002D303A">
        <w:t>1891</w:t>
      </w:r>
      <w:r>
        <w:tab/>
        <w:t xml:space="preserve">Wills of the American Ancestors of George Washington in the Line of the Original Owner and the Inheritors of Mount Vernon: From Original </w:t>
      </w:r>
      <w:r w:rsidR="002E7C31">
        <w:t xml:space="preserve">Documents and Probate Records. </w:t>
      </w:r>
      <w:r>
        <w:t>New England Historic Genealogical Society, Boston, MA.</w:t>
      </w:r>
    </w:p>
    <w:p w:rsidR="000F7191" w:rsidRDefault="000F7191" w:rsidP="000F7191"/>
    <w:p w:rsidR="000F7191" w:rsidRDefault="000F7191" w:rsidP="000F7191">
      <w:r>
        <w:t>Track of the Wolf, Inc.</w:t>
      </w:r>
      <w:r>
        <w:br/>
        <w:t>2012</w:t>
      </w:r>
      <w:r>
        <w:tab/>
        <w:t>Internet Catalog, Tacks &amp; Staples, for decorating your powder horns, Track of the Wolf, Inc., Elk River, MN. &lt;http://www.trackofthewolf.com/Li</w:t>
      </w:r>
      <w:r w:rsidR="002E7C31">
        <w:t xml:space="preserve">st/Item.aspx/82/1?PageSize=25&gt;. </w:t>
      </w:r>
      <w:r>
        <w:t>Accessed November 30 2012.</w:t>
      </w:r>
    </w:p>
    <w:p w:rsidR="000F7191" w:rsidRDefault="000F7191" w:rsidP="000F7191"/>
    <w:p w:rsidR="000F7191" w:rsidRDefault="000F7191" w:rsidP="000F7191">
      <w:r>
        <w:t>Tuck, James, Barry Gaulton, and Matthew Carter</w:t>
      </w:r>
      <w:r>
        <w:br/>
        <w:t xml:space="preserve">1999    A Glimpse of the Colony of Avalon. In </w:t>
      </w:r>
      <w:r>
        <w:rPr>
          <w:rStyle w:val="Emphasis"/>
        </w:rPr>
        <w:t>Old and New Worlds</w:t>
      </w:r>
      <w:r>
        <w:t>, Geoff Egan and R.L.</w:t>
      </w:r>
      <w:r w:rsidR="002E7C31">
        <w:t xml:space="preserve"> Michael, editors, pp. 147-154. </w:t>
      </w:r>
      <w:r>
        <w:t xml:space="preserve">Oxford, Oxford Books, UK. </w:t>
      </w:r>
    </w:p>
    <w:p w:rsidR="000F7191" w:rsidRDefault="000F7191" w:rsidP="000F7191"/>
    <w:p w:rsidR="000F7191" w:rsidRDefault="000F7191" w:rsidP="000F7191">
      <w:r>
        <w:t>Turner, Victor</w:t>
      </w:r>
    </w:p>
    <w:p w:rsidR="000F7191" w:rsidRDefault="000F7191" w:rsidP="000F7191">
      <w:r>
        <w:t>1969</w:t>
      </w:r>
      <w:r>
        <w:tab/>
      </w:r>
      <w:r w:rsidRPr="00E05451">
        <w:rPr>
          <w:i/>
        </w:rPr>
        <w:t>The Ritual Process: Structure and Anti-Structure</w:t>
      </w:r>
      <w:r w:rsidR="002E7C31">
        <w:t xml:space="preserve">. </w:t>
      </w:r>
      <w:r>
        <w:t>Aldeine de Gruyter, New York, NY.</w:t>
      </w:r>
    </w:p>
    <w:p w:rsidR="000F7191" w:rsidRDefault="000F7191" w:rsidP="000F7191"/>
    <w:p w:rsidR="000F7191" w:rsidRDefault="000F7191" w:rsidP="000F7191">
      <w:r>
        <w:t xml:space="preserve">Vaughan, Samuel </w:t>
      </w:r>
    </w:p>
    <w:p w:rsidR="000F7191" w:rsidRPr="0003289F" w:rsidRDefault="000F7191" w:rsidP="000F7191">
      <w:r>
        <w:t>1787</w:t>
      </w:r>
      <w:r>
        <w:tab/>
        <w:t xml:space="preserve">Vaughan Plan </w:t>
      </w:r>
      <w:r w:rsidR="002E7C31">
        <w:t>of Mount Vernon, [1787] [Nov.].</w:t>
      </w:r>
      <w:r>
        <w:t xml:space="preserve"> Historical Manuscript Collection, Mount Vernon Ladies’ Association, Mount Vernon, VA.  </w:t>
      </w:r>
    </w:p>
    <w:p w:rsidR="000F7191" w:rsidRDefault="000F7191" w:rsidP="000F7191"/>
    <w:p w:rsidR="000F7191" w:rsidRPr="00BE7F8C" w:rsidRDefault="000F7191" w:rsidP="000F7191">
      <w:pPr>
        <w:rPr>
          <w:rFonts w:eastAsia="Calibri"/>
        </w:rPr>
      </w:pPr>
      <w:r w:rsidRPr="00BE7F8C">
        <w:rPr>
          <w:rFonts w:eastAsia="Calibri"/>
        </w:rPr>
        <w:t>Veblen, Thorstein</w:t>
      </w:r>
    </w:p>
    <w:p w:rsidR="000F7191" w:rsidRPr="00BE7F8C" w:rsidRDefault="000F7191" w:rsidP="000F7191">
      <w:pPr>
        <w:rPr>
          <w:rFonts w:eastAsia="Calibri"/>
        </w:rPr>
      </w:pPr>
      <w:r w:rsidRPr="00BE7F8C">
        <w:rPr>
          <w:rFonts w:eastAsia="Calibri"/>
        </w:rPr>
        <w:t>1899</w:t>
      </w:r>
      <w:r w:rsidRPr="00BE7F8C">
        <w:rPr>
          <w:rFonts w:eastAsia="Calibri"/>
        </w:rPr>
        <w:tab/>
      </w:r>
      <w:r w:rsidRPr="00BE7F8C">
        <w:rPr>
          <w:rFonts w:eastAsia="Calibri"/>
          <w:i/>
        </w:rPr>
        <w:t>The Theory of the Leisure Class</w:t>
      </w:r>
      <w:r w:rsidR="002E7C31">
        <w:rPr>
          <w:rFonts w:eastAsia="Calibri"/>
        </w:rPr>
        <w:t xml:space="preserve">. </w:t>
      </w:r>
      <w:r w:rsidRPr="00BE7F8C">
        <w:rPr>
          <w:rFonts w:eastAsia="Calibri"/>
        </w:rPr>
        <w:t>Macmillan, New York, NY.</w:t>
      </w:r>
    </w:p>
    <w:p w:rsidR="000F7191" w:rsidRPr="000164CB" w:rsidRDefault="000F7191" w:rsidP="000F7191">
      <w:pPr>
        <w:rPr>
          <w:rFonts w:eastAsia="Calibri"/>
          <w:b/>
        </w:rPr>
      </w:pPr>
    </w:p>
    <w:p w:rsidR="000F7191" w:rsidRDefault="000F7191" w:rsidP="000F7191">
      <w:r>
        <w:t>Veech, Andrew</w:t>
      </w:r>
    </w:p>
    <w:p w:rsidR="000F7191" w:rsidRDefault="000F7191" w:rsidP="000F7191">
      <w:r>
        <w:t>1998</w:t>
      </w:r>
      <w:r>
        <w:tab/>
      </w:r>
      <w:r w:rsidRPr="008B6779">
        <w:rPr>
          <w:i/>
        </w:rPr>
        <w:t>Signatures of Gentility: Assessing Status Archaeologically in Mid-Eighteenth-Century Fairfax, County, Virginia</w:t>
      </w:r>
      <w:r w:rsidR="002E7C31">
        <w:t xml:space="preserve">. </w:t>
      </w:r>
      <w:r>
        <w:t>Doctoral dissertation, Department of Anthropology, Brown University. University Microfilms International, Ann Arbor, MI.</w:t>
      </w:r>
    </w:p>
    <w:p w:rsidR="000F7191" w:rsidRDefault="000F7191" w:rsidP="000F7191"/>
    <w:p w:rsidR="000F7191" w:rsidRDefault="000F7191" w:rsidP="000F7191">
      <w:r>
        <w:t>Victoria and Albert Museum</w:t>
      </w:r>
    </w:p>
    <w:p w:rsidR="002E7C31" w:rsidRDefault="002E7C31" w:rsidP="000F7191">
      <w:r>
        <w:t>2012</w:t>
      </w:r>
      <w:r>
        <w:tab/>
        <w:t xml:space="preserve">Search the Collections. </w:t>
      </w:r>
      <w:r w:rsidR="000F7191">
        <w:t xml:space="preserve">Victoria and Albert Museum, London, UK.  </w:t>
      </w:r>
    </w:p>
    <w:p w:rsidR="000F7191" w:rsidRPr="002F4283" w:rsidRDefault="000F7191" w:rsidP="000F7191">
      <w:r>
        <w:t>&lt;</w:t>
      </w:r>
      <w:r w:rsidRPr="002F4283">
        <w:t xml:space="preserve"> http://collections.vam.ac.uk/</w:t>
      </w:r>
      <w:r w:rsidR="002E7C31">
        <w:t xml:space="preserve">&gt;. </w:t>
      </w:r>
      <w:r>
        <w:t xml:space="preserve">Accessed 1 July 2012. </w:t>
      </w:r>
    </w:p>
    <w:p w:rsidR="000F7191" w:rsidRDefault="000F7191" w:rsidP="000F7191"/>
    <w:p w:rsidR="000F7191" w:rsidRDefault="000F7191" w:rsidP="000F7191">
      <w:r>
        <w:lastRenderedPageBreak/>
        <w:t>Voss, Barbara</w:t>
      </w:r>
    </w:p>
    <w:p w:rsidR="000F7191" w:rsidRPr="000A0D40" w:rsidRDefault="000F7191" w:rsidP="000F7191">
      <w:r>
        <w:t>2008</w:t>
      </w:r>
      <w:r>
        <w:tab/>
      </w:r>
      <w:r w:rsidRPr="00BB6B6E">
        <w:rPr>
          <w:i/>
        </w:rPr>
        <w:t xml:space="preserve">The Archaeology of Ethnogenesis: Race, Sexuality, and Identity in Colonial San </w:t>
      </w:r>
      <w:r w:rsidRPr="000A0D40">
        <w:rPr>
          <w:i/>
        </w:rPr>
        <w:t>Francisco.</w:t>
      </w:r>
      <w:r w:rsidR="002E7C31">
        <w:t xml:space="preserve"> </w:t>
      </w:r>
      <w:r w:rsidRPr="000A0D40">
        <w:t>Unive</w:t>
      </w:r>
      <w:r>
        <w:t>rsity of California Press, Berk</w:t>
      </w:r>
      <w:r w:rsidRPr="000A0D40">
        <w:t>e</w:t>
      </w:r>
      <w:r>
        <w:t>le</w:t>
      </w:r>
      <w:r w:rsidRPr="000A0D40">
        <w:t>y.</w:t>
      </w:r>
    </w:p>
    <w:p w:rsidR="000F7191" w:rsidRPr="000A0D40" w:rsidRDefault="000F7191" w:rsidP="000F7191"/>
    <w:p w:rsidR="000F7191" w:rsidRDefault="000F7191" w:rsidP="000F7191">
      <w:pPr>
        <w:autoSpaceDE w:val="0"/>
        <w:autoSpaceDN w:val="0"/>
        <w:adjustRightInd w:val="0"/>
      </w:pPr>
      <w:r>
        <w:t>Voyages Database</w:t>
      </w:r>
    </w:p>
    <w:p w:rsidR="000F7191" w:rsidRDefault="000F7191" w:rsidP="000F7191">
      <w:pPr>
        <w:autoSpaceDE w:val="0"/>
        <w:autoSpaceDN w:val="0"/>
        <w:adjustRightInd w:val="0"/>
      </w:pPr>
      <w:r>
        <w:t>2009a</w:t>
      </w:r>
      <w:r>
        <w:tab/>
      </w:r>
      <w:r>
        <w:rPr>
          <w:i/>
          <w:iCs/>
        </w:rPr>
        <w:t>Voyages: The Trans-Atlantic Slave Trade Database.</w:t>
      </w:r>
      <w:r>
        <w:t xml:space="preserve"> &lt;</w:t>
      </w:r>
      <w:r w:rsidRPr="00025B9E">
        <w:t>http://www.slavevoyages.org</w:t>
      </w:r>
      <w:r w:rsidR="002E7C31">
        <w:t>&gt;.</w:t>
      </w:r>
      <w:r>
        <w:t xml:space="preserve"> Accessed 23 October 2013. </w:t>
      </w:r>
    </w:p>
    <w:p w:rsidR="000F7191" w:rsidRDefault="000F7191" w:rsidP="000F7191">
      <w:pPr>
        <w:autoSpaceDE w:val="0"/>
        <w:autoSpaceDN w:val="0"/>
        <w:adjustRightInd w:val="0"/>
      </w:pPr>
    </w:p>
    <w:p w:rsidR="000F7191" w:rsidRDefault="000F7191" w:rsidP="000F7191">
      <w:pPr>
        <w:autoSpaceDE w:val="0"/>
        <w:autoSpaceDN w:val="0"/>
        <w:adjustRightInd w:val="0"/>
      </w:pPr>
      <w:r>
        <w:t>2009b</w:t>
      </w:r>
      <w:r>
        <w:tab/>
      </w:r>
      <w:r>
        <w:rPr>
          <w:i/>
          <w:iCs/>
        </w:rPr>
        <w:t>Voyages: The Trans-Atlantic Slave Trade Database.</w:t>
      </w:r>
      <w:r>
        <w:t xml:space="preserve"> &lt;</w:t>
      </w:r>
      <w:r w:rsidRPr="00E569C8">
        <w:t>http://slavevoyages.org/tast/database/search.faces?yearFrom=1700&amp;yearTo=1800&amp;sla1port=21003.21106.21108</w:t>
      </w:r>
      <w:r w:rsidR="002E7C31">
        <w:t xml:space="preserve">&gt;. </w:t>
      </w:r>
      <w:r>
        <w:t xml:space="preserve">Accessed 23 October 2013. </w:t>
      </w:r>
    </w:p>
    <w:p w:rsidR="000F7191" w:rsidRDefault="000F7191" w:rsidP="000F7191">
      <w:pPr>
        <w:autoSpaceDE w:val="0"/>
        <w:autoSpaceDN w:val="0"/>
        <w:adjustRightInd w:val="0"/>
      </w:pPr>
    </w:p>
    <w:p w:rsidR="000F7191" w:rsidRDefault="000F7191" w:rsidP="000F7191">
      <w:pPr>
        <w:autoSpaceDE w:val="0"/>
        <w:autoSpaceDN w:val="0"/>
        <w:adjustRightInd w:val="0"/>
      </w:pPr>
      <w:r>
        <w:t>2009c</w:t>
      </w:r>
      <w:r>
        <w:tab/>
      </w:r>
      <w:r>
        <w:rPr>
          <w:i/>
          <w:iCs/>
        </w:rPr>
        <w:t>Voyages: The Trans-Atlantic Slave Trade Database.</w:t>
      </w:r>
      <w:r>
        <w:t xml:space="preserve">   &lt;</w:t>
      </w:r>
      <w:r w:rsidRPr="00E569C8">
        <w:t>http://slavevoyages.org/tast/database/search.faces?yearFrom=1700&amp;yearTo=1800&amp;sla1port=21003.21106.21108</w:t>
      </w:r>
      <w:r w:rsidR="002E7C31">
        <w:t xml:space="preserve">&gt;. </w:t>
      </w:r>
      <w:r>
        <w:t xml:space="preserve">Accessed 23 October 2013. </w:t>
      </w:r>
    </w:p>
    <w:p w:rsidR="000F7191" w:rsidRDefault="000F7191" w:rsidP="000F7191">
      <w:pPr>
        <w:autoSpaceDE w:val="0"/>
        <w:autoSpaceDN w:val="0"/>
        <w:adjustRightInd w:val="0"/>
      </w:pPr>
    </w:p>
    <w:p w:rsidR="000F7191" w:rsidRDefault="000F7191" w:rsidP="000F7191">
      <w:pPr>
        <w:autoSpaceDE w:val="0"/>
        <w:autoSpaceDN w:val="0"/>
        <w:adjustRightInd w:val="0"/>
      </w:pPr>
      <w:r>
        <w:t>2009d</w:t>
      </w:r>
      <w:r>
        <w:tab/>
      </w:r>
      <w:r>
        <w:rPr>
          <w:i/>
          <w:iCs/>
        </w:rPr>
        <w:t>Voyages: The Trans-Atlantic Slave Trade Database.</w:t>
      </w:r>
      <w:r>
        <w:t xml:space="preserve">   </w:t>
      </w:r>
    </w:p>
    <w:p w:rsidR="000F7191" w:rsidRDefault="000F7191" w:rsidP="000F7191">
      <w:pPr>
        <w:autoSpaceDE w:val="0"/>
        <w:autoSpaceDN w:val="0"/>
        <w:adjustRightInd w:val="0"/>
      </w:pPr>
      <w:r>
        <w:t>&lt;</w:t>
      </w:r>
      <w:r w:rsidRPr="00E569C8">
        <w:t>http://slavevoyages.org/tast/database/search.faces?yearFrom=1700&amp;yearTo=1800&amp;mjslptimp=21003.21106.21108</w:t>
      </w:r>
      <w:r>
        <w:t>&gt;. Accessed 23 October 2013.</w:t>
      </w:r>
    </w:p>
    <w:p w:rsidR="000F7191" w:rsidRDefault="000F7191" w:rsidP="000F7191">
      <w:pPr>
        <w:autoSpaceDE w:val="0"/>
        <w:autoSpaceDN w:val="0"/>
        <w:adjustRightInd w:val="0"/>
      </w:pPr>
    </w:p>
    <w:p w:rsidR="000F7191" w:rsidRPr="000A0D40" w:rsidRDefault="000F7191" w:rsidP="000F7191">
      <w:pPr>
        <w:autoSpaceDE w:val="0"/>
        <w:autoSpaceDN w:val="0"/>
        <w:adjustRightInd w:val="0"/>
      </w:pPr>
      <w:r w:rsidRPr="000A0D40">
        <w:t>Wall, Charles C.</w:t>
      </w:r>
    </w:p>
    <w:p w:rsidR="000F7191" w:rsidRPr="000A0D40" w:rsidRDefault="000F7191" w:rsidP="000F7191">
      <w:r w:rsidRPr="000A0D40">
        <w:t>1945</w:t>
      </w:r>
      <w:r w:rsidRPr="000A0D40">
        <w:tab/>
        <w:t xml:space="preserve">Notes on the Early History of Mount Vernon. </w:t>
      </w:r>
      <w:r w:rsidRPr="000A0D40">
        <w:rPr>
          <w:i/>
          <w:iCs/>
        </w:rPr>
        <w:t>William and Mary Quarterly</w:t>
      </w:r>
      <w:r w:rsidRPr="000A0D40">
        <w:t xml:space="preserve"> 2(2): 173-190.</w:t>
      </w:r>
    </w:p>
    <w:p w:rsidR="000F7191" w:rsidRPr="000A0D40" w:rsidRDefault="000F7191" w:rsidP="000F7191"/>
    <w:p w:rsidR="000F7191" w:rsidRPr="000A0D40" w:rsidRDefault="000F7191" w:rsidP="000F7191">
      <w:r w:rsidRPr="000A0D40">
        <w:t>Walsh, Lorena</w:t>
      </w:r>
    </w:p>
    <w:p w:rsidR="000F7191" w:rsidRDefault="000F7191" w:rsidP="000F7191">
      <w:r w:rsidRPr="000A0D40">
        <w:t>1997</w:t>
      </w:r>
      <w:r>
        <w:tab/>
      </w:r>
      <w:r w:rsidRPr="003E2BAE">
        <w:rPr>
          <w:i/>
        </w:rPr>
        <w:t>From Calabar to Carter’s Grove: The History of a Virginia Slave Community</w:t>
      </w:r>
      <w:r w:rsidR="002E7C31">
        <w:t>.</w:t>
      </w:r>
      <w:r>
        <w:t xml:space="preserve"> University Press of Virginia, Charlottesville.</w:t>
      </w:r>
    </w:p>
    <w:p w:rsidR="000F7191" w:rsidRDefault="000F7191" w:rsidP="000F7191"/>
    <w:p w:rsidR="000F7191" w:rsidRDefault="000F7191" w:rsidP="000F7191">
      <w:r>
        <w:t>1999</w:t>
      </w:r>
      <w:r>
        <w:tab/>
        <w:t>Summing the Parts: Implications for Estimating Chesapeake O</w:t>
      </w:r>
      <w:r w:rsidR="002E7C31">
        <w:t>utput and Income Subregionally.</w:t>
      </w:r>
      <w:r>
        <w:t xml:space="preserve"> </w:t>
      </w:r>
      <w:r w:rsidRPr="00BE26B7">
        <w:rPr>
          <w:i/>
        </w:rPr>
        <w:t>The William and Mary Quarterly</w:t>
      </w:r>
      <w:r>
        <w:t xml:space="preserve"> 56(1):53-94.</w:t>
      </w:r>
    </w:p>
    <w:p w:rsidR="000F7191" w:rsidRDefault="000F7191" w:rsidP="000F7191"/>
    <w:p w:rsidR="000F7191" w:rsidRDefault="000F7191" w:rsidP="000F7191">
      <w:r>
        <w:t>2001a</w:t>
      </w:r>
      <w:r>
        <w:tab/>
        <w:t>The Chesapeake Slave Trade: Regional Patterns, African Origins, and So</w:t>
      </w:r>
      <w:r w:rsidR="002E7C31">
        <w:t xml:space="preserve">me Implications. </w:t>
      </w:r>
      <w:r>
        <w:rPr>
          <w:i/>
          <w:iCs/>
        </w:rPr>
        <w:t>The William and Mary Quarterly</w:t>
      </w:r>
      <w:r>
        <w:t xml:space="preserve"> 58(1):139-170.</w:t>
      </w:r>
    </w:p>
    <w:p w:rsidR="000F7191" w:rsidRDefault="000F7191" w:rsidP="000F7191"/>
    <w:p w:rsidR="002E7C31" w:rsidRDefault="000F7191" w:rsidP="000F7191">
      <w:r>
        <w:t>2001b</w:t>
      </w:r>
      <w:r>
        <w:tab/>
        <w:t xml:space="preserve">Supplement Materials for “The Chesapeake Slave Trade: Regional Patterns, African Origins, and Some Implications.” </w:t>
      </w:r>
      <w:r>
        <w:rPr>
          <w:rStyle w:val="Emphasis"/>
        </w:rPr>
        <w:t xml:space="preserve">William and Mary Quarterly </w:t>
      </w:r>
      <w:r>
        <w:t xml:space="preserve">58:139-170.  </w:t>
      </w:r>
    </w:p>
    <w:p w:rsidR="000F7191" w:rsidRDefault="000F7191" w:rsidP="000F7191">
      <w:r>
        <w:t>&lt;</w:t>
      </w:r>
      <w:r w:rsidRPr="00025B9E">
        <w:t xml:space="preserve"> http://oieahc.wm.edu/wmq/Jan01/WalshAppendix.htm</w:t>
      </w:r>
      <w:r w:rsidR="002E7C31">
        <w:t xml:space="preserve">&gt;. </w:t>
      </w:r>
      <w:r>
        <w:t xml:space="preserve">Accessed 23 October 2012.   </w:t>
      </w:r>
    </w:p>
    <w:p w:rsidR="000F7191" w:rsidRDefault="000F7191" w:rsidP="000F7191"/>
    <w:p w:rsidR="000F7191" w:rsidRPr="000B4919" w:rsidRDefault="000F7191" w:rsidP="000F7191">
      <w:r>
        <w:t>2001c</w:t>
      </w:r>
      <w:r>
        <w:tab/>
        <w:t>Slavery an</w:t>
      </w:r>
      <w:r w:rsidR="002E7C31">
        <w:t xml:space="preserve">d Agriculture at Mount Vernon. </w:t>
      </w:r>
      <w:r>
        <w:t xml:space="preserve">In </w:t>
      </w:r>
      <w:r w:rsidRPr="00124DBF">
        <w:rPr>
          <w:i/>
        </w:rPr>
        <w:t>Slavery at the Home of George Washington</w:t>
      </w:r>
      <w:r>
        <w:t>,</w:t>
      </w:r>
      <w:r w:rsidRPr="00397353">
        <w:t xml:space="preserve"> </w:t>
      </w:r>
      <w:r>
        <w:t xml:space="preserve">Philip </w:t>
      </w:r>
      <w:r w:rsidR="002E7C31">
        <w:t xml:space="preserve">J. Schwarz, editor, pp. 47-77. </w:t>
      </w:r>
      <w:r>
        <w:t xml:space="preserve">Mount Vernon Ladies’ Association, Mount Vernon, VA.  </w:t>
      </w:r>
    </w:p>
    <w:p w:rsidR="000F7191" w:rsidRDefault="000F7191" w:rsidP="000F7191"/>
    <w:p w:rsidR="000F7191" w:rsidRDefault="000F7191" w:rsidP="000F7191">
      <w:r>
        <w:t>Walsh, Lorena S., Ann Smart Martin, and Joanne Bowen with contributions by Jennifer A. Jones and Gregory J. Brown</w:t>
      </w:r>
    </w:p>
    <w:p w:rsidR="000F7191" w:rsidRDefault="000F7191" w:rsidP="000F7191">
      <w:r>
        <w:t>1997</w:t>
      </w:r>
      <w:r>
        <w:tab/>
        <w:t xml:space="preserve">Provisioning Early </w:t>
      </w:r>
      <w:smartTag w:uri="urn:schemas-microsoft-com:office:smarttags" w:element="PlaceName">
        <w:r>
          <w:t>American</w:t>
        </w:r>
      </w:smartTag>
      <w:r>
        <w:t xml:space="preserve"> </w:t>
      </w:r>
      <w:smartTag w:uri="urn:schemas-microsoft-com:office:smarttags" w:element="PlaceType">
        <w:r>
          <w:t>Towns</w:t>
        </w:r>
      </w:smartTag>
      <w:r>
        <w:t xml:space="preserve">, the </w:t>
      </w:r>
      <w:smartTag w:uri="urn:schemas-microsoft-com:office:smarttags" w:element="City">
        <w:smartTag w:uri="urn:schemas-microsoft-com:office:smarttags" w:element="place">
          <w:r>
            <w:t>Chesapeake</w:t>
          </w:r>
        </w:smartTag>
      </w:smartTag>
      <w:r>
        <w:t>: A</w:t>
      </w:r>
      <w:r w:rsidR="002E7C31">
        <w:t xml:space="preserve"> Multidisciplinary Case Study. </w:t>
      </w:r>
      <w:r>
        <w:t xml:space="preserve">Report for the National Endowment for the Humanities (RO-22643-93), Washington, DC.    </w:t>
      </w:r>
    </w:p>
    <w:p w:rsidR="000F7191" w:rsidRPr="00226893" w:rsidRDefault="000F7191" w:rsidP="000F7191">
      <w:pPr>
        <w:autoSpaceDE w:val="0"/>
        <w:autoSpaceDN w:val="0"/>
        <w:adjustRightInd w:val="0"/>
      </w:pPr>
      <w:r w:rsidRPr="00226893">
        <w:lastRenderedPageBreak/>
        <w:t>Warren, Jack</w:t>
      </w:r>
    </w:p>
    <w:p w:rsidR="000F7191" w:rsidRPr="00226893" w:rsidRDefault="000F7191" w:rsidP="000F7191">
      <w:pPr>
        <w:autoSpaceDE w:val="0"/>
        <w:autoSpaceDN w:val="0"/>
        <w:adjustRightInd w:val="0"/>
      </w:pPr>
      <w:r w:rsidRPr="00226893">
        <w:t>1999</w:t>
      </w:r>
      <w:r w:rsidRPr="00226893">
        <w:tab/>
        <w:t xml:space="preserve">The Childhood of George Washington. </w:t>
      </w:r>
      <w:r w:rsidRPr="00226893">
        <w:rPr>
          <w:i/>
          <w:iCs/>
        </w:rPr>
        <w:t>Northern Neck of Virginia Historical Magazine</w:t>
      </w:r>
      <w:r w:rsidRPr="00226893">
        <w:t xml:space="preserve"> XLIX(1):5785-5809.</w:t>
      </w:r>
    </w:p>
    <w:p w:rsidR="000F7191" w:rsidRPr="00226893" w:rsidRDefault="000F7191" w:rsidP="000F7191"/>
    <w:p w:rsidR="000F7191" w:rsidRDefault="000F7191" w:rsidP="000F7191">
      <w:r>
        <w:t>Washington, George</w:t>
      </w:r>
    </w:p>
    <w:p w:rsidR="000F7191" w:rsidRDefault="002E7C31" w:rsidP="000F7191">
      <w:r>
        <w:t xml:space="preserve">1750-1774  Ledger A. </w:t>
      </w:r>
      <w:r w:rsidR="000F7191">
        <w:t>Historical Manuscript Collection, Mount Vernon Ladies’ Association, Mount Vernon, VA.</w:t>
      </w:r>
    </w:p>
    <w:p w:rsidR="000F7191" w:rsidRDefault="000F7191" w:rsidP="000F7191"/>
    <w:p w:rsidR="000F7191" w:rsidRDefault="000F7191" w:rsidP="000F7191">
      <w:r>
        <w:t>1753</w:t>
      </w:r>
      <w:r>
        <w:tab/>
        <w:t xml:space="preserve">An Inventory of the Estate of </w:t>
      </w:r>
      <w:r w:rsidR="002E7C31">
        <w:t>Lawrence Washington, 7-8 March.</w:t>
      </w:r>
      <w:r>
        <w:t xml:space="preserve"> Historical Manuscript Collection, Mount Vernon Ladies’ Association, Mount Vernon, VA.</w:t>
      </w:r>
    </w:p>
    <w:p w:rsidR="000F7191" w:rsidRDefault="000F7191" w:rsidP="000F7191"/>
    <w:p w:rsidR="000F7191" w:rsidRDefault="002E7C31" w:rsidP="000F7191">
      <w:r>
        <w:t xml:space="preserve">1770-1794  Ledger B. </w:t>
      </w:r>
      <w:r w:rsidR="000F7191">
        <w:t>Historical Manuscript Collection, Mount Vernon Ladies’ Association, Mount Vernon, VA.</w:t>
      </w:r>
    </w:p>
    <w:p w:rsidR="000F7191" w:rsidRDefault="000F7191" w:rsidP="000F7191"/>
    <w:p w:rsidR="000F7191" w:rsidRDefault="000F7191" w:rsidP="000F7191">
      <w:r>
        <w:t>1774</w:t>
      </w:r>
      <w:r>
        <w:tab/>
        <w:t>Inventory of Furniture Bought by George Washington at</w:t>
      </w:r>
      <w:r w:rsidR="002E7C31">
        <w:t xml:space="preserve"> Belvoir Sale, 1774 August 15. </w:t>
      </w:r>
      <w:r>
        <w:t>Reproduction, Mount Vernon Ladies’ Association, Mount Vernon, VA.</w:t>
      </w:r>
    </w:p>
    <w:p w:rsidR="000F7191" w:rsidRDefault="000F7191" w:rsidP="000F7191"/>
    <w:p w:rsidR="000F7191" w:rsidRDefault="000F7191" w:rsidP="000F7191">
      <w:r>
        <w:t>Watkins, C. Malcom</w:t>
      </w:r>
    </w:p>
    <w:p w:rsidR="000F7191" w:rsidRDefault="000F7191" w:rsidP="000F7191">
      <w:r>
        <w:t>1968</w:t>
      </w:r>
      <w:r>
        <w:tab/>
      </w:r>
      <w:r w:rsidRPr="0016513D">
        <w:rPr>
          <w:i/>
        </w:rPr>
        <w:t>The Cultural History of Marlborough: An Archeological and Historical Investigation of the Port Town for Stafford County and the Plantation of John Mercer, Including Data Supplied by Frank M. Setzler and Oscar H. Darter</w:t>
      </w:r>
      <w:r w:rsidR="002E7C31">
        <w:t>.</w:t>
      </w:r>
      <w:r>
        <w:t xml:space="preserve"> Smithsonian Institution Press, Washington, DC.</w:t>
      </w:r>
    </w:p>
    <w:p w:rsidR="000F7191" w:rsidRDefault="000F7191" w:rsidP="000F7191"/>
    <w:p w:rsidR="000F7191" w:rsidRDefault="000F7191" w:rsidP="000F7191">
      <w:r>
        <w:t>White, Carolyn</w:t>
      </w:r>
      <w:r>
        <w:br/>
        <w:t>2004</w:t>
      </w:r>
      <w:r>
        <w:tab/>
        <w:t>What the Warners Wore: An Archaeological Inves</w:t>
      </w:r>
      <w:r w:rsidR="002E7C31">
        <w:t xml:space="preserve">tigation of Visual Appearance. </w:t>
      </w:r>
      <w:r w:rsidRPr="00083298">
        <w:rPr>
          <w:i/>
        </w:rPr>
        <w:t>Northeast Historical Archaeology</w:t>
      </w:r>
      <w:r>
        <w:t xml:space="preserve"> 33(1):39-66.</w:t>
      </w:r>
    </w:p>
    <w:p w:rsidR="000F7191" w:rsidRDefault="000F7191" w:rsidP="000F7191"/>
    <w:p w:rsidR="000F7191" w:rsidRDefault="000F7191" w:rsidP="000F7191">
      <w:pPr>
        <w:rPr>
          <w:rFonts w:eastAsia="Times New Roman"/>
        </w:rPr>
      </w:pPr>
      <w:r>
        <w:t xml:space="preserve">2005   </w:t>
      </w:r>
      <w:r>
        <w:rPr>
          <w:rStyle w:val="Emphasis"/>
        </w:rPr>
        <w:t>American Artifacts of Personal Adornment, 1680-1820: A Guide to Identification and Interpretation</w:t>
      </w:r>
      <w:r w:rsidR="002E7C31">
        <w:t xml:space="preserve">. </w:t>
      </w:r>
      <w:r>
        <w:t>Altamira Press, Lanham, MD.</w:t>
      </w:r>
    </w:p>
    <w:p w:rsidR="000F7191" w:rsidRDefault="000F7191" w:rsidP="000F7191">
      <w:pPr>
        <w:rPr>
          <w:rFonts w:eastAsia="Times New Roman"/>
        </w:rPr>
      </w:pPr>
    </w:p>
    <w:p w:rsidR="000F7191" w:rsidRPr="00027D28" w:rsidRDefault="000F7191" w:rsidP="000F7191">
      <w:pPr>
        <w:rPr>
          <w:rFonts w:eastAsia="Times New Roman"/>
        </w:rPr>
      </w:pPr>
      <w:r w:rsidRPr="00027D28">
        <w:rPr>
          <w:rFonts w:eastAsia="Times New Roman"/>
        </w:rPr>
        <w:t>White, Carolyn L. and Mary C. Beaudry</w:t>
      </w:r>
    </w:p>
    <w:p w:rsidR="000F7191" w:rsidRDefault="000F7191" w:rsidP="000F7191">
      <w:pPr>
        <w:pStyle w:val="NormalWeb"/>
        <w:spacing w:before="0" w:beforeAutospacing="0" w:after="0" w:afterAutospacing="0" w:line="240" w:lineRule="auto"/>
        <w:rPr>
          <w:rFonts w:ascii="Times New Roman" w:hAnsi="Times New Roman"/>
          <w:sz w:val="24"/>
          <w:szCs w:val="24"/>
        </w:rPr>
      </w:pPr>
      <w:r w:rsidRPr="00027D28">
        <w:rPr>
          <w:rFonts w:ascii="Times New Roman" w:hAnsi="Times New Roman"/>
          <w:sz w:val="24"/>
          <w:szCs w:val="24"/>
        </w:rPr>
        <w:t>2009    A</w:t>
      </w:r>
      <w:r w:rsidR="002E7C31">
        <w:rPr>
          <w:rFonts w:ascii="Times New Roman" w:hAnsi="Times New Roman"/>
          <w:sz w:val="24"/>
          <w:szCs w:val="24"/>
        </w:rPr>
        <w:t>rtifacts and Personal Identity.</w:t>
      </w:r>
      <w:r w:rsidRPr="00027D28">
        <w:rPr>
          <w:rFonts w:ascii="Times New Roman" w:hAnsi="Times New Roman"/>
          <w:sz w:val="24"/>
          <w:szCs w:val="24"/>
        </w:rPr>
        <w:t xml:space="preserve"> In </w:t>
      </w:r>
      <w:r w:rsidRPr="00027D28">
        <w:rPr>
          <w:rFonts w:ascii="Times New Roman" w:hAnsi="Times New Roman"/>
          <w:i/>
          <w:iCs/>
          <w:sz w:val="24"/>
          <w:szCs w:val="24"/>
        </w:rPr>
        <w:t>International Handbook of Historical Archaeology</w:t>
      </w:r>
      <w:r w:rsidRPr="00027D28">
        <w:rPr>
          <w:rFonts w:ascii="Times New Roman" w:hAnsi="Times New Roman"/>
          <w:sz w:val="24"/>
          <w:szCs w:val="24"/>
        </w:rPr>
        <w:t xml:space="preserve">, T. Majewski and D. </w:t>
      </w:r>
      <w:r w:rsidR="002E7C31">
        <w:rPr>
          <w:rFonts w:ascii="Times New Roman" w:hAnsi="Times New Roman"/>
          <w:sz w:val="24"/>
          <w:szCs w:val="24"/>
        </w:rPr>
        <w:t>Gaimster, editors, pp. 209-225.</w:t>
      </w:r>
      <w:r w:rsidRPr="00027D28">
        <w:rPr>
          <w:rFonts w:ascii="Times New Roman" w:hAnsi="Times New Roman"/>
          <w:sz w:val="24"/>
          <w:szCs w:val="24"/>
        </w:rPr>
        <w:t xml:space="preserve"> Springer Science+Business Media, LLC, New York</w:t>
      </w:r>
      <w:r>
        <w:rPr>
          <w:rFonts w:ascii="Times New Roman" w:hAnsi="Times New Roman"/>
          <w:sz w:val="24"/>
          <w:szCs w:val="24"/>
        </w:rPr>
        <w:t>, NY</w:t>
      </w:r>
      <w:r w:rsidRPr="00027D28">
        <w:rPr>
          <w:rFonts w:ascii="Times New Roman" w:hAnsi="Times New Roman"/>
          <w:sz w:val="24"/>
          <w:szCs w:val="24"/>
        </w:rPr>
        <w:t xml:space="preserve">.  </w:t>
      </w:r>
    </w:p>
    <w:p w:rsidR="000F7191" w:rsidRDefault="000F7191" w:rsidP="000F7191">
      <w:pPr>
        <w:pStyle w:val="NormalWeb"/>
        <w:spacing w:before="0" w:beforeAutospacing="0" w:after="0" w:afterAutospacing="0" w:line="240" w:lineRule="auto"/>
        <w:rPr>
          <w:rFonts w:ascii="Times New Roman" w:hAnsi="Times New Roman"/>
          <w:sz w:val="24"/>
          <w:szCs w:val="24"/>
        </w:rPr>
      </w:pP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Whitehead, Ross</w:t>
      </w: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2003</w:t>
      </w:r>
      <w:r>
        <w:rPr>
          <w:rFonts w:ascii="Times New Roman" w:hAnsi="Times New Roman"/>
          <w:sz w:val="24"/>
          <w:szCs w:val="24"/>
        </w:rPr>
        <w:tab/>
      </w:r>
      <w:r w:rsidRPr="00055206">
        <w:rPr>
          <w:rFonts w:ascii="Times New Roman" w:hAnsi="Times New Roman"/>
          <w:i/>
          <w:sz w:val="24"/>
          <w:szCs w:val="24"/>
        </w:rPr>
        <w:t>Buckles, 1250-1800</w:t>
      </w:r>
      <w:r w:rsidR="002E7C31">
        <w:rPr>
          <w:rFonts w:ascii="Times New Roman" w:hAnsi="Times New Roman"/>
          <w:sz w:val="24"/>
          <w:szCs w:val="24"/>
        </w:rPr>
        <w:t xml:space="preserve">. </w:t>
      </w:r>
      <w:r>
        <w:rPr>
          <w:rFonts w:ascii="Times New Roman" w:hAnsi="Times New Roman"/>
          <w:sz w:val="24"/>
          <w:szCs w:val="24"/>
        </w:rPr>
        <w:t>Greenlight Publishing, Whitham, UK.</w:t>
      </w:r>
    </w:p>
    <w:p w:rsidR="000F7191" w:rsidRDefault="000F7191" w:rsidP="000F7191">
      <w:pPr>
        <w:pStyle w:val="NormalWeb"/>
        <w:spacing w:before="0" w:beforeAutospacing="0" w:after="0" w:afterAutospacing="0" w:line="240" w:lineRule="auto"/>
        <w:rPr>
          <w:rFonts w:ascii="Times New Roman" w:hAnsi="Times New Roman"/>
          <w:sz w:val="24"/>
          <w:szCs w:val="24"/>
        </w:rPr>
      </w:pP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Wilkie, Laurie</w:t>
      </w: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2010</w:t>
      </w:r>
      <w:r>
        <w:rPr>
          <w:rFonts w:ascii="Times New Roman" w:hAnsi="Times New Roman"/>
          <w:sz w:val="24"/>
          <w:szCs w:val="24"/>
        </w:rPr>
        <w:tab/>
        <w:t>The Lost Boys of Zeta Psi: A Historical Archaeology of Masculini</w:t>
      </w:r>
      <w:r w:rsidR="002E7C31">
        <w:rPr>
          <w:rFonts w:ascii="Times New Roman" w:hAnsi="Times New Roman"/>
          <w:sz w:val="24"/>
          <w:szCs w:val="24"/>
        </w:rPr>
        <w:t xml:space="preserve">ty in a University Fraternity. </w:t>
      </w:r>
      <w:r>
        <w:rPr>
          <w:rFonts w:ascii="Times New Roman" w:hAnsi="Times New Roman"/>
          <w:sz w:val="24"/>
          <w:szCs w:val="24"/>
        </w:rPr>
        <w:t>University of California Press, Berkeley.</w:t>
      </w:r>
    </w:p>
    <w:p w:rsidR="000F7191" w:rsidRDefault="000F7191" w:rsidP="000F7191">
      <w:pPr>
        <w:pStyle w:val="NormalWeb"/>
        <w:spacing w:before="0" w:beforeAutospacing="0" w:after="0" w:afterAutospacing="0" w:line="240" w:lineRule="auto"/>
        <w:rPr>
          <w:rFonts w:ascii="Times New Roman" w:hAnsi="Times New Roman"/>
          <w:sz w:val="24"/>
          <w:szCs w:val="24"/>
        </w:rPr>
      </w:pP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Wurst, LouAnn</w:t>
      </w: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1999</w:t>
      </w:r>
      <w:r>
        <w:rPr>
          <w:rFonts w:ascii="Times New Roman" w:hAnsi="Times New Roman"/>
          <w:sz w:val="24"/>
          <w:szCs w:val="24"/>
        </w:rPr>
        <w:tab/>
        <w:t xml:space="preserve">Internalizing Class in Historical Archaeology. </w:t>
      </w:r>
      <w:r w:rsidRPr="0076002D">
        <w:rPr>
          <w:rFonts w:ascii="Times New Roman" w:hAnsi="Times New Roman"/>
          <w:i/>
          <w:sz w:val="24"/>
          <w:szCs w:val="24"/>
        </w:rPr>
        <w:t>Historical Archaeology</w:t>
      </w:r>
      <w:r>
        <w:rPr>
          <w:rFonts w:ascii="Times New Roman" w:hAnsi="Times New Roman"/>
          <w:sz w:val="24"/>
          <w:szCs w:val="24"/>
        </w:rPr>
        <w:t xml:space="preserve"> 33(1):7-21.  </w:t>
      </w:r>
    </w:p>
    <w:p w:rsidR="000F7191" w:rsidRDefault="000F7191" w:rsidP="000F7191">
      <w:pPr>
        <w:pStyle w:val="NormalWeb"/>
        <w:spacing w:before="0" w:beforeAutospacing="0" w:after="0" w:afterAutospacing="0" w:line="240" w:lineRule="auto"/>
        <w:rPr>
          <w:rFonts w:ascii="Times New Roman" w:hAnsi="Times New Roman"/>
          <w:sz w:val="24"/>
          <w:szCs w:val="24"/>
        </w:rPr>
      </w:pPr>
    </w:p>
    <w:p w:rsidR="00F573AA" w:rsidRDefault="00F573AA">
      <w:pPr>
        <w:rPr>
          <w:rFonts w:eastAsia="Times New Roman"/>
        </w:rPr>
      </w:pPr>
      <w:r>
        <w:br w:type="page"/>
      </w: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lastRenderedPageBreak/>
        <w:t>Wurst, LouAnn and Randall H. McGuire</w:t>
      </w:r>
    </w:p>
    <w:p w:rsidR="000F7191" w:rsidRDefault="000F7191" w:rsidP="000F7191">
      <w:pPr>
        <w:pStyle w:val="NormalWeb"/>
        <w:spacing w:before="0" w:beforeAutospacing="0" w:after="0" w:afterAutospacing="0" w:line="240" w:lineRule="auto"/>
        <w:rPr>
          <w:rFonts w:ascii="Times New Roman" w:hAnsi="Times New Roman"/>
          <w:sz w:val="24"/>
          <w:szCs w:val="24"/>
        </w:rPr>
      </w:pPr>
      <w:r>
        <w:rPr>
          <w:rFonts w:ascii="Times New Roman" w:hAnsi="Times New Roman"/>
          <w:sz w:val="24"/>
          <w:szCs w:val="24"/>
        </w:rPr>
        <w:t>1999</w:t>
      </w:r>
      <w:r>
        <w:rPr>
          <w:rFonts w:ascii="Times New Roman" w:hAnsi="Times New Roman"/>
          <w:sz w:val="24"/>
          <w:szCs w:val="24"/>
        </w:rPr>
        <w:tab/>
        <w:t>Immaculate Consumption: A Critique of the “Shop till you drop” School of Human Behavior</w:t>
      </w:r>
      <w:r w:rsidR="002E7C31">
        <w:rPr>
          <w:rFonts w:ascii="Times New Roman" w:hAnsi="Times New Roman"/>
          <w:sz w:val="24"/>
          <w:szCs w:val="24"/>
        </w:rPr>
        <w:t>.</w:t>
      </w:r>
      <w:r>
        <w:rPr>
          <w:rFonts w:ascii="Times New Roman" w:hAnsi="Times New Roman"/>
          <w:sz w:val="24"/>
          <w:szCs w:val="24"/>
        </w:rPr>
        <w:t xml:space="preserve"> </w:t>
      </w:r>
      <w:r w:rsidRPr="00B600EF">
        <w:rPr>
          <w:rFonts w:ascii="Times New Roman" w:hAnsi="Times New Roman"/>
          <w:i/>
          <w:sz w:val="24"/>
          <w:szCs w:val="24"/>
        </w:rPr>
        <w:t>International Journal of Historical Archaeology</w:t>
      </w:r>
      <w:r>
        <w:rPr>
          <w:rFonts w:ascii="Times New Roman" w:hAnsi="Times New Roman"/>
          <w:sz w:val="24"/>
          <w:szCs w:val="24"/>
        </w:rPr>
        <w:t xml:space="preserve"> 3(3):191-199.</w:t>
      </w:r>
    </w:p>
    <w:p w:rsidR="000F7191" w:rsidRDefault="000F7191" w:rsidP="000F7191"/>
    <w:p w:rsidR="000F7191" w:rsidRDefault="000F7191" w:rsidP="000F7191">
      <w:r>
        <w:t>Yentsch, Anne Elizabeth</w:t>
      </w:r>
    </w:p>
    <w:p w:rsidR="000F7191" w:rsidRDefault="000F7191" w:rsidP="000F7191">
      <w:r>
        <w:t>1990</w:t>
      </w:r>
      <w:r>
        <w:tab/>
        <w:t>Minimum Vessel Lists as Evidence of Change in Folk and C</w:t>
      </w:r>
      <w:r w:rsidR="002E7C31">
        <w:t xml:space="preserve">ourtly Traditions of Food Use. </w:t>
      </w:r>
      <w:r w:rsidRPr="00483C01">
        <w:rPr>
          <w:i/>
        </w:rPr>
        <w:t>Historical Archaeology</w:t>
      </w:r>
      <w:r>
        <w:t xml:space="preserve"> 24:24-53.</w:t>
      </w:r>
    </w:p>
    <w:p w:rsidR="000F7191" w:rsidRDefault="000F7191" w:rsidP="000F7191"/>
    <w:p w:rsidR="000F7191" w:rsidRDefault="000F7191" w:rsidP="000F7191">
      <w:r w:rsidRPr="00102A52">
        <w:t>1991</w:t>
      </w:r>
      <w:r>
        <w:t>a</w:t>
      </w:r>
      <w:r>
        <w:tab/>
        <w:t>Chesapeake Artefacts and their Cultural Context</w:t>
      </w:r>
      <w:r w:rsidR="002E7C31">
        <w:t xml:space="preserve">: Pottery and the Food Domain. </w:t>
      </w:r>
      <w:r w:rsidRPr="00B600EF">
        <w:rPr>
          <w:i/>
        </w:rPr>
        <w:t>Post-Medieval Archaeology</w:t>
      </w:r>
      <w:r>
        <w:t xml:space="preserve"> 25:25-72.</w:t>
      </w:r>
    </w:p>
    <w:p w:rsidR="000F7191" w:rsidRDefault="000F7191" w:rsidP="000F7191"/>
    <w:p w:rsidR="000F7191" w:rsidRDefault="000F7191" w:rsidP="000F7191">
      <w:r>
        <w:t>1991b</w:t>
      </w:r>
      <w:r>
        <w:tab/>
        <w:t>Engendering Visible and Invisible Ceramic Artifa</w:t>
      </w:r>
      <w:r w:rsidR="002E7C31">
        <w:t xml:space="preserve">cts, Especially Dairy Vessels. </w:t>
      </w:r>
      <w:r w:rsidRPr="002F4283">
        <w:rPr>
          <w:i/>
        </w:rPr>
        <w:t>Historical Archaeology</w:t>
      </w:r>
      <w:r>
        <w:t xml:space="preserve"> 25(4):132-155. </w:t>
      </w:r>
    </w:p>
    <w:p w:rsidR="000F7191" w:rsidRDefault="000F7191" w:rsidP="000F7191"/>
    <w:p w:rsidR="000F7191" w:rsidRDefault="000F7191" w:rsidP="000F7191">
      <w:r>
        <w:t>1994</w:t>
      </w:r>
      <w:r>
        <w:tab/>
      </w:r>
      <w:r w:rsidRPr="007240D5">
        <w:rPr>
          <w:i/>
        </w:rPr>
        <w:t>A Chesapeake Family and Their Slaves: A Study in Historical Archaeology</w:t>
      </w:r>
      <w:r w:rsidR="002E7C31">
        <w:t xml:space="preserve">. </w:t>
      </w:r>
      <w:r>
        <w:t xml:space="preserve">Cambridge University Press, Cambridge, UK.  </w:t>
      </w:r>
    </w:p>
    <w:p w:rsidR="000F7191" w:rsidRDefault="000F7191" w:rsidP="000F7191"/>
    <w:p w:rsidR="000F7191" w:rsidRDefault="000F7191" w:rsidP="000F7191">
      <w:r>
        <w:t>Yokota, Kariann Akemi</w:t>
      </w:r>
    </w:p>
    <w:p w:rsidR="000F7191" w:rsidRDefault="000F7191" w:rsidP="000F7191">
      <w:r>
        <w:t>2011</w:t>
      </w:r>
      <w:r>
        <w:tab/>
      </w:r>
      <w:r w:rsidRPr="00AC23A0">
        <w:rPr>
          <w:i/>
        </w:rPr>
        <w:t>Unbecoming British: How Revolutionary America Became a Postcolonial Nation</w:t>
      </w:r>
      <w:r w:rsidR="002E7C31">
        <w:t xml:space="preserve">. </w:t>
      </w:r>
      <w:r>
        <w:t>Oxford University Press, Oxford, UK.</w:t>
      </w:r>
    </w:p>
    <w:p w:rsidR="000F7191" w:rsidRDefault="000F7191">
      <w:pPr>
        <w:rPr>
          <w:b/>
        </w:rPr>
      </w:pPr>
      <w:r>
        <w:rPr>
          <w:b/>
        </w:rPr>
        <w:br w:type="page"/>
      </w:r>
    </w:p>
    <w:p w:rsidR="00E1132F" w:rsidRDefault="00E1132F" w:rsidP="00E1132F">
      <w:pPr>
        <w:jc w:val="center"/>
        <w:rPr>
          <w:b/>
        </w:rPr>
      </w:pPr>
      <w:r>
        <w:rPr>
          <w:b/>
        </w:rPr>
        <w:lastRenderedPageBreak/>
        <w:t>APPENDIX</w:t>
      </w:r>
      <w:r>
        <w:rPr>
          <w:b/>
        </w:rPr>
        <w:br w:type="page"/>
      </w:r>
    </w:p>
    <w:p w:rsidR="00F1721E" w:rsidRDefault="009F22B2">
      <w:r>
        <w:rPr>
          <w:b/>
        </w:rPr>
        <w:lastRenderedPageBreak/>
        <w:t>Table A-</w:t>
      </w:r>
      <w:r w:rsidR="00C57C34" w:rsidRPr="00C57C34">
        <w:rPr>
          <w:b/>
        </w:rPr>
        <w:t>1.</w:t>
      </w:r>
      <w:r w:rsidR="00E1132F">
        <w:t xml:space="preserve">  A t</w:t>
      </w:r>
      <w:r w:rsidR="00C57C34">
        <w:t>ranscription of the</w:t>
      </w:r>
      <w:r w:rsidR="00E1132F">
        <w:t xml:space="preserve"> inventory of the e</w:t>
      </w:r>
      <w:r w:rsidR="00C57C34" w:rsidRPr="00C57C34">
        <w:t xml:space="preserve">state of Lawrence Washington </w:t>
      </w:r>
      <w:r w:rsidR="00E1132F">
        <w:t>a</w:t>
      </w:r>
      <w:r w:rsidR="00C57C34">
        <w:t xml:space="preserve">ppraised by </w:t>
      </w:r>
      <w:r w:rsidR="00E1132F">
        <w:t>the s</w:t>
      </w:r>
      <w:r w:rsidR="00C57C34" w:rsidRPr="00C57C34">
        <w:t xml:space="preserve">ubscribers March </w:t>
      </w:r>
      <w:r w:rsidR="00C57C34">
        <w:t>7 and 8, 1753</w:t>
      </w:r>
      <w:r w:rsidR="00C13FE4">
        <w:t xml:space="preserve"> (Washington 1753)</w:t>
      </w:r>
      <w:r w:rsidR="00C57C34">
        <w:t>.</w:t>
      </w:r>
    </w:p>
    <w:p w:rsidR="00C57C34" w:rsidRDefault="00C57C34"/>
    <w:tbl>
      <w:tblPr>
        <w:tblW w:w="7893" w:type="dxa"/>
        <w:tblInd w:w="91" w:type="dxa"/>
        <w:tblLook w:val="04A0"/>
      </w:tblPr>
      <w:tblGrid>
        <w:gridCol w:w="700"/>
        <w:gridCol w:w="1020"/>
        <w:gridCol w:w="1779"/>
        <w:gridCol w:w="507"/>
        <w:gridCol w:w="705"/>
        <w:gridCol w:w="440"/>
        <w:gridCol w:w="856"/>
        <w:gridCol w:w="538"/>
        <w:gridCol w:w="467"/>
        <w:gridCol w:w="466"/>
        <w:gridCol w:w="983"/>
      </w:tblGrid>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28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i/>
                <w:iCs/>
                <w:sz w:val="20"/>
                <w:szCs w:val="20"/>
              </w:rPr>
            </w:pPr>
            <w:r w:rsidRPr="00365FA1">
              <w:rPr>
                <w:rFonts w:eastAsia="Times New Roman"/>
                <w:b/>
                <w:bCs/>
                <w:i/>
                <w:iCs/>
                <w:sz w:val="20"/>
                <w:szCs w:val="20"/>
              </w:rPr>
              <w:t>Negros</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Dublin</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Dula</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Ned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Sands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Acco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Sando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color w:val="FF0000"/>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Will</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Ben</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Frank</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Moll daughter to Frank</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Mildred _______ d</w:t>
            </w:r>
            <w:r w:rsidRPr="00365FA1">
              <w:rPr>
                <w:rFonts w:eastAsia="Times New Roman"/>
                <w:sz w:val="20"/>
                <w:szCs w:val="20"/>
                <w:vertAlign w:val="superscript"/>
              </w:rPr>
              <w:t>o</w:t>
            </w:r>
            <w:r w:rsidRPr="00365FA1">
              <w:rPr>
                <w:rFonts w:eastAsia="Times New Roman"/>
                <w:sz w:val="20"/>
                <w:szCs w:val="20"/>
              </w:rPr>
              <w:t>____</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Hannah  _______ d</w:t>
            </w:r>
            <w:r w:rsidRPr="00365FA1">
              <w:rPr>
                <w:rFonts w:eastAsia="Times New Roman"/>
                <w:sz w:val="20"/>
                <w:szCs w:val="20"/>
                <w:vertAlign w:val="superscript"/>
              </w:rPr>
              <w:t>o</w:t>
            </w:r>
            <w:r w:rsidRPr="00365FA1">
              <w:rPr>
                <w:rFonts w:eastAsia="Times New Roman"/>
                <w:sz w:val="20"/>
                <w:szCs w:val="20"/>
              </w:rPr>
              <w:t>____</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420._._</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Penny   _______ d</w:t>
            </w:r>
            <w:r w:rsidRPr="00365FA1">
              <w:rPr>
                <w:rFonts w:eastAsia="Times New Roman"/>
                <w:sz w:val="20"/>
                <w:szCs w:val="20"/>
                <w:vertAlign w:val="superscript"/>
              </w:rPr>
              <w:t>o</w:t>
            </w:r>
            <w:r w:rsidRPr="00365FA1">
              <w:rPr>
                <w:rFonts w:eastAsia="Times New Roman"/>
                <w:sz w:val="20"/>
                <w:szCs w:val="20"/>
              </w:rPr>
              <w:t>____</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Moll</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Lett and Child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Young Sands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Barbara</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Will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027"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Barbara</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Grace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Phebe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Couta and L[illegible]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Child Ant[illegible]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color w:val="FF0000"/>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Judy</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Sarah</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Judy</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28</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308._._</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Kate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Ceasar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Tom</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Glasgow</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Charles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Aaron</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Grace</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Barbara</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Couta</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George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Phebe</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Lucy</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Lett</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Bella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D</w:t>
            </w:r>
            <w:r w:rsidRPr="00365FA1">
              <w:rPr>
                <w:rFonts w:eastAsia="Times New Roman"/>
                <w:sz w:val="20"/>
                <w:szCs w:val="20"/>
                <w:vertAlign w:val="superscript"/>
              </w:rPr>
              <w:t>o</w:t>
            </w:r>
            <w:r w:rsidRPr="00365FA1">
              <w:rPr>
                <w:rFonts w:eastAsia="Times New Roman"/>
                <w:sz w:val="20"/>
                <w:szCs w:val="20"/>
              </w:rPr>
              <w:t>.</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Lydia</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D</w:t>
            </w:r>
            <w:r w:rsidRPr="00365FA1">
              <w:rPr>
                <w:rFonts w:eastAsia="Times New Roman"/>
                <w:sz w:val="20"/>
                <w:szCs w:val="20"/>
                <w:vertAlign w:val="superscript"/>
              </w:rPr>
              <w:t>o</w:t>
            </w:r>
            <w:r w:rsidRPr="00365FA1">
              <w:rPr>
                <w:rFonts w:eastAsia="Times New Roman"/>
                <w:sz w:val="20"/>
                <w:szCs w:val="20"/>
              </w:rPr>
              <w:t>.</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Nan</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027"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Mulato</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233._._</w:t>
            </w:r>
          </w:p>
        </w:tc>
      </w:tr>
      <w:tr w:rsidR="00365FA1" w:rsidRPr="00365FA1" w:rsidTr="00365FA1">
        <w:trPr>
          <w:trHeight w:val="34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i/>
                <w:iCs/>
                <w:sz w:val="20"/>
                <w:szCs w:val="20"/>
              </w:rPr>
            </w:pPr>
            <w:r w:rsidRPr="00365FA1">
              <w:rPr>
                <w:rFonts w:eastAsia="Times New Roman"/>
                <w:b/>
                <w:bCs/>
                <w:i/>
                <w:iCs/>
                <w:sz w:val="20"/>
                <w:szCs w:val="20"/>
              </w:rPr>
              <w:t>Horses</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Roan Mare Countt</w:t>
            </w:r>
            <w:r w:rsidRPr="00365FA1">
              <w:rPr>
                <w:rFonts w:eastAsia="Times New Roman"/>
                <w:sz w:val="20"/>
                <w:szCs w:val="20"/>
                <w:vertAlign w:val="superscript"/>
              </w:rPr>
              <w:t>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King</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Young Mare Colt</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Pointer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Rantor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Figure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lastRenderedPageBreak/>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Jockey</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Whistler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color w:val="FF0000"/>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Spark</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color w:val="FF0000"/>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Bay</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1</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color w:val="FF0000"/>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Rock</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73._._</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color w:val="FF0000"/>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Sum brought Over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b/>
                <w:bCs/>
                <w:color w:val="3366FF"/>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i/>
                <w:iCs/>
                <w:sz w:val="20"/>
                <w:szCs w:val="20"/>
              </w:rPr>
            </w:pPr>
            <w:r w:rsidRPr="00365FA1">
              <w:rPr>
                <w:rFonts w:eastAsia="Times New Roman"/>
                <w:b/>
                <w:bCs/>
                <w:i/>
                <w:iCs/>
                <w:sz w:val="20"/>
                <w:szCs w:val="20"/>
              </w:rPr>
              <w:t>Stock</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84 Sheep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at 6/__</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b/>
                <w:bCs/>
                <w:i/>
                <w:iCs/>
                <w:sz w:val="20"/>
                <w:szCs w:val="20"/>
              </w:rPr>
            </w:pPr>
            <w:r w:rsidRPr="00365FA1">
              <w:rPr>
                <w:rFonts w:eastAsia="Times New Roman"/>
                <w:b/>
                <w:bCs/>
                <w:i/>
                <w:iCs/>
                <w:sz w:val="20"/>
                <w:szCs w:val="20"/>
              </w:rPr>
              <w:t>Cattle</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Cow and Calf</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Cow and Yearling</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Yearlings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Cows and Calves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@37/6 </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36 Cows and Heffers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@30/__</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14 Steers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@30/__</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18 Yearlings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@10/__</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Bulls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@30/__</w:t>
            </w:r>
          </w:p>
        </w:tc>
        <w:tc>
          <w:tcPr>
            <w:tcW w:w="480" w:type="dxa"/>
            <w:tcBorders>
              <w:top w:val="nil"/>
              <w:left w:val="single" w:sz="4" w:space="0" w:color="000000"/>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124.16.6</w:t>
            </w:r>
          </w:p>
        </w:tc>
      </w:tr>
      <w:tr w:rsidR="00365FA1" w:rsidRPr="00365FA1" w:rsidTr="00365FA1">
        <w:trPr>
          <w:trHeight w:val="28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b/>
                <w:bCs/>
                <w:i/>
                <w:iCs/>
                <w:sz w:val="20"/>
                <w:szCs w:val="20"/>
              </w:rPr>
            </w:pPr>
            <w:r w:rsidRPr="00365FA1">
              <w:rPr>
                <w:rFonts w:eastAsia="Times New Roman"/>
                <w:b/>
                <w:bCs/>
                <w:i/>
                <w:iCs/>
                <w:sz w:val="20"/>
                <w:szCs w:val="20"/>
              </w:rPr>
              <w:t>Hoggs</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 Sows  1 Barrow &amp; 1 Boar</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@6/__</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19 Shoats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@1/8  </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Sows and Piggs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@8/__</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Sow and Boar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@7/6  </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19 Small Hoggs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@3/__</w:t>
            </w:r>
          </w:p>
        </w:tc>
        <w:tc>
          <w:tcPr>
            <w:tcW w:w="480" w:type="dxa"/>
            <w:tcBorders>
              <w:top w:val="nil"/>
              <w:left w:val="single" w:sz="4" w:space="0" w:color="000000"/>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r w:rsidRPr="00365FA1">
              <w:rPr>
                <w:rFonts w:eastAsia="Times New Roman"/>
                <w:sz w:val="20"/>
                <w:szCs w:val="20"/>
              </w:rPr>
              <w:t>17</w:t>
            </w:r>
          </w:p>
        </w:tc>
        <w:tc>
          <w:tcPr>
            <w:tcW w:w="360" w:type="dxa"/>
            <w:tcBorders>
              <w:top w:val="nil"/>
              <w:left w:val="nil"/>
              <w:bottom w:val="nil"/>
              <w:right w:val="nil"/>
            </w:tcBorders>
            <w:shd w:val="clear" w:color="auto" w:fill="auto"/>
            <w:noWrap/>
            <w:vAlign w:val="center"/>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Sows and Piggs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center"/>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center"/>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2 Sows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9 Shoats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Sow and Barrow</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12 Shoats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14.3.8</w:t>
            </w:r>
          </w:p>
        </w:tc>
      </w:tr>
      <w:tr w:rsidR="00365FA1" w:rsidRPr="00365FA1" w:rsidTr="00365FA1">
        <w:trPr>
          <w:trHeight w:val="28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Utensils</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Ploughs and Irons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b/>
                <w:bCs/>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&amp;c</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New Plough</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Dit and Colter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11 Narrow Axes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New Fall</w:t>
            </w:r>
            <w:r w:rsidRPr="00365FA1">
              <w:rPr>
                <w:rFonts w:eastAsia="Times New Roman"/>
                <w:sz w:val="20"/>
                <w:szCs w:val="20"/>
                <w:vertAlign w:val="superscript"/>
              </w:rPr>
              <w:t>g</w:t>
            </w:r>
            <w:r w:rsidRPr="00365FA1">
              <w:rPr>
                <w:rFonts w:eastAsia="Times New Roman"/>
                <w:sz w:val="20"/>
                <w:szCs w:val="20"/>
              </w:rPr>
              <w:t xml:space="preserve"> Axes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 Ax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10 Axes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[12 Hilling]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gridSpan w:val="2"/>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[illegible]</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14 Hilling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7 Hill</w:t>
            </w:r>
            <w:r w:rsidRPr="00365FA1">
              <w:rPr>
                <w:rFonts w:eastAsia="Times New Roman"/>
                <w:sz w:val="20"/>
                <w:szCs w:val="20"/>
                <w:vertAlign w:val="superscript"/>
              </w:rPr>
              <w:t xml:space="preserve">g     </w:t>
            </w:r>
            <w:r w:rsidRPr="00365FA1">
              <w:rPr>
                <w:rFonts w:eastAsia="Times New Roman"/>
                <w:sz w:val="20"/>
                <w:szCs w:val="20"/>
              </w:rPr>
              <w:t>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7.17.6</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Grubbing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@2/6</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Grubbing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Grub</w:t>
            </w:r>
            <w:r w:rsidRPr="00365FA1">
              <w:rPr>
                <w:rFonts w:eastAsia="Times New Roman"/>
                <w:sz w:val="20"/>
                <w:szCs w:val="20"/>
                <w:vertAlign w:val="superscript"/>
              </w:rPr>
              <w:t>g</w:t>
            </w:r>
            <w:r w:rsidRPr="00365FA1">
              <w:rPr>
                <w:rFonts w:eastAsia="Times New Roman"/>
                <w:sz w:val="20"/>
                <w:szCs w:val="20"/>
              </w:rPr>
              <w:t xml:space="preserve">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14 Weeding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 Wedges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Weeding Hoes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Cow Bell</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The Iron of an Old Cart Body</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5.6.0</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Old Iron of Various Sorts  130 </w:t>
            </w:r>
            <w:r w:rsidRPr="00365FA1">
              <w:rPr>
                <w:rFonts w:eastAsia="Times New Roman"/>
                <w:sz w:val="20"/>
                <w:szCs w:val="20"/>
                <w:vertAlign w:val="superscript"/>
              </w:rPr>
              <w:t>lb</w:t>
            </w:r>
            <w:r w:rsidRPr="00365FA1">
              <w:rPr>
                <w:rFonts w:eastAsia="Times New Roman"/>
                <w:sz w:val="20"/>
                <w:szCs w:val="20"/>
              </w:rPr>
              <w:t xml:space="preserve"> </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Old D</w:t>
            </w:r>
            <w:r w:rsidRPr="00365FA1">
              <w:rPr>
                <w:rFonts w:eastAsia="Times New Roman"/>
                <w:sz w:val="20"/>
                <w:szCs w:val="20"/>
                <w:vertAlign w:val="superscript"/>
              </w:rPr>
              <w:t>o</w:t>
            </w:r>
            <w:r w:rsidRPr="00365FA1">
              <w:rPr>
                <w:rFonts w:eastAsia="Times New Roman"/>
                <w:sz w:val="20"/>
                <w:szCs w:val="20"/>
              </w:rPr>
              <w:t xml:space="preserve"> at Muddy Hole Quartr</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Old Barrs of Iron</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pair Millstones and Irons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Syder Casks 1 of them Iron</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  Bound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Three wheat sieves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Old Chair Body and old pair</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 of Wheels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Ox Chains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6.13.0</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Grindstone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Wheat Hogsheads &amp; Covers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25 Reap Hooks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Garden Spade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Iron Crow</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Cart Boxes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2</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Hay Knife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1.19._</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534"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Sum br</w:t>
            </w:r>
            <w:r w:rsidRPr="00365FA1">
              <w:rPr>
                <w:rFonts w:eastAsia="Times New Roman"/>
                <w:sz w:val="20"/>
                <w:szCs w:val="20"/>
                <w:vertAlign w:val="superscript"/>
              </w:rPr>
              <w:t>t</w:t>
            </w:r>
            <w:r w:rsidRPr="00365FA1">
              <w:rPr>
                <w:rFonts w:eastAsia="Times New Roman"/>
                <w:sz w:val="20"/>
                <w:szCs w:val="20"/>
              </w:rPr>
              <w:t xml:space="preserve"> forward</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Sain Rope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Compass Saw, 1 Gimblet &amp; 1 Gouge</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Block and Stand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Iron Traces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Pott broke 2/  1 Small Pan  1/6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Potts  9/   1 Small   1/</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Shovels 6/8  1 Spade broke 1/6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7 Scythes &amp; 4 Handles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Hay Knife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Half Bushel  1¾  peck</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1¼ peck and 1¼ peck</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vMerge w:val="restart"/>
            <w:tcBorders>
              <w:top w:val="nil"/>
              <w:left w:val="single" w:sz="4" w:space="0" w:color="000000"/>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c>
          <w:tcPr>
            <w:tcW w:w="36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c>
          <w:tcPr>
            <w:tcW w:w="84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Mill pecks   1 Iron Hoop for</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vMerge/>
            <w:tcBorders>
              <w:top w:val="nil"/>
              <w:left w:val="single" w:sz="4" w:space="0" w:color="000000"/>
              <w:bottom w:val="nil"/>
              <w:right w:val="nil"/>
            </w:tcBorders>
            <w:vAlign w:val="center"/>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c>
          <w:tcPr>
            <w:tcW w:w="36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c>
          <w:tcPr>
            <w:tcW w:w="84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 The Mill Tub  4 Tubs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vMerge/>
            <w:tcBorders>
              <w:top w:val="nil"/>
              <w:left w:val="single" w:sz="4" w:space="0" w:color="000000"/>
              <w:bottom w:val="nil"/>
              <w:right w:val="nil"/>
            </w:tcBorders>
            <w:vAlign w:val="center"/>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c>
          <w:tcPr>
            <w:tcW w:w="36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c>
          <w:tcPr>
            <w:tcW w:w="840" w:type="dxa"/>
            <w:tcBorders>
              <w:top w:val="nil"/>
              <w:left w:val="nil"/>
              <w:bottom w:val="nil"/>
              <w:right w:val="nil"/>
            </w:tcBorders>
            <w:shd w:val="clear" w:color="auto" w:fill="auto"/>
            <w:noWrap/>
            <w:vAlign w:val="center"/>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 Pott 4/ 1 Frying Pann  1/6  </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Hydes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Sheep Shears   1/   1 Pestle 2/6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Spade  3/  Sundry Trace Iron   12/</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Scrues &amp; Rowters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Saddles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par</w:t>
            </w:r>
            <w:r w:rsidRPr="00365FA1">
              <w:rPr>
                <w:rFonts w:eastAsia="Times New Roman"/>
                <w:sz w:val="20"/>
                <w:szCs w:val="20"/>
                <w:vertAlign w:val="superscript"/>
              </w:rPr>
              <w:t xml:space="preserve">l </w:t>
            </w:r>
            <w:r w:rsidRPr="00365FA1">
              <w:rPr>
                <w:rFonts w:eastAsia="Times New Roman"/>
                <w:sz w:val="20"/>
                <w:szCs w:val="20"/>
              </w:rPr>
              <w:t>Lumber Cherry Tree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  Plank in the Dairy Loft </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 Pettuager with an Iron Chain</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lastRenderedPageBreak/>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Grind Stone with an Iron</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  Axle tree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Ox Cart, 4 Oxen Geers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24</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8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2799"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i/>
                <w:iCs/>
                <w:sz w:val="20"/>
                <w:szCs w:val="20"/>
              </w:rPr>
            </w:pPr>
            <w:r w:rsidRPr="00365FA1">
              <w:rPr>
                <w:rFonts w:eastAsia="Times New Roman"/>
                <w:b/>
                <w:bCs/>
                <w:i/>
                <w:iCs/>
                <w:sz w:val="20"/>
                <w:szCs w:val="20"/>
              </w:rPr>
              <w:t>Household Furniture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Bed, Bowlster, 2 Pillows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pair of Sheet[illegible] Blanket a</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Cotton Count[illegible] 2 pillow</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White</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Cases a [illegible]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Room</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Doz. Flag'd [illegible] Chairs @ 8/</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Looking Glass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 p</w:t>
            </w:r>
            <w:r w:rsidRPr="00365FA1">
              <w:rPr>
                <w:rFonts w:eastAsia="Times New Roman"/>
                <w:sz w:val="20"/>
                <w:szCs w:val="20"/>
                <w:vertAlign w:val="superscript"/>
              </w:rPr>
              <w:t>r</w:t>
            </w:r>
            <w:r w:rsidRPr="00365FA1">
              <w:rPr>
                <w:rFonts w:eastAsia="Times New Roman"/>
                <w:sz w:val="20"/>
                <w:szCs w:val="20"/>
              </w:rPr>
              <w:t xml:space="preserve"> Andirons [illegible]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Hearth Brush 1/   1 Trunk 7/</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13.4._</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Bed, bowlster Pillow &amp; Cover 1 pr</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of Sheets, 1 pr of Blankets, 1 Green</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Rug, 1 Stamp</w:t>
            </w:r>
            <w:r w:rsidRPr="00365FA1">
              <w:rPr>
                <w:rFonts w:eastAsia="Times New Roman"/>
                <w:sz w:val="20"/>
                <w:szCs w:val="20"/>
                <w:vertAlign w:val="superscript"/>
              </w:rPr>
              <w:t>d</w:t>
            </w:r>
            <w:r w:rsidRPr="00365FA1">
              <w:rPr>
                <w:rFonts w:eastAsia="Times New Roman"/>
                <w:sz w:val="20"/>
                <w:szCs w:val="20"/>
              </w:rPr>
              <w:t xml:space="preserve"> Counterpain</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with one Bedsted &amp; Cord</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Head of</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Trunnel Bedsted with Cord, 1</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the Stairs</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small Bed, 1 pr of Sheets, 2 Quilts &amp;</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Stamp</w:t>
            </w:r>
            <w:r w:rsidRPr="00365FA1">
              <w:rPr>
                <w:rFonts w:eastAsia="Times New Roman"/>
                <w:sz w:val="20"/>
                <w:szCs w:val="20"/>
                <w:vertAlign w:val="superscript"/>
              </w:rPr>
              <w:t>d</w:t>
            </w:r>
            <w:r w:rsidRPr="00365FA1">
              <w:rPr>
                <w:rFonts w:eastAsia="Times New Roman"/>
                <w:sz w:val="20"/>
                <w:szCs w:val="20"/>
              </w:rPr>
              <w:t xml:space="preserve"> Counterpains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New Matrass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small Table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Chairs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15.1.6</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Field Bedsted and Hangings,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Bed with a check'd cover, 3 Blan</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kets, 1 Bowlster, 2 pillows and</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Yellow</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a Neat Pained Quilt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Room</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dressing Table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Glass for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powder Box</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pair of Andirons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Hearth Brush</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13.15._</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Bedsted, Silk plaid Curtains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Vallaines, 1 Bed, bowlster 2 pil</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lows, 1 pr Sheets, 2 Blankets 1 Red</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Rug, 1 Stamped Counterpain &amp;</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Pillow Cases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3</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Small Portmanteau Trunk</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12.8._</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354"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Sum Brought Over</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lastRenderedPageBreak/>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Damask silk quilt, 2 pair of</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Blankets, 1 Bed with a check'd Cover</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pair of Sheets, 1 Bowlster, 2 pillows</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pillow cases, Bedsted Curtains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Red</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&amp;c</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Room</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Silk Damask covers for Chairs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pair Red Damask Wind</w:t>
            </w:r>
            <w:r w:rsidRPr="00365FA1">
              <w:rPr>
                <w:rFonts w:eastAsia="Times New Roman"/>
                <w:sz w:val="20"/>
                <w:szCs w:val="20"/>
                <w:vertAlign w:val="superscript"/>
              </w:rPr>
              <w:t>ow</w:t>
            </w:r>
            <w:r w:rsidRPr="00365FA1">
              <w:rPr>
                <w:rFonts w:eastAsia="Times New Roman"/>
                <w:sz w:val="20"/>
                <w:szCs w:val="20"/>
              </w:rPr>
              <w:t xml:space="preserve"> Curt</w:t>
            </w:r>
            <w:r w:rsidRPr="00365FA1">
              <w:rPr>
                <w:rFonts w:eastAsia="Times New Roman"/>
                <w:sz w:val="20"/>
                <w:szCs w:val="20"/>
                <w:vertAlign w:val="superscript"/>
              </w:rPr>
              <w:t>ns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Beauro Dressing Table</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Dressing Glass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pair of small Andirons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pair of Bellows, Tongs &amp; Shov</w:t>
            </w:r>
            <w:r w:rsidRPr="00365FA1">
              <w:rPr>
                <w:rFonts w:eastAsia="Times New Roman"/>
                <w:sz w:val="20"/>
                <w:szCs w:val="20"/>
                <w:vertAlign w:val="superscript"/>
              </w:rPr>
              <w:t>l</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29.11.6</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Bedsted, Bed and Curtains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Window Curtains, cover of a </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great Chair check'd cover for the </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Bed, 1 pair of Blankett</w:t>
            </w:r>
            <w:r w:rsidRPr="00365FA1">
              <w:rPr>
                <w:rFonts w:eastAsia="Times New Roman"/>
                <w:sz w:val="20"/>
                <w:szCs w:val="20"/>
                <w:vertAlign w:val="superscript"/>
              </w:rPr>
              <w:t>s</w:t>
            </w:r>
            <w:r w:rsidRPr="00365FA1">
              <w:rPr>
                <w:rFonts w:eastAsia="Times New Roman"/>
                <w:sz w:val="20"/>
                <w:szCs w:val="20"/>
              </w:rPr>
              <w:t>, French</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Quilt, Counterpain, 1 Bowlster</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pillows, and 1 pillow case</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M</w:t>
            </w:r>
            <w:r w:rsidRPr="00365FA1">
              <w:rPr>
                <w:rFonts w:eastAsia="Times New Roman"/>
                <w:b/>
                <w:bCs/>
                <w:i/>
                <w:iCs/>
                <w:sz w:val="20"/>
                <w:szCs w:val="20"/>
                <w:vertAlign w:val="superscript"/>
              </w:rPr>
              <w:t>rs</w:t>
            </w:r>
            <w:r w:rsidRPr="00365FA1">
              <w:rPr>
                <w:rFonts w:eastAsia="Times New Roman"/>
                <w:b/>
                <w:bCs/>
                <w:i/>
                <w:iCs/>
                <w:sz w:val="20"/>
                <w:szCs w:val="20"/>
              </w:rPr>
              <w:t xml:space="preserve"> Lee's</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Bedsted, cord, Bed, Bowlster</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Room</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pillows, Two Blankets &amp;</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Quilt</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Desk</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Looking Glass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Case, and Bottles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pair of Andirons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Fire Shovels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Small Table 3/  1 Tea Kett</w:t>
            </w:r>
            <w:r w:rsidRPr="00365FA1">
              <w:rPr>
                <w:rFonts w:eastAsia="Times New Roman"/>
                <w:sz w:val="20"/>
                <w:szCs w:val="20"/>
                <w:vertAlign w:val="superscript"/>
              </w:rPr>
              <w:t>l</w:t>
            </w:r>
            <w:r w:rsidRPr="00365FA1">
              <w:rPr>
                <w:rFonts w:eastAsia="Times New Roman"/>
                <w:sz w:val="20"/>
                <w:szCs w:val="20"/>
              </w:rPr>
              <w:t xml:space="preserve"> &amp;</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Stand   5/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19.1.9</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pair of Course Sheets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18 New Napkins @ 2/</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New large [illegible] ask Table</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Cloths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D</w:t>
            </w:r>
            <w:r w:rsidRPr="00365FA1">
              <w:rPr>
                <w:rFonts w:eastAsia="Times New Roman"/>
                <w:sz w:val="20"/>
                <w:szCs w:val="20"/>
                <w:vertAlign w:val="superscript"/>
              </w:rPr>
              <w:t>o</w:t>
            </w:r>
            <w:r w:rsidRPr="00365FA1">
              <w:rPr>
                <w:rFonts w:eastAsia="Times New Roman"/>
                <w:sz w:val="20"/>
                <w:szCs w:val="20"/>
              </w:rPr>
              <w:t xml:space="preserve"> ab</w:t>
            </w:r>
            <w:r w:rsidRPr="00365FA1">
              <w:rPr>
                <w:rFonts w:eastAsia="Times New Roman"/>
                <w:sz w:val="20"/>
                <w:szCs w:val="20"/>
                <w:vertAlign w:val="superscript"/>
              </w:rPr>
              <w:t xml:space="preserve">l </w:t>
            </w:r>
            <w:r w:rsidRPr="00365FA1">
              <w:rPr>
                <w:rFonts w:eastAsia="Times New Roman"/>
                <w:sz w:val="20"/>
                <w:szCs w:val="20"/>
              </w:rPr>
              <w:t>1/4</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large Diap[illegible] D</w:t>
            </w:r>
            <w:r w:rsidRPr="00365FA1">
              <w:rPr>
                <w:rFonts w:eastAsia="Times New Roman"/>
                <w:sz w:val="20"/>
                <w:szCs w:val="20"/>
                <w:vertAlign w:val="superscript"/>
              </w:rPr>
              <w:t>o</w:t>
            </w:r>
            <w:r w:rsidRPr="00365FA1">
              <w:rPr>
                <w:rFonts w:eastAsia="Times New Roman"/>
                <w:sz w:val="20"/>
                <w:szCs w:val="20"/>
              </w:rPr>
              <w:t xml:space="preserve"> ab</w:t>
            </w:r>
            <w:r w:rsidRPr="00365FA1">
              <w:rPr>
                <w:rFonts w:eastAsia="Times New Roman"/>
                <w:sz w:val="20"/>
                <w:szCs w:val="20"/>
                <w:vertAlign w:val="superscript"/>
              </w:rPr>
              <w:t>r</w:t>
            </w:r>
            <w:r w:rsidRPr="00365FA1">
              <w:rPr>
                <w:rFonts w:eastAsia="Times New Roman"/>
                <w:sz w:val="20"/>
                <w:szCs w:val="20"/>
              </w:rPr>
              <w:t xml:space="preserve"> 1/4 worn</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D</w:t>
            </w:r>
            <w:r w:rsidRPr="00365FA1">
              <w:rPr>
                <w:rFonts w:eastAsia="Times New Roman"/>
                <w:sz w:val="20"/>
                <w:szCs w:val="20"/>
                <w:vertAlign w:val="superscript"/>
              </w:rPr>
              <w:t>o</w:t>
            </w:r>
            <w:r w:rsidRPr="00365FA1">
              <w:rPr>
                <w:rFonts w:eastAsia="Times New Roman"/>
                <w:sz w:val="20"/>
                <w:szCs w:val="20"/>
              </w:rPr>
              <w:t xml:space="preserve"> Hucabuc [illegible]1/4 worn</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Store</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Breakfast Cloths @ 5/</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gridSpan w:val="2"/>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[illegible]</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Room</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6 New Towels 1/6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 pr of Course Sheets </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pr of D</w:t>
            </w:r>
            <w:r w:rsidRPr="00365FA1">
              <w:rPr>
                <w:rFonts w:eastAsia="Times New Roman"/>
                <w:sz w:val="20"/>
                <w:szCs w:val="20"/>
                <w:vertAlign w:val="superscript"/>
              </w:rPr>
              <w:t>o</w:t>
            </w:r>
            <w:r w:rsidRPr="00365FA1">
              <w:rPr>
                <w:rFonts w:eastAsia="Times New Roman"/>
                <w:sz w:val="20"/>
                <w:szCs w:val="20"/>
              </w:rPr>
              <w:t xml:space="preserve"> 6/</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large strong D</w:t>
            </w:r>
            <w:r w:rsidRPr="00365FA1">
              <w:rPr>
                <w:rFonts w:eastAsia="Times New Roman"/>
                <w:sz w:val="20"/>
                <w:szCs w:val="20"/>
                <w:vertAlign w:val="superscript"/>
              </w:rPr>
              <w:t xml:space="preserve">o </w:t>
            </w:r>
            <w:r w:rsidRPr="00365FA1">
              <w:rPr>
                <w:rFonts w:eastAsia="Times New Roman"/>
                <w:sz w:val="20"/>
                <w:szCs w:val="20"/>
              </w:rPr>
              <w:t>20/ 1 pr D</w:t>
            </w:r>
            <w:r w:rsidRPr="00365FA1">
              <w:rPr>
                <w:rFonts w:eastAsia="Times New Roman"/>
                <w:sz w:val="20"/>
                <w:szCs w:val="20"/>
                <w:vertAlign w:val="superscript"/>
              </w:rPr>
              <w:t>o</w:t>
            </w:r>
            <w:r w:rsidRPr="00365FA1">
              <w:rPr>
                <w:rFonts w:eastAsia="Times New Roman"/>
                <w:sz w:val="20"/>
                <w:szCs w:val="20"/>
              </w:rPr>
              <w:t xml:space="preserve"> 10/</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pr D</w:t>
            </w:r>
            <w:r w:rsidRPr="00365FA1">
              <w:rPr>
                <w:rFonts w:eastAsia="Times New Roman"/>
                <w:sz w:val="20"/>
                <w:szCs w:val="20"/>
                <w:vertAlign w:val="superscript"/>
              </w:rPr>
              <w:t>o</w:t>
            </w:r>
            <w:r w:rsidRPr="00365FA1">
              <w:rPr>
                <w:rFonts w:eastAsia="Times New Roman"/>
                <w:sz w:val="20"/>
                <w:szCs w:val="20"/>
              </w:rPr>
              <w:t xml:space="preserve"> 12/ Two odd Sheets 15/</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lastRenderedPageBreak/>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Sheet 2/6  2 pr D</w:t>
            </w:r>
            <w:r w:rsidRPr="00365FA1">
              <w:rPr>
                <w:rFonts w:eastAsia="Times New Roman"/>
                <w:sz w:val="20"/>
                <w:szCs w:val="20"/>
                <w:vertAlign w:val="superscript"/>
              </w:rPr>
              <w:t>o</w:t>
            </w:r>
            <w:r w:rsidRPr="00365FA1">
              <w:rPr>
                <w:rFonts w:eastAsia="Times New Roman"/>
                <w:sz w:val="20"/>
                <w:szCs w:val="20"/>
              </w:rPr>
              <w:t xml:space="preserve">  30/</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9 pillow cases 13/6  4 D</w:t>
            </w:r>
            <w:r w:rsidRPr="00365FA1">
              <w:rPr>
                <w:rFonts w:eastAsia="Times New Roman"/>
                <w:sz w:val="20"/>
                <w:szCs w:val="20"/>
                <w:vertAlign w:val="superscript"/>
              </w:rPr>
              <w:t>o</w:t>
            </w:r>
            <w:r w:rsidRPr="00365FA1">
              <w:rPr>
                <w:rFonts w:eastAsia="Times New Roman"/>
                <w:sz w:val="20"/>
                <w:szCs w:val="20"/>
              </w:rPr>
              <w:t xml:space="preserve"> fis</w:t>
            </w:r>
            <w:r w:rsidRPr="00365FA1">
              <w:rPr>
                <w:rFonts w:eastAsia="Times New Roman"/>
                <w:sz w:val="20"/>
                <w:szCs w:val="20"/>
                <w:vertAlign w:val="superscript"/>
              </w:rPr>
              <w:t>n [illegible]</w:t>
            </w:r>
            <w:r w:rsidRPr="00365FA1">
              <w:rPr>
                <w:rFonts w:eastAsia="Times New Roman"/>
                <w:sz w:val="20"/>
                <w:szCs w:val="20"/>
              </w:rPr>
              <w:t xml:space="preserve">  8/ </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 Huccabuc Tow</w:t>
            </w:r>
            <w:r w:rsidRPr="00365FA1">
              <w:rPr>
                <w:rFonts w:eastAsia="Times New Roman"/>
                <w:sz w:val="20"/>
                <w:szCs w:val="20"/>
                <w:vertAlign w:val="superscript"/>
              </w:rPr>
              <w:t>ls</w:t>
            </w:r>
            <w:r w:rsidRPr="00365FA1">
              <w:rPr>
                <w:rFonts w:eastAsia="Times New Roman"/>
                <w:sz w:val="20"/>
                <w:szCs w:val="20"/>
              </w:rPr>
              <w:t xml:space="preserve"> 5/5  5 Lin</w:t>
            </w:r>
            <w:r w:rsidRPr="00365FA1">
              <w:rPr>
                <w:rFonts w:eastAsia="Times New Roman"/>
                <w:sz w:val="20"/>
                <w:szCs w:val="20"/>
                <w:vertAlign w:val="superscript"/>
              </w:rPr>
              <w:t>n</w:t>
            </w:r>
            <w:r w:rsidRPr="00365FA1">
              <w:rPr>
                <w:rFonts w:eastAsia="Times New Roman"/>
                <w:sz w:val="20"/>
                <w:szCs w:val="20"/>
              </w:rPr>
              <w:t xml:space="preserve"> D</w:t>
            </w:r>
            <w:r w:rsidRPr="00365FA1">
              <w:rPr>
                <w:rFonts w:eastAsia="Times New Roman"/>
                <w:sz w:val="20"/>
                <w:szCs w:val="20"/>
                <w:vertAlign w:val="superscript"/>
              </w:rPr>
              <w:t xml:space="preserve">o </w:t>
            </w:r>
            <w:r w:rsidRPr="00365FA1">
              <w:rPr>
                <w:rFonts w:eastAsia="Times New Roman"/>
                <w:sz w:val="20"/>
                <w:szCs w:val="20"/>
              </w:rPr>
              <w:t>2/6</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Trunk 5/ one Chest &amp; Three box 5/6</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22.4.0</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Large Moho;</w:t>
            </w:r>
            <w:r w:rsidRPr="00365FA1">
              <w:rPr>
                <w:rFonts w:eastAsia="Times New Roman"/>
                <w:sz w:val="20"/>
                <w:szCs w:val="20"/>
                <w:vertAlign w:val="superscript"/>
              </w:rPr>
              <w:t>y</w:t>
            </w:r>
            <w:r w:rsidRPr="00365FA1">
              <w:rPr>
                <w:rFonts w:eastAsia="Times New Roman"/>
                <w:sz w:val="20"/>
                <w:szCs w:val="20"/>
              </w:rPr>
              <w:t xml:space="preserve"> Table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Cherry Tree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doz. Black leath</w:t>
            </w:r>
            <w:r w:rsidRPr="00365FA1">
              <w:rPr>
                <w:rFonts w:eastAsia="Times New Roman"/>
                <w:sz w:val="20"/>
                <w:szCs w:val="20"/>
                <w:vertAlign w:val="superscript"/>
              </w:rPr>
              <w:t>r</w:t>
            </w:r>
            <w:r w:rsidRPr="00365FA1">
              <w:rPr>
                <w:rFonts w:eastAsia="Times New Roman"/>
                <w:sz w:val="20"/>
                <w:szCs w:val="20"/>
              </w:rPr>
              <w:t xml:space="preserve"> Wal</w:t>
            </w:r>
            <w:r w:rsidRPr="00365FA1">
              <w:rPr>
                <w:rFonts w:eastAsia="Times New Roman"/>
                <w:sz w:val="20"/>
                <w:szCs w:val="20"/>
                <w:vertAlign w:val="superscript"/>
              </w:rPr>
              <w:t xml:space="preserve">t </w:t>
            </w:r>
            <w:r w:rsidRPr="00365FA1">
              <w:rPr>
                <w:rFonts w:eastAsia="Times New Roman"/>
                <w:sz w:val="20"/>
                <w:szCs w:val="20"/>
              </w:rPr>
              <w:t>Chairs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Gilt Sconce Glass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Chimney Glass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Moho</w:t>
            </w:r>
            <w:r w:rsidRPr="00365FA1">
              <w:rPr>
                <w:rFonts w:eastAsia="Times New Roman"/>
                <w:sz w:val="20"/>
                <w:szCs w:val="20"/>
                <w:vertAlign w:val="superscript"/>
              </w:rPr>
              <w:t>y</w:t>
            </w:r>
            <w:r w:rsidRPr="00365FA1">
              <w:rPr>
                <w:rFonts w:eastAsia="Times New Roman"/>
                <w:sz w:val="20"/>
                <w:szCs w:val="20"/>
              </w:rPr>
              <w:t>. Tea Table B.</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China on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Hall</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China Bowl</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D</w:t>
            </w:r>
            <w:r w:rsidRPr="00365FA1">
              <w:rPr>
                <w:rFonts w:eastAsia="Times New Roman"/>
                <w:sz w:val="20"/>
                <w:szCs w:val="20"/>
                <w:vertAlign w:val="superscript"/>
              </w:rPr>
              <w:t>o</w:t>
            </w:r>
            <w:r w:rsidRPr="00365FA1">
              <w:rPr>
                <w:rFonts w:eastAsia="Times New Roman"/>
                <w:sz w:val="20"/>
                <w:szCs w:val="20"/>
              </w:rPr>
              <w:t xml:space="preserve"> Blew &amp; white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D</w:t>
            </w:r>
            <w:r w:rsidRPr="00365FA1">
              <w:rPr>
                <w:rFonts w:eastAsia="Times New Roman"/>
                <w:sz w:val="20"/>
                <w:szCs w:val="20"/>
                <w:vertAlign w:val="superscript"/>
              </w:rPr>
              <w:t>o</w:t>
            </w:r>
            <w:r w:rsidRPr="00365FA1">
              <w:rPr>
                <w:rFonts w:eastAsia="Times New Roman"/>
                <w:sz w:val="20"/>
                <w:szCs w:val="20"/>
              </w:rPr>
              <w:t xml:space="preserve"> less   7/.  Two Slop bowls 4/</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7 Custard Cups 7/. 1 doz. Cups &amp; 4 Jam 6/.</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Butter Boats 2 at one Shil</w:t>
            </w:r>
            <w:r w:rsidRPr="00365FA1">
              <w:rPr>
                <w:rFonts w:eastAsia="Times New Roman"/>
                <w:sz w:val="20"/>
                <w:szCs w:val="20"/>
                <w:vertAlign w:val="superscript"/>
              </w:rPr>
              <w:t>g</w:t>
            </w:r>
            <w:r w:rsidRPr="00365FA1">
              <w:rPr>
                <w:rFonts w:eastAsia="Times New Roman"/>
                <w:sz w:val="20"/>
                <w:szCs w:val="20"/>
              </w:rPr>
              <w:t xml:space="preserve"> each</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and one at 5</w:t>
            </w:r>
            <w:r w:rsidRPr="00365FA1">
              <w:rPr>
                <w:rFonts w:eastAsia="Times New Roman"/>
                <w:sz w:val="20"/>
                <w:szCs w:val="20"/>
                <w:vertAlign w:val="superscript"/>
              </w:rPr>
              <w:t>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 Tea potts 7/6  3 Cream D</w:t>
            </w:r>
            <w:r w:rsidRPr="00365FA1">
              <w:rPr>
                <w:rFonts w:eastAsia="Times New Roman"/>
                <w:sz w:val="20"/>
                <w:szCs w:val="20"/>
                <w:vertAlign w:val="superscript"/>
              </w:rPr>
              <w:t>o</w:t>
            </w:r>
            <w:r w:rsidRPr="00365FA1">
              <w:rPr>
                <w:rFonts w:eastAsia="Times New Roman"/>
                <w:sz w:val="20"/>
                <w:szCs w:val="20"/>
              </w:rPr>
              <w:t xml:space="preserve"> at /6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China dishes 1 broke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doz</w:t>
            </w:r>
            <w:r w:rsidRPr="00365FA1">
              <w:rPr>
                <w:rFonts w:eastAsia="Times New Roman"/>
                <w:sz w:val="20"/>
                <w:szCs w:val="20"/>
                <w:vertAlign w:val="superscript"/>
              </w:rPr>
              <w:t>n.</w:t>
            </w:r>
            <w:r w:rsidRPr="00365FA1">
              <w:rPr>
                <w:rFonts w:eastAsia="Times New Roman"/>
                <w:sz w:val="20"/>
                <w:szCs w:val="20"/>
              </w:rPr>
              <w:t xml:space="preserve"> blew and white China Plates</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4</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11 Soup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18</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36.14.3</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354"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Sum brought forward</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China Muggs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Stone Hearts for Pickles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8 Earthen plates 3 sml. D</w:t>
            </w:r>
            <w:r w:rsidRPr="00365FA1">
              <w:rPr>
                <w:rFonts w:eastAsia="Times New Roman"/>
                <w:sz w:val="20"/>
                <w:szCs w:val="20"/>
                <w:vertAlign w:val="superscript"/>
              </w:rPr>
              <w:t>o</w:t>
            </w:r>
            <w:r w:rsidRPr="00365FA1">
              <w:rPr>
                <w:rFonts w:eastAsia="Times New Roman"/>
                <w:sz w:val="20"/>
                <w:szCs w:val="20"/>
              </w:rPr>
              <w:t xml:space="preserve"> &amp; 1 Dish</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D</w:t>
            </w:r>
            <w:r w:rsidRPr="00365FA1">
              <w:rPr>
                <w:rFonts w:eastAsia="Times New Roman"/>
                <w:sz w:val="20"/>
                <w:szCs w:val="20"/>
                <w:vertAlign w:val="superscript"/>
              </w:rPr>
              <w:t>o</w:t>
            </w:r>
            <w:r w:rsidRPr="00365FA1">
              <w:rPr>
                <w:rFonts w:eastAsia="Times New Roman"/>
                <w:sz w:val="20"/>
                <w:szCs w:val="20"/>
              </w:rPr>
              <w:t>. Bowls 1 Quart Mug &amp; Two Gills</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Tea Pott</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Earthen Wash Basons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large Japan waiter</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small D</w:t>
            </w:r>
            <w:r w:rsidRPr="00365FA1">
              <w:rPr>
                <w:rFonts w:eastAsia="Times New Roman"/>
                <w:sz w:val="20"/>
                <w:szCs w:val="20"/>
                <w:vertAlign w:val="superscript"/>
              </w:rPr>
              <w:t>o.</w:t>
            </w:r>
            <w:r w:rsidRPr="00365FA1">
              <w:rPr>
                <w:rFonts w:eastAsia="Times New Roman"/>
                <w:sz w:val="20"/>
                <w:szCs w:val="20"/>
              </w:rPr>
              <w:t xml:space="preserve"> 5/  1 large Maho</w:t>
            </w:r>
            <w:r w:rsidRPr="00365FA1">
              <w:rPr>
                <w:rFonts w:eastAsia="Times New Roman"/>
                <w:sz w:val="20"/>
                <w:szCs w:val="20"/>
                <w:vertAlign w:val="superscript"/>
              </w:rPr>
              <w:t>y</w:t>
            </w:r>
            <w:r w:rsidRPr="00365FA1">
              <w:rPr>
                <w:rFonts w:eastAsia="Times New Roman"/>
                <w:sz w:val="20"/>
                <w:szCs w:val="20"/>
              </w:rPr>
              <w:t xml:space="preserve"> D</w:t>
            </w:r>
            <w:r w:rsidRPr="00365FA1">
              <w:rPr>
                <w:rFonts w:eastAsia="Times New Roman"/>
                <w:sz w:val="20"/>
                <w:szCs w:val="20"/>
                <w:vertAlign w:val="superscript"/>
              </w:rPr>
              <w:t>o</w:t>
            </w:r>
            <w:r w:rsidRPr="00365FA1">
              <w:rPr>
                <w:rFonts w:eastAsia="Times New Roman"/>
                <w:sz w:val="20"/>
                <w:szCs w:val="20"/>
              </w:rPr>
              <w:t xml:space="preserve"> 5/</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D</w:t>
            </w:r>
            <w:r w:rsidRPr="00365FA1">
              <w:rPr>
                <w:rFonts w:eastAsia="Times New Roman"/>
                <w:sz w:val="20"/>
                <w:szCs w:val="20"/>
                <w:vertAlign w:val="superscript"/>
              </w:rPr>
              <w:t>o</w:t>
            </w:r>
            <w:r w:rsidRPr="00365FA1">
              <w:rPr>
                <w:rFonts w:eastAsia="Times New Roman"/>
                <w:sz w:val="20"/>
                <w:szCs w:val="20"/>
              </w:rPr>
              <w:t xml:space="preserve"> less 2/6  2 Bottles lides 3/</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Small Cherry Tree Table</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4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Hall</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Sett of Casters Silv</w:t>
            </w:r>
            <w:r w:rsidRPr="00365FA1">
              <w:rPr>
                <w:rFonts w:eastAsia="Times New Roman"/>
                <w:sz w:val="20"/>
                <w:szCs w:val="20"/>
                <w:vertAlign w:val="superscript"/>
              </w:rPr>
              <w:t>r</w:t>
            </w:r>
            <w:r w:rsidRPr="00365FA1">
              <w:rPr>
                <w:rFonts w:eastAsia="Times New Roman"/>
                <w:sz w:val="20"/>
                <w:szCs w:val="20"/>
              </w:rPr>
              <w:t xml:space="preserve"> Top'd</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8.1.6</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Sett of Com</w:t>
            </w:r>
            <w:r w:rsidRPr="00365FA1">
              <w:rPr>
                <w:rFonts w:eastAsia="Times New Roman"/>
                <w:sz w:val="20"/>
                <w:szCs w:val="20"/>
                <w:vertAlign w:val="superscript"/>
              </w:rPr>
              <w:t>n</w:t>
            </w:r>
            <w:r w:rsidRPr="00365FA1">
              <w:rPr>
                <w:rFonts w:eastAsia="Times New Roman"/>
                <w:sz w:val="20"/>
                <w:szCs w:val="20"/>
              </w:rPr>
              <w:t xml:space="preserve"> D</w:t>
            </w:r>
            <w:r w:rsidRPr="00365FA1">
              <w:rPr>
                <w:rFonts w:eastAsia="Times New Roman"/>
                <w:sz w:val="20"/>
                <w:szCs w:val="20"/>
                <w:vertAlign w:val="superscript"/>
              </w:rPr>
              <w:t>o</w:t>
            </w:r>
            <w:r w:rsidRPr="00365FA1">
              <w:rPr>
                <w:rFonts w:eastAsia="Times New Roman"/>
                <w:sz w:val="20"/>
                <w:szCs w:val="20"/>
              </w:rPr>
              <w:t xml:space="preserve"> one want</w:t>
            </w:r>
            <w:r w:rsidRPr="00365FA1">
              <w:rPr>
                <w:rFonts w:eastAsia="Times New Roman"/>
                <w:sz w:val="20"/>
                <w:szCs w:val="20"/>
                <w:vertAlign w:val="superscript"/>
              </w:rPr>
              <w:t>g</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Case of Silv</w:t>
            </w:r>
            <w:r w:rsidRPr="00365FA1">
              <w:rPr>
                <w:rFonts w:eastAsia="Times New Roman"/>
                <w:sz w:val="20"/>
                <w:szCs w:val="20"/>
                <w:vertAlign w:val="superscript"/>
              </w:rPr>
              <w:t>r</w:t>
            </w:r>
            <w:r w:rsidRPr="00365FA1">
              <w:rPr>
                <w:rFonts w:eastAsia="Times New Roman"/>
                <w:sz w:val="20"/>
                <w:szCs w:val="20"/>
              </w:rPr>
              <w:t xml:space="preserve"> han.</w:t>
            </w:r>
            <w:r w:rsidRPr="00365FA1">
              <w:rPr>
                <w:rFonts w:eastAsia="Times New Roman"/>
                <w:sz w:val="20"/>
                <w:szCs w:val="20"/>
                <w:vertAlign w:val="superscript"/>
              </w:rPr>
              <w:t>d</w:t>
            </w:r>
            <w:r w:rsidRPr="00365FA1">
              <w:rPr>
                <w:rFonts w:eastAsia="Times New Roman"/>
                <w:sz w:val="20"/>
                <w:szCs w:val="20"/>
              </w:rPr>
              <w:t xml:space="preserve"> Knives &amp; Forks</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Eleven large Silv</w:t>
            </w:r>
            <w:r w:rsidRPr="00365FA1">
              <w:rPr>
                <w:rFonts w:eastAsia="Times New Roman"/>
                <w:sz w:val="20"/>
                <w:szCs w:val="20"/>
                <w:vertAlign w:val="superscript"/>
              </w:rPr>
              <w:t>r</w:t>
            </w:r>
            <w:r w:rsidRPr="00365FA1">
              <w:rPr>
                <w:rFonts w:eastAsia="Times New Roman"/>
                <w:sz w:val="20"/>
                <w:szCs w:val="20"/>
              </w:rPr>
              <w:t xml:space="preserve"> Spoons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12 Tea Spoons, Tongs, Strein</w:t>
            </w:r>
            <w:r w:rsidRPr="00365FA1">
              <w:rPr>
                <w:rFonts w:eastAsia="Times New Roman"/>
                <w:sz w:val="20"/>
                <w:szCs w:val="20"/>
                <w:vertAlign w:val="superscript"/>
              </w:rPr>
              <w:t>r</w:t>
            </w:r>
            <w:r w:rsidRPr="00365FA1">
              <w:rPr>
                <w:rFonts w:eastAsia="Times New Roman"/>
                <w:sz w:val="20"/>
                <w:szCs w:val="20"/>
              </w:rPr>
              <w:t>, &amp; Case</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Soup Ladle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punch Ladle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Case for Silv</w:t>
            </w:r>
            <w:r w:rsidRPr="00365FA1">
              <w:rPr>
                <w:rFonts w:eastAsia="Times New Roman"/>
                <w:sz w:val="20"/>
                <w:szCs w:val="20"/>
                <w:vertAlign w:val="superscript"/>
              </w:rPr>
              <w:t>r</w:t>
            </w:r>
            <w:r w:rsidRPr="00365FA1">
              <w:rPr>
                <w:rFonts w:eastAsia="Times New Roman"/>
                <w:sz w:val="20"/>
                <w:szCs w:val="20"/>
              </w:rPr>
              <w:t xml:space="preserve"> Spoons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Decant</w:t>
            </w:r>
            <w:r w:rsidRPr="00365FA1">
              <w:rPr>
                <w:rFonts w:eastAsia="Times New Roman"/>
                <w:sz w:val="20"/>
                <w:szCs w:val="20"/>
                <w:vertAlign w:val="superscript"/>
              </w:rPr>
              <w:t>rs</w:t>
            </w:r>
            <w:r w:rsidRPr="00365FA1">
              <w:rPr>
                <w:rFonts w:eastAsia="Times New Roman"/>
                <w:sz w:val="20"/>
                <w:szCs w:val="20"/>
              </w:rPr>
              <w:t xml:space="preserve"> 3/   4 Salts 2/6</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Cruets 2/8   4 Beer Glas</w:t>
            </w:r>
            <w:r w:rsidRPr="00365FA1">
              <w:rPr>
                <w:rFonts w:eastAsia="Times New Roman"/>
                <w:sz w:val="20"/>
                <w:szCs w:val="20"/>
                <w:vertAlign w:val="superscript"/>
              </w:rPr>
              <w:t>s</w:t>
            </w:r>
            <w:r w:rsidRPr="00365FA1">
              <w:rPr>
                <w:rFonts w:eastAsia="Times New Roman"/>
                <w:sz w:val="20"/>
                <w:szCs w:val="20"/>
              </w:rPr>
              <w:t xml:space="preserve"> 2/8</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Tumblers &amp; Six Wine Glass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pr. Shovel Tongs, and Hearth Brush</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pr Andirons  10/  1 pr Bell</w:t>
            </w:r>
            <w:r w:rsidRPr="00365FA1">
              <w:rPr>
                <w:rFonts w:eastAsia="Times New Roman"/>
                <w:sz w:val="20"/>
                <w:szCs w:val="20"/>
                <w:vertAlign w:val="superscript"/>
              </w:rPr>
              <w:t>ows</w:t>
            </w:r>
            <w:r w:rsidRPr="00365FA1">
              <w:rPr>
                <w:rFonts w:eastAsia="Times New Roman"/>
                <w:sz w:val="20"/>
                <w:szCs w:val="20"/>
              </w:rPr>
              <w:t xml:space="preserve"> 2/6</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26.0.10</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Large Table 12/6</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 Tea Cannisters 2/6  1 Sug</w:t>
            </w:r>
            <w:r w:rsidRPr="00365FA1">
              <w:rPr>
                <w:rFonts w:eastAsia="Times New Roman"/>
                <w:sz w:val="20"/>
                <w:szCs w:val="20"/>
                <w:vertAlign w:val="superscript"/>
              </w:rPr>
              <w:t>ar</w:t>
            </w:r>
            <w:r w:rsidRPr="00365FA1">
              <w:rPr>
                <w:rFonts w:eastAsia="Times New Roman"/>
                <w:sz w:val="20"/>
                <w:szCs w:val="20"/>
              </w:rPr>
              <w:t xml:space="preserve"> Box 2/ </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Small Table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12 Russia Leath</w:t>
            </w:r>
            <w:r w:rsidRPr="00365FA1">
              <w:rPr>
                <w:rFonts w:eastAsia="Times New Roman"/>
                <w:sz w:val="20"/>
                <w:szCs w:val="20"/>
                <w:vertAlign w:val="superscript"/>
              </w:rPr>
              <w:t>r</w:t>
            </w:r>
            <w:r w:rsidRPr="00365FA1">
              <w:rPr>
                <w:rFonts w:eastAsia="Times New Roman"/>
                <w:sz w:val="20"/>
                <w:szCs w:val="20"/>
              </w:rPr>
              <w:t xml:space="preserve"> Chairs @ 5/</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Large Black Waln</w:t>
            </w:r>
            <w:r w:rsidRPr="00365FA1">
              <w:rPr>
                <w:rFonts w:eastAsia="Times New Roman"/>
                <w:sz w:val="20"/>
                <w:szCs w:val="20"/>
                <w:vertAlign w:val="superscript"/>
              </w:rPr>
              <w:t>t</w:t>
            </w:r>
            <w:r w:rsidRPr="00365FA1">
              <w:rPr>
                <w:rFonts w:eastAsia="Times New Roman"/>
                <w:sz w:val="20"/>
                <w:szCs w:val="20"/>
              </w:rPr>
              <w:t xml:space="preserve"> Table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Desk 4/5 [illegible] Backgam</w:t>
            </w:r>
            <w:r w:rsidRPr="00365FA1">
              <w:rPr>
                <w:rFonts w:eastAsia="Times New Roman"/>
                <w:sz w:val="20"/>
                <w:szCs w:val="20"/>
                <w:vertAlign w:val="superscript"/>
              </w:rPr>
              <w:t>n</w:t>
            </w:r>
            <w:r w:rsidRPr="00365FA1">
              <w:rPr>
                <w:rFonts w:eastAsia="Times New Roman"/>
                <w:sz w:val="20"/>
                <w:szCs w:val="20"/>
              </w:rPr>
              <w:t xml:space="preserve"> Ta: 12/6 </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Standish 5 [illegible] tt mon</w:t>
            </w:r>
            <w:r w:rsidRPr="00365FA1">
              <w:rPr>
                <w:rFonts w:eastAsia="Times New Roman"/>
                <w:sz w:val="20"/>
                <w:szCs w:val="20"/>
                <w:vertAlign w:val="superscript"/>
              </w:rPr>
              <w:t>y</w:t>
            </w:r>
            <w:r w:rsidRPr="00365FA1">
              <w:rPr>
                <w:rFonts w:eastAsia="Times New Roman"/>
                <w:sz w:val="20"/>
                <w:szCs w:val="20"/>
              </w:rPr>
              <w:t xml:space="preserve">  Tea: gw</w:t>
            </w:r>
            <w:r w:rsidRPr="00365FA1">
              <w:rPr>
                <w:rFonts w:eastAsia="Times New Roman"/>
                <w:sz w:val="20"/>
                <w:szCs w:val="20"/>
                <w:vertAlign w:val="superscript"/>
              </w:rPr>
              <w:t>n</w:t>
            </w:r>
            <w:r w:rsidRPr="00365FA1">
              <w:rPr>
                <w:rFonts w:eastAsia="Times New Roman"/>
                <w:sz w:val="20"/>
                <w:szCs w:val="20"/>
              </w:rPr>
              <w:t xml:space="preserve"> 10/ </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Penks[illegible]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Speaking [illegible] set</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[illegible]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Passage</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Perspective glass; broke</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&amp;</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Scrubbing Brush</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Parlour</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Large old Fash</w:t>
            </w:r>
            <w:r w:rsidRPr="00365FA1">
              <w:rPr>
                <w:rFonts w:eastAsia="Times New Roman"/>
                <w:sz w:val="20"/>
                <w:szCs w:val="20"/>
                <w:vertAlign w:val="superscript"/>
              </w:rPr>
              <w:t>d</w:t>
            </w:r>
            <w:r w:rsidRPr="00365FA1">
              <w:rPr>
                <w:rFonts w:eastAsia="Times New Roman"/>
                <w:sz w:val="20"/>
                <w:szCs w:val="20"/>
              </w:rPr>
              <w:t xml:space="preserve"> Table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D</w:t>
            </w:r>
            <w:r w:rsidRPr="00365FA1">
              <w:rPr>
                <w:rFonts w:eastAsia="Times New Roman"/>
                <w:sz w:val="20"/>
                <w:szCs w:val="20"/>
                <w:vertAlign w:val="superscript"/>
              </w:rPr>
              <w:t>o</w:t>
            </w:r>
            <w:r w:rsidRPr="00365FA1">
              <w:rPr>
                <w:rFonts w:eastAsia="Times New Roman"/>
                <w:sz w:val="20"/>
                <w:szCs w:val="20"/>
              </w:rPr>
              <w:t xml:space="preserve"> New</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pr Andirons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pr Tongs &amp; Brush</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12.8.0</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Copper Basons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Steel Mill</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Cast Irons, 1 Box Iron &amp; heat</w:t>
            </w:r>
            <w:r w:rsidRPr="00365FA1">
              <w:rPr>
                <w:rFonts w:eastAsia="Times New Roman"/>
                <w:sz w:val="20"/>
                <w:szCs w:val="20"/>
                <w:vertAlign w:val="superscript"/>
              </w:rPr>
              <w:t>r</w:t>
            </w:r>
            <w:r w:rsidRPr="00365FA1">
              <w:rPr>
                <w:rFonts w:eastAsia="Times New Roman"/>
                <w:sz w:val="20"/>
                <w:szCs w:val="20"/>
              </w:rPr>
              <w:t>ess</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and two stands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pr. Tongs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Wash</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picture 5/  Weights &amp; Scales 1/3</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House</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Bed, Bowlster, Sheets Red Rug  Bed</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sted sacking Bottom</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Bedsted, Matrass, 1 old Bed, 1 pr</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of Sheets, one Rug</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Tables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8.13._</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Brass Kettle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large Pott 12/  1 D</w:t>
            </w:r>
            <w:r w:rsidRPr="00365FA1">
              <w:rPr>
                <w:rFonts w:eastAsia="Times New Roman"/>
                <w:sz w:val="20"/>
                <w:szCs w:val="20"/>
                <w:vertAlign w:val="superscript"/>
              </w:rPr>
              <w:t>o</w:t>
            </w:r>
            <w:r w:rsidRPr="00365FA1">
              <w:rPr>
                <w:rFonts w:eastAsia="Times New Roman"/>
                <w:sz w:val="20"/>
                <w:szCs w:val="20"/>
              </w:rPr>
              <w:t xml:space="preserve"> 6/  2 D</w:t>
            </w:r>
            <w:r w:rsidRPr="00365FA1">
              <w:rPr>
                <w:rFonts w:eastAsia="Times New Roman"/>
                <w:sz w:val="20"/>
                <w:szCs w:val="20"/>
                <w:vertAlign w:val="superscript"/>
              </w:rPr>
              <w:t>o</w:t>
            </w:r>
            <w:r w:rsidRPr="00365FA1">
              <w:rPr>
                <w:rFonts w:eastAsia="Times New Roman"/>
                <w:sz w:val="20"/>
                <w:szCs w:val="20"/>
              </w:rPr>
              <w:t xml:space="preserve"> 7/</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lastRenderedPageBreak/>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D</w:t>
            </w:r>
            <w:r w:rsidRPr="00365FA1">
              <w:rPr>
                <w:rFonts w:eastAsia="Times New Roman"/>
                <w:sz w:val="20"/>
                <w:szCs w:val="20"/>
                <w:vertAlign w:val="superscript"/>
              </w:rPr>
              <w:t>o</w:t>
            </w:r>
            <w:r w:rsidRPr="00365FA1">
              <w:rPr>
                <w:rFonts w:eastAsia="Times New Roman"/>
                <w:sz w:val="20"/>
                <w:szCs w:val="20"/>
              </w:rPr>
              <w:t xml:space="preserve"> broke 1/  1 D</w:t>
            </w:r>
            <w:r w:rsidRPr="00365FA1">
              <w:rPr>
                <w:rFonts w:eastAsia="Times New Roman"/>
                <w:sz w:val="20"/>
                <w:szCs w:val="20"/>
                <w:vertAlign w:val="superscript"/>
              </w:rPr>
              <w:t>o</w:t>
            </w:r>
            <w:r w:rsidRPr="00365FA1">
              <w:rPr>
                <w:rFonts w:eastAsia="Times New Roman"/>
                <w:sz w:val="20"/>
                <w:szCs w:val="20"/>
              </w:rPr>
              <w:t xml:space="preserve"> sml. 1/ </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pr Pott Racks 14/  2 spits 6/6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 pr pott Hooks 8/  3 Ladles flesk</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Kitchen</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fork and Skimmers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Gridiron 2/6  2 Fry</w:t>
            </w:r>
            <w:r w:rsidRPr="00365FA1">
              <w:rPr>
                <w:rFonts w:eastAsia="Times New Roman"/>
                <w:sz w:val="20"/>
                <w:szCs w:val="20"/>
                <w:vertAlign w:val="superscript"/>
              </w:rPr>
              <w:t>g</w:t>
            </w:r>
            <w:r w:rsidRPr="00365FA1">
              <w:rPr>
                <w:rFonts w:eastAsia="Times New Roman"/>
                <w:sz w:val="20"/>
                <w:szCs w:val="20"/>
              </w:rPr>
              <w:t xml:space="preserve"> pans  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Griddle 2/  20 Skewers &amp; hook 2/6</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Homony Pestel</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Water Tubs, 2 pales, &amp; 1 pig</w:t>
            </w:r>
            <w:r w:rsidRPr="00365FA1">
              <w:rPr>
                <w:rFonts w:eastAsia="Times New Roman"/>
                <w:sz w:val="20"/>
                <w:szCs w:val="20"/>
                <w:vertAlign w:val="superscript"/>
              </w:rPr>
              <w:t>n</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Rug, 1 Sea Bed, and one course Quilt</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5</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Iron Candlestick</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7.11._</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color w:val="FF0000"/>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354"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Sum brought Over</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doz</w:t>
            </w:r>
            <w:r w:rsidRPr="00365FA1">
              <w:rPr>
                <w:rFonts w:eastAsia="Times New Roman"/>
                <w:sz w:val="20"/>
                <w:szCs w:val="20"/>
                <w:vertAlign w:val="superscript"/>
              </w:rPr>
              <w:t>n</w:t>
            </w:r>
            <w:r w:rsidRPr="00365FA1">
              <w:rPr>
                <w:rFonts w:eastAsia="Times New Roman"/>
                <w:sz w:val="20"/>
                <w:szCs w:val="20"/>
              </w:rPr>
              <w:t xml:space="preserve"> Sweat Mt. knives &amp; Forks</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Lanthorn 3/  1 D</w:t>
            </w:r>
            <w:r w:rsidRPr="00365FA1">
              <w:rPr>
                <w:rFonts w:eastAsia="Times New Roman"/>
                <w:sz w:val="20"/>
                <w:szCs w:val="20"/>
                <w:vertAlign w:val="superscript"/>
              </w:rPr>
              <w:t>o</w:t>
            </w:r>
            <w:r w:rsidRPr="00365FA1">
              <w:rPr>
                <w:rFonts w:eastAsia="Times New Roman"/>
                <w:sz w:val="20"/>
                <w:szCs w:val="20"/>
              </w:rPr>
              <w:t xml:space="preserve"> 1/</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9 Cannisters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Knife Box, and 2 doz. Black Handle</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Knives and Forks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Sweat Meat Potts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Ten Ivory handle knifes &amp; Forks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Small Marble Mortar &amp; Pestel</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D</w:t>
            </w:r>
            <w:r w:rsidRPr="00365FA1">
              <w:rPr>
                <w:rFonts w:eastAsia="Times New Roman"/>
                <w:sz w:val="20"/>
                <w:szCs w:val="20"/>
                <w:vertAlign w:val="superscript"/>
              </w:rPr>
              <w:t>o</w:t>
            </w:r>
            <w:r w:rsidRPr="00365FA1">
              <w:rPr>
                <w:rFonts w:eastAsia="Times New Roman"/>
                <w:sz w:val="20"/>
                <w:szCs w:val="20"/>
              </w:rPr>
              <w:t xml:space="preserve"> larger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Earthen Milk Pans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Close Stool Pan</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 Butter Tub 1/  1 Warmg pan 7/  </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4.15.8</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Candle Box 1/6  1 old Chafg Dish  /6</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Syphons 1/6  1 Copperpla:War</w:t>
            </w:r>
            <w:r w:rsidRPr="00365FA1">
              <w:rPr>
                <w:rFonts w:eastAsia="Times New Roman"/>
                <w:sz w:val="20"/>
                <w:szCs w:val="20"/>
                <w:vertAlign w:val="superscript"/>
              </w:rPr>
              <w:t>g</w:t>
            </w:r>
            <w:r w:rsidRPr="00365FA1">
              <w:rPr>
                <w:rFonts w:eastAsia="Times New Roman"/>
                <w:sz w:val="20"/>
                <w:szCs w:val="20"/>
              </w:rPr>
              <w:t xml:space="preserve"> 40/ </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w:t>
            </w:r>
            <w:r w:rsidRPr="00365FA1">
              <w:rPr>
                <w:rFonts w:eastAsia="Times New Roman"/>
                <w:sz w:val="20"/>
                <w:szCs w:val="20"/>
                <w:vertAlign w:val="superscript"/>
              </w:rPr>
              <w:t>r.</w:t>
            </w:r>
            <w:r w:rsidRPr="00365FA1">
              <w:rPr>
                <w:rFonts w:eastAsia="Times New Roman"/>
                <w:sz w:val="20"/>
                <w:szCs w:val="20"/>
              </w:rPr>
              <w:t xml:space="preserve"> Large Candlesticks 8/  1 flat</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and 1 small D</w:t>
            </w:r>
            <w:r w:rsidRPr="00365FA1">
              <w:rPr>
                <w:rFonts w:eastAsia="Times New Roman"/>
                <w:sz w:val="20"/>
                <w:szCs w:val="20"/>
                <w:vertAlign w:val="superscript"/>
              </w:rPr>
              <w:t>o</w:t>
            </w:r>
            <w:r w:rsidRPr="00365FA1">
              <w:rPr>
                <w:rFonts w:eastAsia="Times New Roman"/>
                <w:sz w:val="20"/>
                <w:szCs w:val="20"/>
              </w:rPr>
              <w:t xml:space="preserve">  3/6</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pr. Snuffers and Stands 5/</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Copper Chafing Dishes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Kitchen</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Tea Chest, 1/6  2 Coffee Pots 7/  1 Cho: D</w:t>
            </w:r>
            <w:r w:rsidRPr="00365FA1">
              <w:rPr>
                <w:rFonts w:eastAsia="Times New Roman"/>
                <w:sz w:val="20"/>
                <w:szCs w:val="20"/>
                <w:vertAlign w:val="superscript"/>
              </w:rPr>
              <w:t>o</w:t>
            </w:r>
            <w:r w:rsidRPr="00365FA1">
              <w:rPr>
                <w:rFonts w:eastAsia="Times New Roman"/>
                <w:sz w:val="20"/>
                <w:szCs w:val="20"/>
              </w:rPr>
              <w:t xml:space="preserve"> 5/</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Dairy</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Hatchet 1/  2 Bellmet</w:t>
            </w:r>
            <w:r w:rsidRPr="00365FA1">
              <w:rPr>
                <w:rFonts w:eastAsia="Times New Roman"/>
                <w:sz w:val="20"/>
                <w:szCs w:val="20"/>
                <w:vertAlign w:val="superscript"/>
              </w:rPr>
              <w:t xml:space="preserve">l </w:t>
            </w:r>
            <w:r w:rsidRPr="00365FA1">
              <w:rPr>
                <w:rFonts w:eastAsia="Times New Roman"/>
                <w:sz w:val="20"/>
                <w:szCs w:val="20"/>
              </w:rPr>
              <w:t>Skillets 10/</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&amp;c</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Copperskim</w:t>
            </w:r>
            <w:r w:rsidRPr="00365FA1">
              <w:rPr>
                <w:rFonts w:eastAsia="Times New Roman"/>
                <w:sz w:val="20"/>
                <w:szCs w:val="20"/>
                <w:vertAlign w:val="superscript"/>
              </w:rPr>
              <w:t>r</w:t>
            </w:r>
            <w:r w:rsidRPr="00365FA1">
              <w:rPr>
                <w:rFonts w:eastAsia="Times New Roman"/>
                <w:sz w:val="20"/>
                <w:szCs w:val="20"/>
              </w:rPr>
              <w:t xml:space="preserve"> 1/3  1 D</w:t>
            </w:r>
            <w:r w:rsidRPr="00365FA1">
              <w:rPr>
                <w:rFonts w:eastAsia="Times New Roman"/>
                <w:sz w:val="20"/>
                <w:szCs w:val="20"/>
                <w:vertAlign w:val="superscript"/>
              </w:rPr>
              <w:t xml:space="preserve">o </w:t>
            </w:r>
            <w:r w:rsidRPr="00365FA1">
              <w:rPr>
                <w:rFonts w:eastAsia="Times New Roman"/>
                <w:sz w:val="20"/>
                <w:szCs w:val="20"/>
              </w:rPr>
              <w:t>Strainer 1/3</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Copper Bason 1/3  1 D</w:t>
            </w:r>
            <w:r w:rsidRPr="00365FA1">
              <w:rPr>
                <w:rFonts w:eastAsia="Times New Roman"/>
                <w:sz w:val="20"/>
                <w:szCs w:val="20"/>
                <w:vertAlign w:val="superscript"/>
              </w:rPr>
              <w:t>o</w:t>
            </w:r>
            <w:r w:rsidRPr="00365FA1">
              <w:rPr>
                <w:rFonts w:eastAsia="Times New Roman"/>
                <w:sz w:val="20"/>
                <w:szCs w:val="20"/>
              </w:rPr>
              <w:t xml:space="preserve"> Stew pan 10/</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large &amp; 1 sml D</w:t>
            </w:r>
            <w:r w:rsidRPr="00365FA1">
              <w:rPr>
                <w:rFonts w:eastAsia="Times New Roman"/>
                <w:sz w:val="20"/>
                <w:szCs w:val="20"/>
                <w:vertAlign w:val="superscript"/>
              </w:rPr>
              <w:t>o</w:t>
            </w:r>
            <w:r w:rsidRPr="00365FA1">
              <w:rPr>
                <w:rFonts w:eastAsia="Times New Roman"/>
                <w:sz w:val="20"/>
                <w:szCs w:val="20"/>
              </w:rPr>
              <w:t xml:space="preserve"> Saucepan 7/</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74 </w:t>
            </w:r>
            <w:r w:rsidRPr="00365FA1">
              <w:rPr>
                <w:rFonts w:eastAsia="Times New Roman"/>
                <w:sz w:val="20"/>
                <w:szCs w:val="20"/>
                <w:vertAlign w:val="superscript"/>
              </w:rPr>
              <w:t>lb</w:t>
            </w:r>
            <w:r w:rsidRPr="00365FA1">
              <w:rPr>
                <w:rFonts w:eastAsia="Times New Roman"/>
                <w:sz w:val="20"/>
                <w:szCs w:val="20"/>
              </w:rPr>
              <w:t xml:space="preserve"> best Pewter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1/4</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55 </w:t>
            </w:r>
            <w:r w:rsidRPr="00365FA1">
              <w:rPr>
                <w:rFonts w:eastAsia="Times New Roman"/>
                <w:sz w:val="20"/>
                <w:szCs w:val="20"/>
                <w:vertAlign w:val="superscript"/>
              </w:rPr>
              <w:t>lb</w:t>
            </w:r>
            <w:r w:rsidRPr="00365FA1">
              <w:rPr>
                <w:rFonts w:eastAsia="Times New Roman"/>
                <w:sz w:val="20"/>
                <w:szCs w:val="20"/>
              </w:rPr>
              <w:t xml:space="preserve"> D</w:t>
            </w:r>
            <w:r w:rsidRPr="00365FA1">
              <w:rPr>
                <w:rFonts w:eastAsia="Times New Roman"/>
                <w:sz w:val="20"/>
                <w:szCs w:val="20"/>
                <w:vertAlign w:val="superscript"/>
              </w:rPr>
              <w:t>o</w:t>
            </w:r>
            <w:r w:rsidRPr="00365FA1">
              <w:rPr>
                <w:rFonts w:eastAsia="Times New Roman"/>
                <w:sz w:val="20"/>
                <w:szCs w:val="20"/>
              </w:rPr>
              <w:t xml:space="preserve"> 2</w:t>
            </w:r>
            <w:r w:rsidRPr="00365FA1">
              <w:rPr>
                <w:rFonts w:eastAsia="Times New Roman"/>
                <w:sz w:val="20"/>
                <w:szCs w:val="20"/>
                <w:vertAlign w:val="superscript"/>
              </w:rPr>
              <w:t>d</w:t>
            </w:r>
            <w:r w:rsidRPr="00365FA1">
              <w:rPr>
                <w:rFonts w:eastAsia="Times New Roman"/>
                <w:sz w:val="20"/>
                <w:szCs w:val="20"/>
              </w:rPr>
              <w:t xml:space="preserve"> sort</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/10</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Soup Dish &amp; Cover, 7/6 1 fish pl. 1/6</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21 Tinn Dish Covers 1/6</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13.8.9</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2 Tinn Funnels              2/  </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16 Tinn patty p[illegible]        </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 Spice Box  [illegible] Candle Mould 4/ </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Fish Kettle [illegible]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pr. Stilliards 5/  [illegible] W</w:t>
            </w:r>
            <w:r w:rsidRPr="00365FA1">
              <w:rPr>
                <w:rFonts w:eastAsia="Times New Roman"/>
                <w:sz w:val="20"/>
                <w:szCs w:val="20"/>
                <w:vertAlign w:val="superscript"/>
              </w:rPr>
              <w:t>mg</w:t>
            </w:r>
            <w:r w:rsidRPr="00365FA1">
              <w:rPr>
                <w:rFonts w:eastAsia="Times New Roman"/>
                <w:sz w:val="20"/>
                <w:szCs w:val="20"/>
              </w:rPr>
              <w:t xml:space="preserve"> 1 pes</w:t>
            </w:r>
            <w:r w:rsidRPr="00365FA1">
              <w:rPr>
                <w:rFonts w:eastAsia="Times New Roman"/>
                <w:sz w:val="20"/>
                <w:szCs w:val="20"/>
                <w:vertAlign w:val="superscript"/>
              </w:rPr>
              <w:t>l</w:t>
            </w:r>
            <w:r w:rsidRPr="00365FA1">
              <w:rPr>
                <w:rFonts w:eastAsia="Times New Roman"/>
                <w:sz w:val="20"/>
                <w:szCs w:val="20"/>
              </w:rPr>
              <w:t xml:space="preserve">  5/   </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Box Iron   2/  [illegible]eal Tray  3</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Tubs 2/6  1 Bush</w:t>
            </w:r>
            <w:r w:rsidRPr="00365FA1">
              <w:rPr>
                <w:rFonts w:eastAsia="Times New Roman"/>
                <w:sz w:val="20"/>
                <w:szCs w:val="20"/>
                <w:vertAlign w:val="superscript"/>
              </w:rPr>
              <w:t>l</w:t>
            </w:r>
            <w:r w:rsidRPr="00365FA1">
              <w:rPr>
                <w:rFonts w:eastAsia="Times New Roman"/>
                <w:sz w:val="20"/>
                <w:szCs w:val="20"/>
              </w:rPr>
              <w:t xml:space="preserve"> 6/3   Sear</w:t>
            </w:r>
            <w:r w:rsidRPr="00365FA1">
              <w:rPr>
                <w:rFonts w:eastAsia="Times New Roman"/>
                <w:sz w:val="20"/>
                <w:szCs w:val="20"/>
                <w:vertAlign w:val="superscript"/>
              </w:rPr>
              <w:t>s</w:t>
            </w:r>
            <w:r w:rsidRPr="00365FA1">
              <w:rPr>
                <w:rFonts w:eastAsia="Times New Roman"/>
                <w:sz w:val="20"/>
                <w:szCs w:val="20"/>
              </w:rPr>
              <w:t xml:space="preserve"> 2/6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Sifters 4/6  1 Churn 2/6</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large Earthen Potts 3/9 1 Gal. pew</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ter pott  4/</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Oyl Jarr 5/ 1 Fry</w:t>
            </w:r>
            <w:r w:rsidRPr="00365FA1">
              <w:rPr>
                <w:rFonts w:eastAsia="Times New Roman"/>
                <w:sz w:val="20"/>
                <w:szCs w:val="20"/>
                <w:vertAlign w:val="superscript"/>
              </w:rPr>
              <w:t>g</w:t>
            </w:r>
            <w:r w:rsidRPr="00365FA1">
              <w:rPr>
                <w:rFonts w:eastAsia="Times New Roman"/>
                <w:sz w:val="20"/>
                <w:szCs w:val="20"/>
              </w:rPr>
              <w:t xml:space="preserve"> Pan 2/</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Iron to hang Meat upon    2</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7 Empty Cannisters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Basket</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5.7.9</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Bag Ginger 7/6  1 Box Castile s</w:t>
            </w:r>
            <w:r w:rsidRPr="00365FA1">
              <w:rPr>
                <w:rFonts w:eastAsia="Times New Roman"/>
                <w:sz w:val="20"/>
                <w:szCs w:val="20"/>
                <w:vertAlign w:val="superscript"/>
              </w:rPr>
              <w:t>p</w:t>
            </w:r>
            <w:r w:rsidRPr="00365FA1">
              <w:rPr>
                <w:rFonts w:eastAsia="Times New Roman"/>
                <w:sz w:val="20"/>
                <w:szCs w:val="20"/>
              </w:rPr>
              <w:t xml:space="preserve"> 8/</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 Box Barley 3/  12 </w:t>
            </w:r>
            <w:r w:rsidRPr="00365FA1">
              <w:rPr>
                <w:rFonts w:eastAsia="Times New Roman"/>
                <w:sz w:val="20"/>
                <w:szCs w:val="20"/>
                <w:vertAlign w:val="superscript"/>
              </w:rPr>
              <w:t>lb</w:t>
            </w:r>
            <w:r w:rsidRPr="00365FA1">
              <w:rPr>
                <w:rFonts w:eastAsia="Times New Roman"/>
                <w:sz w:val="20"/>
                <w:szCs w:val="20"/>
              </w:rPr>
              <w:t xml:space="preserve"> Clay</w:t>
            </w:r>
            <w:r w:rsidRPr="00365FA1">
              <w:rPr>
                <w:rFonts w:eastAsia="Times New Roman"/>
                <w:sz w:val="20"/>
                <w:szCs w:val="20"/>
                <w:vertAlign w:val="superscript"/>
              </w:rPr>
              <w:t>d</w:t>
            </w:r>
            <w:r w:rsidRPr="00365FA1">
              <w:rPr>
                <w:rFonts w:eastAsia="Times New Roman"/>
                <w:sz w:val="20"/>
                <w:szCs w:val="20"/>
              </w:rPr>
              <w:t xml:space="preserve"> Sug</w:t>
            </w:r>
            <w:r w:rsidRPr="00365FA1">
              <w:rPr>
                <w:rFonts w:eastAsia="Times New Roman"/>
                <w:sz w:val="20"/>
                <w:szCs w:val="20"/>
                <w:vertAlign w:val="superscript"/>
              </w:rPr>
              <w:t>r</w:t>
            </w:r>
            <w:r w:rsidRPr="00365FA1">
              <w:rPr>
                <w:rFonts w:eastAsia="Times New Roman"/>
                <w:sz w:val="20"/>
                <w:szCs w:val="20"/>
              </w:rPr>
              <w:t xml:space="preserve"> 9</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Tub and Cocanuts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Loaf double Refined Sug</w:t>
            </w:r>
            <w:r w:rsidRPr="00365FA1">
              <w:rPr>
                <w:rFonts w:eastAsia="Times New Roman"/>
                <w:sz w:val="20"/>
                <w:szCs w:val="20"/>
                <w:vertAlign w:val="superscript"/>
              </w:rPr>
              <w:t>r</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pr. Cotton Cards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New Scythes 5/  1 Box &amp; 5 p</w:t>
            </w:r>
            <w:r w:rsidRPr="00365FA1">
              <w:rPr>
                <w:rFonts w:eastAsia="Times New Roman"/>
                <w:sz w:val="20"/>
                <w:szCs w:val="20"/>
                <w:vertAlign w:val="superscript"/>
              </w:rPr>
              <w:t>r</w:t>
            </w:r>
            <w:r w:rsidRPr="00365FA1">
              <w:rPr>
                <w:rFonts w:eastAsia="Times New Roman"/>
                <w:sz w:val="20"/>
                <w:szCs w:val="20"/>
              </w:rPr>
              <w:t xml:space="preserve"> pl</w:t>
            </w:r>
            <w:r w:rsidRPr="00365FA1">
              <w:rPr>
                <w:rFonts w:eastAsia="Times New Roman"/>
                <w:sz w:val="20"/>
                <w:szCs w:val="20"/>
                <w:vertAlign w:val="superscript"/>
              </w:rPr>
              <w:t>d</w:t>
            </w:r>
            <w:r w:rsidRPr="00365FA1">
              <w:rPr>
                <w:rFonts w:eastAsia="Times New Roman"/>
                <w:sz w:val="20"/>
                <w:szCs w:val="20"/>
              </w:rPr>
              <w:t xml:space="preserve"> Hoes  7/</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Old Tubs and 1 Bushl of Bay paint</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large Tub, 1 old Trunk  8</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Stores</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Pott, 1 Tub, 1 pewter Chamber Pott</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&amp;c</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with a sm</w:t>
            </w:r>
            <w:r w:rsidRPr="00365FA1">
              <w:rPr>
                <w:rFonts w:eastAsia="Times New Roman"/>
                <w:sz w:val="20"/>
                <w:szCs w:val="20"/>
                <w:vertAlign w:val="superscript"/>
              </w:rPr>
              <w:t>l</w:t>
            </w:r>
            <w:r w:rsidRPr="00365FA1">
              <w:rPr>
                <w:rFonts w:eastAsia="Times New Roman"/>
                <w:sz w:val="20"/>
                <w:szCs w:val="20"/>
              </w:rPr>
              <w:t>. quantity of paint in it</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4 Negro Caps </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@1/6</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New Tennant Saw</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3/1½</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1½</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Three Curry Combs and Brushes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12 Sifter Bottoms  6/  3  pr Sheep Sh</w:t>
            </w:r>
            <w:r w:rsidRPr="00365FA1">
              <w:rPr>
                <w:rFonts w:eastAsia="Times New Roman"/>
                <w:sz w:val="20"/>
                <w:szCs w:val="20"/>
                <w:vertAlign w:val="superscript"/>
              </w:rPr>
              <w:t>rr</w:t>
            </w:r>
            <w:r w:rsidRPr="00365FA1">
              <w:rPr>
                <w:rFonts w:eastAsia="Times New Roman"/>
                <w:sz w:val="20"/>
                <w:szCs w:val="20"/>
              </w:rPr>
              <w:t xml:space="preserve"> 6/</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Morticcing Chiz</w:t>
            </w:r>
            <w:r w:rsidRPr="00365FA1">
              <w:rPr>
                <w:rFonts w:eastAsia="Times New Roman"/>
                <w:sz w:val="20"/>
                <w:szCs w:val="20"/>
                <w:vertAlign w:val="superscript"/>
              </w:rPr>
              <w:t>les</w:t>
            </w:r>
            <w:r w:rsidRPr="00365FA1">
              <w:rPr>
                <w:rFonts w:eastAsia="Times New Roman"/>
                <w:sz w:val="20"/>
                <w:szCs w:val="20"/>
              </w:rPr>
              <w:t xml:space="preserve"> 1/6 6 Sear Rim. 3/</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Two D</w:t>
            </w:r>
            <w:r w:rsidRPr="00365FA1">
              <w:rPr>
                <w:rFonts w:eastAsia="Times New Roman"/>
                <w:sz w:val="20"/>
                <w:szCs w:val="20"/>
                <w:vertAlign w:val="superscript"/>
              </w:rPr>
              <w:t>o</w:t>
            </w:r>
            <w:r w:rsidRPr="00365FA1">
              <w:rPr>
                <w:rFonts w:eastAsia="Times New Roman"/>
                <w:sz w:val="20"/>
                <w:szCs w:val="20"/>
              </w:rPr>
              <w:t xml:space="preserve"> Damaged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2 Sifters 3/6.  10 </w:t>
            </w:r>
            <w:r w:rsidRPr="00365FA1">
              <w:rPr>
                <w:rFonts w:eastAsia="Times New Roman"/>
                <w:sz w:val="20"/>
                <w:szCs w:val="20"/>
                <w:vertAlign w:val="superscript"/>
              </w:rPr>
              <w:t xml:space="preserve">lb </w:t>
            </w:r>
            <w:r w:rsidRPr="00365FA1">
              <w:rPr>
                <w:rFonts w:eastAsia="Times New Roman"/>
                <w:sz w:val="20"/>
                <w:szCs w:val="20"/>
              </w:rPr>
              <w:t>Red Lead 3/6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1/2 </w:t>
            </w:r>
            <w:r w:rsidRPr="00365FA1">
              <w:rPr>
                <w:rFonts w:eastAsia="Times New Roman"/>
                <w:sz w:val="20"/>
                <w:szCs w:val="20"/>
                <w:vertAlign w:val="superscript"/>
              </w:rPr>
              <w:t xml:space="preserve">lb </w:t>
            </w:r>
            <w:r w:rsidRPr="00365FA1">
              <w:rPr>
                <w:rFonts w:eastAsia="Times New Roman"/>
                <w:sz w:val="20"/>
                <w:szCs w:val="20"/>
              </w:rPr>
              <w:t>Verdegrease 3/  2</w:t>
            </w:r>
            <w:r w:rsidRPr="00365FA1">
              <w:rPr>
                <w:rFonts w:eastAsia="Times New Roman"/>
                <w:sz w:val="20"/>
                <w:szCs w:val="20"/>
                <w:vertAlign w:val="superscript"/>
              </w:rPr>
              <w:t xml:space="preserve"> lb</w:t>
            </w:r>
            <w:r w:rsidRPr="00365FA1">
              <w:rPr>
                <w:rFonts w:eastAsia="Times New Roman"/>
                <w:sz w:val="20"/>
                <w:szCs w:val="20"/>
              </w:rPr>
              <w:t xml:space="preserve"> Yel</w:t>
            </w:r>
            <w:r w:rsidRPr="00365FA1">
              <w:rPr>
                <w:rFonts w:eastAsia="Times New Roman"/>
                <w:sz w:val="20"/>
                <w:szCs w:val="20"/>
                <w:vertAlign w:val="superscript"/>
              </w:rPr>
              <w:t>w</w:t>
            </w:r>
            <w:r w:rsidRPr="00365FA1">
              <w:rPr>
                <w:rFonts w:eastAsia="Times New Roman"/>
                <w:sz w:val="20"/>
                <w:szCs w:val="20"/>
              </w:rPr>
              <w:t xml:space="preserve"> Oker  1/</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6</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1/4 </w:t>
            </w:r>
            <w:r w:rsidRPr="00365FA1">
              <w:rPr>
                <w:rFonts w:eastAsia="Times New Roman"/>
                <w:sz w:val="20"/>
                <w:szCs w:val="20"/>
                <w:vertAlign w:val="superscript"/>
              </w:rPr>
              <w:t xml:space="preserve">lb </w:t>
            </w:r>
            <w:r w:rsidRPr="00365FA1">
              <w:rPr>
                <w:rFonts w:eastAsia="Times New Roman"/>
                <w:sz w:val="20"/>
                <w:szCs w:val="20"/>
              </w:rPr>
              <w:t>Umber 6</w:t>
            </w:r>
            <w:r w:rsidRPr="00365FA1">
              <w:rPr>
                <w:rFonts w:eastAsia="Times New Roman"/>
                <w:sz w:val="20"/>
                <w:szCs w:val="20"/>
                <w:vertAlign w:val="superscript"/>
              </w:rPr>
              <w:t>d</w:t>
            </w:r>
            <w:r w:rsidRPr="00365FA1">
              <w:rPr>
                <w:rFonts w:eastAsia="Times New Roman"/>
                <w:sz w:val="20"/>
                <w:szCs w:val="20"/>
              </w:rPr>
              <w:t xml:space="preserve">   2 Bar</w:t>
            </w:r>
            <w:r w:rsidRPr="00365FA1">
              <w:rPr>
                <w:rFonts w:eastAsia="Times New Roman"/>
                <w:sz w:val="20"/>
                <w:szCs w:val="20"/>
                <w:vertAlign w:val="superscript"/>
              </w:rPr>
              <w:t>ls</w:t>
            </w:r>
            <w:r w:rsidRPr="00365FA1">
              <w:rPr>
                <w:rFonts w:eastAsia="Times New Roman"/>
                <w:sz w:val="20"/>
                <w:szCs w:val="20"/>
              </w:rPr>
              <w:t xml:space="preserve"> Lamp Black 2/6</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7.14.11</w:t>
            </w:r>
            <w:r w:rsidRPr="00365FA1">
              <w:rPr>
                <w:rFonts w:eastAsia="Times New Roman"/>
                <w:sz w:val="20"/>
                <w:szCs w:val="20"/>
                <w:vertAlign w:val="superscript"/>
              </w:rPr>
              <w:t>1/2</w:t>
            </w: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534"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Sum brought Up</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3 Tubs with 12 </w:t>
            </w:r>
            <w:r w:rsidRPr="00365FA1">
              <w:rPr>
                <w:rFonts w:eastAsia="Times New Roman"/>
                <w:sz w:val="20"/>
                <w:szCs w:val="20"/>
                <w:vertAlign w:val="superscript"/>
              </w:rPr>
              <w:t>lb</w:t>
            </w:r>
            <w:r w:rsidRPr="00365FA1">
              <w:rPr>
                <w:rFonts w:eastAsia="Times New Roman"/>
                <w:sz w:val="20"/>
                <w:szCs w:val="20"/>
              </w:rPr>
              <w:t>. Gunpowder</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100 </w:t>
            </w:r>
            <w:r w:rsidRPr="00365FA1">
              <w:rPr>
                <w:rFonts w:eastAsia="Times New Roman"/>
                <w:sz w:val="20"/>
                <w:szCs w:val="20"/>
                <w:vertAlign w:val="superscript"/>
              </w:rPr>
              <w:t>lb</w:t>
            </w:r>
            <w:r w:rsidRPr="00365FA1">
              <w:rPr>
                <w:rFonts w:eastAsia="Times New Roman"/>
                <w:sz w:val="20"/>
                <w:szCs w:val="20"/>
              </w:rPr>
              <w:t>. 30</w:t>
            </w:r>
            <w:r w:rsidRPr="00365FA1">
              <w:rPr>
                <w:rFonts w:eastAsia="Times New Roman"/>
                <w:sz w:val="20"/>
                <w:szCs w:val="20"/>
                <w:vertAlign w:val="superscript"/>
              </w:rPr>
              <w:t>d</w:t>
            </w:r>
            <w:r w:rsidRPr="00365FA1">
              <w:rPr>
                <w:rFonts w:eastAsia="Times New Roman"/>
                <w:sz w:val="20"/>
                <w:szCs w:val="20"/>
              </w:rPr>
              <w:t>. Nails 45/. 4 M 8</w:t>
            </w:r>
            <w:r w:rsidRPr="00365FA1">
              <w:rPr>
                <w:rFonts w:eastAsia="Times New Roman"/>
                <w:sz w:val="20"/>
                <w:szCs w:val="20"/>
                <w:vertAlign w:val="superscript"/>
              </w:rPr>
              <w:t>d</w:t>
            </w:r>
            <w:r w:rsidRPr="00365FA1">
              <w:rPr>
                <w:rFonts w:eastAsia="Times New Roman"/>
                <w:sz w:val="20"/>
                <w:szCs w:val="20"/>
              </w:rPr>
              <w:t>. Nails @ 5/10</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M 20</w:t>
            </w:r>
            <w:r w:rsidRPr="00365FA1">
              <w:rPr>
                <w:rFonts w:eastAsia="Times New Roman"/>
                <w:sz w:val="20"/>
                <w:szCs w:val="20"/>
                <w:vertAlign w:val="superscript"/>
              </w:rPr>
              <w:t>d</w:t>
            </w:r>
            <w:r w:rsidRPr="00365FA1">
              <w:rPr>
                <w:rFonts w:eastAsia="Times New Roman"/>
                <w:sz w:val="20"/>
                <w:szCs w:val="20"/>
              </w:rPr>
              <w:t>. Nails a</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260"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10/5</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M. 10</w:t>
            </w:r>
            <w:r w:rsidRPr="00365FA1">
              <w:rPr>
                <w:rFonts w:eastAsia="Times New Roman"/>
                <w:sz w:val="20"/>
                <w:szCs w:val="20"/>
                <w:vertAlign w:val="superscript"/>
              </w:rPr>
              <w:t>d</w:t>
            </w:r>
            <w:r w:rsidRPr="00365FA1">
              <w:rPr>
                <w:rFonts w:eastAsia="Times New Roman"/>
                <w:sz w:val="20"/>
                <w:szCs w:val="20"/>
              </w:rPr>
              <w:t>.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260"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@6/10</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Yards Hair Cloth 5/ a par</w:t>
            </w:r>
            <w:r w:rsidRPr="00365FA1">
              <w:rPr>
                <w:rFonts w:eastAsia="Times New Roman"/>
                <w:sz w:val="20"/>
                <w:szCs w:val="20"/>
                <w:vertAlign w:val="superscript"/>
              </w:rPr>
              <w:t>l</w:t>
            </w:r>
            <w:r w:rsidRPr="00365FA1">
              <w:rPr>
                <w:rFonts w:eastAsia="Times New Roman"/>
                <w:sz w:val="20"/>
                <w:szCs w:val="20"/>
              </w:rPr>
              <w:t xml:space="preserve"> of</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Curled Hair 7. 1 piece of [illegible]</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Cask of Coppras abt. 80</w:t>
            </w:r>
            <w:r w:rsidRPr="00365FA1">
              <w:rPr>
                <w:rFonts w:eastAsia="Times New Roman"/>
                <w:sz w:val="20"/>
                <w:szCs w:val="20"/>
                <w:vertAlign w:val="superscript"/>
              </w:rPr>
              <w:t>#</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Inch and half Auger 3/    1½ In. D</w:t>
            </w:r>
            <w:r w:rsidRPr="00365FA1">
              <w:rPr>
                <w:rFonts w:eastAsia="Times New Roman"/>
                <w:sz w:val="20"/>
                <w:szCs w:val="20"/>
                <w:vertAlign w:val="superscript"/>
              </w:rPr>
              <w:t>o</w:t>
            </w:r>
            <w:r w:rsidRPr="00365FA1">
              <w:rPr>
                <w:rFonts w:eastAsia="Times New Roman"/>
                <w:sz w:val="20"/>
                <w:szCs w:val="20"/>
              </w:rPr>
              <w:t xml:space="preserve"> 1/</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I pairing Chiz</w:t>
            </w:r>
            <w:r w:rsidRPr="00365FA1">
              <w:rPr>
                <w:rFonts w:eastAsia="Times New Roman"/>
                <w:sz w:val="20"/>
                <w:szCs w:val="20"/>
                <w:vertAlign w:val="superscript"/>
              </w:rPr>
              <w:t>l</w:t>
            </w:r>
            <w:r w:rsidRPr="00365FA1">
              <w:rPr>
                <w:rFonts w:eastAsia="Times New Roman"/>
                <w:sz w:val="20"/>
                <w:szCs w:val="20"/>
              </w:rPr>
              <w:t xml:space="preserve"> 2/. 1 Mort</w:t>
            </w:r>
            <w:r w:rsidRPr="00365FA1">
              <w:rPr>
                <w:rFonts w:eastAsia="Times New Roman"/>
                <w:sz w:val="20"/>
                <w:szCs w:val="20"/>
                <w:vertAlign w:val="superscript"/>
              </w:rPr>
              <w:t>g</w:t>
            </w:r>
            <w:r w:rsidRPr="00365FA1">
              <w:rPr>
                <w:rFonts w:eastAsia="Times New Roman"/>
                <w:sz w:val="20"/>
                <w:szCs w:val="20"/>
              </w:rPr>
              <w:t xml:space="preserve"> D</w:t>
            </w:r>
            <w:r w:rsidRPr="00365FA1">
              <w:rPr>
                <w:rFonts w:eastAsia="Times New Roman"/>
                <w:sz w:val="20"/>
                <w:szCs w:val="20"/>
                <w:vertAlign w:val="superscript"/>
              </w:rPr>
              <w:t>o</w:t>
            </w:r>
            <w:r w:rsidRPr="00365FA1">
              <w:rPr>
                <w:rFonts w:eastAsia="Times New Roman"/>
                <w:sz w:val="20"/>
                <w:szCs w:val="20"/>
              </w:rPr>
              <w:t>. 1/_</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11 hand Saw files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halbords 15/. 3 Bayonets 3/9</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Whip saw file 8</w:t>
            </w:r>
            <w:r w:rsidRPr="00365FA1">
              <w:rPr>
                <w:rFonts w:eastAsia="Times New Roman"/>
                <w:sz w:val="20"/>
                <w:szCs w:val="20"/>
                <w:vertAlign w:val="superscript"/>
              </w:rPr>
              <w:t>d</w:t>
            </w:r>
            <w:r w:rsidRPr="00365FA1">
              <w:rPr>
                <w:rFonts w:eastAsia="Times New Roman"/>
                <w:sz w:val="20"/>
                <w:szCs w:val="20"/>
              </w:rPr>
              <w:t>.</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10.15.3</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doz. Black handle knives &amp; forks</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 large Smiths files 5/.  1 doz D</w:t>
            </w:r>
            <w:r w:rsidRPr="00365FA1">
              <w:rPr>
                <w:rFonts w:eastAsia="Times New Roman"/>
                <w:sz w:val="20"/>
                <w:szCs w:val="20"/>
                <w:vertAlign w:val="superscript"/>
              </w:rPr>
              <w:t>o</w:t>
            </w:r>
            <w:r w:rsidRPr="00365FA1">
              <w:rPr>
                <w:rFonts w:eastAsia="Times New Roman"/>
                <w:sz w:val="20"/>
                <w:szCs w:val="20"/>
              </w:rPr>
              <w:t xml:space="preserve"> Sm 12/</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pruning knives 2/. 8 Cloak hooks</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and Two Shell D</w:t>
            </w:r>
            <w:r w:rsidRPr="00365FA1">
              <w:rPr>
                <w:rFonts w:eastAsia="Times New Roman"/>
                <w:sz w:val="20"/>
                <w:szCs w:val="20"/>
                <w:vertAlign w:val="superscript"/>
              </w:rPr>
              <w:t>o</w:t>
            </w:r>
            <w:r w:rsidRPr="00365FA1">
              <w:rPr>
                <w:rFonts w:eastAsia="Times New Roman"/>
                <w:sz w:val="20"/>
                <w:szCs w:val="20"/>
              </w:rPr>
              <w:t>.</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21 Gimblets 5/3</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Sett Desk Furniture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large Stock Lock and hasp</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8 Staples 2/. 2 Quice paper 2/</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9 Sail Needles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w:t>
            </w:r>
            <w:r w:rsidRPr="00365FA1">
              <w:rPr>
                <w:rFonts w:eastAsia="Times New Roman"/>
                <w:sz w:val="20"/>
                <w:szCs w:val="20"/>
                <w:vertAlign w:val="superscript"/>
              </w:rPr>
              <w:t xml:space="preserve"> lb</w:t>
            </w:r>
            <w:r w:rsidRPr="00365FA1">
              <w:rPr>
                <w:rFonts w:eastAsia="Times New Roman"/>
                <w:sz w:val="20"/>
                <w:szCs w:val="20"/>
              </w:rPr>
              <w:t xml:space="preserve"> Old Mohair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29 Yards Virginia Cloth  @ 1/8</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Shammy Skins 3/9 1 [illegible] 10/</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 Shoe Brushes  @ 5</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Snaffle Bridle 2/. 1 Mop 4</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6.16.3</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24 Yards Manchester Check</w:t>
            </w:r>
            <w:r w:rsidRPr="00365FA1">
              <w:rPr>
                <w:rFonts w:eastAsia="Times New Roman"/>
                <w:sz w:val="20"/>
                <w:szCs w:val="20"/>
                <w:vertAlign w:val="superscript"/>
              </w:rPr>
              <w:t>d</w:t>
            </w:r>
            <w:r w:rsidRPr="00365FA1">
              <w:rPr>
                <w:rFonts w:eastAsia="Times New Roman"/>
                <w:sz w:val="20"/>
                <w:szCs w:val="20"/>
              </w:rPr>
              <w:t xml:space="preserve"> @2/4</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Bed lace and [illegible]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3½ Gross hors [illegible] tt</w:t>
            </w:r>
            <w:r w:rsidRPr="00365FA1">
              <w:rPr>
                <w:rFonts w:eastAsia="Times New Roman"/>
                <w:sz w:val="20"/>
                <w:szCs w:val="20"/>
                <w:vertAlign w:val="superscript"/>
              </w:rPr>
              <w:t>s</w:t>
            </w:r>
            <w:r w:rsidRPr="00365FA1">
              <w:rPr>
                <w:rFonts w:eastAsia="Times New Roman"/>
                <w:sz w:val="20"/>
                <w:szCs w:val="20"/>
              </w:rPr>
              <w:t xml:space="preserve">  9/  4 g: sm</w:t>
            </w:r>
            <w:r w:rsidRPr="00365FA1">
              <w:rPr>
                <w:rFonts w:eastAsia="Times New Roman"/>
                <w:sz w:val="20"/>
                <w:szCs w:val="20"/>
                <w:vertAlign w:val="superscript"/>
              </w:rPr>
              <w:t>l</w:t>
            </w:r>
            <w:r w:rsidRPr="00365FA1">
              <w:rPr>
                <w:rFonts w:eastAsia="Times New Roman"/>
                <w:sz w:val="20"/>
                <w:szCs w:val="20"/>
              </w:rPr>
              <w:t xml:space="preserve"> D</w:t>
            </w:r>
            <w:r w:rsidRPr="00365FA1">
              <w:rPr>
                <w:rFonts w:eastAsia="Times New Roman"/>
                <w:sz w:val="20"/>
                <w:szCs w:val="20"/>
                <w:vertAlign w:val="superscript"/>
              </w:rPr>
              <w:t>o</w:t>
            </w:r>
            <w:r w:rsidRPr="00365FA1">
              <w:rPr>
                <w:rFonts w:eastAsia="Times New Roman"/>
                <w:sz w:val="20"/>
                <w:szCs w:val="20"/>
              </w:rPr>
              <w:t xml:space="preserve"> 8/</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Set of Box [illegible] Bag</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i/>
                <w:iCs/>
                <w:sz w:val="20"/>
                <w:szCs w:val="20"/>
              </w:rPr>
            </w:pPr>
            <w:r w:rsidRPr="00365FA1">
              <w:rPr>
                <w:rFonts w:eastAsia="Times New Roman"/>
                <w:b/>
                <w:bCs/>
                <w:i/>
                <w:iCs/>
                <w:sz w:val="20"/>
                <w:szCs w:val="20"/>
              </w:rPr>
              <w:t>Stores</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Busc [illegible]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½</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&amp;c</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Basket [illegible] ne Blew in it</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4 </w:t>
            </w:r>
            <w:r w:rsidRPr="00365FA1">
              <w:rPr>
                <w:rFonts w:eastAsia="Times New Roman"/>
                <w:sz w:val="20"/>
                <w:szCs w:val="20"/>
                <w:vertAlign w:val="superscript"/>
              </w:rPr>
              <w:t>lb</w:t>
            </w:r>
            <w:r w:rsidRPr="00365FA1">
              <w:rPr>
                <w:rFonts w:eastAsia="Times New Roman"/>
                <w:sz w:val="20"/>
                <w:szCs w:val="20"/>
              </w:rPr>
              <w:t xml:space="preserve"> Glew</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8 Empty Bottles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Doz Empty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8 Empty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Doz l.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6.9.11</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Pipe 2/3 full Madera Wine</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16 Bottles D</w:t>
            </w:r>
            <w:r w:rsidRPr="00365FA1">
              <w:rPr>
                <w:rFonts w:eastAsia="Times New Roman"/>
                <w:sz w:val="20"/>
                <w:szCs w:val="20"/>
                <w:vertAlign w:val="superscript"/>
              </w:rPr>
              <w:t>o</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1/6</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Bottle W</w:t>
            </w:r>
            <w:r w:rsidRPr="00365FA1">
              <w:rPr>
                <w:rFonts w:eastAsia="Times New Roman"/>
                <w:sz w:val="20"/>
                <w:szCs w:val="20"/>
                <w:vertAlign w:val="superscript"/>
              </w:rPr>
              <w:t>n</w:t>
            </w:r>
            <w:r w:rsidRPr="00365FA1">
              <w:rPr>
                <w:rFonts w:eastAsia="Times New Roman"/>
                <w:sz w:val="20"/>
                <w:szCs w:val="20"/>
              </w:rPr>
              <w:t xml:space="preserve">. Hanbury  </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9d</w:t>
            </w: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7 Bottles old Rum</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1/6</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Jarrs _ 30  Gls Jamaica Rum @ 5/</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6 Jarrs @ 3 Shl</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Cask Spirits   14 Gal' @ 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 Bottles Port Wine           @ 2/6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50 Gal</w:t>
            </w:r>
            <w:r w:rsidRPr="00365FA1">
              <w:rPr>
                <w:rFonts w:eastAsia="Times New Roman"/>
                <w:sz w:val="20"/>
                <w:szCs w:val="20"/>
                <w:vertAlign w:val="superscript"/>
              </w:rPr>
              <w:t>s</w:t>
            </w:r>
            <w:r w:rsidRPr="00365FA1">
              <w:rPr>
                <w:rFonts w:eastAsia="Times New Roman"/>
                <w:sz w:val="20"/>
                <w:szCs w:val="20"/>
              </w:rPr>
              <w:t xml:space="preserve"> Rum                     @ 3/6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40.16._</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Bar</w:t>
            </w:r>
            <w:r w:rsidRPr="00365FA1">
              <w:rPr>
                <w:rFonts w:eastAsia="Times New Roman"/>
                <w:sz w:val="20"/>
                <w:szCs w:val="20"/>
                <w:vertAlign w:val="superscript"/>
              </w:rPr>
              <w:t>l</w:t>
            </w:r>
            <w:r w:rsidRPr="00365FA1">
              <w:rPr>
                <w:rFonts w:eastAsia="Times New Roman"/>
                <w:sz w:val="20"/>
                <w:szCs w:val="20"/>
              </w:rPr>
              <w:t xml:space="preserve"> Sug</w:t>
            </w:r>
            <w:r w:rsidRPr="00365FA1">
              <w:rPr>
                <w:rFonts w:eastAsia="Times New Roman"/>
                <w:sz w:val="20"/>
                <w:szCs w:val="20"/>
                <w:vertAlign w:val="superscript"/>
              </w:rPr>
              <w:t>r</w:t>
            </w:r>
            <w:r w:rsidRPr="00365FA1">
              <w:rPr>
                <w:rFonts w:eastAsia="Times New Roman"/>
                <w:sz w:val="20"/>
                <w:szCs w:val="20"/>
              </w:rPr>
              <w:t xml:space="preserve">  225</w:t>
            </w:r>
            <w:r w:rsidRPr="00365FA1">
              <w:rPr>
                <w:rFonts w:eastAsia="Times New Roman"/>
                <w:sz w:val="20"/>
                <w:szCs w:val="20"/>
                <w:vertAlign w:val="superscript"/>
              </w:rPr>
              <w:t>lb</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45/</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Flask Oyl</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2 Doz</w:t>
            </w:r>
            <w:r w:rsidRPr="00365FA1">
              <w:rPr>
                <w:rFonts w:eastAsia="Times New Roman"/>
                <w:sz w:val="20"/>
                <w:szCs w:val="20"/>
                <w:vertAlign w:val="superscript"/>
              </w:rPr>
              <w:t>n</w:t>
            </w:r>
            <w:r w:rsidRPr="00365FA1">
              <w:rPr>
                <w:rFonts w:eastAsia="Times New Roman"/>
                <w:sz w:val="20"/>
                <w:szCs w:val="20"/>
              </w:rPr>
              <w:t xml:space="preserve"> Butter Potts          @ 2/6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Pipe of Syder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Empty Pipe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7 Sydes and an half of Tea</w:t>
            </w:r>
            <w:r w:rsidRPr="00365FA1">
              <w:rPr>
                <w:rFonts w:eastAsia="Times New Roman"/>
                <w:sz w:val="20"/>
                <w:szCs w:val="20"/>
                <w:vertAlign w:val="superscript"/>
              </w:rPr>
              <w:t>s</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5 Empty Jarrs  4 g</w:t>
            </w:r>
            <w:r w:rsidRPr="00365FA1">
              <w:rPr>
                <w:rFonts w:eastAsia="Times New Roman"/>
                <w:sz w:val="20"/>
                <w:szCs w:val="20"/>
                <w:vertAlign w:val="superscript"/>
              </w:rPr>
              <w:t>n</w:t>
            </w:r>
            <w:r w:rsidRPr="00365FA1">
              <w:rPr>
                <w:rFonts w:eastAsia="Times New Roman"/>
                <w:sz w:val="20"/>
                <w:szCs w:val="20"/>
              </w:rPr>
              <w:t xml:space="preserve"> each</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4 Gross of Corks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Garden Rake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 parcel of old Copper</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Pocket Compass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7 Doz</w:t>
            </w:r>
            <w:r w:rsidRPr="00365FA1">
              <w:rPr>
                <w:rFonts w:eastAsia="Times New Roman"/>
                <w:sz w:val="20"/>
                <w:szCs w:val="20"/>
                <w:vertAlign w:val="superscript"/>
              </w:rPr>
              <w:t>n</w:t>
            </w:r>
            <w:r w:rsidRPr="00365FA1">
              <w:rPr>
                <w:rFonts w:eastAsia="Times New Roman"/>
                <w:sz w:val="20"/>
                <w:szCs w:val="20"/>
              </w:rPr>
              <w:t>. Bristol Water         @ 2/6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Gun 30/.  1 D</w:t>
            </w:r>
            <w:r w:rsidRPr="00365FA1">
              <w:rPr>
                <w:rFonts w:eastAsia="Times New Roman"/>
                <w:sz w:val="20"/>
                <w:szCs w:val="20"/>
                <w:vertAlign w:val="superscript"/>
              </w:rPr>
              <w:t>o</w:t>
            </w:r>
            <w:r w:rsidRPr="00365FA1">
              <w:rPr>
                <w:rFonts w:eastAsia="Times New Roman"/>
                <w:sz w:val="20"/>
                <w:szCs w:val="20"/>
              </w:rPr>
              <w:t xml:space="preserve"> without Lock  12/</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7</w:t>
            </w:r>
          </w:p>
        </w:tc>
        <w:tc>
          <w:tcPr>
            <w:tcW w:w="1020" w:type="dxa"/>
            <w:tcBorders>
              <w:top w:val="nil"/>
              <w:left w:val="nil"/>
              <w:bottom w:val="nil"/>
              <w:right w:val="single" w:sz="4" w:space="0" w:color="auto"/>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M   [illegible]   it</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354"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Sum brought Over</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Book Case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Quarto Bible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Quinseys Dispensatory</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Bland Mil. Dis</w:t>
            </w:r>
            <w:r w:rsidRPr="00365FA1">
              <w:rPr>
                <w:rFonts w:eastAsia="Times New Roman"/>
                <w:sz w:val="20"/>
                <w:szCs w:val="20"/>
                <w:vertAlign w:val="superscript"/>
              </w:rPr>
              <w:t>l</w:t>
            </w:r>
            <w:r w:rsidRPr="00365FA1">
              <w:rPr>
                <w:rFonts w:eastAsia="Times New Roman"/>
                <w:sz w:val="20"/>
                <w:szCs w:val="20"/>
              </w:rPr>
              <w:t>.</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Gays Poems                2 Vol.    @3/6</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Plays                             2 Vol.      4/</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Farquhars Works 2 Do                3/9</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313"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Congreeves Plays 1 D</w:t>
            </w:r>
            <w:r w:rsidRPr="00365FA1">
              <w:rPr>
                <w:rFonts w:eastAsia="Times New Roman"/>
                <w:sz w:val="20"/>
                <w:szCs w:val="20"/>
                <w:vertAlign w:val="superscript"/>
              </w:rPr>
              <w:t xml:space="preserve">o  </w:t>
            </w:r>
            <w:r w:rsidRPr="00365FA1">
              <w:rPr>
                <w:rFonts w:eastAsia="Times New Roman"/>
                <w:sz w:val="20"/>
                <w:szCs w:val="20"/>
              </w:rPr>
              <w:t xml:space="preserve">             4/6</w:t>
            </w: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Hudibras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Beggars Opera</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Harris' Lexicon  2 Vol. Fol</w:t>
            </w:r>
            <w:r w:rsidRPr="00365FA1">
              <w:rPr>
                <w:rFonts w:eastAsia="Times New Roman"/>
                <w:sz w:val="20"/>
                <w:szCs w:val="20"/>
                <w:vertAlign w:val="superscript"/>
              </w:rPr>
              <w:t>o</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Rapin's History  2 Vol. Fol</w:t>
            </w:r>
            <w:r w:rsidRPr="00365FA1">
              <w:rPr>
                <w:rFonts w:eastAsia="Times New Roman"/>
                <w:sz w:val="20"/>
                <w:szCs w:val="20"/>
                <w:vertAlign w:val="superscript"/>
              </w:rPr>
              <w:t>o</w:t>
            </w:r>
            <w:r w:rsidRPr="00365FA1">
              <w:rPr>
                <w:rFonts w:eastAsia="Times New Roman"/>
                <w:sz w:val="20"/>
                <w:szCs w:val="20"/>
              </w:rPr>
              <w:t xml:space="preserve">     20/</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12.12.3</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Gil Blas         4 Vol.                2/</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Don Quixote   4 Vol.              2/</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Littleton's Dict</w:t>
            </w:r>
            <w:r w:rsidRPr="00365FA1">
              <w:rPr>
                <w:rFonts w:eastAsia="Times New Roman"/>
                <w:sz w:val="20"/>
                <w:szCs w:val="20"/>
                <w:vertAlign w:val="superscript"/>
              </w:rPr>
              <w:t>y</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Boyers Dic</w:t>
            </w:r>
            <w:r w:rsidRPr="00365FA1">
              <w:rPr>
                <w:rFonts w:eastAsia="Times New Roman"/>
                <w:sz w:val="20"/>
                <w:szCs w:val="20"/>
                <w:vertAlign w:val="superscript"/>
              </w:rPr>
              <w:t>ty</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color w:val="FF0000"/>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Tom Jones        4 Vol.           2/6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10</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D</w:t>
            </w:r>
            <w:r w:rsidRPr="00365FA1">
              <w:rPr>
                <w:rFonts w:eastAsia="Times New Roman"/>
                <w:sz w:val="20"/>
                <w:szCs w:val="20"/>
                <w:vertAlign w:val="superscript"/>
              </w:rPr>
              <w:t>o</w:t>
            </w:r>
            <w:r w:rsidRPr="00365FA1">
              <w:rPr>
                <w:rFonts w:eastAsia="Times New Roman"/>
                <w:sz w:val="20"/>
                <w:szCs w:val="20"/>
              </w:rPr>
              <w:t xml:space="preserve"> in the Married State</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Musick               2 Vol.</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Songs                1 Vol.          2/6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[illegible]  7 Vol one want</w:t>
            </w:r>
            <w:r w:rsidRPr="00365FA1">
              <w:rPr>
                <w:rFonts w:eastAsia="Times New Roman"/>
                <w:sz w:val="20"/>
                <w:szCs w:val="20"/>
                <w:vertAlign w:val="superscript"/>
              </w:rPr>
              <w:t>g</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Mercers Abridg</w:t>
            </w:r>
            <w:r w:rsidRPr="00365FA1">
              <w:rPr>
                <w:rFonts w:eastAsia="Times New Roman"/>
                <w:sz w:val="20"/>
                <w:szCs w:val="20"/>
                <w:vertAlign w:val="superscript"/>
              </w:rPr>
              <w:t>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28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Virginia Justice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4.3.6</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Baily Dic</w:t>
            </w:r>
            <w:r w:rsidRPr="00365FA1">
              <w:rPr>
                <w:rFonts w:eastAsia="Times New Roman"/>
                <w:sz w:val="20"/>
                <w:szCs w:val="20"/>
                <w:vertAlign w:val="superscript"/>
              </w:rPr>
              <w:t>y</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The History of the Five Nat</w:t>
            </w:r>
            <w:r w:rsidRPr="00365FA1">
              <w:rPr>
                <w:rFonts w:eastAsia="Times New Roman"/>
                <w:sz w:val="20"/>
                <w:szCs w:val="20"/>
                <w:vertAlign w:val="superscript"/>
              </w:rPr>
              <w:t>ns</w:t>
            </w:r>
            <w:r w:rsidRPr="00365FA1">
              <w:rPr>
                <w:rFonts w:eastAsia="Times New Roman"/>
                <w:sz w:val="20"/>
                <w:szCs w:val="20"/>
              </w:rPr>
              <w:t xml:space="preserve"> Ind</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French Plays        5 Vol'</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Shakespears Plays   7 Vol'</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14</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3 Vol' Roman E…..</w:t>
            </w:r>
            <w:r w:rsidRPr="00365FA1">
              <w:rPr>
                <w:rFonts w:eastAsia="Times New Roman"/>
                <w:sz w:val="20"/>
                <w:szCs w:val="20"/>
                <w:vertAlign w:val="superscript"/>
              </w:rPr>
              <w:t>gy</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Kennets Anti</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[illegible]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History of [illegible]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560"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[illegible]</w:t>
            </w: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Present State of [illegible] at Bond [illegible]</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560"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[illegible]</w:t>
            </w: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Gordons Grammer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Ibbots Sermons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Peerage of Ingland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Life of Mahamit</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Conquest of Syria &amp; McSarat</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Winters Evening conf</w:t>
            </w:r>
            <w:r w:rsidRPr="00365FA1">
              <w:rPr>
                <w:rFonts w:eastAsia="Times New Roman"/>
                <w:sz w:val="20"/>
                <w:szCs w:val="20"/>
                <w:vertAlign w:val="superscript"/>
              </w:rPr>
              <w:t>er</w:t>
            </w:r>
            <w:r w:rsidRPr="00365FA1">
              <w:rPr>
                <w:rFonts w:eastAsia="Times New Roman"/>
                <w:sz w:val="20"/>
                <w:szCs w:val="20"/>
              </w:rPr>
              <w:t>er</w:t>
            </w:r>
            <w:r w:rsidRPr="00365FA1">
              <w:rPr>
                <w:rFonts w:eastAsia="Times New Roman"/>
                <w:sz w:val="20"/>
                <w:szCs w:val="20"/>
                <w:vertAlign w:val="superscript"/>
              </w:rPr>
              <w:t>en</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Bangors Committee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History of Virginia  3/</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Craftsman</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Life of Socrates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Gentlemen Instructed</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3</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Drydens Works  9 Vol.</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7</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Gazetteer</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Swifts Work       2 Vol. of it</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5</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Browns Roman Hist</w:t>
            </w:r>
            <w:r w:rsidRPr="00365FA1">
              <w:rPr>
                <w:rFonts w:eastAsia="Times New Roman"/>
                <w:sz w:val="20"/>
                <w:szCs w:val="20"/>
                <w:vertAlign w:val="superscript"/>
              </w:rPr>
              <w:t>y</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double" w:sz="6" w:space="0" w:color="000000"/>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double" w:sz="6" w:space="0" w:color="000000"/>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2.1.6</w:t>
            </w:r>
          </w:p>
        </w:tc>
      </w:tr>
      <w:tr w:rsidR="00365FA1" w:rsidRPr="00365FA1" w:rsidTr="00365FA1">
        <w:trPr>
          <w:trHeight w:val="27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Travels into Turkey</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Welwoods Memoirs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133" w:type="dxa"/>
            <w:gridSpan w:val="5"/>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History of Eng</w:t>
            </w:r>
            <w:r w:rsidRPr="00365FA1">
              <w:rPr>
                <w:rFonts w:eastAsia="Times New Roman"/>
                <w:sz w:val="20"/>
                <w:szCs w:val="20"/>
                <w:vertAlign w:val="superscript"/>
              </w:rPr>
              <w:t>o</w:t>
            </w:r>
            <w:r w:rsidRPr="00365FA1">
              <w:rPr>
                <w:rFonts w:eastAsia="Times New Roman"/>
                <w:sz w:val="20"/>
                <w:szCs w:val="20"/>
              </w:rPr>
              <w:t>. by way of Ques[illegible]</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Popes Dunciad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Vol. of Telemachus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French Plays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Mount for the Plays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Voyages of Frenchman</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Atkinsons Epitome</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Vol' of the History of the Reb</w:t>
            </w:r>
            <w:r w:rsidRPr="00365FA1">
              <w:rPr>
                <w:rFonts w:eastAsia="Times New Roman"/>
                <w:sz w:val="20"/>
                <w:szCs w:val="20"/>
                <w:vertAlign w:val="superscript"/>
              </w:rPr>
              <w:t>n</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286" w:type="dxa"/>
            <w:gridSpan w:val="2"/>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Mannings Dion Cassins</w:t>
            </w: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State of the Church</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560"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 [illegible]</w:t>
            </w: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8</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Gospel Church 2/</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560"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xml:space="preserve"> [illegible]</w:t>
            </w: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9</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354" w:type="dxa"/>
            <w:gridSpan w:val="4"/>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Sum brought forward</w:t>
            </w: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3499"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b/>
                <w:bCs/>
                <w:sz w:val="20"/>
                <w:szCs w:val="20"/>
              </w:rPr>
            </w:pPr>
            <w:r w:rsidRPr="00365FA1">
              <w:rPr>
                <w:rFonts w:eastAsia="Times New Roman"/>
                <w:b/>
                <w:bCs/>
                <w:sz w:val="20"/>
                <w:szCs w:val="20"/>
              </w:rPr>
              <w:t>Table A-1 (continued).</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70"/>
        </w:trPr>
        <w:tc>
          <w:tcPr>
            <w:tcW w:w="700" w:type="dxa"/>
            <w:tcBorders>
              <w:top w:val="single" w:sz="4" w:space="0" w:color="auto"/>
              <w:left w:val="single" w:sz="4" w:space="0" w:color="auto"/>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page</w:t>
            </w:r>
          </w:p>
        </w:tc>
        <w:tc>
          <w:tcPr>
            <w:tcW w:w="10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1779"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0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587"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4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2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48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w:t>
            </w:r>
          </w:p>
        </w:tc>
        <w:tc>
          <w:tcPr>
            <w:tcW w:w="360" w:type="dxa"/>
            <w:tcBorders>
              <w:top w:val="single" w:sz="4" w:space="0" w:color="auto"/>
              <w:left w:val="nil"/>
              <w:bottom w:val="single" w:sz="4" w:space="0" w:color="auto"/>
              <w:right w:val="nil"/>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d</w:t>
            </w:r>
          </w:p>
        </w:tc>
        <w:tc>
          <w:tcPr>
            <w:tcW w:w="840" w:type="dxa"/>
            <w:tcBorders>
              <w:top w:val="single" w:sz="4" w:space="0" w:color="auto"/>
              <w:left w:val="nil"/>
              <w:bottom w:val="single" w:sz="4" w:space="0" w:color="auto"/>
              <w:right w:val="single" w:sz="4" w:space="0" w:color="auto"/>
            </w:tcBorders>
            <w:shd w:val="clear" w:color="000000" w:fill="D8D8D8"/>
            <w:noWrap/>
            <w:vAlign w:val="bottom"/>
            <w:hideMark/>
          </w:tcPr>
          <w:p w:rsidR="00365FA1" w:rsidRPr="00365FA1" w:rsidRDefault="00365FA1" w:rsidP="00365FA1">
            <w:pPr>
              <w:jc w:val="center"/>
              <w:rPr>
                <w:rFonts w:eastAsia="Times New Roman"/>
                <w:b/>
                <w:bCs/>
                <w:sz w:val="20"/>
                <w:szCs w:val="20"/>
              </w:rPr>
            </w:pPr>
            <w:r w:rsidRPr="00365FA1">
              <w:rPr>
                <w:rFonts w:eastAsia="Times New Roman"/>
                <w:b/>
                <w:bCs/>
                <w:sz w:val="20"/>
                <w:szCs w:val="20"/>
              </w:rPr>
              <w:t>sum</w:t>
            </w: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9</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Vol</w:t>
            </w:r>
            <w:r w:rsidRPr="00365FA1">
              <w:rPr>
                <w:rFonts w:eastAsia="Times New Roman"/>
                <w:sz w:val="20"/>
                <w:szCs w:val="20"/>
                <w:vertAlign w:val="superscript"/>
              </w:rPr>
              <w:t>e</w:t>
            </w:r>
            <w:r w:rsidRPr="00365FA1">
              <w:rPr>
                <w:rFonts w:eastAsia="Times New Roman"/>
                <w:sz w:val="20"/>
                <w:szCs w:val="20"/>
              </w:rPr>
              <w:t xml:space="preserve"> French Plays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9</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London Magazine for 1744</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9</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Virgil</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9</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 Vol' French plays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9</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English Expositon</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25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9</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8 Latin Books</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36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15"/>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9</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2873" w:type="dxa"/>
            <w:gridSpan w:val="3"/>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11 D</w:t>
            </w:r>
            <w:r w:rsidRPr="00365FA1">
              <w:rPr>
                <w:rFonts w:eastAsia="Times New Roman"/>
                <w:sz w:val="20"/>
                <w:szCs w:val="20"/>
                <w:vertAlign w:val="superscript"/>
              </w:rPr>
              <w:t xml:space="preserve">o </w:t>
            </w:r>
            <w:r w:rsidRPr="00365FA1">
              <w:rPr>
                <w:rFonts w:eastAsia="Times New Roman"/>
                <w:sz w:val="20"/>
                <w:szCs w:val="20"/>
              </w:rPr>
              <w:t xml:space="preserve">                                  @ 1/6</w:t>
            </w: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000000"/>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12</w:t>
            </w:r>
          </w:p>
        </w:tc>
        <w:tc>
          <w:tcPr>
            <w:tcW w:w="36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9</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p>
        </w:tc>
      </w:tr>
      <w:tr w:rsidR="00365FA1" w:rsidRPr="00365FA1" w:rsidTr="00365FA1">
        <w:trPr>
          <w:trHeight w:val="330"/>
        </w:trPr>
        <w:tc>
          <w:tcPr>
            <w:tcW w:w="700" w:type="dxa"/>
            <w:tcBorders>
              <w:top w:val="nil"/>
              <w:left w:val="nil"/>
              <w:bottom w:val="nil"/>
              <w:right w:val="nil"/>
            </w:tcBorders>
            <w:shd w:val="clear" w:color="auto" w:fill="auto"/>
            <w:noWrap/>
            <w:vAlign w:val="bottom"/>
            <w:hideMark/>
          </w:tcPr>
          <w:p w:rsidR="00365FA1" w:rsidRPr="00365FA1" w:rsidRDefault="00365FA1" w:rsidP="00365FA1">
            <w:pPr>
              <w:jc w:val="center"/>
              <w:rPr>
                <w:rFonts w:eastAsia="Times New Roman"/>
                <w:sz w:val="20"/>
                <w:szCs w:val="20"/>
              </w:rPr>
            </w:pPr>
            <w:r w:rsidRPr="00365FA1">
              <w:rPr>
                <w:rFonts w:eastAsia="Times New Roman"/>
                <w:sz w:val="20"/>
                <w:szCs w:val="20"/>
              </w:rPr>
              <w:t>9</w:t>
            </w:r>
          </w:p>
        </w:tc>
        <w:tc>
          <w:tcPr>
            <w:tcW w:w="10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1779"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One Silv</w:t>
            </w:r>
            <w:r w:rsidRPr="00365FA1">
              <w:rPr>
                <w:rFonts w:eastAsia="Times New Roman"/>
                <w:sz w:val="20"/>
                <w:szCs w:val="20"/>
                <w:vertAlign w:val="superscript"/>
              </w:rPr>
              <w:t>r</w:t>
            </w:r>
            <w:r w:rsidRPr="00365FA1">
              <w:rPr>
                <w:rFonts w:eastAsia="Times New Roman"/>
                <w:sz w:val="20"/>
                <w:szCs w:val="20"/>
              </w:rPr>
              <w:t xml:space="preserve"> Watch</w:t>
            </w:r>
          </w:p>
        </w:tc>
        <w:tc>
          <w:tcPr>
            <w:tcW w:w="50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587"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4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820" w:type="dxa"/>
            <w:tcBorders>
              <w:top w:val="nil"/>
              <w:left w:val="nil"/>
              <w:bottom w:val="nil"/>
              <w:right w:val="nil"/>
            </w:tcBorders>
            <w:shd w:val="clear" w:color="auto" w:fill="auto"/>
            <w:noWrap/>
            <w:vAlign w:val="bottom"/>
            <w:hideMark/>
          </w:tcPr>
          <w:p w:rsidR="00365FA1" w:rsidRPr="00365FA1" w:rsidRDefault="00365FA1" w:rsidP="00365FA1">
            <w:pPr>
              <w:rPr>
                <w:rFonts w:eastAsia="Times New Roman"/>
                <w:sz w:val="20"/>
                <w:szCs w:val="20"/>
              </w:rPr>
            </w:pPr>
          </w:p>
        </w:tc>
        <w:tc>
          <w:tcPr>
            <w:tcW w:w="480" w:type="dxa"/>
            <w:tcBorders>
              <w:top w:val="nil"/>
              <w:left w:val="single" w:sz="4" w:space="0" w:color="auto"/>
              <w:bottom w:val="double" w:sz="6" w:space="0" w:color="auto"/>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6</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360" w:type="dxa"/>
            <w:tcBorders>
              <w:top w:val="nil"/>
              <w:left w:val="nil"/>
              <w:bottom w:val="double" w:sz="6" w:space="0" w:color="auto"/>
              <w:right w:val="nil"/>
            </w:tcBorders>
            <w:shd w:val="clear" w:color="auto" w:fill="auto"/>
            <w:noWrap/>
            <w:vAlign w:val="bottom"/>
            <w:hideMark/>
          </w:tcPr>
          <w:p w:rsidR="00365FA1" w:rsidRPr="00365FA1" w:rsidRDefault="00365FA1" w:rsidP="00365FA1">
            <w:pPr>
              <w:rPr>
                <w:rFonts w:eastAsia="Times New Roman"/>
                <w:sz w:val="20"/>
                <w:szCs w:val="20"/>
              </w:rPr>
            </w:pPr>
            <w:r w:rsidRPr="00365FA1">
              <w:rPr>
                <w:rFonts w:eastAsia="Times New Roman"/>
                <w:sz w:val="20"/>
                <w:szCs w:val="20"/>
              </w:rPr>
              <w:t> </w:t>
            </w:r>
          </w:p>
        </w:tc>
        <w:tc>
          <w:tcPr>
            <w:tcW w:w="840" w:type="dxa"/>
            <w:tcBorders>
              <w:top w:val="nil"/>
              <w:left w:val="nil"/>
              <w:bottom w:val="nil"/>
              <w:right w:val="nil"/>
            </w:tcBorders>
            <w:shd w:val="clear" w:color="auto" w:fill="auto"/>
            <w:noWrap/>
            <w:vAlign w:val="bottom"/>
            <w:hideMark/>
          </w:tcPr>
          <w:p w:rsidR="00365FA1" w:rsidRPr="00365FA1" w:rsidRDefault="00365FA1" w:rsidP="00365FA1">
            <w:pPr>
              <w:jc w:val="right"/>
              <w:rPr>
                <w:rFonts w:eastAsia="Times New Roman"/>
                <w:sz w:val="20"/>
                <w:szCs w:val="20"/>
              </w:rPr>
            </w:pPr>
            <w:r w:rsidRPr="00365FA1">
              <w:rPr>
                <w:rFonts w:eastAsia="Times New Roman"/>
                <w:sz w:val="20"/>
                <w:szCs w:val="20"/>
              </w:rPr>
              <w:t>8.18.9</w:t>
            </w:r>
          </w:p>
        </w:tc>
      </w:tr>
    </w:tbl>
    <w:p w:rsidR="00FB60F4" w:rsidRDefault="00FB60F4"/>
    <w:p w:rsidR="00FB60F4" w:rsidRDefault="00FB60F4">
      <w:r>
        <w:br w:type="page"/>
      </w:r>
    </w:p>
    <w:p w:rsidR="001A311C" w:rsidRPr="001A311C" w:rsidRDefault="009F22B2">
      <w:r>
        <w:rPr>
          <w:b/>
        </w:rPr>
        <w:lastRenderedPageBreak/>
        <w:t>Table A-</w:t>
      </w:r>
      <w:r w:rsidR="001A311C">
        <w:rPr>
          <w:b/>
        </w:rPr>
        <w:t>2</w:t>
      </w:r>
      <w:r w:rsidR="001A311C" w:rsidRPr="00C57C34">
        <w:rPr>
          <w:b/>
        </w:rPr>
        <w:t>.</w:t>
      </w:r>
      <w:r w:rsidR="00565CF5">
        <w:t xml:space="preserve">  Items and assigned categories and s</w:t>
      </w:r>
      <w:r>
        <w:t>ubcat</w:t>
      </w:r>
      <w:r w:rsidR="00565CF5">
        <w:t>egories in George Washington’s invoices and o</w:t>
      </w:r>
      <w:r>
        <w:t>rders.</w:t>
      </w:r>
      <w:r w:rsidR="001A311C">
        <w:rPr>
          <w:b/>
        </w:rPr>
        <w:t xml:space="preserve">  </w:t>
      </w:r>
    </w:p>
    <w:p w:rsidR="001A311C" w:rsidRDefault="001A311C">
      <w:pPr>
        <w:rPr>
          <w:b/>
        </w:rPr>
      </w:pPr>
    </w:p>
    <w:tbl>
      <w:tblPr>
        <w:tblW w:w="7397" w:type="dxa"/>
        <w:tblInd w:w="91" w:type="dxa"/>
        <w:tblLook w:val="04A0"/>
      </w:tblPr>
      <w:tblGrid>
        <w:gridCol w:w="2537"/>
        <w:gridCol w:w="1710"/>
        <w:gridCol w:w="3150"/>
      </w:tblGrid>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burnett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cabbage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cauliflower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clover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cucumber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garden seeds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lettuce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lucerne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mustard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onion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peas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radish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rape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rye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savoy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 garden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 Foine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tares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Agriculture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turnip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bottle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bowl, punch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bowl, punch (possible)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case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decanter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glasses, ale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glasses, beer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glasses, gill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glasses, punch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glasses, syllabub</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glasses, wine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glasses, wine and water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label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Alcohol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ladle, punch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Chocolate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 chocolate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Coffee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coffee mill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Coffee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cup, coffee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Coffee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 coffee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Coffee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saucers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General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General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jug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General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mug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General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 milk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General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tumblers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cock</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2E7C31" w:rsidRDefault="00D63711" w:rsidP="00D63711">
            <w:pPr>
              <w:rPr>
                <w:rFonts w:eastAsia="Times New Roman"/>
                <w:color w:val="00000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2E7C31" w:rsidRDefault="00D63711" w:rsidP="00D63711">
            <w:pPr>
              <w:rPr>
                <w:rFonts w:eastAsia="Times New Roman"/>
                <w:color w:val="00000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cork screw</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basin, slop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cup, breakfast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cups and saucers, breakfast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dishes, sugar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 sugar and covers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kettle, tea</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milk pot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 tea</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saucers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 kitchen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 set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belt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broach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buckle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earrings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egret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garters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garters and buckles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gold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hair pins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handkerchief</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handkerchief and hood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jewelry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knot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mask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necklace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necklace and earrings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pocket book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pockets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sash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swivels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sword knot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watch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watch chain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watch glass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Accessories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watch key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apron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breeches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cape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cloak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coat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frock</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gown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hoods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jacket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knot and necklace string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livery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negligee and coat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petticoat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sack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sack and coat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starching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stays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stocks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stomacher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stomacher and sleeve knots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suit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Apparel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waistcoat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boots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boots and spur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boots, possible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brush, shoe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campaigner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clogs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garters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hose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pumps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shoes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skins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slippers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Footwear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soles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Gloves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gloves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Gloves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gloves and mitts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Gloves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mitts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Headgear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bonnet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Headgear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Headgear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churn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 cover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larding pin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milk pan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pipkin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plate, tin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 butter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potting pot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potting pot with covers and stands</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potting pot, covers, and plates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skewer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Cooking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skillet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Processing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funnel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Processing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mill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Preparation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Processing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sieve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Cutlery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case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Cutlery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crest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Cutlery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fork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Cutlery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knives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Cutlery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knives and forks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Cutlery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spoon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Dessert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basket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Dessert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glasses, jelly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Dessert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glasses, sweetmeat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Dessert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plate, sweetmeat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Dessert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pyramid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Dessert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salver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basket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crest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cup, custard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cup, egg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 baking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dishes, fruit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 fruit and stands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 salad (nappys)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 soup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 sugar and stands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fish strainer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pickle leaves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plate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plate, dessert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plate, soup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plates, water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sauce boats and stands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sauce covers and spoons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cruet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cruet stand and casters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dishes, butter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 butter and stands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mustard pot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pan, patty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pepper box</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pickle shells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plate warmer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porringers with stands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salt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salts and spoons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Serving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chafing dish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Serving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dishes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Serving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salver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Serving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sauce boat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Serving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tureen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 Service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Serving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tureen with cover and dish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Fireplace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mounted dogs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chest (dressing, close stool)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table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Recreation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table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Seating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chair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Seating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couch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Sleeping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 screw</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Sleeping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bedstead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Table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table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Unidentified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posters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caster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nails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 cord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brads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cask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chalk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chalk line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chalk rule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coverplate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diamond, glaziers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emery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garden line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glue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hinge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lead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lock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lock and staples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nails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padlock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pinking irons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plaster of paris</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putty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rope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rotton stone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screw plate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steel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tap borer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twine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window glass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Paint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brush, painting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Paint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ochre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Paint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oil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Paint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paint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Paint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rundlet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Paint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umber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adze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adze and howel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astragills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auger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axe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bell jar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bit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borers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brand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burr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chisel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compass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crowbar, possible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files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firmer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gimblet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gouge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grindstone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hammer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handsaw</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hatchet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hollows and rounds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hook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howel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iron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jointer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knives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leash</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mill stones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mill wheel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nibs and wedges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ogee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oil stone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ovalo</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philester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pincers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plane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plane irons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plow</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prickers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punch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rasp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riddle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rings and wedges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rounds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rubbers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saw</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scythe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scythe cradle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scythe stone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sharpening stone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shave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shovel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sickle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sieve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sieve bottom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sieve, lawn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sifter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snipes bill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spade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spring pad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spring pad and bits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steel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still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trowels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vice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whetstone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Hardware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whipsaw</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Heating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Grate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grate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Heating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Grate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tender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Heating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bellows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Heating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shovel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Heating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Tools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tongs</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chimney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 screen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plinths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Ornament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busts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Ornament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figure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Ornament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ornaments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Ornament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papier mache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Ornament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sconces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Ornament</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vase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Painting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painting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Décor</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Wall Cover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paper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cider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coffee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porter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porter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Beverage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allspice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almonds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anchovies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bisquet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box, sugar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bread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candy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capers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cheese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chocolate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cinnamon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cloves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cloves and cinnamon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comfit (sweetmeat)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currants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ginger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lead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mace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mangoes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morels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mustard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nutmeg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nuts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oats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oil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olives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orange chips</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pepper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pickles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pimento</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powder blue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raisins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sago</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sz w:val="20"/>
                <w:szCs w:val="20"/>
              </w:rPr>
            </w:pPr>
            <w:r w:rsidRPr="00D63711">
              <w:rPr>
                <w:rFonts w:eastAsia="Times New Roman"/>
                <w:sz w:val="20"/>
                <w:szCs w:val="20"/>
              </w:rPr>
              <w:t xml:space="preserve">salt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sugar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truffles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Food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walnuts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Laundry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starch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Lighting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candle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Lighting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lamp oil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allum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antimony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aqua mirabilis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arsenic</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balsam capivi</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balsam honey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balsam sulfur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balsam universal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bark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bird lime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bitters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blistering plaster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bluestone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brimstone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bryony water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camphor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caraway seeds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caster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caustic</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chamomile flower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cinnamon water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conserve of roses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contrayerva</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cordial elixir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cosia</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court plaster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cream of tartar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crude opium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daffey's elixir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diascordium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elixir of vitriol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ethiops mineral</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glauber salt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glister pipes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guttae vitae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hartshorn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honey water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ipecacuanha</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jallop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james's powder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jesuit bark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laudanum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launcet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lavender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lime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linseed oil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magnes alba</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manna</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matthew's pills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melilot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mercurius dulcis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mint oil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myrrh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nitre dulcis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oil of amber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oil of turpentine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ointment of marshmallows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orange flower water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orange peel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paragorick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pearl barley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peppermint oil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phials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pilea ex duobus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powder of musk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powder tin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precipitate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pulvis balsamicus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rhubarb</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sal ammonica</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sal volatile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salep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salt of lemon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spanish flies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spirits of lavender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spirits of turpentine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spirits of vitriol</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spirits of wine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spirma citi</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squires elixir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sulfur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syrup of poppies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tincture of castor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tincture of myrrh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treacle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turlington's balsam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turmeric</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turpentine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venice treacle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vitriol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wormwood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canister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copperas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cork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fig blue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gold leaf</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indigo</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isinglass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ivory black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lamp black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lead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sack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salt petre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whiting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Stores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Tea</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tea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amber grease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blacking ball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blacking ball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broom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brush, clothes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brush, hearth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brush, plate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brush, rubbing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brush, table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clamp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mop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rubbers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scrubber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skins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Cleaning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tub</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basin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basin, hand</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bottle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bottles and basins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brush, tooth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chamber pot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comb</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comb bristles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curling iron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glasses, water and saucers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powder box</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powder, hair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razor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razor strop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soap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tooth cleaner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Hygiene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wig bag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bird pot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blanket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flat irons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knives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nutcracker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 water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Household Utensil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scissors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Instrument</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Measure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protractor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Instrument</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Measure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rule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Instrument</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Measure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scale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Instrument</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Measure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square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Instrument</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Measure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stilliard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Instrument</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telescope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Instrument</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Survey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chain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Instrument</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Survey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circumferentor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Instrument</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Survey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load stone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Lighting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Candle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box, candle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Lighting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Candle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candlestick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Lighting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Lamp</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jar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Lighting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Lamp</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lamp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Lighting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Lantern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lantern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Lighting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Lantern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safe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Lighting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Snuffer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snuffer and stand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Recreation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Fishing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hook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Recreation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Fishing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Recreation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Fishing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reel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Recreation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Fishing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seine</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Recreation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Games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cards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Recreation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Games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dice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Recreation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Hunting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hunting horn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Recreation</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quadrille counters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barrel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basket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bottle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bottles and pots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box</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canister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canister and box</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case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cask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chest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crate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hamper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hogshead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jar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keg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pottle squares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rundlet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square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tierce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Container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trunk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Fees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fees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hogshead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packaging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stopper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Shipping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credit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aniseed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carthamus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coltsfoot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cumin seed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diapente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fenugreek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flour of brimstone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licorice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Medicine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pepper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bottle stand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brush, horse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comb</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comb, curry</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comb, curry and brushes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iron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phlegms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scissors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soap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sponge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bit, possible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bridle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buckle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collar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crupper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dog couple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girths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halter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hame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harness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holster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housing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livery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pillion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pistol machine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saddle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saddle cloth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spurs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stirrup leathers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stirrups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strap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surcingle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surcingle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thong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traces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Stable</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whip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 Upholstery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cornice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 Upholstery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curtain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 Upholstery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furniture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 Upholstery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hook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Bedding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 ticks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Bedding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bolster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Bedding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case slip</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Bedding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compass rod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Bedding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mattress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Bedding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pillow</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Bedding</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tick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Bedding Over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blanket</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Bedding Over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quilt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alopeen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blanket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buckram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buckram and ferret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buckram and stays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calico</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callimanca</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cambric</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cambric and duty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camelot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canvas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cassimere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chintz</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cloth, broad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cotton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cotton, kendell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cotton, welsh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diaper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dimothy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dowlas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drab</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drab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drilling, russian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duffield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duroy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fearnought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figure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fustian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gauze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hessen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holland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jacconot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kenting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lawn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linen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lining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lining and pockets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lining, possible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luster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lustring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mignonette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millinett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muslin</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nankeen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napkin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orris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oznabrig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paduasoy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persian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plush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pocketing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roll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rommal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sarge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satin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serge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shag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shalloon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sheeting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silk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silk and twist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swize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tabby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tablecloth</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toweling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trilley</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Fabric</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velvet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Floor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carpet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Floor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matting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Floor</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rug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binding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binding, possible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bobbin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brazil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button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ferret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flowers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knitting needle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lace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laces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loops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mohair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needle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net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netting silk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pins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ribbon</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ruffles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tape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thimble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thread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trimming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twist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twist and thread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Notions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wire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Production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brush, weavers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Production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cards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Production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comb</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Production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hackle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Production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pickers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Production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shears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Production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shuttle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Production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slay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Production</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temples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Upholstery</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chair bottom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Window</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cornice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Window</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curtain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Window</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owes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Window</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tassel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Textiles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Window</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vellum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box, snuff</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pipe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pipe and tobacco</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snuff</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tobacco</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Miscellaneous</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oar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Storage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Storage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trunk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Vehicle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bar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Vehicle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blinds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Vehicle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case and casing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Vehicle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chariot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Vehicle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cover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Vehicle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rings, waterg locks, &amp; plates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Vehicle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splinters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Vehicle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tack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Travel</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Vehicle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waterg and plates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Unidentified</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Unidentified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making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Unidentified</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Unidentified</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unknown</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Weapons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Edge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sword</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Weapons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flints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Weapons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gun</w:t>
            </w: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E71573" w:rsidP="00D63711">
            <w:pPr>
              <w:rPr>
                <w:rFonts w:eastAsia="Times New Roman"/>
                <w:color w:val="000000"/>
                <w:sz w:val="20"/>
                <w:szCs w:val="20"/>
              </w:rPr>
            </w:pPr>
            <w:r w:rsidRPr="002E7C31">
              <w:rPr>
                <w:rFonts w:eastAsia="Times New Roman"/>
                <w:b/>
                <w:bCs/>
                <w:color w:val="000000"/>
              </w:rPr>
              <w:lastRenderedPageBreak/>
              <w:t>Table A-2</w:t>
            </w:r>
            <w:r w:rsidRPr="002E7C31">
              <w:rPr>
                <w:rFonts w:eastAsia="Times New Roman"/>
                <w:color w:val="000000"/>
              </w:rPr>
              <w:t xml:space="preserve"> (continued).</w:t>
            </w: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171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c>
          <w:tcPr>
            <w:tcW w:w="3150" w:type="dxa"/>
            <w:tcBorders>
              <w:top w:val="nil"/>
              <w:left w:val="nil"/>
              <w:bottom w:val="nil"/>
              <w:right w:val="nil"/>
            </w:tcBorders>
            <w:shd w:val="clear" w:color="auto" w:fill="auto"/>
            <w:noWrap/>
            <w:vAlign w:val="bottom"/>
            <w:hideMark/>
          </w:tcPr>
          <w:p w:rsidR="00D63711" w:rsidRPr="00D63711" w:rsidRDefault="00D63711" w:rsidP="00D63711">
            <w:pPr>
              <w:rPr>
                <w:rFonts w:eastAsia="Times New Roman"/>
                <w:color w:val="000000"/>
                <w:sz w:val="20"/>
                <w:szCs w:val="20"/>
              </w:rPr>
            </w:pPr>
          </w:p>
        </w:tc>
      </w:tr>
      <w:tr w:rsidR="00D63711" w:rsidRPr="00D63711" w:rsidTr="00E71573">
        <w:trPr>
          <w:trHeight w:val="255"/>
        </w:trPr>
        <w:tc>
          <w:tcPr>
            <w:tcW w:w="2537"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Category</w:t>
            </w:r>
          </w:p>
        </w:tc>
        <w:tc>
          <w:tcPr>
            <w:tcW w:w="171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Subcategory</w:t>
            </w:r>
          </w:p>
        </w:tc>
        <w:tc>
          <w:tcPr>
            <w:tcW w:w="3150" w:type="dxa"/>
            <w:tcBorders>
              <w:top w:val="single" w:sz="4" w:space="0" w:color="auto"/>
              <w:left w:val="nil"/>
              <w:bottom w:val="single" w:sz="4" w:space="0" w:color="auto"/>
              <w:right w:val="single" w:sz="4" w:space="0" w:color="auto"/>
            </w:tcBorders>
            <w:shd w:val="clear" w:color="000000" w:fill="C0C0C0"/>
            <w:noWrap/>
            <w:vAlign w:val="bottom"/>
            <w:hideMark/>
          </w:tcPr>
          <w:p w:rsidR="00D63711" w:rsidRPr="00D63711" w:rsidRDefault="00D63711" w:rsidP="00D63711">
            <w:pPr>
              <w:jc w:val="center"/>
              <w:rPr>
                <w:rFonts w:eastAsia="Times New Roman"/>
                <w:b/>
                <w:bCs/>
                <w:color w:val="000000"/>
                <w:sz w:val="20"/>
                <w:szCs w:val="20"/>
              </w:rPr>
            </w:pPr>
            <w:r w:rsidRPr="00D63711">
              <w:rPr>
                <w:rFonts w:eastAsia="Times New Roman"/>
                <w:b/>
                <w:bCs/>
                <w:color w:val="000000"/>
                <w:sz w:val="20"/>
                <w:szCs w:val="20"/>
              </w:rPr>
              <w:t>Item</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Weapons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gun vice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Weapons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gunpowder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Weapons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gunworms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Weapons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pistol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Weapons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shot</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Weapons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shot and bags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Weapons</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Fire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shot bag</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Book</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book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Magazine</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magazine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ink powder</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notebook</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paper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paper case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pencil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pencil case</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seal</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 xml:space="preserve">sealing wax </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wafers</w:t>
            </w:r>
          </w:p>
        </w:tc>
      </w:tr>
      <w:tr w:rsidR="00D63711" w:rsidRPr="00D63711" w:rsidTr="00E71573">
        <w:trPr>
          <w:trHeight w:val="255"/>
        </w:trPr>
        <w:tc>
          <w:tcPr>
            <w:tcW w:w="2537" w:type="dxa"/>
            <w:tcBorders>
              <w:top w:val="nil"/>
              <w:left w:val="single" w:sz="4" w:space="0" w:color="auto"/>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Writing</w:t>
            </w:r>
          </w:p>
        </w:tc>
        <w:tc>
          <w:tcPr>
            <w:tcW w:w="171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Material</w:t>
            </w:r>
          </w:p>
        </w:tc>
        <w:tc>
          <w:tcPr>
            <w:tcW w:w="3150" w:type="dxa"/>
            <w:tcBorders>
              <w:top w:val="nil"/>
              <w:left w:val="nil"/>
              <w:bottom w:val="single" w:sz="4" w:space="0" w:color="auto"/>
              <w:right w:val="single" w:sz="4" w:space="0" w:color="auto"/>
            </w:tcBorders>
            <w:shd w:val="clear" w:color="auto" w:fill="auto"/>
            <w:noWrap/>
            <w:vAlign w:val="bottom"/>
            <w:hideMark/>
          </w:tcPr>
          <w:p w:rsidR="00D63711" w:rsidRPr="00D63711" w:rsidRDefault="00D63711" w:rsidP="00D63711">
            <w:pPr>
              <w:rPr>
                <w:rFonts w:eastAsia="Times New Roman"/>
                <w:color w:val="000000"/>
                <w:sz w:val="20"/>
                <w:szCs w:val="20"/>
              </w:rPr>
            </w:pPr>
            <w:r w:rsidRPr="00D63711">
              <w:rPr>
                <w:rFonts w:eastAsia="Times New Roman"/>
                <w:color w:val="000000"/>
                <w:sz w:val="20"/>
                <w:szCs w:val="20"/>
              </w:rPr>
              <w:t>wax</w:t>
            </w:r>
          </w:p>
        </w:tc>
      </w:tr>
    </w:tbl>
    <w:p w:rsidR="009F22B2" w:rsidRDefault="001A311C">
      <w:r>
        <w:t xml:space="preserve">  </w:t>
      </w:r>
    </w:p>
    <w:p w:rsidR="009F22B2" w:rsidRDefault="009F22B2">
      <w:r>
        <w:br w:type="page"/>
      </w:r>
    </w:p>
    <w:p w:rsidR="009F22B2" w:rsidRPr="001A311C" w:rsidRDefault="009F22B2" w:rsidP="009F22B2">
      <w:r>
        <w:rPr>
          <w:b/>
        </w:rPr>
        <w:lastRenderedPageBreak/>
        <w:t>Table A-3</w:t>
      </w:r>
      <w:r w:rsidRPr="00C57C34">
        <w:rPr>
          <w:b/>
        </w:rPr>
        <w:t>.</w:t>
      </w:r>
      <w:r w:rsidR="00565CF5">
        <w:t xml:space="preserve">  Items and assigned categories and s</w:t>
      </w:r>
      <w:r>
        <w:t xml:space="preserve">ubcategories in </w:t>
      </w:r>
      <w:r w:rsidR="00565CF5">
        <w:t>Alexander Henderson’s s</w:t>
      </w:r>
      <w:r w:rsidR="006138C4">
        <w:t>cheme</w:t>
      </w:r>
      <w:r w:rsidR="00565CF5">
        <w:t>s of g</w:t>
      </w:r>
      <w:r w:rsidR="006138C4">
        <w:t>oods</w:t>
      </w:r>
      <w:r>
        <w:t>.</w:t>
      </w:r>
      <w:r>
        <w:rPr>
          <w:b/>
        </w:rPr>
        <w:t xml:space="preserve">  </w:t>
      </w:r>
    </w:p>
    <w:p w:rsidR="00C57C34" w:rsidRDefault="00C57C34"/>
    <w:tbl>
      <w:tblPr>
        <w:tblW w:w="5649" w:type="dxa"/>
        <w:tblInd w:w="91" w:type="dxa"/>
        <w:tblLook w:val="04A0"/>
      </w:tblPr>
      <w:tblGrid>
        <w:gridCol w:w="1620"/>
        <w:gridCol w:w="197"/>
        <w:gridCol w:w="1372"/>
        <w:gridCol w:w="2460"/>
      </w:tblGrid>
      <w:tr w:rsidR="006138C4" w:rsidRPr="006138C4" w:rsidTr="006138C4">
        <w:trPr>
          <w:trHeight w:val="255"/>
        </w:trPr>
        <w:tc>
          <w:tcPr>
            <w:tcW w:w="162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6138C4" w:rsidRPr="006138C4" w:rsidRDefault="006138C4" w:rsidP="006138C4">
            <w:pPr>
              <w:rPr>
                <w:rFonts w:eastAsia="Times New Roman"/>
                <w:b/>
                <w:bCs/>
                <w:sz w:val="20"/>
                <w:szCs w:val="20"/>
              </w:rPr>
            </w:pPr>
            <w:r w:rsidRPr="006138C4">
              <w:rPr>
                <w:rFonts w:eastAsia="Times New Roman"/>
                <w:b/>
                <w:bCs/>
                <w:sz w:val="20"/>
                <w:szCs w:val="20"/>
              </w:rPr>
              <w:t>Category</w:t>
            </w:r>
          </w:p>
        </w:tc>
        <w:tc>
          <w:tcPr>
            <w:tcW w:w="1569" w:type="dxa"/>
            <w:gridSpan w:val="2"/>
            <w:tcBorders>
              <w:top w:val="single" w:sz="4" w:space="0" w:color="auto"/>
              <w:left w:val="nil"/>
              <w:bottom w:val="single" w:sz="4" w:space="0" w:color="auto"/>
              <w:right w:val="single" w:sz="4" w:space="0" w:color="auto"/>
            </w:tcBorders>
            <w:shd w:val="clear" w:color="000000" w:fill="BFBFBF"/>
            <w:noWrap/>
            <w:vAlign w:val="bottom"/>
            <w:hideMark/>
          </w:tcPr>
          <w:p w:rsidR="006138C4" w:rsidRPr="006138C4" w:rsidRDefault="006138C4" w:rsidP="006138C4">
            <w:pPr>
              <w:rPr>
                <w:rFonts w:eastAsia="Times New Roman"/>
                <w:b/>
                <w:bCs/>
                <w:sz w:val="20"/>
                <w:szCs w:val="20"/>
              </w:rPr>
            </w:pPr>
            <w:r w:rsidRPr="006138C4">
              <w:rPr>
                <w:rFonts w:eastAsia="Times New Roman"/>
                <w:b/>
                <w:bCs/>
                <w:sz w:val="20"/>
                <w:szCs w:val="20"/>
              </w:rPr>
              <w:t>Subcategory</w:t>
            </w:r>
          </w:p>
        </w:tc>
        <w:tc>
          <w:tcPr>
            <w:tcW w:w="2460" w:type="dxa"/>
            <w:tcBorders>
              <w:top w:val="single" w:sz="4" w:space="0" w:color="auto"/>
              <w:left w:val="nil"/>
              <w:bottom w:val="single" w:sz="4" w:space="0" w:color="auto"/>
              <w:right w:val="single" w:sz="4" w:space="0" w:color="auto"/>
            </w:tcBorders>
            <w:shd w:val="clear" w:color="000000" w:fill="BFBFBF"/>
            <w:noWrap/>
            <w:vAlign w:val="bottom"/>
            <w:hideMark/>
          </w:tcPr>
          <w:p w:rsidR="006138C4" w:rsidRPr="006138C4" w:rsidRDefault="006138C4" w:rsidP="006138C4">
            <w:pPr>
              <w:rPr>
                <w:rFonts w:eastAsia="Times New Roman"/>
                <w:b/>
                <w:bCs/>
                <w:sz w:val="20"/>
                <w:szCs w:val="20"/>
              </w:rPr>
            </w:pPr>
            <w:r w:rsidRPr="006138C4">
              <w:rPr>
                <w:rFonts w:eastAsia="Times New Roman"/>
                <w:b/>
                <w:bCs/>
                <w:sz w:val="20"/>
                <w:szCs w:val="20"/>
              </w:rPr>
              <w:t>Item</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Alcohol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bottle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Alcohol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bottle, pocket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Alcohol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bowl, punch (possible)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Alcohol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decanter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Alcohol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glasses, wine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Coffee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 coffee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Coffee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coffee mill</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Coffee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cup, coffee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Coffee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cups and saucers, coffee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Coffee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pot, coffee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General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General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jug</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General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mug</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General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pitcher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General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pot, cream</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General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pot, milk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General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tankard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General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tumblers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cock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cork drawers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cork screw</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Tea</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 xml:space="preserve">cups and saucers  </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Tea</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cups and saucers, tea</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Tea</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 sugar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Tea</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kettle, tea</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Beverage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Tea</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pot, tea</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bandanna</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buckle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cord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cufflinks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garters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handkerchief</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mask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necklace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pocket book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Accessories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spectacles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breeches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caddow</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cape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cloak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coat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coat strap</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coverlet</w:t>
            </w:r>
          </w:p>
        </w:tc>
      </w:tr>
      <w:tr w:rsidR="006138C4" w:rsidRPr="006138C4" w:rsidTr="006138C4">
        <w:trPr>
          <w:trHeight w:val="255"/>
        </w:trPr>
        <w:tc>
          <w:tcPr>
            <w:tcW w:w="3189" w:type="dxa"/>
            <w:gridSpan w:val="3"/>
            <w:tcBorders>
              <w:top w:val="nil"/>
              <w:left w:val="nil"/>
              <w:bottom w:val="nil"/>
              <w:right w:val="nil"/>
            </w:tcBorders>
            <w:shd w:val="clear" w:color="auto" w:fill="auto"/>
            <w:noWrap/>
            <w:vAlign w:val="bottom"/>
            <w:hideMark/>
          </w:tcPr>
          <w:p w:rsidR="006138C4" w:rsidRPr="002E7C31" w:rsidRDefault="006138C4" w:rsidP="006138C4">
            <w:pPr>
              <w:rPr>
                <w:rFonts w:eastAsia="Times New Roman"/>
                <w:color w:val="000000"/>
              </w:rPr>
            </w:pPr>
            <w:r w:rsidRPr="002E7C31">
              <w:rPr>
                <w:rFonts w:eastAsia="Times New Roman"/>
                <w:b/>
                <w:bCs/>
                <w:color w:val="000000"/>
              </w:rPr>
              <w:lastRenderedPageBreak/>
              <w:t>Table A-3</w:t>
            </w:r>
            <w:r w:rsidRPr="002E7C31">
              <w:rPr>
                <w:rFonts w:eastAsia="Times New Roman"/>
                <w:color w:val="000000"/>
              </w:rPr>
              <w:t xml:space="preserve"> (continued).</w:t>
            </w: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62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1569" w:type="dxa"/>
            <w:gridSpan w:val="2"/>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6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Category</w:t>
            </w:r>
          </w:p>
        </w:tc>
        <w:tc>
          <w:tcPr>
            <w:tcW w:w="1569" w:type="dxa"/>
            <w:gridSpan w:val="2"/>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Subcategory</w:t>
            </w:r>
          </w:p>
        </w:tc>
        <w:tc>
          <w:tcPr>
            <w:tcW w:w="2460" w:type="dxa"/>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Item</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gown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hoods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manteletts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stays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stockings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Apparel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sun cap</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Footwear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boot strap</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Footwear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boots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Footwear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brush, shoe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Footwear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hose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Footwear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pumps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Footwear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shoe tools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Footwear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shoes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Footwear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shoes and pumps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Footwear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 shoe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Gloves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gloves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Gloves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mitts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Headgear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bonnet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Headgear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caddow, hair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Headgear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cap</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Headgear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coverlet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Headgear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Clothing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Headgear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hat or bonnet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Comment</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Comment</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comment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Food Preparation</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Cooking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dutch oven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Food Preparation</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Cooking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measure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Food Preparation</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Cooking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milk pan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Food Preparation</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Cooking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pan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Food Preparation</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Cooking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pot, butter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Food Preparation</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Processing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funnel</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Food Preparation</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Processing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mortar and pestle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Food Preparation</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Processing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sieve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Cutlery</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knives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Cutlery</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knives and forks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Cutlery</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spoon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basket, bread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 flat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 soup</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 spoon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plate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plate, butter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plate, flat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Dishes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plate, soup</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cruet</w:t>
            </w:r>
          </w:p>
        </w:tc>
      </w:tr>
      <w:tr w:rsidR="006138C4" w:rsidRPr="006138C4" w:rsidTr="006138C4">
        <w:trPr>
          <w:trHeight w:val="255"/>
        </w:trPr>
        <w:tc>
          <w:tcPr>
            <w:tcW w:w="3189" w:type="dxa"/>
            <w:gridSpan w:val="3"/>
            <w:tcBorders>
              <w:top w:val="nil"/>
              <w:left w:val="nil"/>
              <w:bottom w:val="nil"/>
              <w:right w:val="nil"/>
            </w:tcBorders>
            <w:shd w:val="clear" w:color="auto" w:fill="auto"/>
            <w:noWrap/>
            <w:vAlign w:val="bottom"/>
            <w:hideMark/>
          </w:tcPr>
          <w:p w:rsidR="006138C4" w:rsidRPr="002E7C31" w:rsidRDefault="006138C4" w:rsidP="006138C4">
            <w:pPr>
              <w:rPr>
                <w:rFonts w:eastAsia="Times New Roman"/>
                <w:color w:val="000000"/>
              </w:rPr>
            </w:pPr>
            <w:r w:rsidRPr="002E7C31">
              <w:rPr>
                <w:rFonts w:eastAsia="Times New Roman"/>
                <w:b/>
                <w:bCs/>
                <w:color w:val="000000"/>
              </w:rPr>
              <w:lastRenderedPageBreak/>
              <w:t>Table A-3</w:t>
            </w:r>
            <w:r w:rsidRPr="002E7C31">
              <w:rPr>
                <w:rFonts w:eastAsia="Times New Roman"/>
                <w:color w:val="000000"/>
              </w:rPr>
              <w:t xml:space="preserve"> (continued).</w:t>
            </w: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62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1569" w:type="dxa"/>
            <w:gridSpan w:val="2"/>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6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Category</w:t>
            </w:r>
          </w:p>
        </w:tc>
        <w:tc>
          <w:tcPr>
            <w:tcW w:w="1569" w:type="dxa"/>
            <w:gridSpan w:val="2"/>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Subcategory</w:t>
            </w:r>
          </w:p>
        </w:tc>
        <w:tc>
          <w:tcPr>
            <w:tcW w:w="2460" w:type="dxa"/>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Item</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mustard pot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pan, tart and custard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 Service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porringer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Furniture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Desk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desk cover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Furniture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Desk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desk furniture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Furniture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Desk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desk mountings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Furniture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Sleeping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bed bunt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Furniture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bed cord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glue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hinge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lead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line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lock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nails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padlock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rope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screw</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tap borer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twine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window glass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adze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auger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awl blade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axe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chisel</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chisel, socket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chisel, socket and gouge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compass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crowbar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cutteau (knife)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files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gimblet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gouge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grindstone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hammer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handsaw</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hatchet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howel</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iron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jointer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knives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nippers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pen knife</w:t>
            </w:r>
          </w:p>
        </w:tc>
      </w:tr>
      <w:tr w:rsidR="006138C4" w:rsidRPr="006138C4" w:rsidTr="006138C4">
        <w:trPr>
          <w:trHeight w:val="255"/>
        </w:trPr>
        <w:tc>
          <w:tcPr>
            <w:tcW w:w="3189" w:type="dxa"/>
            <w:gridSpan w:val="3"/>
            <w:tcBorders>
              <w:top w:val="nil"/>
              <w:left w:val="nil"/>
              <w:bottom w:val="nil"/>
              <w:right w:val="nil"/>
            </w:tcBorders>
            <w:shd w:val="clear" w:color="auto" w:fill="auto"/>
            <w:noWrap/>
            <w:vAlign w:val="bottom"/>
            <w:hideMark/>
          </w:tcPr>
          <w:p w:rsidR="006138C4" w:rsidRPr="002E7C31" w:rsidRDefault="006138C4" w:rsidP="006138C4">
            <w:pPr>
              <w:rPr>
                <w:rFonts w:eastAsia="Times New Roman"/>
                <w:color w:val="000000"/>
              </w:rPr>
            </w:pPr>
            <w:r w:rsidRPr="002E7C31">
              <w:rPr>
                <w:rFonts w:eastAsia="Times New Roman"/>
                <w:b/>
                <w:bCs/>
                <w:color w:val="000000"/>
              </w:rPr>
              <w:lastRenderedPageBreak/>
              <w:t>Table A-3</w:t>
            </w:r>
            <w:r w:rsidRPr="002E7C31">
              <w:rPr>
                <w:rFonts w:eastAsia="Times New Roman"/>
                <w:color w:val="000000"/>
              </w:rPr>
              <w:t xml:space="preserve"> (continued).</w:t>
            </w: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817" w:type="dxa"/>
            <w:gridSpan w:val="2"/>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1372"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817"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Category</w:t>
            </w:r>
          </w:p>
        </w:tc>
        <w:tc>
          <w:tcPr>
            <w:tcW w:w="1372" w:type="dxa"/>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Subcategory</w:t>
            </w:r>
          </w:p>
        </w:tc>
        <w:tc>
          <w:tcPr>
            <w:tcW w:w="2460" w:type="dxa"/>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Item</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pincers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reap hook</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riddle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saw</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scythe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sickle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sicklets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sieve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sieve, lawn</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Hardware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sifter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Heating</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Tools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bellows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Décor</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looking glass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Décor</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Painting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painting</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Beverage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ale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Beverage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beer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Beverage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liquor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Beverage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rum</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allspice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barley</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box, pepper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box, sugar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cheese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cinnamon</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cloves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ginger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mace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molasses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mustard</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nutmeg</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oil, florence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pepper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pimento</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salt</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Food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sugar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Lighting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candle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allum</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bitters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brimstone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glauber salt</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ipecacuanha</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jesuit bark</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launcet</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rhubarb</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Stoughtons Elixir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tarter emetic</w:t>
            </w:r>
          </w:p>
        </w:tc>
      </w:tr>
      <w:tr w:rsidR="006138C4" w:rsidRPr="006138C4" w:rsidTr="006138C4">
        <w:trPr>
          <w:trHeight w:val="255"/>
        </w:trPr>
        <w:tc>
          <w:tcPr>
            <w:tcW w:w="3189" w:type="dxa"/>
            <w:gridSpan w:val="3"/>
            <w:tcBorders>
              <w:top w:val="nil"/>
              <w:left w:val="nil"/>
              <w:bottom w:val="nil"/>
              <w:right w:val="nil"/>
            </w:tcBorders>
            <w:shd w:val="clear" w:color="auto" w:fill="auto"/>
            <w:noWrap/>
            <w:vAlign w:val="bottom"/>
            <w:hideMark/>
          </w:tcPr>
          <w:p w:rsidR="006138C4" w:rsidRPr="002E7C31" w:rsidRDefault="006138C4" w:rsidP="006138C4">
            <w:pPr>
              <w:rPr>
                <w:rFonts w:eastAsia="Times New Roman"/>
                <w:color w:val="000000"/>
              </w:rPr>
            </w:pPr>
            <w:r w:rsidRPr="002E7C31">
              <w:rPr>
                <w:rFonts w:eastAsia="Times New Roman"/>
                <w:b/>
                <w:bCs/>
                <w:color w:val="000000"/>
              </w:rPr>
              <w:lastRenderedPageBreak/>
              <w:t>Table A-3</w:t>
            </w:r>
            <w:r w:rsidRPr="002E7C31">
              <w:rPr>
                <w:rFonts w:eastAsia="Times New Roman"/>
                <w:color w:val="000000"/>
              </w:rPr>
              <w:t xml:space="preserve"> (continued).</w:t>
            </w: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817" w:type="dxa"/>
            <w:gridSpan w:val="2"/>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1372"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817"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Category</w:t>
            </w:r>
          </w:p>
        </w:tc>
        <w:tc>
          <w:tcPr>
            <w:tcW w:w="1372" w:type="dxa"/>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Subcategory</w:t>
            </w:r>
          </w:p>
        </w:tc>
        <w:tc>
          <w:tcPr>
            <w:tcW w:w="2460" w:type="dxa"/>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Item</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turlington's balsam</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Medicine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turpentine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canister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copperas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cork</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fig blue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indigo</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salt petre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Tea</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canister, tea</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Stores</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Tea</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tea</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Cleaning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blacking ball</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Cleaning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 xml:space="preserve">broom  </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Cleaning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broom head</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Cleaning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brush</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Cleaning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clamp</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Hygiene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basin</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Hygiene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basin, wash</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Hygiene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chamber pot</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Hygiene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comb</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Hygiene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razor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Hygiene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razor case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Hygiene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razor strop</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Hygiene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razor with case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Hygiene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soap</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blanket</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box iron with heater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knives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pot</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scissors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scoop</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Household Utensil</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watering can</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Instrument</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Measure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copper shells with beam</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Instrument</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Measure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rule</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Instrument</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Measure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stilliard</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Instrument</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color w:val="000000"/>
                <w:sz w:val="20"/>
                <w:szCs w:val="20"/>
              </w:rPr>
            </w:pPr>
            <w:r w:rsidRPr="006138C4">
              <w:rPr>
                <w:rFonts w:eastAsia="Times New Roman"/>
                <w:color w:val="000000"/>
                <w:sz w:val="20"/>
                <w:szCs w:val="20"/>
              </w:rPr>
              <w:t>Measure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weight</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Lighting</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Candle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candle mold</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Lighting</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Candle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candlestick</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Lighting</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Candle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candlestick and snuffer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Lighting</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Snuffer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snuffer</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Recreation</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Fishing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hook</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Recreation</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Fishing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 xml:space="preserve">line </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Recreation</w:t>
            </w:r>
          </w:p>
        </w:tc>
        <w:tc>
          <w:tcPr>
            <w:tcW w:w="1372" w:type="dxa"/>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Games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cards</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Recreation</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cat gut</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comb, curry</w:t>
            </w:r>
          </w:p>
        </w:tc>
      </w:tr>
      <w:tr w:rsidR="006138C4" w:rsidRPr="006138C4" w:rsidTr="006138C4">
        <w:trPr>
          <w:trHeight w:val="255"/>
        </w:trPr>
        <w:tc>
          <w:tcPr>
            <w:tcW w:w="1817" w:type="dxa"/>
            <w:gridSpan w:val="2"/>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372"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comb, curry and brushes</w:t>
            </w:r>
          </w:p>
        </w:tc>
      </w:tr>
      <w:tr w:rsidR="006138C4" w:rsidRPr="006138C4" w:rsidTr="006138C4">
        <w:trPr>
          <w:trHeight w:val="255"/>
        </w:trPr>
        <w:tc>
          <w:tcPr>
            <w:tcW w:w="3189" w:type="dxa"/>
            <w:gridSpan w:val="3"/>
            <w:tcBorders>
              <w:top w:val="nil"/>
              <w:left w:val="nil"/>
              <w:bottom w:val="nil"/>
              <w:right w:val="nil"/>
            </w:tcBorders>
            <w:shd w:val="clear" w:color="auto" w:fill="auto"/>
            <w:noWrap/>
            <w:vAlign w:val="bottom"/>
            <w:hideMark/>
          </w:tcPr>
          <w:p w:rsidR="006138C4" w:rsidRPr="002E7C31" w:rsidRDefault="006138C4" w:rsidP="006138C4">
            <w:pPr>
              <w:rPr>
                <w:rFonts w:eastAsia="Times New Roman"/>
                <w:color w:val="000000"/>
              </w:rPr>
            </w:pPr>
            <w:r w:rsidRPr="002E7C31">
              <w:rPr>
                <w:rFonts w:eastAsia="Times New Roman"/>
                <w:b/>
                <w:bCs/>
                <w:color w:val="000000"/>
              </w:rPr>
              <w:lastRenderedPageBreak/>
              <w:t>Table A-3</w:t>
            </w:r>
            <w:r w:rsidRPr="002E7C31">
              <w:rPr>
                <w:rFonts w:eastAsia="Times New Roman"/>
                <w:color w:val="000000"/>
              </w:rPr>
              <w:t xml:space="preserve"> (continued).</w:t>
            </w: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62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1569" w:type="dxa"/>
            <w:gridSpan w:val="2"/>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6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Category</w:t>
            </w:r>
          </w:p>
        </w:tc>
        <w:tc>
          <w:tcPr>
            <w:tcW w:w="1569" w:type="dxa"/>
            <w:gridSpan w:val="2"/>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Subcategory</w:t>
            </w:r>
          </w:p>
        </w:tc>
        <w:tc>
          <w:tcPr>
            <w:tcW w:w="2460" w:type="dxa"/>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Item</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phlegms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Miscellaneous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scissors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bridle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crupper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girths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halter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saddle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stirrup leathers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strap</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surcingle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Stable</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Tack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whip</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Bedding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bed ticks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Bedding</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mattress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Bedding Over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quills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alamode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alopeen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barley corn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baze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bearskin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beaver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bombasine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buckram</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calico</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callimanca</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camblet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cambric</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check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chintz</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cloth</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cloth housing</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cloth, broad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cloth, broad, possible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cotton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cotton, dell</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crape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damask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dimity</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dowlas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drab</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drugget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duffield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durant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duroy</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everlasting</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fife</w:t>
            </w:r>
          </w:p>
        </w:tc>
      </w:tr>
      <w:tr w:rsidR="006138C4" w:rsidRPr="006138C4" w:rsidTr="006138C4">
        <w:trPr>
          <w:trHeight w:val="255"/>
        </w:trPr>
        <w:tc>
          <w:tcPr>
            <w:tcW w:w="3189" w:type="dxa"/>
            <w:gridSpan w:val="3"/>
            <w:tcBorders>
              <w:top w:val="nil"/>
              <w:left w:val="nil"/>
              <w:bottom w:val="nil"/>
              <w:right w:val="nil"/>
            </w:tcBorders>
            <w:shd w:val="clear" w:color="auto" w:fill="auto"/>
            <w:noWrap/>
            <w:vAlign w:val="bottom"/>
            <w:hideMark/>
          </w:tcPr>
          <w:p w:rsidR="006138C4" w:rsidRPr="002E7C31" w:rsidRDefault="006138C4" w:rsidP="006138C4">
            <w:pPr>
              <w:rPr>
                <w:rFonts w:eastAsia="Times New Roman"/>
                <w:color w:val="000000"/>
              </w:rPr>
            </w:pPr>
            <w:r w:rsidRPr="002E7C31">
              <w:rPr>
                <w:rFonts w:eastAsia="Times New Roman"/>
                <w:b/>
                <w:bCs/>
                <w:color w:val="000000"/>
              </w:rPr>
              <w:lastRenderedPageBreak/>
              <w:t>Table A-3</w:t>
            </w:r>
            <w:r w:rsidRPr="002E7C31">
              <w:rPr>
                <w:rFonts w:eastAsia="Times New Roman"/>
                <w:color w:val="000000"/>
              </w:rPr>
              <w:t xml:space="preserve"> (continued).</w:t>
            </w: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62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1569" w:type="dxa"/>
            <w:gridSpan w:val="2"/>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6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Category</w:t>
            </w:r>
          </w:p>
        </w:tc>
        <w:tc>
          <w:tcPr>
            <w:tcW w:w="1569" w:type="dxa"/>
            <w:gridSpan w:val="2"/>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Subcategory</w:t>
            </w:r>
          </w:p>
        </w:tc>
        <w:tc>
          <w:tcPr>
            <w:tcW w:w="2460" w:type="dxa"/>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Item</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figure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flannel</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frieze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fustain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garlax</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gauze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halfthick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harden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holland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humhums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jean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kersey</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lawn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linen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linsey</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mazareen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muslin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nankeen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nunnies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oznabrig</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persian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plaiding</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roll</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rommal</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sagathy</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sarge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shag</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shalloon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sheeting</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shevareen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silk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stuff</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tablecloth</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taffety</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tammy</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tartan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twilling</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velvet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Fabric</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worsted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Floor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carpet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Floor</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rug</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button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buttons and twist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crewel (yarn)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ferret</w:t>
            </w:r>
          </w:p>
        </w:tc>
      </w:tr>
      <w:tr w:rsidR="006138C4" w:rsidRPr="006138C4" w:rsidTr="006138C4">
        <w:trPr>
          <w:trHeight w:val="255"/>
        </w:trPr>
        <w:tc>
          <w:tcPr>
            <w:tcW w:w="3189" w:type="dxa"/>
            <w:gridSpan w:val="3"/>
            <w:tcBorders>
              <w:top w:val="nil"/>
              <w:left w:val="nil"/>
              <w:bottom w:val="nil"/>
              <w:right w:val="nil"/>
            </w:tcBorders>
            <w:shd w:val="clear" w:color="auto" w:fill="auto"/>
            <w:noWrap/>
            <w:vAlign w:val="bottom"/>
            <w:hideMark/>
          </w:tcPr>
          <w:p w:rsidR="006138C4" w:rsidRPr="002E7C31" w:rsidRDefault="006138C4" w:rsidP="006138C4">
            <w:pPr>
              <w:rPr>
                <w:rFonts w:eastAsia="Times New Roman"/>
                <w:color w:val="000000"/>
              </w:rPr>
            </w:pPr>
            <w:r w:rsidRPr="002E7C31">
              <w:rPr>
                <w:rFonts w:eastAsia="Times New Roman"/>
                <w:b/>
                <w:bCs/>
                <w:color w:val="000000"/>
              </w:rPr>
              <w:lastRenderedPageBreak/>
              <w:t>Table A-3</w:t>
            </w:r>
            <w:r w:rsidRPr="002E7C31">
              <w:rPr>
                <w:rFonts w:eastAsia="Times New Roman"/>
                <w:color w:val="000000"/>
              </w:rPr>
              <w:t xml:space="preserve"> (continued).</w:t>
            </w: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62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1569" w:type="dxa"/>
            <w:gridSpan w:val="2"/>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c>
          <w:tcPr>
            <w:tcW w:w="2460" w:type="dxa"/>
            <w:tcBorders>
              <w:top w:val="nil"/>
              <w:left w:val="nil"/>
              <w:bottom w:val="nil"/>
              <w:right w:val="nil"/>
            </w:tcBorders>
            <w:shd w:val="clear" w:color="auto" w:fill="auto"/>
            <w:noWrap/>
            <w:vAlign w:val="bottom"/>
            <w:hideMark/>
          </w:tcPr>
          <w:p w:rsidR="006138C4" w:rsidRPr="006138C4" w:rsidRDefault="006138C4" w:rsidP="006138C4">
            <w:pPr>
              <w:rPr>
                <w:rFonts w:eastAsia="Times New Roman"/>
                <w:color w:val="000000"/>
                <w:sz w:val="20"/>
                <w:szCs w:val="20"/>
              </w:rPr>
            </w:pPr>
          </w:p>
        </w:tc>
      </w:tr>
      <w:tr w:rsidR="006138C4" w:rsidRPr="006138C4" w:rsidTr="006138C4">
        <w:trPr>
          <w:trHeight w:val="255"/>
        </w:trPr>
        <w:tc>
          <w:tcPr>
            <w:tcW w:w="162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Category</w:t>
            </w:r>
          </w:p>
        </w:tc>
        <w:tc>
          <w:tcPr>
            <w:tcW w:w="1569" w:type="dxa"/>
            <w:gridSpan w:val="2"/>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Subcategory</w:t>
            </w:r>
          </w:p>
        </w:tc>
        <w:tc>
          <w:tcPr>
            <w:tcW w:w="2460" w:type="dxa"/>
            <w:tcBorders>
              <w:top w:val="single" w:sz="4" w:space="0" w:color="auto"/>
              <w:left w:val="nil"/>
              <w:bottom w:val="single" w:sz="4" w:space="0" w:color="auto"/>
              <w:right w:val="single" w:sz="4" w:space="0" w:color="auto"/>
            </w:tcBorders>
            <w:shd w:val="clear" w:color="000000" w:fill="C0C0C0"/>
            <w:noWrap/>
            <w:vAlign w:val="bottom"/>
            <w:hideMark/>
          </w:tcPr>
          <w:p w:rsidR="006138C4" w:rsidRPr="006138C4" w:rsidRDefault="006138C4" w:rsidP="006138C4">
            <w:pPr>
              <w:jc w:val="center"/>
              <w:rPr>
                <w:rFonts w:eastAsia="Times New Roman"/>
                <w:b/>
                <w:bCs/>
                <w:color w:val="000000"/>
                <w:sz w:val="20"/>
                <w:szCs w:val="20"/>
              </w:rPr>
            </w:pPr>
            <w:r w:rsidRPr="006138C4">
              <w:rPr>
                <w:rFonts w:eastAsia="Times New Roman"/>
                <w:b/>
                <w:bCs/>
                <w:color w:val="000000"/>
                <w:sz w:val="20"/>
                <w:szCs w:val="20"/>
              </w:rPr>
              <w:t>Item</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fringe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incle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lace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laces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mohair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needle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pins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pins, possible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ribbon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sorele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tape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tapes or wimble bits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thimble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thread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Notions</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twist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Production</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cards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Textiles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Production</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shears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Tobacco</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Tobacco</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box, snuff</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Tobacco</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Tobacco</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box, tobacco</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Tobacco</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Tobacco</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pipe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Tobacco</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Tobacco</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snuff</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Travel</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Storage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trunk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Unidentified</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Unidentified</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quart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Weapons</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Edge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sword</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Weapons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Fire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gun</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Weapons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Fire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gunflint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Weapons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Fire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gunpowder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Weapons</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Fire</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shot</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Book</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book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book</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index</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 xml:space="preserve">ink  </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ink holder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ink powder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ledger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ledger index</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letter folder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memorandum books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paper</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slate</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slates with pencils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wafers</w:t>
            </w:r>
          </w:p>
        </w:tc>
      </w:tr>
      <w:tr w:rsidR="006138C4" w:rsidRPr="006138C4" w:rsidTr="006138C4">
        <w:trPr>
          <w:trHeight w:val="25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Writing</w:t>
            </w:r>
          </w:p>
        </w:tc>
        <w:tc>
          <w:tcPr>
            <w:tcW w:w="1569" w:type="dxa"/>
            <w:gridSpan w:val="2"/>
            <w:tcBorders>
              <w:top w:val="nil"/>
              <w:left w:val="nil"/>
              <w:bottom w:val="single" w:sz="4" w:space="0" w:color="auto"/>
              <w:right w:val="single" w:sz="4" w:space="0" w:color="auto"/>
            </w:tcBorders>
            <w:shd w:val="clear" w:color="auto" w:fill="auto"/>
            <w:vAlign w:val="bottom"/>
            <w:hideMark/>
          </w:tcPr>
          <w:p w:rsidR="006138C4" w:rsidRPr="006138C4" w:rsidRDefault="006138C4" w:rsidP="006138C4">
            <w:pPr>
              <w:rPr>
                <w:rFonts w:eastAsia="Times New Roman"/>
                <w:sz w:val="20"/>
                <w:szCs w:val="20"/>
              </w:rPr>
            </w:pPr>
            <w:r w:rsidRPr="006138C4">
              <w:rPr>
                <w:rFonts w:eastAsia="Times New Roman"/>
                <w:sz w:val="20"/>
                <w:szCs w:val="20"/>
              </w:rPr>
              <w:t>Material</w:t>
            </w:r>
          </w:p>
        </w:tc>
        <w:tc>
          <w:tcPr>
            <w:tcW w:w="2460" w:type="dxa"/>
            <w:tcBorders>
              <w:top w:val="nil"/>
              <w:left w:val="nil"/>
              <w:bottom w:val="single" w:sz="4" w:space="0" w:color="auto"/>
              <w:right w:val="single" w:sz="4" w:space="0" w:color="auto"/>
            </w:tcBorders>
            <w:shd w:val="clear" w:color="auto" w:fill="auto"/>
            <w:noWrap/>
            <w:vAlign w:val="bottom"/>
            <w:hideMark/>
          </w:tcPr>
          <w:p w:rsidR="006138C4" w:rsidRPr="006138C4" w:rsidRDefault="006138C4" w:rsidP="006138C4">
            <w:pPr>
              <w:rPr>
                <w:rFonts w:eastAsia="Times New Roman"/>
                <w:sz w:val="20"/>
                <w:szCs w:val="20"/>
              </w:rPr>
            </w:pPr>
            <w:r w:rsidRPr="006138C4">
              <w:rPr>
                <w:rFonts w:eastAsia="Times New Roman"/>
                <w:sz w:val="20"/>
                <w:szCs w:val="20"/>
              </w:rPr>
              <w:t>wax</w:t>
            </w:r>
          </w:p>
        </w:tc>
      </w:tr>
    </w:tbl>
    <w:p w:rsidR="009E3820" w:rsidRDefault="009E3820"/>
    <w:p w:rsidR="009E3820" w:rsidRDefault="009E3820">
      <w:pPr>
        <w:sectPr w:rsidR="009E3820" w:rsidSect="00F1721E">
          <w:pgSz w:w="12240" w:h="15840"/>
          <w:pgMar w:top="1440" w:right="1440" w:bottom="1440" w:left="1440" w:header="720" w:footer="720" w:gutter="0"/>
          <w:cols w:space="720"/>
          <w:docGrid w:linePitch="360"/>
        </w:sectPr>
      </w:pPr>
    </w:p>
    <w:p w:rsidR="009F22B2" w:rsidRDefault="009E3820">
      <w:r w:rsidRPr="009E3820">
        <w:rPr>
          <w:b/>
        </w:rPr>
        <w:lastRenderedPageBreak/>
        <w:t>Table A-4.</w:t>
      </w:r>
      <w:r>
        <w:t xml:space="preserve">  Books owned by George Washington at Mount Vernon before 1775.</w:t>
      </w:r>
    </w:p>
    <w:p w:rsidR="009E3820" w:rsidRDefault="009E3820"/>
    <w:tbl>
      <w:tblPr>
        <w:tblW w:w="12960" w:type="dxa"/>
        <w:tblInd w:w="91" w:type="dxa"/>
        <w:tblLook w:val="04A0"/>
      </w:tblPr>
      <w:tblGrid>
        <w:gridCol w:w="2476"/>
        <w:gridCol w:w="1161"/>
        <w:gridCol w:w="4435"/>
        <w:gridCol w:w="1060"/>
        <w:gridCol w:w="840"/>
        <w:gridCol w:w="950"/>
        <w:gridCol w:w="2038"/>
      </w:tblGrid>
      <w:tr w:rsidR="006C044A" w:rsidRPr="006C044A" w:rsidTr="002E7C31">
        <w:trPr>
          <w:trHeight w:val="510"/>
        </w:trPr>
        <w:tc>
          <w:tcPr>
            <w:tcW w:w="2476"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Title (Abbot and Twohig 1990[7]:343-350)</w:t>
            </w:r>
          </w:p>
        </w:tc>
        <w:tc>
          <w:tcPr>
            <w:tcW w:w="1161"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In LW's Inventory?</w:t>
            </w:r>
          </w:p>
        </w:tc>
        <w:tc>
          <w:tcPr>
            <w:tcW w:w="4435" w:type="dxa"/>
            <w:tcBorders>
              <w:top w:val="single" w:sz="4" w:space="0" w:color="auto"/>
              <w:left w:val="nil"/>
              <w:bottom w:val="single" w:sz="4" w:space="0" w:color="auto"/>
              <w:right w:val="single" w:sz="4" w:space="0" w:color="auto"/>
            </w:tcBorders>
            <w:shd w:val="clear" w:color="000000" w:fill="D8D8D8"/>
            <w:vAlign w:val="bottom"/>
            <w:hideMark/>
          </w:tcPr>
          <w:p w:rsidR="006C044A" w:rsidRPr="002E7C31" w:rsidRDefault="006C044A" w:rsidP="006C044A">
            <w:pPr>
              <w:rPr>
                <w:rFonts w:eastAsia="Times New Roman"/>
                <w:b/>
                <w:bCs/>
                <w:color w:val="000000"/>
                <w:sz w:val="20"/>
                <w:szCs w:val="20"/>
              </w:rPr>
            </w:pPr>
            <w:r w:rsidRPr="002E7C31">
              <w:rPr>
                <w:rFonts w:eastAsia="Times New Roman"/>
                <w:b/>
                <w:bCs/>
                <w:color w:val="000000"/>
                <w:sz w:val="20"/>
                <w:szCs w:val="20"/>
              </w:rPr>
              <w:t>Citation (Abbot and Twohig 1990[7]:343-350)</w:t>
            </w:r>
          </w:p>
        </w:tc>
        <w:tc>
          <w:tcPr>
            <w:tcW w:w="106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jc w:val="center"/>
              <w:rPr>
                <w:rFonts w:eastAsia="Times New Roman"/>
                <w:b/>
                <w:bCs/>
                <w:color w:val="000000"/>
                <w:sz w:val="20"/>
                <w:szCs w:val="20"/>
              </w:rPr>
            </w:pPr>
            <w:r w:rsidRPr="006C044A">
              <w:rPr>
                <w:rFonts w:eastAsia="Times New Roman"/>
                <w:b/>
                <w:bCs/>
                <w:color w:val="000000"/>
                <w:sz w:val="20"/>
                <w:szCs w:val="20"/>
              </w:rPr>
              <w:t xml:space="preserve">Volumes </w:t>
            </w:r>
          </w:p>
        </w:tc>
        <w:tc>
          <w:tcPr>
            <w:tcW w:w="84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jc w:val="center"/>
              <w:rPr>
                <w:rFonts w:eastAsia="Times New Roman"/>
                <w:b/>
                <w:bCs/>
                <w:color w:val="000000"/>
                <w:sz w:val="20"/>
                <w:szCs w:val="20"/>
              </w:rPr>
            </w:pPr>
            <w:r w:rsidRPr="006C044A">
              <w:rPr>
                <w:rFonts w:eastAsia="Times New Roman"/>
                <w:b/>
                <w:bCs/>
                <w:color w:val="000000"/>
                <w:sz w:val="20"/>
                <w:szCs w:val="20"/>
              </w:rPr>
              <w:t>Size</w:t>
            </w:r>
          </w:p>
        </w:tc>
        <w:tc>
          <w:tcPr>
            <w:tcW w:w="95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Year Invoiced</w:t>
            </w:r>
          </w:p>
        </w:tc>
        <w:tc>
          <w:tcPr>
            <w:tcW w:w="2038"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Subject</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Duhamels Husby</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Henri Louis Duhamel du Monceau. </w:t>
            </w:r>
            <w:r w:rsidRPr="002E7C31">
              <w:rPr>
                <w:rFonts w:eastAsia="Times New Roman"/>
                <w:i/>
                <w:iCs/>
                <w:color w:val="000000"/>
                <w:sz w:val="20"/>
                <w:szCs w:val="20"/>
              </w:rPr>
              <w:t>A practical treatise of husbandry</w:t>
            </w:r>
            <w:r w:rsidRPr="002E7C31">
              <w:rPr>
                <w:rFonts w:eastAsia="Times New Roman"/>
                <w:color w:val="000000"/>
                <w:sz w:val="20"/>
                <w:szCs w:val="20"/>
              </w:rPr>
              <w:t>. London, 1762</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Agriculture/Gardening</w:t>
            </w:r>
          </w:p>
        </w:tc>
      </w:tr>
      <w:tr w:rsidR="006C044A" w:rsidRPr="006C044A" w:rsidTr="002E7C31">
        <w:trPr>
          <w:trHeight w:val="3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Farmers Guide</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John Ball. </w:t>
            </w:r>
            <w:r w:rsidRPr="002E7C31">
              <w:rPr>
                <w:rFonts w:eastAsia="Times New Roman"/>
                <w:i/>
                <w:iCs/>
                <w:color w:val="000000"/>
                <w:sz w:val="20"/>
                <w:szCs w:val="20"/>
              </w:rPr>
              <w:t>The farmer’s compleat guide</w:t>
            </w:r>
            <w:r w:rsidRPr="002E7C31">
              <w:rPr>
                <w:rFonts w:eastAsia="Times New Roman"/>
                <w:color w:val="000000"/>
                <w:sz w:val="20"/>
                <w:szCs w:val="20"/>
              </w:rPr>
              <w:t>. London, 1760</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Agriculture/Gardening</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Hales Husbandry</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Thomas Hale. </w:t>
            </w:r>
            <w:r w:rsidRPr="002E7C31">
              <w:rPr>
                <w:rFonts w:eastAsia="Times New Roman"/>
                <w:i/>
                <w:iCs/>
                <w:color w:val="000000"/>
                <w:sz w:val="20"/>
                <w:szCs w:val="20"/>
              </w:rPr>
              <w:t>A compleat body of husbandry</w:t>
            </w:r>
            <w:r w:rsidRPr="002E7C31">
              <w:rPr>
                <w:rFonts w:eastAsia="Times New Roman"/>
                <w:color w:val="000000"/>
                <w:sz w:val="20"/>
                <w:szCs w:val="20"/>
              </w:rPr>
              <w:t>. 4 volumes. London, 1758–59</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4</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1761</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Agriculture/Gardening</w:t>
            </w:r>
          </w:p>
        </w:tc>
      </w:tr>
      <w:tr w:rsidR="006C044A" w:rsidRPr="006C044A" w:rsidTr="002E7C31">
        <w:trPr>
          <w:trHeight w:val="2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Home on Agriculture</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Agriculture/Gardening</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Langley’s Gardeng</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Batty Langley. </w:t>
            </w:r>
            <w:r w:rsidRPr="002E7C31">
              <w:rPr>
                <w:rFonts w:eastAsia="Times New Roman"/>
                <w:i/>
                <w:iCs/>
                <w:color w:val="000000"/>
                <w:sz w:val="20"/>
                <w:szCs w:val="20"/>
              </w:rPr>
              <w:t>New principles of gardening</w:t>
            </w:r>
            <w:r w:rsidRPr="002E7C31">
              <w:rPr>
                <w:rFonts w:eastAsia="Times New Roman"/>
                <w:color w:val="000000"/>
                <w:sz w:val="20"/>
                <w:szCs w:val="20"/>
              </w:rPr>
              <w:t>. London, 1728</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1759</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Agriculture/Gardening</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Lisles Do [</w:t>
            </w:r>
            <w:r w:rsidRPr="006C044A">
              <w:rPr>
                <w:rFonts w:eastAsia="Times New Roman"/>
                <w:sz w:val="20"/>
                <w:szCs w:val="20"/>
              </w:rPr>
              <w:t>Husbandry]</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Edward Lisle. </w:t>
            </w:r>
            <w:r w:rsidRPr="002E7C31">
              <w:rPr>
                <w:rFonts w:eastAsia="Times New Roman"/>
                <w:i/>
                <w:iCs/>
                <w:color w:val="000000"/>
                <w:sz w:val="20"/>
                <w:szCs w:val="20"/>
              </w:rPr>
              <w:t>Observations in husbandry</w:t>
            </w:r>
            <w:r w:rsidRPr="002E7C31">
              <w:rPr>
                <w:rFonts w:eastAsia="Times New Roman"/>
                <w:color w:val="000000"/>
                <w:sz w:val="20"/>
                <w:szCs w:val="20"/>
              </w:rPr>
              <w:t>. 2 volumes. London, 1757</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1759</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Agriculture/Gardening</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Maxwels Hy</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Robert Maxwell. </w:t>
            </w:r>
            <w:r w:rsidRPr="002E7C31">
              <w:rPr>
                <w:rFonts w:eastAsia="Times New Roman"/>
                <w:i/>
                <w:iCs/>
                <w:color w:val="000000"/>
                <w:sz w:val="20"/>
                <w:szCs w:val="20"/>
              </w:rPr>
              <w:t>The practical husbandman</w:t>
            </w:r>
            <w:r w:rsidRPr="002E7C31">
              <w:rPr>
                <w:rFonts w:eastAsia="Times New Roman"/>
                <w:color w:val="000000"/>
                <w:sz w:val="20"/>
                <w:szCs w:val="20"/>
              </w:rPr>
              <w:t>. London, 1757</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Agriculture/Gardening</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Millers Gardrs Dicty.</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Philip Miller. </w:t>
            </w:r>
            <w:r w:rsidRPr="002E7C31">
              <w:rPr>
                <w:rFonts w:eastAsia="Times New Roman"/>
                <w:i/>
                <w:iCs/>
                <w:color w:val="000000"/>
                <w:sz w:val="20"/>
                <w:szCs w:val="20"/>
              </w:rPr>
              <w:t>Abridgement of the gardener’s dictionary</w:t>
            </w:r>
            <w:r w:rsidRPr="002E7C31">
              <w:rPr>
                <w:rFonts w:eastAsia="Times New Roman"/>
                <w:color w:val="000000"/>
                <w:sz w:val="20"/>
                <w:szCs w:val="20"/>
              </w:rPr>
              <w:t>. London, 1763</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Agriculture/Gardening</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New System of Agriculture</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Edward Weston. </w:t>
            </w:r>
            <w:r w:rsidRPr="002E7C31">
              <w:rPr>
                <w:rFonts w:eastAsia="Times New Roman"/>
                <w:i/>
                <w:iCs/>
                <w:color w:val="000000"/>
                <w:sz w:val="20"/>
                <w:szCs w:val="20"/>
              </w:rPr>
              <w:t>New system of agriculture</w:t>
            </w:r>
            <w:r w:rsidRPr="002E7C31">
              <w:rPr>
                <w:rFonts w:eastAsia="Times New Roman"/>
                <w:color w:val="000000"/>
                <w:sz w:val="20"/>
                <w:szCs w:val="20"/>
              </w:rPr>
              <w:t>. London, 1755</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1759</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Agriculture/Gardening</w:t>
            </w:r>
          </w:p>
        </w:tc>
      </w:tr>
      <w:tr w:rsidR="006C044A" w:rsidRPr="006C044A" w:rsidTr="002E7C31">
        <w:trPr>
          <w:trHeight w:val="2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Gibsons Farriery</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i/>
                <w:iCs/>
                <w:color w:val="000000"/>
                <w:sz w:val="20"/>
                <w:szCs w:val="20"/>
              </w:rPr>
            </w:pPr>
            <w:r w:rsidRPr="002E7C31">
              <w:rPr>
                <w:rFonts w:eastAsia="Times New Roman"/>
                <w:i/>
                <w:i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1759</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Animal Husbandry</w:t>
            </w:r>
          </w:p>
        </w:tc>
      </w:tr>
      <w:tr w:rsidR="006C044A" w:rsidRPr="006C044A" w:rsidTr="002E7C31">
        <w:trPr>
          <w:trHeight w:val="8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Solleysells Farriery</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Jacques de Solleysell. </w:t>
            </w:r>
            <w:r w:rsidRPr="002E7C31">
              <w:rPr>
                <w:rFonts w:eastAsia="Times New Roman"/>
                <w:i/>
                <w:iCs/>
                <w:color w:val="000000"/>
                <w:sz w:val="20"/>
                <w:szCs w:val="20"/>
              </w:rPr>
              <w:t>The compleat horseman: or, perfect farrier</w:t>
            </w:r>
            <w:r w:rsidRPr="002E7C31">
              <w:rPr>
                <w:rFonts w:eastAsia="Times New Roman"/>
                <w:color w:val="000000"/>
                <w:sz w:val="20"/>
                <w:szCs w:val="20"/>
              </w:rPr>
              <w:t>. Translated by Sir William Hope. London, 1729</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Animal Husbandry</w:t>
            </w:r>
          </w:p>
        </w:tc>
      </w:tr>
      <w:tr w:rsidR="006C044A" w:rsidRPr="006C044A" w:rsidTr="002E7C31">
        <w:trPr>
          <w:trHeight w:val="8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Nature Displayd</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Antoine Noël Pluche. </w:t>
            </w:r>
            <w:r w:rsidRPr="002E7C31">
              <w:rPr>
                <w:rFonts w:eastAsia="Times New Roman"/>
                <w:i/>
                <w:iCs/>
                <w:color w:val="000000"/>
                <w:sz w:val="20"/>
                <w:szCs w:val="20"/>
              </w:rPr>
              <w:t>Spectacle de la nature; or, nature display’d</w:t>
            </w:r>
            <w:r w:rsidRPr="002E7C31">
              <w:rPr>
                <w:rFonts w:eastAsia="Times New Roman"/>
                <w:color w:val="000000"/>
                <w:sz w:val="20"/>
                <w:szCs w:val="20"/>
              </w:rPr>
              <w:t>. Vols. 1–3 translated by Samuel Humphreys. 4 volumes. London, 1736–39</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4</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Astronomy</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Anson’s Voyage</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George Anson. </w:t>
            </w:r>
            <w:r w:rsidRPr="002E7C31">
              <w:rPr>
                <w:rFonts w:eastAsia="Times New Roman"/>
                <w:i/>
                <w:iCs/>
                <w:color w:val="000000"/>
                <w:sz w:val="20"/>
                <w:szCs w:val="20"/>
              </w:rPr>
              <w:t>A voyage round the world, in the years MDCCXL, I, II, III, IV</w:t>
            </w:r>
            <w:r w:rsidRPr="002E7C31">
              <w:rPr>
                <w:rFonts w:eastAsia="Times New Roman"/>
                <w:color w:val="000000"/>
                <w:sz w:val="20"/>
                <w:szCs w:val="20"/>
              </w:rPr>
              <w:t>. London, 1749</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FF0000"/>
                <w:sz w:val="20"/>
                <w:szCs w:val="20"/>
              </w:rPr>
            </w:pPr>
            <w:r w:rsidRPr="006C044A">
              <w:rPr>
                <w:rFonts w:eastAsia="Times New Roman"/>
                <w:color w:val="FF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Biography/Memoir</w:t>
            </w:r>
          </w:p>
        </w:tc>
      </w:tr>
      <w:tr w:rsidR="006C044A" w:rsidRPr="006C044A" w:rsidTr="002E7C31">
        <w:trPr>
          <w:trHeight w:val="3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Buckhorse</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i/>
                <w:iCs/>
                <w:color w:val="000000"/>
                <w:sz w:val="20"/>
                <w:szCs w:val="20"/>
              </w:rPr>
            </w:pPr>
            <w:r w:rsidRPr="002E7C31">
              <w:rPr>
                <w:rFonts w:eastAsia="Times New Roman"/>
                <w:i/>
                <w:iCs/>
                <w:color w:val="000000"/>
                <w:sz w:val="20"/>
                <w:szCs w:val="20"/>
              </w:rPr>
              <w:t>Memoirs of the noted Buckhorse</w:t>
            </w:r>
            <w:r w:rsidRPr="002E7C31">
              <w:rPr>
                <w:rFonts w:eastAsia="Times New Roman"/>
                <w:color w:val="000000"/>
                <w:sz w:val="20"/>
                <w:szCs w:val="20"/>
              </w:rPr>
              <w:t>. London, 1756</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Biography/Memoir</w:t>
            </w:r>
          </w:p>
        </w:tc>
      </w:tr>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6C044A" w:rsidRDefault="006C044A" w:rsidP="006C044A">
            <w:pPr>
              <w:rPr>
                <w:rFonts w:eastAsia="Times New Roman"/>
                <w:color w:val="000000"/>
                <w:sz w:val="20"/>
                <w:szCs w:val="20"/>
              </w:rPr>
            </w:pP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i/>
                <w:iCs/>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2E7C31" w:rsidRDefault="006C044A" w:rsidP="006C044A">
            <w:pPr>
              <w:rPr>
                <w:rFonts w:eastAsia="Times New Roman"/>
                <w:color w:val="000000"/>
              </w:rPr>
            </w:pPr>
            <w:r w:rsidRPr="002E7C31">
              <w:rPr>
                <w:rFonts w:eastAsia="Times New Roman"/>
                <w:b/>
                <w:bCs/>
                <w:color w:val="000000"/>
              </w:rPr>
              <w:lastRenderedPageBreak/>
              <w:t>Table A-4</w:t>
            </w:r>
            <w:r w:rsidRPr="002E7C31">
              <w:rPr>
                <w:rFonts w:eastAsia="Times New Roman"/>
                <w:color w:val="000000"/>
              </w:rPr>
              <w:t xml:space="preserve"> (continued).</w:t>
            </w: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i/>
                <w:iCs/>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6C044A" w:rsidRDefault="006C044A" w:rsidP="006C044A">
            <w:pPr>
              <w:rPr>
                <w:rFonts w:eastAsia="Times New Roman"/>
                <w:color w:val="000000"/>
                <w:sz w:val="20"/>
                <w:szCs w:val="20"/>
              </w:rPr>
            </w:pP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i/>
                <w:iCs/>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r w:rsidR="006C044A" w:rsidRPr="006C044A" w:rsidTr="002E7C31">
        <w:trPr>
          <w:trHeight w:val="510"/>
        </w:trPr>
        <w:tc>
          <w:tcPr>
            <w:tcW w:w="2476"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Title (Abbot and Twohig 1990[7]:343-350)</w:t>
            </w:r>
          </w:p>
        </w:tc>
        <w:tc>
          <w:tcPr>
            <w:tcW w:w="1161"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In LW's Inventory?</w:t>
            </w:r>
          </w:p>
        </w:tc>
        <w:tc>
          <w:tcPr>
            <w:tcW w:w="4435" w:type="dxa"/>
            <w:tcBorders>
              <w:top w:val="single" w:sz="4" w:space="0" w:color="auto"/>
              <w:left w:val="nil"/>
              <w:bottom w:val="single" w:sz="4" w:space="0" w:color="auto"/>
              <w:right w:val="single" w:sz="4" w:space="0" w:color="auto"/>
            </w:tcBorders>
            <w:shd w:val="clear" w:color="000000" w:fill="D8D8D8"/>
            <w:vAlign w:val="bottom"/>
            <w:hideMark/>
          </w:tcPr>
          <w:p w:rsidR="006C044A" w:rsidRPr="002E7C31" w:rsidRDefault="006C044A" w:rsidP="006C044A">
            <w:pPr>
              <w:rPr>
                <w:rFonts w:eastAsia="Times New Roman"/>
                <w:b/>
                <w:bCs/>
                <w:color w:val="000000"/>
                <w:sz w:val="20"/>
                <w:szCs w:val="20"/>
              </w:rPr>
            </w:pPr>
            <w:r w:rsidRPr="002E7C31">
              <w:rPr>
                <w:rFonts w:eastAsia="Times New Roman"/>
                <w:b/>
                <w:bCs/>
                <w:color w:val="000000"/>
                <w:sz w:val="20"/>
                <w:szCs w:val="20"/>
              </w:rPr>
              <w:t>Citation (Abbot and Twohig 1990[7]:343-350)</w:t>
            </w:r>
          </w:p>
        </w:tc>
        <w:tc>
          <w:tcPr>
            <w:tcW w:w="106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jc w:val="center"/>
              <w:rPr>
                <w:rFonts w:eastAsia="Times New Roman"/>
                <w:b/>
                <w:bCs/>
                <w:color w:val="000000"/>
                <w:sz w:val="20"/>
                <w:szCs w:val="20"/>
              </w:rPr>
            </w:pPr>
            <w:r w:rsidRPr="006C044A">
              <w:rPr>
                <w:rFonts w:eastAsia="Times New Roman"/>
                <w:b/>
                <w:bCs/>
                <w:color w:val="000000"/>
                <w:sz w:val="20"/>
                <w:szCs w:val="20"/>
              </w:rPr>
              <w:t xml:space="preserve">Volumes </w:t>
            </w:r>
          </w:p>
        </w:tc>
        <w:tc>
          <w:tcPr>
            <w:tcW w:w="84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jc w:val="center"/>
              <w:rPr>
                <w:rFonts w:eastAsia="Times New Roman"/>
                <w:b/>
                <w:bCs/>
                <w:color w:val="000000"/>
                <w:sz w:val="20"/>
                <w:szCs w:val="20"/>
              </w:rPr>
            </w:pPr>
            <w:r w:rsidRPr="006C044A">
              <w:rPr>
                <w:rFonts w:eastAsia="Times New Roman"/>
                <w:b/>
                <w:bCs/>
                <w:color w:val="000000"/>
                <w:sz w:val="20"/>
                <w:szCs w:val="20"/>
              </w:rPr>
              <w:t>Size</w:t>
            </w:r>
          </w:p>
        </w:tc>
        <w:tc>
          <w:tcPr>
            <w:tcW w:w="95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Year Invoiced</w:t>
            </w:r>
          </w:p>
        </w:tc>
        <w:tc>
          <w:tcPr>
            <w:tcW w:w="2038"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Subject</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Life of Mahomet</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yes</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Humphrey Prideaux. </w:t>
            </w:r>
            <w:r w:rsidRPr="002E7C31">
              <w:rPr>
                <w:rFonts w:eastAsia="Times New Roman"/>
                <w:i/>
                <w:iCs/>
                <w:color w:val="000000"/>
                <w:sz w:val="20"/>
                <w:szCs w:val="20"/>
              </w:rPr>
              <w:t>The true nature of imposture fully display’d in the life of Mahomet</w:t>
            </w:r>
            <w:r w:rsidRPr="002E7C31">
              <w:rPr>
                <w:rFonts w:eastAsia="Times New Roman"/>
                <w:color w:val="000000"/>
                <w:sz w:val="20"/>
                <w:szCs w:val="20"/>
              </w:rPr>
              <w:t>. London, 1723</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Biography/Memoir</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Senecas Morals by way of Abt.</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Seneca. </w:t>
            </w:r>
            <w:r w:rsidRPr="002E7C31">
              <w:rPr>
                <w:rFonts w:eastAsia="Times New Roman"/>
                <w:i/>
                <w:iCs/>
                <w:color w:val="000000"/>
                <w:sz w:val="20"/>
                <w:szCs w:val="20"/>
              </w:rPr>
              <w:t>Seneca’s morals by way of abstract</w:t>
            </w:r>
            <w:r w:rsidRPr="002E7C31">
              <w:rPr>
                <w:rFonts w:eastAsia="Times New Roman"/>
                <w:color w:val="000000"/>
                <w:sz w:val="20"/>
                <w:szCs w:val="20"/>
              </w:rPr>
              <w:t>. London, 1746</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Biography/Memoir</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Tour thro. Gt Brit</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Daniel Defoe. </w:t>
            </w:r>
            <w:r w:rsidRPr="002E7C31">
              <w:rPr>
                <w:rFonts w:eastAsia="Times New Roman"/>
                <w:i/>
                <w:iCs/>
                <w:color w:val="000000"/>
                <w:sz w:val="20"/>
                <w:szCs w:val="20"/>
              </w:rPr>
              <w:t>A tour thro’ the whole island of Great Britain</w:t>
            </w:r>
            <w:r w:rsidRPr="002E7C31">
              <w:rPr>
                <w:rFonts w:eastAsia="Times New Roman"/>
                <w:color w:val="000000"/>
                <w:sz w:val="20"/>
                <w:szCs w:val="20"/>
              </w:rPr>
              <w:t>. 4 volumes. London, 1758</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4, possible</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Biography/Memoir</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Travels of Cyrus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Andrew Michael Ramsay. </w:t>
            </w:r>
            <w:r w:rsidRPr="002E7C31">
              <w:rPr>
                <w:rFonts w:eastAsia="Times New Roman"/>
                <w:i/>
                <w:iCs/>
                <w:color w:val="000000"/>
                <w:sz w:val="20"/>
                <w:szCs w:val="20"/>
              </w:rPr>
              <w:t>The travels of Cyrus</w:t>
            </w:r>
            <w:r w:rsidRPr="002E7C31">
              <w:rPr>
                <w:rFonts w:eastAsia="Times New Roman"/>
                <w:color w:val="000000"/>
                <w:sz w:val="20"/>
                <w:szCs w:val="20"/>
              </w:rPr>
              <w:t>. London, 1745</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Biography/Memoir</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Voyages &amp; Travels of Sir Jno. Mandeville</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Sir John Mandeville. </w:t>
            </w:r>
            <w:r w:rsidRPr="002E7C31">
              <w:rPr>
                <w:rFonts w:eastAsia="Times New Roman"/>
                <w:i/>
                <w:iCs/>
                <w:color w:val="000000"/>
                <w:sz w:val="20"/>
                <w:szCs w:val="20"/>
              </w:rPr>
              <w:t>The voyages and travels</w:t>
            </w:r>
            <w:r w:rsidRPr="002E7C31">
              <w:rPr>
                <w:rFonts w:eastAsia="Times New Roman"/>
                <w:color w:val="000000"/>
                <w:sz w:val="20"/>
                <w:szCs w:val="20"/>
              </w:rPr>
              <w:t>. London, 1722</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Biography/Memoir</w:t>
            </w:r>
          </w:p>
        </w:tc>
      </w:tr>
      <w:tr w:rsidR="006C044A" w:rsidRPr="006C044A" w:rsidTr="002E7C31">
        <w:trPr>
          <w:trHeight w:val="2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Glass's Cookery</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1771</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Cooking</w:t>
            </w:r>
          </w:p>
        </w:tc>
      </w:tr>
      <w:tr w:rsidR="006C044A" w:rsidRPr="006C044A" w:rsidTr="002E7C31">
        <w:trPr>
          <w:trHeight w:val="11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Dodsleys Anl Register</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i/>
                <w:iCs/>
                <w:color w:val="000000"/>
                <w:sz w:val="20"/>
                <w:szCs w:val="20"/>
              </w:rPr>
            </w:pPr>
            <w:r w:rsidRPr="002E7C31">
              <w:rPr>
                <w:rFonts w:eastAsia="Times New Roman"/>
                <w:i/>
                <w:iCs/>
                <w:color w:val="000000"/>
                <w:sz w:val="20"/>
                <w:szCs w:val="20"/>
              </w:rPr>
              <w:t>The annual register; or a view of the history, politicks and literature of the years 1758, 1759, 1760, 1761</w:t>
            </w:r>
            <w:r w:rsidRPr="002E7C31">
              <w:rPr>
                <w:rFonts w:eastAsia="Times New Roman"/>
                <w:color w:val="000000"/>
                <w:sz w:val="20"/>
                <w:szCs w:val="20"/>
              </w:rPr>
              <w:t>. 4 volumes. Printed for R. &amp; J. Dodsley. London, 1758–61</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4</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1763</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Current Events</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Guardian</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Sir Richard Steele and Joseph Addison. </w:t>
            </w:r>
            <w:r w:rsidRPr="002E7C31">
              <w:rPr>
                <w:rFonts w:eastAsia="Times New Roman"/>
                <w:i/>
                <w:iCs/>
                <w:color w:val="000000"/>
                <w:sz w:val="20"/>
                <w:szCs w:val="20"/>
              </w:rPr>
              <w:t>The Guardian</w:t>
            </w:r>
            <w:r w:rsidRPr="002E7C31">
              <w:rPr>
                <w:rFonts w:eastAsia="Times New Roman"/>
                <w:color w:val="000000"/>
                <w:sz w:val="20"/>
                <w:szCs w:val="20"/>
              </w:rPr>
              <w:t>. 2 volumes. Dublin, 1744</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Current Events</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Spectators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Joseph Addison and Sir Richard Steele. </w:t>
            </w:r>
            <w:r w:rsidRPr="002E7C31">
              <w:rPr>
                <w:rFonts w:eastAsia="Times New Roman"/>
                <w:i/>
                <w:iCs/>
                <w:color w:val="000000"/>
                <w:sz w:val="20"/>
                <w:szCs w:val="20"/>
              </w:rPr>
              <w:t>The spectator</w:t>
            </w:r>
            <w:r w:rsidRPr="002E7C31">
              <w:rPr>
                <w:rFonts w:eastAsia="Times New Roman"/>
                <w:color w:val="000000"/>
                <w:sz w:val="20"/>
                <w:szCs w:val="20"/>
              </w:rPr>
              <w:t>. 8 volumes. London, 1744</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8</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Current Events</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Compleat View British Customs.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Henry Crouch. </w:t>
            </w:r>
            <w:r w:rsidRPr="002E7C31">
              <w:rPr>
                <w:rFonts w:eastAsia="Times New Roman"/>
                <w:i/>
                <w:iCs/>
                <w:color w:val="000000"/>
                <w:sz w:val="20"/>
                <w:szCs w:val="20"/>
              </w:rPr>
              <w:t>A complete view of the British customs</w:t>
            </w:r>
            <w:r w:rsidRPr="002E7C31">
              <w:rPr>
                <w:rFonts w:eastAsia="Times New Roman"/>
                <w:color w:val="000000"/>
                <w:sz w:val="20"/>
                <w:szCs w:val="20"/>
              </w:rPr>
              <w:t>. London, 1731</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Economics</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Gazetteer</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Laurence Eachard. </w:t>
            </w:r>
            <w:r w:rsidRPr="002E7C31">
              <w:rPr>
                <w:rFonts w:eastAsia="Times New Roman"/>
                <w:i/>
                <w:iCs/>
                <w:color w:val="000000"/>
                <w:sz w:val="20"/>
                <w:szCs w:val="20"/>
              </w:rPr>
              <w:t>The gazetteer’s, or, newsman’s interpreter</w:t>
            </w:r>
            <w:r w:rsidRPr="002E7C31">
              <w:rPr>
                <w:rFonts w:eastAsia="Times New Roman"/>
                <w:color w:val="000000"/>
                <w:sz w:val="20"/>
                <w:szCs w:val="20"/>
              </w:rPr>
              <w:t>. London, 1751</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Geography</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Gordons Geo: Grammer</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yes</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Patrick Gordon. </w:t>
            </w:r>
            <w:r w:rsidRPr="002E7C31">
              <w:rPr>
                <w:rFonts w:eastAsia="Times New Roman"/>
                <w:i/>
                <w:iCs/>
                <w:color w:val="000000"/>
                <w:sz w:val="20"/>
                <w:szCs w:val="20"/>
              </w:rPr>
              <w:t>Geography anatomiz’d: or, the geographical grammar</w:t>
            </w:r>
            <w:r w:rsidRPr="002E7C31">
              <w:rPr>
                <w:rFonts w:eastAsia="Times New Roman"/>
                <w:color w:val="000000"/>
                <w:sz w:val="20"/>
                <w:szCs w:val="20"/>
              </w:rPr>
              <w:t>. London, 1749</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Geography</w:t>
            </w:r>
          </w:p>
        </w:tc>
      </w:tr>
      <w:tr w:rsidR="006C044A" w:rsidRPr="006C044A" w:rsidTr="002E7C31">
        <w:trPr>
          <w:trHeight w:val="3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Molls Do</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Herman Moll. </w:t>
            </w:r>
            <w:r w:rsidRPr="002E7C31">
              <w:rPr>
                <w:rFonts w:eastAsia="Times New Roman"/>
                <w:i/>
                <w:iCs/>
                <w:color w:val="000000"/>
                <w:sz w:val="20"/>
                <w:szCs w:val="20"/>
              </w:rPr>
              <w:t>Geographia classica</w:t>
            </w:r>
            <w:r w:rsidRPr="002E7C31">
              <w:rPr>
                <w:rFonts w:eastAsia="Times New Roman"/>
                <w:color w:val="000000"/>
                <w:sz w:val="20"/>
                <w:szCs w:val="20"/>
              </w:rPr>
              <w:t>. London, 1749</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Geography</w:t>
            </w:r>
          </w:p>
        </w:tc>
      </w:tr>
      <w:tr w:rsidR="006C044A" w:rsidRPr="006C044A" w:rsidTr="002E7C31">
        <w:trPr>
          <w:trHeight w:val="2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Beverly's Histy of Virga</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1768</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History/Politics</w:t>
            </w:r>
          </w:p>
        </w:tc>
      </w:tr>
    </w:tbl>
    <w:p w:rsidR="002E7C31" w:rsidRDefault="002E7C31">
      <w:r>
        <w:br w:type="page"/>
      </w:r>
    </w:p>
    <w:tbl>
      <w:tblPr>
        <w:tblW w:w="12960" w:type="dxa"/>
        <w:tblInd w:w="91" w:type="dxa"/>
        <w:tblLook w:val="04A0"/>
      </w:tblPr>
      <w:tblGrid>
        <w:gridCol w:w="2476"/>
        <w:gridCol w:w="1161"/>
        <w:gridCol w:w="4435"/>
        <w:gridCol w:w="1060"/>
        <w:gridCol w:w="840"/>
        <w:gridCol w:w="950"/>
        <w:gridCol w:w="2038"/>
      </w:tblGrid>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2E7C31" w:rsidRDefault="006C044A" w:rsidP="006C044A">
            <w:pPr>
              <w:rPr>
                <w:rFonts w:eastAsia="Times New Roman"/>
                <w:color w:val="000000"/>
              </w:rPr>
            </w:pPr>
            <w:r w:rsidRPr="002E7C31">
              <w:rPr>
                <w:rFonts w:eastAsia="Times New Roman"/>
                <w:b/>
                <w:bCs/>
                <w:color w:val="000000"/>
              </w:rPr>
              <w:lastRenderedPageBreak/>
              <w:t>Table A-4</w:t>
            </w:r>
            <w:r w:rsidRPr="002E7C31">
              <w:rPr>
                <w:rFonts w:eastAsia="Times New Roman"/>
                <w:color w:val="000000"/>
              </w:rPr>
              <w:t xml:space="preserve"> (continued).</w:t>
            </w: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i/>
                <w:iCs/>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6C044A" w:rsidRDefault="006C044A" w:rsidP="006C044A">
            <w:pPr>
              <w:rPr>
                <w:rFonts w:eastAsia="Times New Roman"/>
                <w:color w:val="000000"/>
                <w:sz w:val="20"/>
                <w:szCs w:val="20"/>
              </w:rPr>
            </w:pP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i/>
                <w:iCs/>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r w:rsidR="006C044A" w:rsidRPr="006C044A" w:rsidTr="002E7C31">
        <w:trPr>
          <w:trHeight w:val="510"/>
        </w:trPr>
        <w:tc>
          <w:tcPr>
            <w:tcW w:w="2476"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Title (Abbot and Twohig 1990[7]:343-350)</w:t>
            </w:r>
          </w:p>
        </w:tc>
        <w:tc>
          <w:tcPr>
            <w:tcW w:w="1161"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In LW's Inventory?</w:t>
            </w:r>
          </w:p>
        </w:tc>
        <w:tc>
          <w:tcPr>
            <w:tcW w:w="4435" w:type="dxa"/>
            <w:tcBorders>
              <w:top w:val="single" w:sz="4" w:space="0" w:color="auto"/>
              <w:left w:val="nil"/>
              <w:bottom w:val="single" w:sz="4" w:space="0" w:color="auto"/>
              <w:right w:val="single" w:sz="4" w:space="0" w:color="auto"/>
            </w:tcBorders>
            <w:shd w:val="clear" w:color="000000" w:fill="D8D8D8"/>
            <w:vAlign w:val="bottom"/>
            <w:hideMark/>
          </w:tcPr>
          <w:p w:rsidR="006C044A" w:rsidRPr="002E7C31" w:rsidRDefault="006C044A" w:rsidP="006C044A">
            <w:pPr>
              <w:rPr>
                <w:rFonts w:eastAsia="Times New Roman"/>
                <w:b/>
                <w:bCs/>
                <w:color w:val="000000"/>
                <w:sz w:val="20"/>
                <w:szCs w:val="20"/>
              </w:rPr>
            </w:pPr>
            <w:r w:rsidRPr="002E7C31">
              <w:rPr>
                <w:rFonts w:eastAsia="Times New Roman"/>
                <w:b/>
                <w:bCs/>
                <w:color w:val="000000"/>
                <w:sz w:val="20"/>
                <w:szCs w:val="20"/>
              </w:rPr>
              <w:t>Citation (Abbot and Twohig 1990[7]:343-350)</w:t>
            </w:r>
          </w:p>
        </w:tc>
        <w:tc>
          <w:tcPr>
            <w:tcW w:w="106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jc w:val="center"/>
              <w:rPr>
                <w:rFonts w:eastAsia="Times New Roman"/>
                <w:b/>
                <w:bCs/>
                <w:color w:val="000000"/>
                <w:sz w:val="20"/>
                <w:szCs w:val="20"/>
              </w:rPr>
            </w:pPr>
            <w:r w:rsidRPr="006C044A">
              <w:rPr>
                <w:rFonts w:eastAsia="Times New Roman"/>
                <w:b/>
                <w:bCs/>
                <w:color w:val="000000"/>
                <w:sz w:val="20"/>
                <w:szCs w:val="20"/>
              </w:rPr>
              <w:t xml:space="preserve">Volumes </w:t>
            </w:r>
          </w:p>
        </w:tc>
        <w:tc>
          <w:tcPr>
            <w:tcW w:w="84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jc w:val="center"/>
              <w:rPr>
                <w:rFonts w:eastAsia="Times New Roman"/>
                <w:b/>
                <w:bCs/>
                <w:color w:val="000000"/>
                <w:sz w:val="20"/>
                <w:szCs w:val="20"/>
              </w:rPr>
            </w:pPr>
            <w:r w:rsidRPr="006C044A">
              <w:rPr>
                <w:rFonts w:eastAsia="Times New Roman"/>
                <w:b/>
                <w:bCs/>
                <w:color w:val="000000"/>
                <w:sz w:val="20"/>
                <w:szCs w:val="20"/>
              </w:rPr>
              <w:t>Size</w:t>
            </w:r>
          </w:p>
        </w:tc>
        <w:tc>
          <w:tcPr>
            <w:tcW w:w="95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Year Invoiced</w:t>
            </w:r>
          </w:p>
        </w:tc>
        <w:tc>
          <w:tcPr>
            <w:tcW w:w="2038"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Subject</w:t>
            </w:r>
          </w:p>
        </w:tc>
      </w:tr>
      <w:tr w:rsidR="006C044A" w:rsidRPr="006C044A" w:rsidTr="002E7C31">
        <w:trPr>
          <w:trHeight w:val="2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Burnes Justice 8to</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4</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1771</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History/Politics</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Epistles for Ladies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Mrs. Eliza Haywood. </w:t>
            </w:r>
            <w:r w:rsidRPr="002E7C31">
              <w:rPr>
                <w:rFonts w:eastAsia="Times New Roman"/>
                <w:i/>
                <w:iCs/>
                <w:color w:val="000000"/>
                <w:sz w:val="20"/>
                <w:szCs w:val="20"/>
              </w:rPr>
              <w:t>Epistles for the ladies</w:t>
            </w:r>
            <w:r w:rsidRPr="002E7C31">
              <w:rPr>
                <w:rFonts w:eastAsia="Times New Roman"/>
                <w:color w:val="000000"/>
                <w:sz w:val="20"/>
                <w:szCs w:val="20"/>
              </w:rPr>
              <w:t>. 2 volumes. London, 1749–50</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History/Politics</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Histy of the Piratical Sta.</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i/>
                <w:iCs/>
                <w:color w:val="000000"/>
                <w:sz w:val="20"/>
                <w:szCs w:val="20"/>
              </w:rPr>
            </w:pPr>
            <w:r w:rsidRPr="002E7C31">
              <w:rPr>
                <w:rFonts w:eastAsia="Times New Roman"/>
                <w:i/>
                <w:iCs/>
                <w:color w:val="000000"/>
                <w:sz w:val="20"/>
                <w:szCs w:val="20"/>
              </w:rPr>
              <w:t>A compleat history of the piratical states of Barbary, viz. Algiers, etc</w:t>
            </w:r>
            <w:r w:rsidRPr="002E7C31">
              <w:rPr>
                <w:rFonts w:eastAsia="Times New Roman"/>
                <w:color w:val="000000"/>
                <w:sz w:val="20"/>
                <w:szCs w:val="20"/>
              </w:rPr>
              <w:t>. Trans. Joseph Morgan. London, 1750]</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History/Politics</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Seven Wise Master of R.</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Francis Kirkman. </w:t>
            </w:r>
            <w:r w:rsidRPr="002E7C31">
              <w:rPr>
                <w:rFonts w:eastAsia="Times New Roman"/>
                <w:i/>
                <w:iCs/>
                <w:color w:val="000000"/>
                <w:sz w:val="20"/>
                <w:szCs w:val="20"/>
              </w:rPr>
              <w:t>The History of Prince Erastus</w:t>
            </w:r>
            <w:r w:rsidRPr="002E7C31">
              <w:rPr>
                <w:rFonts w:eastAsia="Times New Roman"/>
                <w:color w:val="000000"/>
                <w:sz w:val="20"/>
                <w:szCs w:val="20"/>
              </w:rPr>
              <w:t>. London, 1674</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History/Politics</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Smallets Hy of England</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Tobias George Smollett. </w:t>
            </w:r>
            <w:r w:rsidRPr="002E7C31">
              <w:rPr>
                <w:rFonts w:eastAsia="Times New Roman"/>
                <w:i/>
                <w:iCs/>
                <w:color w:val="000000"/>
                <w:sz w:val="20"/>
                <w:szCs w:val="20"/>
              </w:rPr>
              <w:t>History of England</w:t>
            </w:r>
            <w:r w:rsidRPr="002E7C31">
              <w:rPr>
                <w:rFonts w:eastAsia="Times New Roman"/>
                <w:color w:val="000000"/>
                <w:sz w:val="20"/>
                <w:szCs w:val="20"/>
              </w:rPr>
              <w:t>. 11 volumes. London, 1758–60</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11</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1763</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History/Politics</w:t>
            </w:r>
          </w:p>
        </w:tc>
      </w:tr>
      <w:tr w:rsidR="006C044A" w:rsidRPr="006C044A" w:rsidTr="002E7C31">
        <w:trPr>
          <w:trHeight w:val="8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Mercers Abridgmt</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yes</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John Mercer. </w:t>
            </w:r>
            <w:r w:rsidRPr="002E7C31">
              <w:rPr>
                <w:rFonts w:eastAsia="Times New Roman"/>
                <w:i/>
                <w:iCs/>
                <w:color w:val="000000"/>
                <w:sz w:val="20"/>
                <w:szCs w:val="20"/>
              </w:rPr>
              <w:t>An exact abridgement of all the public acts of Assembly of Va. in force &amp; use Jan. 1, 1758</w:t>
            </w:r>
            <w:r w:rsidRPr="002E7C31">
              <w:rPr>
                <w:rFonts w:eastAsia="Times New Roman"/>
                <w:color w:val="000000"/>
                <w:sz w:val="20"/>
                <w:szCs w:val="20"/>
              </w:rPr>
              <w:t>. Glasgow, 1759</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Law</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Millans Univl Register</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John Millan. </w:t>
            </w:r>
            <w:r w:rsidRPr="002E7C31">
              <w:rPr>
                <w:rFonts w:eastAsia="Times New Roman"/>
                <w:i/>
                <w:iCs/>
                <w:color w:val="000000"/>
                <w:sz w:val="20"/>
                <w:szCs w:val="20"/>
              </w:rPr>
              <w:t>Millan’s universal register of court and city-offices</w:t>
            </w:r>
            <w:r w:rsidRPr="002E7C31">
              <w:rPr>
                <w:rFonts w:eastAsia="Times New Roman"/>
                <w:color w:val="000000"/>
                <w:sz w:val="20"/>
                <w:szCs w:val="20"/>
              </w:rPr>
              <w:t>. London, 1758</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Law</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Virga Laws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i/>
                <w:iCs/>
                <w:color w:val="000000"/>
                <w:sz w:val="20"/>
                <w:szCs w:val="20"/>
              </w:rPr>
            </w:pPr>
            <w:r w:rsidRPr="002E7C31">
              <w:rPr>
                <w:rFonts w:eastAsia="Times New Roman"/>
                <w:i/>
                <w:iCs/>
                <w:color w:val="000000"/>
                <w:sz w:val="20"/>
                <w:szCs w:val="20"/>
              </w:rPr>
              <w:t>Acts of Assembly passed in the colony of Virginia from 1662 to 1715</w:t>
            </w:r>
            <w:r w:rsidRPr="002E7C31">
              <w:rPr>
                <w:rFonts w:eastAsia="Times New Roman"/>
                <w:color w:val="000000"/>
                <w:sz w:val="20"/>
                <w:szCs w:val="20"/>
              </w:rPr>
              <w:t>. Volume 1. London, 1727</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Law</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Æsops Fables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Sir Roger L’Estrange. </w:t>
            </w:r>
            <w:r w:rsidRPr="002E7C31">
              <w:rPr>
                <w:rFonts w:eastAsia="Times New Roman"/>
                <w:i/>
                <w:iCs/>
                <w:color w:val="000000"/>
                <w:sz w:val="20"/>
                <w:szCs w:val="20"/>
              </w:rPr>
              <w:t>The fables of Aesop and other eminent mythologists</w:t>
            </w:r>
            <w:r w:rsidRPr="002E7C31">
              <w:rPr>
                <w:rFonts w:eastAsia="Times New Roman"/>
                <w:color w:val="000000"/>
                <w:sz w:val="20"/>
                <w:szCs w:val="20"/>
              </w:rPr>
              <w:t>. London, 1738</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Literature</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David Ranger</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Edward Kimber. </w:t>
            </w:r>
            <w:r w:rsidRPr="002E7C31">
              <w:rPr>
                <w:rFonts w:eastAsia="Times New Roman"/>
                <w:i/>
                <w:iCs/>
                <w:color w:val="000000"/>
                <w:sz w:val="20"/>
                <w:szCs w:val="20"/>
              </w:rPr>
              <w:t>The juvenile adventures of David Ranger, Esq.</w:t>
            </w:r>
            <w:r w:rsidRPr="002E7C31">
              <w:rPr>
                <w:rFonts w:eastAsia="Times New Roman"/>
                <w:color w:val="000000"/>
                <w:sz w:val="20"/>
                <w:szCs w:val="20"/>
              </w:rPr>
              <w:t xml:space="preserve"> London, 1757</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Literature</w:t>
            </w:r>
          </w:p>
        </w:tc>
      </w:tr>
      <w:tr w:rsidR="006C044A" w:rsidRPr="006C044A" w:rsidTr="002E7C31">
        <w:trPr>
          <w:trHeight w:val="3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Female fortune Hrs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i/>
                <w:iCs/>
                <w:color w:val="000000"/>
                <w:sz w:val="20"/>
                <w:szCs w:val="20"/>
              </w:rPr>
            </w:pPr>
            <w:r w:rsidRPr="002E7C31">
              <w:rPr>
                <w:rFonts w:eastAsia="Times New Roman"/>
                <w:i/>
                <w:iCs/>
                <w:color w:val="000000"/>
                <w:sz w:val="20"/>
                <w:szCs w:val="20"/>
              </w:rPr>
              <w:t>The jilts, or female fortune-hunters</w:t>
            </w:r>
            <w:r w:rsidRPr="002E7C31">
              <w:rPr>
                <w:rFonts w:eastAsia="Times New Roman"/>
                <w:color w:val="000000"/>
                <w:sz w:val="20"/>
                <w:szCs w:val="20"/>
              </w:rPr>
              <w:t>. London, c.1760</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3, possible</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Literature</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Foundling</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yes</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Henry Fielding. </w:t>
            </w:r>
            <w:r w:rsidRPr="002E7C31">
              <w:rPr>
                <w:rFonts w:eastAsia="Times New Roman"/>
                <w:i/>
                <w:iCs/>
                <w:color w:val="000000"/>
                <w:sz w:val="20"/>
                <w:szCs w:val="20"/>
              </w:rPr>
              <w:t>The history of Tom Jones, a foundling</w:t>
            </w:r>
            <w:r w:rsidRPr="002E7C31">
              <w:rPr>
                <w:rFonts w:eastAsia="Times New Roman"/>
                <w:color w:val="000000"/>
                <w:sz w:val="20"/>
                <w:szCs w:val="20"/>
              </w:rPr>
              <w:t>. 4 volumes. London, 1750</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4</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Literature</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Lord Lansdown’s Works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George Granville, Baron Lansdowne. </w:t>
            </w:r>
            <w:r w:rsidRPr="002E7C31">
              <w:rPr>
                <w:rFonts w:eastAsia="Times New Roman"/>
                <w:i/>
                <w:iCs/>
                <w:color w:val="000000"/>
                <w:sz w:val="20"/>
                <w:szCs w:val="20"/>
              </w:rPr>
              <w:t>The genuine works, in verse and prose</w:t>
            </w:r>
            <w:r w:rsidRPr="002E7C31">
              <w:rPr>
                <w:rFonts w:eastAsia="Times New Roman"/>
                <w:color w:val="000000"/>
                <w:sz w:val="20"/>
                <w:szCs w:val="20"/>
              </w:rPr>
              <w:t>. 3 volumes. London, 1732</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3</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Literature</w:t>
            </w:r>
          </w:p>
        </w:tc>
      </w:tr>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6C044A" w:rsidRDefault="006C044A" w:rsidP="006C044A">
            <w:pPr>
              <w:rPr>
                <w:rFonts w:eastAsia="Times New Roman"/>
                <w:color w:val="000000"/>
                <w:sz w:val="20"/>
                <w:szCs w:val="20"/>
              </w:rPr>
            </w:pP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bl>
    <w:p w:rsidR="002E7C31" w:rsidRDefault="002E7C31">
      <w:r>
        <w:br w:type="page"/>
      </w:r>
    </w:p>
    <w:tbl>
      <w:tblPr>
        <w:tblW w:w="12960" w:type="dxa"/>
        <w:tblInd w:w="91" w:type="dxa"/>
        <w:tblLook w:val="04A0"/>
      </w:tblPr>
      <w:tblGrid>
        <w:gridCol w:w="2476"/>
        <w:gridCol w:w="1161"/>
        <w:gridCol w:w="4435"/>
        <w:gridCol w:w="1060"/>
        <w:gridCol w:w="840"/>
        <w:gridCol w:w="950"/>
        <w:gridCol w:w="2038"/>
      </w:tblGrid>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2E7C31" w:rsidRDefault="006C044A" w:rsidP="006C044A">
            <w:pPr>
              <w:rPr>
                <w:rFonts w:eastAsia="Times New Roman"/>
                <w:color w:val="000000"/>
              </w:rPr>
            </w:pPr>
            <w:r w:rsidRPr="002E7C31">
              <w:rPr>
                <w:rFonts w:eastAsia="Times New Roman"/>
                <w:b/>
                <w:bCs/>
                <w:color w:val="000000"/>
              </w:rPr>
              <w:lastRenderedPageBreak/>
              <w:t>Table A-4</w:t>
            </w:r>
            <w:r w:rsidRPr="002E7C31">
              <w:rPr>
                <w:rFonts w:eastAsia="Times New Roman"/>
                <w:color w:val="000000"/>
              </w:rPr>
              <w:t xml:space="preserve"> (continued).</w:t>
            </w: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i/>
                <w:iCs/>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6C044A" w:rsidRDefault="006C044A" w:rsidP="006C044A">
            <w:pPr>
              <w:rPr>
                <w:rFonts w:eastAsia="Times New Roman"/>
                <w:color w:val="000000"/>
                <w:sz w:val="20"/>
                <w:szCs w:val="20"/>
              </w:rPr>
            </w:pP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i/>
                <w:iCs/>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r w:rsidR="006C044A" w:rsidRPr="006C044A" w:rsidTr="002E7C31">
        <w:trPr>
          <w:trHeight w:val="510"/>
        </w:trPr>
        <w:tc>
          <w:tcPr>
            <w:tcW w:w="2476"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Title (Abbot and Twohig 1990[7]:343-350)</w:t>
            </w:r>
          </w:p>
        </w:tc>
        <w:tc>
          <w:tcPr>
            <w:tcW w:w="1161"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In LW's Inventory?</w:t>
            </w:r>
          </w:p>
        </w:tc>
        <w:tc>
          <w:tcPr>
            <w:tcW w:w="4435" w:type="dxa"/>
            <w:tcBorders>
              <w:top w:val="single" w:sz="4" w:space="0" w:color="auto"/>
              <w:left w:val="nil"/>
              <w:bottom w:val="single" w:sz="4" w:space="0" w:color="auto"/>
              <w:right w:val="single" w:sz="4" w:space="0" w:color="auto"/>
            </w:tcBorders>
            <w:shd w:val="clear" w:color="000000" w:fill="D8D8D8"/>
            <w:vAlign w:val="bottom"/>
            <w:hideMark/>
          </w:tcPr>
          <w:p w:rsidR="006C044A" w:rsidRPr="002E7C31" w:rsidRDefault="006C044A" w:rsidP="006C044A">
            <w:pPr>
              <w:rPr>
                <w:rFonts w:eastAsia="Times New Roman"/>
                <w:b/>
                <w:bCs/>
                <w:color w:val="000000"/>
                <w:sz w:val="20"/>
                <w:szCs w:val="20"/>
              </w:rPr>
            </w:pPr>
            <w:r w:rsidRPr="002E7C31">
              <w:rPr>
                <w:rFonts w:eastAsia="Times New Roman"/>
                <w:b/>
                <w:bCs/>
                <w:color w:val="000000"/>
                <w:sz w:val="20"/>
                <w:szCs w:val="20"/>
              </w:rPr>
              <w:t>Citation (Abbot and Twohig 1990[7]:343-350)</w:t>
            </w:r>
          </w:p>
        </w:tc>
        <w:tc>
          <w:tcPr>
            <w:tcW w:w="106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jc w:val="center"/>
              <w:rPr>
                <w:rFonts w:eastAsia="Times New Roman"/>
                <w:b/>
                <w:bCs/>
                <w:color w:val="000000"/>
                <w:sz w:val="20"/>
                <w:szCs w:val="20"/>
              </w:rPr>
            </w:pPr>
            <w:r w:rsidRPr="006C044A">
              <w:rPr>
                <w:rFonts w:eastAsia="Times New Roman"/>
                <w:b/>
                <w:bCs/>
                <w:color w:val="000000"/>
                <w:sz w:val="20"/>
                <w:szCs w:val="20"/>
              </w:rPr>
              <w:t xml:space="preserve">Volumes </w:t>
            </w:r>
          </w:p>
        </w:tc>
        <w:tc>
          <w:tcPr>
            <w:tcW w:w="84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jc w:val="center"/>
              <w:rPr>
                <w:rFonts w:eastAsia="Times New Roman"/>
                <w:b/>
                <w:bCs/>
                <w:color w:val="000000"/>
                <w:sz w:val="20"/>
                <w:szCs w:val="20"/>
              </w:rPr>
            </w:pPr>
            <w:r w:rsidRPr="006C044A">
              <w:rPr>
                <w:rFonts w:eastAsia="Times New Roman"/>
                <w:b/>
                <w:bCs/>
                <w:color w:val="000000"/>
                <w:sz w:val="20"/>
                <w:szCs w:val="20"/>
              </w:rPr>
              <w:t>Size</w:t>
            </w:r>
          </w:p>
        </w:tc>
        <w:tc>
          <w:tcPr>
            <w:tcW w:w="95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Year Invoiced</w:t>
            </w:r>
          </w:p>
        </w:tc>
        <w:tc>
          <w:tcPr>
            <w:tcW w:w="2038"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Subject</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Peregrine Pickle</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Tobias George Smollett. </w:t>
            </w:r>
            <w:r w:rsidRPr="002E7C31">
              <w:rPr>
                <w:rFonts w:eastAsia="Times New Roman"/>
                <w:i/>
                <w:iCs/>
                <w:color w:val="000000"/>
                <w:sz w:val="20"/>
                <w:szCs w:val="20"/>
              </w:rPr>
              <w:t>The adventures of Peregrine Pickle</w:t>
            </w:r>
            <w:r w:rsidRPr="002E7C31">
              <w:rPr>
                <w:rFonts w:eastAsia="Times New Roman"/>
                <w:color w:val="000000"/>
                <w:sz w:val="20"/>
                <w:szCs w:val="20"/>
              </w:rPr>
              <w:t>. Dublin, 1751</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3, possible</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Literature</w:t>
            </w:r>
          </w:p>
        </w:tc>
      </w:tr>
      <w:tr w:rsidR="006C044A" w:rsidRPr="006C044A" w:rsidTr="002E7C31">
        <w:trPr>
          <w:trHeight w:val="81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Telamachus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yes</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François de Salignac de La Mothe Fénelon, Archbishop of Cambrai. </w:t>
            </w:r>
            <w:r w:rsidRPr="002E7C31">
              <w:rPr>
                <w:rFonts w:eastAsia="Times New Roman"/>
                <w:i/>
                <w:iCs/>
                <w:color w:val="000000"/>
                <w:sz w:val="20"/>
                <w:szCs w:val="20"/>
              </w:rPr>
              <w:t>The adventures of Telemachus, the son of Ulysses</w:t>
            </w:r>
            <w:r w:rsidRPr="002E7C31">
              <w:rPr>
                <w:rFonts w:eastAsia="Times New Roman"/>
                <w:color w:val="000000"/>
                <w:sz w:val="20"/>
                <w:szCs w:val="20"/>
              </w:rPr>
              <w:t>. London, 1749</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Literature</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Docter Scarified</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i/>
                <w:iCs/>
                <w:color w:val="000000"/>
                <w:sz w:val="20"/>
                <w:szCs w:val="20"/>
              </w:rPr>
            </w:pPr>
            <w:r w:rsidRPr="002E7C31">
              <w:rPr>
                <w:rFonts w:eastAsia="Times New Roman"/>
                <w:i/>
                <w:iCs/>
                <w:color w:val="000000"/>
                <w:sz w:val="20"/>
                <w:szCs w:val="20"/>
              </w:rPr>
              <w:t>Medicina flagellata; or, the doctor scarify’d</w:t>
            </w:r>
            <w:r w:rsidRPr="002E7C31">
              <w:rPr>
                <w:rFonts w:eastAsia="Times New Roman"/>
                <w:color w:val="000000"/>
                <w:sz w:val="20"/>
                <w:szCs w:val="20"/>
              </w:rPr>
              <w:t>. London, 1721.</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Medicine</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Prior on Tar Water</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Thomas Prior. </w:t>
            </w:r>
            <w:r w:rsidRPr="002E7C31">
              <w:rPr>
                <w:rFonts w:eastAsia="Times New Roman"/>
                <w:i/>
                <w:iCs/>
                <w:color w:val="000000"/>
                <w:sz w:val="20"/>
                <w:szCs w:val="20"/>
              </w:rPr>
              <w:t>An authentic narrative of the success of tar water</w:t>
            </w:r>
            <w:r w:rsidRPr="002E7C31">
              <w:rPr>
                <w:rFonts w:eastAsia="Times New Roman"/>
                <w:color w:val="000000"/>
                <w:sz w:val="20"/>
                <w:szCs w:val="20"/>
              </w:rPr>
              <w:t>. London, 1746</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Medicine</w:t>
            </w:r>
          </w:p>
        </w:tc>
      </w:tr>
      <w:tr w:rsidR="006C044A" w:rsidRPr="006C044A" w:rsidTr="002E7C31">
        <w:trPr>
          <w:trHeight w:val="2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Tissets Practice Physk</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1771</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Medicine</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Blands Miliy Dise</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yes</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Humphrey Bland. </w:t>
            </w:r>
            <w:r w:rsidRPr="002E7C31">
              <w:rPr>
                <w:rFonts w:eastAsia="Times New Roman"/>
                <w:i/>
                <w:iCs/>
                <w:color w:val="000000"/>
                <w:sz w:val="20"/>
                <w:szCs w:val="20"/>
              </w:rPr>
              <w:t>A treatise of military discipline</w:t>
            </w:r>
            <w:r w:rsidRPr="002E7C31">
              <w:rPr>
                <w:rFonts w:eastAsia="Times New Roman"/>
                <w:color w:val="000000"/>
                <w:sz w:val="20"/>
                <w:szCs w:val="20"/>
              </w:rPr>
              <w:t>. London, 1753</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1756</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Military</w:t>
            </w:r>
          </w:p>
        </w:tc>
      </w:tr>
      <w:tr w:rsidR="006C044A" w:rsidRPr="006C044A" w:rsidTr="002E7C31">
        <w:trPr>
          <w:trHeight w:val="3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Popes Works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Alexander Pope. </w:t>
            </w:r>
            <w:r w:rsidRPr="002E7C31">
              <w:rPr>
                <w:rFonts w:eastAsia="Times New Roman"/>
                <w:i/>
                <w:iCs/>
                <w:color w:val="000000"/>
                <w:sz w:val="20"/>
                <w:szCs w:val="20"/>
              </w:rPr>
              <w:t>Works</w:t>
            </w:r>
            <w:r w:rsidRPr="002E7C31">
              <w:rPr>
                <w:rFonts w:eastAsia="Times New Roman"/>
                <w:color w:val="000000"/>
                <w:sz w:val="20"/>
                <w:szCs w:val="20"/>
              </w:rPr>
              <w:t>. London, 1736</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4</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Poetry</w:t>
            </w:r>
          </w:p>
        </w:tc>
      </w:tr>
      <w:tr w:rsidR="006C044A" w:rsidRPr="006C044A" w:rsidTr="002E7C31">
        <w:trPr>
          <w:trHeight w:val="3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Compleat Gamester</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Richard Seymour. </w:t>
            </w:r>
            <w:r w:rsidRPr="002E7C31">
              <w:rPr>
                <w:rFonts w:eastAsia="Times New Roman"/>
                <w:i/>
                <w:iCs/>
                <w:color w:val="000000"/>
                <w:sz w:val="20"/>
                <w:szCs w:val="20"/>
              </w:rPr>
              <w:t>The compleat gamester</w:t>
            </w:r>
            <w:r w:rsidRPr="002E7C31">
              <w:rPr>
                <w:rFonts w:eastAsia="Times New Roman"/>
                <w:color w:val="000000"/>
                <w:sz w:val="20"/>
                <w:szCs w:val="20"/>
              </w:rPr>
              <w:t>. London, 1734</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Reference</w:t>
            </w:r>
          </w:p>
        </w:tc>
      </w:tr>
      <w:tr w:rsidR="006C044A" w:rsidRPr="006C044A" w:rsidTr="002E7C31">
        <w:trPr>
          <w:trHeight w:val="2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Handmaid to the Arts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Reference</w:t>
            </w:r>
          </w:p>
        </w:tc>
      </w:tr>
      <w:tr w:rsidR="006C044A" w:rsidRPr="006C044A" w:rsidTr="002E7C31">
        <w:trPr>
          <w:trHeight w:val="3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Hoyles Games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Edmond Hoyle. </w:t>
            </w:r>
            <w:r w:rsidRPr="002E7C31">
              <w:rPr>
                <w:rFonts w:eastAsia="Times New Roman"/>
                <w:i/>
                <w:iCs/>
                <w:color w:val="000000"/>
                <w:sz w:val="20"/>
                <w:szCs w:val="20"/>
              </w:rPr>
              <w:t>Mr. Hoyle’s Games</w:t>
            </w:r>
            <w:r w:rsidRPr="002E7C31">
              <w:rPr>
                <w:rFonts w:eastAsia="Times New Roman"/>
                <w:color w:val="000000"/>
                <w:sz w:val="20"/>
                <w:szCs w:val="20"/>
              </w:rPr>
              <w:t>. London, 1755?</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Reference</w:t>
            </w:r>
          </w:p>
        </w:tc>
      </w:tr>
      <w:tr w:rsidR="006C044A" w:rsidRPr="006C044A" w:rsidTr="002E7C31">
        <w:trPr>
          <w:trHeight w:val="2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Larboratory or School of Arts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1766</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Reference</w:t>
            </w:r>
          </w:p>
        </w:tc>
      </w:tr>
      <w:tr w:rsidR="006C044A" w:rsidRPr="006C044A" w:rsidTr="002E7C31">
        <w:trPr>
          <w:trHeight w:val="51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xml:space="preserve">out of Print Museum Rusticum 33 Nos. bound </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6</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Reference</w:t>
            </w:r>
          </w:p>
        </w:tc>
      </w:tr>
      <w:tr w:rsidR="006C044A" w:rsidRPr="006C044A" w:rsidTr="002E7C31">
        <w:trPr>
          <w:trHeight w:val="3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Riders Engh Merlin</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Cardanus Rider. </w:t>
            </w:r>
            <w:r w:rsidRPr="002E7C31">
              <w:rPr>
                <w:rFonts w:eastAsia="Times New Roman"/>
                <w:i/>
                <w:iCs/>
                <w:color w:val="000000"/>
                <w:sz w:val="20"/>
                <w:szCs w:val="20"/>
              </w:rPr>
              <w:t>Rider’s British merlin</w:t>
            </w:r>
            <w:r w:rsidRPr="002E7C31">
              <w:rPr>
                <w:rFonts w:eastAsia="Times New Roman"/>
                <w:color w:val="000000"/>
                <w:sz w:val="20"/>
                <w:szCs w:val="20"/>
              </w:rPr>
              <w:t>. London, 1756</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Reference</w:t>
            </w:r>
          </w:p>
        </w:tc>
      </w:tr>
      <w:tr w:rsidR="006C044A" w:rsidRPr="006C044A" w:rsidTr="002E7C31">
        <w:trPr>
          <w:trHeight w:val="51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18to Prayer Book Tate Psalms red Morrocco</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1771</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Religion</w:t>
            </w:r>
          </w:p>
        </w:tc>
      </w:tr>
      <w:tr w:rsidR="006C044A" w:rsidRPr="006C044A" w:rsidTr="002E7C31">
        <w:trPr>
          <w:trHeight w:val="3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Bibles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i/>
                <w:iCs/>
                <w:color w:val="000000"/>
                <w:sz w:val="20"/>
                <w:szCs w:val="20"/>
              </w:rPr>
            </w:pPr>
            <w:r w:rsidRPr="002E7C31">
              <w:rPr>
                <w:rFonts w:eastAsia="Times New Roman"/>
                <w:i/>
                <w:iCs/>
                <w:color w:val="000000"/>
                <w:sz w:val="20"/>
                <w:szCs w:val="20"/>
              </w:rPr>
              <w:t>Novum Testamentum</w:t>
            </w:r>
            <w:r w:rsidRPr="002E7C31">
              <w:rPr>
                <w:rFonts w:eastAsia="Times New Roman"/>
                <w:color w:val="000000"/>
                <w:sz w:val="20"/>
                <w:szCs w:val="20"/>
              </w:rPr>
              <w:t>. London, 1746</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Religion</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Comber on the Comn Prayer</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Thomas Comber. </w:t>
            </w:r>
            <w:r w:rsidRPr="002E7C31">
              <w:rPr>
                <w:rFonts w:eastAsia="Times New Roman"/>
                <w:i/>
                <w:iCs/>
                <w:color w:val="000000"/>
                <w:sz w:val="20"/>
                <w:szCs w:val="20"/>
              </w:rPr>
              <w:t>Short discourses upon the whole common-prayer</w:t>
            </w:r>
            <w:r w:rsidRPr="002E7C31">
              <w:rPr>
                <w:rFonts w:eastAsia="Times New Roman"/>
                <w:color w:val="000000"/>
                <w:sz w:val="20"/>
                <w:szCs w:val="20"/>
              </w:rPr>
              <w:t>. London, 1712</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Religion</w:t>
            </w:r>
          </w:p>
        </w:tc>
      </w:tr>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6C044A" w:rsidRDefault="006C044A" w:rsidP="006C044A">
            <w:pPr>
              <w:rPr>
                <w:rFonts w:eastAsia="Times New Roman"/>
                <w:color w:val="000000"/>
                <w:sz w:val="20"/>
                <w:szCs w:val="20"/>
              </w:rPr>
            </w:pP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bl>
    <w:p w:rsidR="002E7C31" w:rsidRDefault="002E7C31">
      <w:r>
        <w:br w:type="page"/>
      </w:r>
    </w:p>
    <w:tbl>
      <w:tblPr>
        <w:tblW w:w="12960" w:type="dxa"/>
        <w:tblInd w:w="91" w:type="dxa"/>
        <w:tblLook w:val="04A0"/>
      </w:tblPr>
      <w:tblGrid>
        <w:gridCol w:w="2476"/>
        <w:gridCol w:w="1161"/>
        <w:gridCol w:w="4435"/>
        <w:gridCol w:w="1060"/>
        <w:gridCol w:w="840"/>
        <w:gridCol w:w="950"/>
        <w:gridCol w:w="2038"/>
      </w:tblGrid>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2E7C31" w:rsidRDefault="006C044A" w:rsidP="006C044A">
            <w:pPr>
              <w:rPr>
                <w:rFonts w:eastAsia="Times New Roman"/>
                <w:color w:val="000000"/>
              </w:rPr>
            </w:pPr>
            <w:r w:rsidRPr="002E7C31">
              <w:rPr>
                <w:rFonts w:eastAsia="Times New Roman"/>
                <w:b/>
                <w:bCs/>
                <w:color w:val="000000"/>
              </w:rPr>
              <w:lastRenderedPageBreak/>
              <w:t>Table A-4</w:t>
            </w:r>
            <w:r w:rsidRPr="002E7C31">
              <w:rPr>
                <w:rFonts w:eastAsia="Times New Roman"/>
                <w:color w:val="000000"/>
              </w:rPr>
              <w:t xml:space="preserve"> (continued).</w:t>
            </w: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i/>
                <w:iCs/>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r w:rsidR="006C044A" w:rsidRPr="006C044A" w:rsidTr="002E7C31">
        <w:trPr>
          <w:trHeight w:val="255"/>
        </w:trPr>
        <w:tc>
          <w:tcPr>
            <w:tcW w:w="2476" w:type="dxa"/>
            <w:tcBorders>
              <w:top w:val="nil"/>
              <w:left w:val="nil"/>
              <w:bottom w:val="nil"/>
              <w:right w:val="nil"/>
            </w:tcBorders>
            <w:shd w:val="clear" w:color="auto" w:fill="auto"/>
            <w:vAlign w:val="bottom"/>
            <w:hideMark/>
          </w:tcPr>
          <w:p w:rsidR="006C044A" w:rsidRPr="006C044A" w:rsidRDefault="006C044A" w:rsidP="006C044A">
            <w:pPr>
              <w:rPr>
                <w:rFonts w:eastAsia="Times New Roman"/>
                <w:color w:val="000000"/>
                <w:sz w:val="20"/>
                <w:szCs w:val="20"/>
              </w:rPr>
            </w:pPr>
          </w:p>
        </w:tc>
        <w:tc>
          <w:tcPr>
            <w:tcW w:w="1161"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4435" w:type="dxa"/>
            <w:tcBorders>
              <w:top w:val="nil"/>
              <w:left w:val="nil"/>
              <w:bottom w:val="nil"/>
              <w:right w:val="nil"/>
            </w:tcBorders>
            <w:shd w:val="clear" w:color="auto" w:fill="auto"/>
            <w:vAlign w:val="bottom"/>
            <w:hideMark/>
          </w:tcPr>
          <w:p w:rsidR="006C044A" w:rsidRPr="002E7C31" w:rsidRDefault="006C044A" w:rsidP="006C044A">
            <w:pPr>
              <w:rPr>
                <w:rFonts w:eastAsia="Times New Roman"/>
                <w:i/>
                <w:iCs/>
                <w:color w:val="000000"/>
                <w:sz w:val="20"/>
                <w:szCs w:val="20"/>
              </w:rPr>
            </w:pPr>
          </w:p>
        </w:tc>
        <w:tc>
          <w:tcPr>
            <w:tcW w:w="106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840" w:type="dxa"/>
            <w:tcBorders>
              <w:top w:val="nil"/>
              <w:left w:val="nil"/>
              <w:bottom w:val="nil"/>
              <w:right w:val="nil"/>
            </w:tcBorders>
            <w:shd w:val="clear" w:color="auto" w:fill="auto"/>
            <w:noWrap/>
            <w:vAlign w:val="bottom"/>
            <w:hideMark/>
          </w:tcPr>
          <w:p w:rsidR="006C044A" w:rsidRPr="006C044A" w:rsidRDefault="006C044A" w:rsidP="006C044A">
            <w:pPr>
              <w:jc w:val="center"/>
              <w:rPr>
                <w:rFonts w:eastAsia="Times New Roman"/>
                <w:color w:val="000000"/>
                <w:sz w:val="20"/>
                <w:szCs w:val="20"/>
              </w:rPr>
            </w:pPr>
          </w:p>
        </w:tc>
        <w:tc>
          <w:tcPr>
            <w:tcW w:w="950"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c>
          <w:tcPr>
            <w:tcW w:w="2038" w:type="dxa"/>
            <w:tcBorders>
              <w:top w:val="nil"/>
              <w:left w:val="nil"/>
              <w:bottom w:val="nil"/>
              <w:right w:val="nil"/>
            </w:tcBorders>
            <w:shd w:val="clear" w:color="auto" w:fill="auto"/>
            <w:noWrap/>
            <w:vAlign w:val="bottom"/>
            <w:hideMark/>
          </w:tcPr>
          <w:p w:rsidR="006C044A" w:rsidRPr="006C044A" w:rsidRDefault="006C044A" w:rsidP="006C044A">
            <w:pPr>
              <w:rPr>
                <w:rFonts w:eastAsia="Times New Roman"/>
                <w:color w:val="000000"/>
                <w:sz w:val="20"/>
                <w:szCs w:val="20"/>
              </w:rPr>
            </w:pPr>
          </w:p>
        </w:tc>
      </w:tr>
      <w:tr w:rsidR="006C044A" w:rsidRPr="006C044A" w:rsidTr="002E7C31">
        <w:trPr>
          <w:trHeight w:val="510"/>
        </w:trPr>
        <w:tc>
          <w:tcPr>
            <w:tcW w:w="2476" w:type="dxa"/>
            <w:tcBorders>
              <w:top w:val="single" w:sz="4" w:space="0" w:color="auto"/>
              <w:left w:val="single" w:sz="4" w:space="0" w:color="auto"/>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Title (Abbot and Twohig 1990[7]:343-350)</w:t>
            </w:r>
          </w:p>
        </w:tc>
        <w:tc>
          <w:tcPr>
            <w:tcW w:w="1161"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In LW's Inventory?</w:t>
            </w:r>
          </w:p>
        </w:tc>
        <w:tc>
          <w:tcPr>
            <w:tcW w:w="4435" w:type="dxa"/>
            <w:tcBorders>
              <w:top w:val="single" w:sz="4" w:space="0" w:color="auto"/>
              <w:left w:val="nil"/>
              <w:bottom w:val="single" w:sz="4" w:space="0" w:color="auto"/>
              <w:right w:val="single" w:sz="4" w:space="0" w:color="auto"/>
            </w:tcBorders>
            <w:shd w:val="clear" w:color="000000" w:fill="D8D8D8"/>
            <w:vAlign w:val="bottom"/>
            <w:hideMark/>
          </w:tcPr>
          <w:p w:rsidR="006C044A" w:rsidRPr="002E7C31" w:rsidRDefault="006C044A" w:rsidP="006C044A">
            <w:pPr>
              <w:rPr>
                <w:rFonts w:eastAsia="Times New Roman"/>
                <w:b/>
                <w:bCs/>
                <w:color w:val="000000"/>
                <w:sz w:val="20"/>
                <w:szCs w:val="20"/>
              </w:rPr>
            </w:pPr>
            <w:r w:rsidRPr="002E7C31">
              <w:rPr>
                <w:rFonts w:eastAsia="Times New Roman"/>
                <w:b/>
                <w:bCs/>
                <w:color w:val="000000"/>
                <w:sz w:val="20"/>
                <w:szCs w:val="20"/>
              </w:rPr>
              <w:t>Citation (Abbot and Twohig 1990[7]:343-350)</w:t>
            </w:r>
          </w:p>
        </w:tc>
        <w:tc>
          <w:tcPr>
            <w:tcW w:w="106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jc w:val="center"/>
              <w:rPr>
                <w:rFonts w:eastAsia="Times New Roman"/>
                <w:b/>
                <w:bCs/>
                <w:color w:val="000000"/>
                <w:sz w:val="20"/>
                <w:szCs w:val="20"/>
              </w:rPr>
            </w:pPr>
            <w:r w:rsidRPr="006C044A">
              <w:rPr>
                <w:rFonts w:eastAsia="Times New Roman"/>
                <w:b/>
                <w:bCs/>
                <w:color w:val="000000"/>
                <w:sz w:val="20"/>
                <w:szCs w:val="20"/>
              </w:rPr>
              <w:t xml:space="preserve">Volumes </w:t>
            </w:r>
          </w:p>
        </w:tc>
        <w:tc>
          <w:tcPr>
            <w:tcW w:w="84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jc w:val="center"/>
              <w:rPr>
                <w:rFonts w:eastAsia="Times New Roman"/>
                <w:b/>
                <w:bCs/>
                <w:color w:val="000000"/>
                <w:sz w:val="20"/>
                <w:szCs w:val="20"/>
              </w:rPr>
            </w:pPr>
            <w:r w:rsidRPr="006C044A">
              <w:rPr>
                <w:rFonts w:eastAsia="Times New Roman"/>
                <w:b/>
                <w:bCs/>
                <w:color w:val="000000"/>
                <w:sz w:val="20"/>
                <w:szCs w:val="20"/>
              </w:rPr>
              <w:t>Size</w:t>
            </w:r>
          </w:p>
        </w:tc>
        <w:tc>
          <w:tcPr>
            <w:tcW w:w="950"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Year Invoiced</w:t>
            </w:r>
          </w:p>
        </w:tc>
        <w:tc>
          <w:tcPr>
            <w:tcW w:w="2038" w:type="dxa"/>
            <w:tcBorders>
              <w:top w:val="single" w:sz="4" w:space="0" w:color="auto"/>
              <w:left w:val="nil"/>
              <w:bottom w:val="single" w:sz="4" w:space="0" w:color="auto"/>
              <w:right w:val="single" w:sz="4" w:space="0" w:color="auto"/>
            </w:tcBorders>
            <w:shd w:val="clear" w:color="000000" w:fill="D8D8D8"/>
            <w:vAlign w:val="bottom"/>
            <w:hideMark/>
          </w:tcPr>
          <w:p w:rsidR="006C044A" w:rsidRPr="006C044A" w:rsidRDefault="006C044A" w:rsidP="006C044A">
            <w:pPr>
              <w:rPr>
                <w:rFonts w:eastAsia="Times New Roman"/>
                <w:b/>
                <w:bCs/>
                <w:color w:val="000000"/>
                <w:sz w:val="20"/>
                <w:szCs w:val="20"/>
              </w:rPr>
            </w:pPr>
            <w:r w:rsidRPr="006C044A">
              <w:rPr>
                <w:rFonts w:eastAsia="Times New Roman"/>
                <w:b/>
                <w:bCs/>
                <w:color w:val="000000"/>
                <w:sz w:val="20"/>
                <w:szCs w:val="20"/>
              </w:rPr>
              <w:t>Subject</w:t>
            </w:r>
          </w:p>
        </w:tc>
      </w:tr>
      <w:tr w:rsidR="006C044A" w:rsidRPr="006C044A" w:rsidTr="002E7C31">
        <w:trPr>
          <w:trHeight w:val="8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Dissertation on the Mosaic</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Simon Berington. </w:t>
            </w:r>
            <w:r w:rsidRPr="002E7C31">
              <w:rPr>
                <w:rFonts w:eastAsia="Times New Roman"/>
                <w:i/>
                <w:iCs/>
                <w:color w:val="000000"/>
                <w:sz w:val="20"/>
                <w:szCs w:val="20"/>
              </w:rPr>
              <w:t>Dissertations on the Mosaical creation, deluge, building of Babel, and confusion on tongues</w:t>
            </w:r>
            <w:r w:rsidRPr="002E7C31">
              <w:rPr>
                <w:rFonts w:eastAsia="Times New Roman"/>
                <w:color w:val="000000"/>
                <w:sz w:val="20"/>
                <w:szCs w:val="20"/>
              </w:rPr>
              <w:t>. London, 1750</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Religion</w:t>
            </w:r>
          </w:p>
        </w:tc>
      </w:tr>
      <w:tr w:rsidR="006C044A" w:rsidRPr="006C044A" w:rsidTr="002E7C31">
        <w:trPr>
          <w:trHeight w:val="51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Gilbert Bishop of Sarums Exposi[tio]n of the 39 Articles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right"/>
              <w:rPr>
                <w:rFonts w:eastAsia="Times New Roman"/>
                <w:color w:val="000000"/>
                <w:sz w:val="20"/>
                <w:szCs w:val="20"/>
              </w:rPr>
            </w:pPr>
            <w:r w:rsidRPr="006C044A">
              <w:rPr>
                <w:rFonts w:eastAsia="Times New Roman"/>
                <w:color w:val="000000"/>
                <w:sz w:val="20"/>
                <w:szCs w:val="20"/>
              </w:rPr>
              <w:t>1766</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Religion</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Hicks Devotions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John Austin. </w:t>
            </w:r>
            <w:r w:rsidRPr="002E7C31">
              <w:rPr>
                <w:rFonts w:eastAsia="Times New Roman"/>
                <w:i/>
                <w:iCs/>
                <w:color w:val="000000"/>
                <w:sz w:val="20"/>
                <w:szCs w:val="20"/>
              </w:rPr>
              <w:t>Devotions in the ancient way of offices</w:t>
            </w:r>
            <w:r w:rsidRPr="002E7C31">
              <w:rPr>
                <w:rFonts w:eastAsia="Times New Roman"/>
                <w:color w:val="000000"/>
                <w:sz w:val="20"/>
                <w:szCs w:val="20"/>
              </w:rPr>
              <w:t>. Published by George Hickes. London, 1701</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Religion</w:t>
            </w:r>
          </w:p>
        </w:tc>
      </w:tr>
      <w:tr w:rsidR="006C044A" w:rsidRPr="006C044A" w:rsidTr="002E7C31">
        <w:trPr>
          <w:trHeight w:val="8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Ofspring on Reveln Sermn.</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Ofspring Blackall. </w:t>
            </w:r>
            <w:r w:rsidRPr="002E7C31">
              <w:rPr>
                <w:rFonts w:eastAsia="Times New Roman"/>
                <w:i/>
                <w:iCs/>
                <w:color w:val="000000"/>
                <w:sz w:val="20"/>
                <w:szCs w:val="20"/>
              </w:rPr>
              <w:t>The sufficiency of a standing revelation in general, and of the scripture revelation in particular</w:t>
            </w:r>
            <w:r w:rsidRPr="002E7C31">
              <w:rPr>
                <w:rFonts w:eastAsia="Times New Roman"/>
                <w:color w:val="000000"/>
                <w:sz w:val="20"/>
                <w:szCs w:val="20"/>
              </w:rPr>
              <w:t>. London, 1717</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Religion</w:t>
            </w:r>
          </w:p>
        </w:tc>
      </w:tr>
      <w:tr w:rsidR="006C044A" w:rsidRPr="006C044A" w:rsidTr="002E7C31">
        <w:trPr>
          <w:trHeight w:val="555"/>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Rays Wisdom of God</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John Ray. </w:t>
            </w:r>
            <w:r w:rsidRPr="002E7C31">
              <w:rPr>
                <w:rFonts w:eastAsia="Times New Roman"/>
                <w:i/>
                <w:iCs/>
                <w:color w:val="000000"/>
                <w:sz w:val="20"/>
                <w:szCs w:val="20"/>
              </w:rPr>
              <w:t>The wisdom of God manifested in the works of the creation</w:t>
            </w:r>
            <w:r w:rsidRPr="002E7C31">
              <w:rPr>
                <w:rFonts w:eastAsia="Times New Roman"/>
                <w:color w:val="000000"/>
                <w:sz w:val="20"/>
                <w:szCs w:val="20"/>
              </w:rPr>
              <w:t>. London, 1743</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Religion</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Sir M. Hales Contempn</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Sir Matthew Hale. </w:t>
            </w:r>
            <w:r w:rsidRPr="002E7C31">
              <w:rPr>
                <w:rFonts w:eastAsia="Times New Roman"/>
                <w:i/>
                <w:iCs/>
                <w:color w:val="000000"/>
                <w:sz w:val="20"/>
                <w:szCs w:val="20"/>
              </w:rPr>
              <w:t>Contemplations moral and divine</w:t>
            </w:r>
            <w:r w:rsidRPr="002E7C31">
              <w:rPr>
                <w:rFonts w:eastAsia="Times New Roman"/>
                <w:color w:val="000000"/>
                <w:sz w:val="20"/>
                <w:szCs w:val="20"/>
              </w:rPr>
              <w:t>. London, 1685</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Religion</w:t>
            </w:r>
          </w:p>
        </w:tc>
      </w:tr>
      <w:tr w:rsidR="006C044A" w:rsidRPr="006C044A" w:rsidTr="002E7C31">
        <w:trPr>
          <w:trHeight w:val="600"/>
        </w:trPr>
        <w:tc>
          <w:tcPr>
            <w:tcW w:w="2476" w:type="dxa"/>
            <w:tcBorders>
              <w:top w:val="nil"/>
              <w:left w:val="single" w:sz="4" w:space="0" w:color="auto"/>
              <w:bottom w:val="single" w:sz="4" w:space="0" w:color="auto"/>
              <w:right w:val="single" w:sz="4" w:space="0" w:color="auto"/>
            </w:tcBorders>
            <w:shd w:val="clear" w:color="auto" w:fill="auto"/>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Yorricks Sermons</w:t>
            </w:r>
          </w:p>
        </w:tc>
        <w:tc>
          <w:tcPr>
            <w:tcW w:w="1161"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4435" w:type="dxa"/>
            <w:tcBorders>
              <w:top w:val="nil"/>
              <w:left w:val="nil"/>
              <w:bottom w:val="single" w:sz="4" w:space="0" w:color="auto"/>
              <w:right w:val="single" w:sz="4" w:space="0" w:color="auto"/>
            </w:tcBorders>
            <w:shd w:val="clear" w:color="auto" w:fill="auto"/>
            <w:vAlign w:val="bottom"/>
            <w:hideMark/>
          </w:tcPr>
          <w:p w:rsidR="006C044A" w:rsidRPr="002E7C31" w:rsidRDefault="006C044A" w:rsidP="006C044A">
            <w:pPr>
              <w:rPr>
                <w:rFonts w:eastAsia="Times New Roman"/>
                <w:color w:val="000000"/>
                <w:sz w:val="20"/>
                <w:szCs w:val="20"/>
              </w:rPr>
            </w:pPr>
            <w:r w:rsidRPr="002E7C31">
              <w:rPr>
                <w:rFonts w:eastAsia="Times New Roman"/>
                <w:color w:val="000000"/>
                <w:sz w:val="20"/>
                <w:szCs w:val="20"/>
              </w:rPr>
              <w:t xml:space="preserve">Laurence Sterne. </w:t>
            </w:r>
            <w:r w:rsidRPr="002E7C31">
              <w:rPr>
                <w:rFonts w:eastAsia="Times New Roman"/>
                <w:i/>
                <w:iCs/>
                <w:color w:val="000000"/>
                <w:sz w:val="20"/>
                <w:szCs w:val="20"/>
              </w:rPr>
              <w:t>The sermons of Mr. Yorrick</w:t>
            </w:r>
            <w:r w:rsidRPr="002E7C31">
              <w:rPr>
                <w:rFonts w:eastAsia="Times New Roman"/>
                <w:color w:val="000000"/>
                <w:sz w:val="20"/>
                <w:szCs w:val="20"/>
              </w:rPr>
              <w:t>. 2 volumes. London, 1761</w:t>
            </w:r>
          </w:p>
        </w:tc>
        <w:tc>
          <w:tcPr>
            <w:tcW w:w="106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jc w:val="center"/>
              <w:rPr>
                <w:rFonts w:eastAsia="Times New Roman"/>
                <w:color w:val="000000"/>
                <w:sz w:val="20"/>
                <w:szCs w:val="20"/>
              </w:rPr>
            </w:pPr>
            <w:r w:rsidRPr="006C044A">
              <w:rPr>
                <w:rFonts w:eastAsia="Times New Roman"/>
                <w:color w:val="000000"/>
                <w:sz w:val="20"/>
                <w:szCs w:val="20"/>
              </w:rPr>
              <w:t>Quarto</w:t>
            </w:r>
          </w:p>
        </w:tc>
        <w:tc>
          <w:tcPr>
            <w:tcW w:w="950"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 </w:t>
            </w:r>
          </w:p>
        </w:tc>
        <w:tc>
          <w:tcPr>
            <w:tcW w:w="2038" w:type="dxa"/>
            <w:tcBorders>
              <w:top w:val="nil"/>
              <w:left w:val="nil"/>
              <w:bottom w:val="single" w:sz="4" w:space="0" w:color="auto"/>
              <w:right w:val="single" w:sz="4" w:space="0" w:color="auto"/>
            </w:tcBorders>
            <w:shd w:val="clear" w:color="auto" w:fill="auto"/>
            <w:noWrap/>
            <w:vAlign w:val="bottom"/>
            <w:hideMark/>
          </w:tcPr>
          <w:p w:rsidR="006C044A" w:rsidRPr="006C044A" w:rsidRDefault="006C044A" w:rsidP="006C044A">
            <w:pPr>
              <w:rPr>
                <w:rFonts w:eastAsia="Times New Roman"/>
                <w:color w:val="000000"/>
                <w:sz w:val="20"/>
                <w:szCs w:val="20"/>
              </w:rPr>
            </w:pPr>
            <w:r w:rsidRPr="006C044A">
              <w:rPr>
                <w:rFonts w:eastAsia="Times New Roman"/>
                <w:color w:val="000000"/>
                <w:sz w:val="20"/>
                <w:szCs w:val="20"/>
              </w:rPr>
              <w:t>Religion</w:t>
            </w:r>
          </w:p>
        </w:tc>
      </w:tr>
    </w:tbl>
    <w:p w:rsidR="00E82578" w:rsidRDefault="00E82578"/>
    <w:p w:rsidR="00E82578" w:rsidRDefault="00E82578">
      <w:r>
        <w:br w:type="page"/>
      </w:r>
    </w:p>
    <w:p w:rsidR="00E82578" w:rsidRDefault="00E82578">
      <w:pPr>
        <w:sectPr w:rsidR="00E82578" w:rsidSect="009E3820">
          <w:pgSz w:w="15840" w:h="12240" w:orient="landscape"/>
          <w:pgMar w:top="1440" w:right="1440" w:bottom="1440" w:left="1440" w:header="720" w:footer="720" w:gutter="0"/>
          <w:cols w:space="720"/>
          <w:docGrid w:linePitch="360"/>
        </w:sectPr>
      </w:pPr>
    </w:p>
    <w:p w:rsidR="00C4163E" w:rsidRPr="006C6052" w:rsidRDefault="00C4163E" w:rsidP="00C4163E">
      <w:pPr>
        <w:spacing w:line="480" w:lineRule="auto"/>
        <w:jc w:val="center"/>
        <w:rPr>
          <w:b/>
        </w:rPr>
      </w:pPr>
      <w:r w:rsidRPr="006C6052">
        <w:rPr>
          <w:b/>
        </w:rPr>
        <w:lastRenderedPageBreak/>
        <w:t>VITA</w:t>
      </w:r>
    </w:p>
    <w:p w:rsidR="00C4163E" w:rsidRDefault="00C4163E" w:rsidP="00C90B61">
      <w:pPr>
        <w:spacing w:line="480" w:lineRule="auto"/>
        <w:ind w:firstLine="720"/>
      </w:pPr>
      <w:r>
        <w:t>Eleanor Breen was born in the small college town of Pullman, WA, to Denis a</w:t>
      </w:r>
      <w:r w:rsidR="002E7C31">
        <w:t xml:space="preserve">nd Margaret Breen. </w:t>
      </w:r>
      <w:r w:rsidR="00AE5D84">
        <w:t>When she was</w:t>
      </w:r>
      <w:r>
        <w:t xml:space="preserve"> three, Eleanor’s family relocated to northern Virginia where she resided through high school, atten</w:t>
      </w:r>
      <w:r w:rsidR="002E7C31">
        <w:t xml:space="preserve">ding W. T. Woodson in Fairfax. </w:t>
      </w:r>
      <w:r>
        <w:t xml:space="preserve">During </w:t>
      </w:r>
      <w:r w:rsidR="00C90B61">
        <w:t>biology</w:t>
      </w:r>
      <w:r>
        <w:t xml:space="preserve"> class, she received the opportunity to shadow a scientist and, following her career interests, choose archaeologists Drs. Dennis Pogue and Esther White at nea</w:t>
      </w:r>
      <w:r w:rsidR="002E7C31">
        <w:t xml:space="preserve">rby Historic Mount Vernon, VA. </w:t>
      </w:r>
      <w:r>
        <w:t>Following this formative experience, Eleanor continued to pursue archaeology at the College of William and Mary as an Anthropology major and attended field s</w:t>
      </w:r>
      <w:r w:rsidR="002E7C31">
        <w:t xml:space="preserve">chool at Rich Neck Plantation. </w:t>
      </w:r>
      <w:r>
        <w:t xml:space="preserve">After working in cultural resources management, she accepted a research assistantship at the University of Massachusetts, Boston in the Anthropology </w:t>
      </w:r>
      <w:r w:rsidR="00032000">
        <w:t xml:space="preserve">Master’s </w:t>
      </w:r>
      <w:r w:rsidR="002E7C31">
        <w:t xml:space="preserve">program. </w:t>
      </w:r>
      <w:r>
        <w:t>Eleanor returned to Historic Mount Vernon to complete research for her Master’s thesis in 2003 on the refined ceramics fro</w:t>
      </w:r>
      <w:r w:rsidR="002E7C31">
        <w:t xml:space="preserve">m the South Grove Midden site. </w:t>
      </w:r>
      <w:r>
        <w:t>After working at Mount Vernon for five years as the Assistant Archaeologist, she once again matriculated, this time as a PhD student and teaching assistant at the University of Tennessee, Knoxv</w:t>
      </w:r>
      <w:r w:rsidR="002E7C31">
        <w:t xml:space="preserve">ille, in Anthropology in 2007. </w:t>
      </w:r>
      <w:r>
        <w:t>During her tenure at UTK, she assisted Dr. Barbara Heath in</w:t>
      </w:r>
      <w:r w:rsidR="00032000">
        <w:t xml:space="preserve"> locating and</w:t>
      </w:r>
      <w:r>
        <w:t xml:space="preserve"> excavating quarter sites associated with the enslaved community owned by John Wayles, Thomas Jefferson</w:t>
      </w:r>
      <w:r w:rsidR="002E7C31">
        <w:t xml:space="preserve">’s father-in-law. </w:t>
      </w:r>
      <w:r>
        <w:t xml:space="preserve">Finishing her coursework, she </w:t>
      </w:r>
      <w:r w:rsidR="00032000">
        <w:t>accepted</w:t>
      </w:r>
      <w:r>
        <w:t xml:space="preserve"> a pre-doctoral fellow</w:t>
      </w:r>
      <w:r w:rsidR="002E7C31">
        <w:t xml:space="preserve">ship at Historic Mount Vernon. </w:t>
      </w:r>
      <w:r>
        <w:t xml:space="preserve">Eleanor graduated from UTK in 2013 and is currently directing the archaeology program at George Washington’s plantation home.  </w:t>
      </w:r>
    </w:p>
    <w:p w:rsidR="00C4163E" w:rsidRDefault="00C4163E" w:rsidP="00C4163E">
      <w:pPr>
        <w:spacing w:line="480" w:lineRule="auto"/>
      </w:pPr>
    </w:p>
    <w:p w:rsidR="009E3820" w:rsidRDefault="009E3820"/>
    <w:sectPr w:rsidR="009E3820" w:rsidSect="00BB4C7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646" w:rsidRDefault="00FD2646" w:rsidP="000F7191">
      <w:r>
        <w:separator/>
      </w:r>
    </w:p>
  </w:endnote>
  <w:endnote w:type="continuationSeparator" w:id="0">
    <w:p w:rsidR="00FD2646" w:rsidRDefault="00FD2646" w:rsidP="000F71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NKKBK+TimesNewRoman">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0" w:usb1="00000000" w:usb2="00000000" w:usb3="00000000" w:csb0="00000000" w:csb1="00000000"/>
  </w:font>
  <w:font w:name="EILJDE+TimesNewRoman">
    <w:altName w:val="Times New Roman"/>
    <w:panose1 w:val="00000000000000000000"/>
    <w:charset w:val="00"/>
    <w:family w:val="roman"/>
    <w:notTrueType/>
    <w:pitch w:val="default"/>
    <w:sig w:usb0="00000003" w:usb1="00000000" w:usb2="00000000" w:usb3="00000000" w:csb0="00000001" w:csb1="00000000"/>
  </w:font>
  <w:font w:name="EILJFG+TimesNewRoman,Italic">
    <w:altName w:val="Times New Roman"/>
    <w:panose1 w:val="00000000000000000000"/>
    <w:charset w:val="00"/>
    <w:family w:val="roman"/>
    <w:notTrueType/>
    <w:pitch w:val="default"/>
    <w:sig w:usb0="00000003" w:usb1="00000000" w:usb2="00000000" w:usb3="00000000" w:csb0="00000001" w:csb1="00000000"/>
  </w:font>
  <w:font w:name="ANKKLL+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380389"/>
      <w:docPartObj>
        <w:docPartGallery w:val="Page Numbers (Bottom of Page)"/>
        <w:docPartUnique/>
      </w:docPartObj>
    </w:sdtPr>
    <w:sdtContent>
      <w:p w:rsidR="00FD2646" w:rsidRDefault="00FD2646">
        <w:pPr>
          <w:pStyle w:val="Footer"/>
          <w:jc w:val="center"/>
        </w:pPr>
        <w:fldSimple w:instr=" PAGE   \* MERGEFORMAT ">
          <w:r w:rsidR="00386C10">
            <w:rPr>
              <w:noProof/>
            </w:rPr>
            <w:t>xv</w:t>
          </w:r>
        </w:fldSimple>
      </w:p>
    </w:sdtContent>
  </w:sdt>
  <w:p w:rsidR="00FD2646" w:rsidRDefault="00FD26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646" w:rsidRDefault="00FD2646" w:rsidP="000F7191">
      <w:r>
        <w:separator/>
      </w:r>
    </w:p>
  </w:footnote>
  <w:footnote w:type="continuationSeparator" w:id="0">
    <w:p w:rsidR="00FD2646" w:rsidRDefault="00FD2646" w:rsidP="000F7191">
      <w:r>
        <w:continuationSeparator/>
      </w:r>
    </w:p>
  </w:footnote>
  <w:footnote w:id="1">
    <w:p w:rsidR="00FD2646" w:rsidRDefault="00FD2646" w:rsidP="008203A5">
      <w:pPr>
        <w:pStyle w:val="FootnoteText"/>
      </w:pPr>
      <w:r>
        <w:rPr>
          <w:rStyle w:val="FootnoteReference"/>
        </w:rPr>
        <w:footnoteRef/>
      </w:r>
      <w:r>
        <w:t xml:space="preserve"> For additional information on Lawrence Washington’s military career and his work activities after the war, see Henriques (1992:243-44). For his part in the establishment of the town of Alexandria, see Cooper (1978:519).For his participation in the Ohio Company, see Callahan (1913:24). See also Abbot (1983[1]). </w:t>
      </w:r>
    </w:p>
  </w:footnote>
  <w:footnote w:id="2">
    <w:p w:rsidR="00FD2646" w:rsidRDefault="00FD2646" w:rsidP="008203A5">
      <w:pPr>
        <w:pStyle w:val="FootnoteText"/>
      </w:pPr>
      <w:r>
        <w:rPr>
          <w:rStyle w:val="FootnoteReference"/>
        </w:rPr>
        <w:footnoteRef/>
      </w:r>
      <w:r>
        <w:t xml:space="preserve"> This is the location where it is hypothesized that Lawrence Washington contracted tuberculosis (Gaines 1955:7) that would eventually lead to his death in 1752 (Henriques 1992:263).</w:t>
      </w:r>
    </w:p>
  </w:footnote>
  <w:footnote w:id="3">
    <w:p w:rsidR="00FD2646" w:rsidRDefault="00FD2646" w:rsidP="008203A5">
      <w:pPr>
        <w:pStyle w:val="FootnoteText"/>
      </w:pPr>
      <w:r>
        <w:rPr>
          <w:rStyle w:val="FootnoteReference"/>
        </w:rPr>
        <w:footnoteRef/>
      </w:r>
      <w:r>
        <w:t xml:space="preserve"> For other arguments on the construction date of the house, see Moxham (1976) and Wall (1945).</w:t>
      </w:r>
    </w:p>
  </w:footnote>
  <w:footnote w:id="4">
    <w:p w:rsidR="00FD2646" w:rsidRDefault="00FD2646" w:rsidP="008203A5">
      <w:pPr>
        <w:pStyle w:val="FootnoteText"/>
      </w:pPr>
      <w:r>
        <w:rPr>
          <w:rStyle w:val="FootnoteReference"/>
        </w:rPr>
        <w:footnoteRef/>
      </w:r>
      <w:r>
        <w:t xml:space="preserve"> For additional information on what Lawrence Washington did to remodel his home, see Mesick, Cohen, </w:t>
      </w:r>
      <w:proofErr w:type="gramStart"/>
      <w:r>
        <w:t>Waite</w:t>
      </w:r>
      <w:proofErr w:type="gramEnd"/>
      <w:r>
        <w:t xml:space="preserve"> Architects (1993:79-82).</w:t>
      </w:r>
    </w:p>
  </w:footnote>
  <w:footnote w:id="5">
    <w:p w:rsidR="00FD2646" w:rsidRDefault="00FD2646" w:rsidP="008203A5">
      <w:pPr>
        <w:pStyle w:val="FootnoteText"/>
      </w:pPr>
      <w:r>
        <w:rPr>
          <w:rStyle w:val="FootnoteReference"/>
        </w:rPr>
        <w:footnoteRef/>
      </w:r>
      <w:r>
        <w:t xml:space="preserve"> For a detailed description of the architectural work that was done to Mount Vernon before 1775 see Mesick, Cohen, Waite Architects (1993) and Dalzell and Dalzell (1998:Chapter 3).</w:t>
      </w:r>
    </w:p>
  </w:footnote>
  <w:footnote w:id="6">
    <w:p w:rsidR="00FD2646" w:rsidRPr="000E42E5" w:rsidRDefault="00FD2646" w:rsidP="000F7191">
      <w:pPr>
        <w:pStyle w:val="FootnoteText"/>
      </w:pPr>
      <w:r w:rsidRPr="000E42E5">
        <w:rPr>
          <w:rStyle w:val="FootnoteReference"/>
        </w:rPr>
        <w:footnoteRef/>
      </w:r>
      <w:r w:rsidRPr="000E42E5">
        <w:t xml:space="preserve"> The chronology presented here differs from the seriation chronology developed by DAACS based on correspondence analysis and ware-type manufacturing dates that</w:t>
      </w:r>
      <w:r>
        <w:t xml:space="preserve"> enable intra-site comparisons.</w:t>
      </w:r>
      <w:r w:rsidRPr="000E42E5">
        <w:t xml:space="preserve"> I have chosen to use </w:t>
      </w:r>
      <w:r>
        <w:t xml:space="preserve">the </w:t>
      </w:r>
      <w:r w:rsidRPr="000E42E5">
        <w:t>six-phase chronology presented in Table 7-1 (based on ceramic seriation, dating and vessel analysis, tobacco pipe dating, and the i</w:t>
      </w:r>
      <w:r>
        <w:t>ntegration of primary sources).</w:t>
      </w:r>
      <w:r w:rsidRPr="000E42E5">
        <w:t xml:space="preserve"> I</w:t>
      </w:r>
      <w:r>
        <w:t>t more accurately reflects the H</w:t>
      </w:r>
      <w:r w:rsidRPr="000E42E5">
        <w:t xml:space="preserve">arris matrix developed for the site, and therefore the site’s depositional history, grouping layers with direct relationships or those in close proximity.       </w:t>
      </w:r>
    </w:p>
  </w:footnote>
  <w:footnote w:id="7">
    <w:p w:rsidR="00FD2646" w:rsidRPr="000E42E5" w:rsidRDefault="00FD2646" w:rsidP="000F7191">
      <w:pPr>
        <w:pStyle w:val="FootnoteText"/>
      </w:pPr>
      <w:r w:rsidRPr="000E42E5">
        <w:rPr>
          <w:rStyle w:val="FootnoteReference"/>
        </w:rPr>
        <w:footnoteRef/>
      </w:r>
      <w:r w:rsidRPr="000E42E5">
        <w:t xml:space="preserve"> In the case of the House for Families, the DAACS phasing strategy closely aligned with the TPQ and seriation-based technique employed by Mount Vernon archaeologists and therefore the former is presented here. </w:t>
      </w:r>
    </w:p>
  </w:footnote>
  <w:footnote w:id="8">
    <w:p w:rsidR="00FD2646" w:rsidRPr="001B3DC8" w:rsidRDefault="00FD2646" w:rsidP="000F7191">
      <w:pPr>
        <w:pStyle w:val="FootnoteText"/>
      </w:pPr>
      <w:r w:rsidRPr="001B3DC8">
        <w:rPr>
          <w:rStyle w:val="FootnoteReference"/>
        </w:rPr>
        <w:footnoteRef/>
      </w:r>
      <w:r w:rsidRPr="001B3DC8">
        <w:t xml:space="preserve"> By the mid-eighteenth century, punch could also be served (though rarely) from a pot nearly identical to a teapot but larger in capacity and possibly missing the tea-leaf strainer on the inside at the ba</w:t>
      </w:r>
      <w:r>
        <w:t xml:space="preserve">se of the spout (Harvey 2008). </w:t>
      </w:r>
      <w:r w:rsidRPr="001B3DC8">
        <w:t>Neither of these two distinctions has been systematically analyzed (i.e., how much bigger were punch pots than tea pots and how closely does a lack of a strainer correlate to identified punch pots in museum collections) to make identification of punch pots in the archaeological record feasible.</w:t>
      </w:r>
    </w:p>
  </w:footnote>
  <w:footnote w:id="9">
    <w:p w:rsidR="00FD2646" w:rsidRPr="000F478D" w:rsidRDefault="00FD2646" w:rsidP="000F7191">
      <w:pPr>
        <w:pStyle w:val="FootnoteText"/>
      </w:pPr>
      <w:r w:rsidRPr="000F478D">
        <w:rPr>
          <w:rStyle w:val="FootnoteReference"/>
        </w:rPr>
        <w:footnoteRef/>
      </w:r>
      <w:r w:rsidRPr="000F478D">
        <w:t xml:space="preserve"> This exact</w:t>
      </w:r>
      <w:r>
        <w:t xml:space="preserve"> formula can be used to estimate milk pan capacity, as the truncated cone shape of a frustum is nearly identical to these straight-sided, flared vessels.</w:t>
      </w:r>
    </w:p>
  </w:footnote>
  <w:footnote w:id="10">
    <w:p w:rsidR="00FD2646" w:rsidRPr="00BF1727" w:rsidRDefault="00FD2646" w:rsidP="000F7191">
      <w:pPr>
        <w:pStyle w:val="FootnoteText"/>
      </w:pPr>
      <w:r w:rsidRPr="00BF1727">
        <w:rPr>
          <w:rStyle w:val="FootnoteReference"/>
        </w:rPr>
        <w:footnoteRef/>
      </w:r>
      <w:r>
        <w:t xml:space="preserve"> Per book value of George Washington’s library does not exist for the pre-Revolutionary period; therefore this comparison can only be calculated for Lawrence’s library.</w:t>
      </w:r>
    </w:p>
  </w:footnote>
  <w:footnote w:id="11">
    <w:p w:rsidR="00FD2646" w:rsidRPr="00095FCA" w:rsidRDefault="00FD2646" w:rsidP="000F7191">
      <w:pPr>
        <w:pStyle w:val="FootnoteText"/>
      </w:pPr>
      <w:r w:rsidRPr="00095FCA">
        <w:rPr>
          <w:rStyle w:val="FootnoteReference"/>
        </w:rPr>
        <w:footnoteRef/>
      </w:r>
      <w:r w:rsidRPr="00095FCA">
        <w:t xml:space="preserve"> Residents</w:t>
      </w:r>
      <w:r>
        <w:t xml:space="preserve"> in the House for Families were not alone in their practice of this pastime.  More than half of all sites in the DAACS database showed the presence of marbles (DAACS 2013f).</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617A9"/>
    <w:multiLevelType w:val="hybridMultilevel"/>
    <w:tmpl w:val="70B8B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B3270F"/>
    <w:multiLevelType w:val="hybridMultilevel"/>
    <w:tmpl w:val="2CCC1E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C57C34"/>
    <w:rsid w:val="00012144"/>
    <w:rsid w:val="00030ABA"/>
    <w:rsid w:val="00032000"/>
    <w:rsid w:val="0003652C"/>
    <w:rsid w:val="0003704E"/>
    <w:rsid w:val="00052019"/>
    <w:rsid w:val="00067C6E"/>
    <w:rsid w:val="00086B73"/>
    <w:rsid w:val="000A2271"/>
    <w:rsid w:val="000D575C"/>
    <w:rsid w:val="000D73AC"/>
    <w:rsid w:val="000E182D"/>
    <w:rsid w:val="000E3B87"/>
    <w:rsid w:val="000E6E84"/>
    <w:rsid w:val="000F7191"/>
    <w:rsid w:val="00103AB2"/>
    <w:rsid w:val="0010739B"/>
    <w:rsid w:val="00114372"/>
    <w:rsid w:val="0011637B"/>
    <w:rsid w:val="001218CD"/>
    <w:rsid w:val="0012257E"/>
    <w:rsid w:val="00123183"/>
    <w:rsid w:val="00124C3E"/>
    <w:rsid w:val="00134A2C"/>
    <w:rsid w:val="00136660"/>
    <w:rsid w:val="00141A48"/>
    <w:rsid w:val="00143F55"/>
    <w:rsid w:val="001700FB"/>
    <w:rsid w:val="001A311C"/>
    <w:rsid w:val="001A4394"/>
    <w:rsid w:val="001B01AD"/>
    <w:rsid w:val="001B6673"/>
    <w:rsid w:val="002037B2"/>
    <w:rsid w:val="002154B9"/>
    <w:rsid w:val="00223BC1"/>
    <w:rsid w:val="00235142"/>
    <w:rsid w:val="00236F11"/>
    <w:rsid w:val="002466AD"/>
    <w:rsid w:val="00251EE8"/>
    <w:rsid w:val="00265A1F"/>
    <w:rsid w:val="002709F8"/>
    <w:rsid w:val="00270BD0"/>
    <w:rsid w:val="00276CEF"/>
    <w:rsid w:val="00280741"/>
    <w:rsid w:val="00281F36"/>
    <w:rsid w:val="002955DC"/>
    <w:rsid w:val="002A3202"/>
    <w:rsid w:val="002B0980"/>
    <w:rsid w:val="002B5A7B"/>
    <w:rsid w:val="002E625A"/>
    <w:rsid w:val="002E7A34"/>
    <w:rsid w:val="002E7C31"/>
    <w:rsid w:val="00300B6D"/>
    <w:rsid w:val="00306511"/>
    <w:rsid w:val="00311A37"/>
    <w:rsid w:val="00365FA1"/>
    <w:rsid w:val="00370286"/>
    <w:rsid w:val="00386C10"/>
    <w:rsid w:val="003965A7"/>
    <w:rsid w:val="003D32EC"/>
    <w:rsid w:val="003E7DF3"/>
    <w:rsid w:val="003F1363"/>
    <w:rsid w:val="003F5327"/>
    <w:rsid w:val="003F6F13"/>
    <w:rsid w:val="00434D4C"/>
    <w:rsid w:val="00467DEE"/>
    <w:rsid w:val="00474CCB"/>
    <w:rsid w:val="0047601C"/>
    <w:rsid w:val="00482E4F"/>
    <w:rsid w:val="004D218D"/>
    <w:rsid w:val="004E0201"/>
    <w:rsid w:val="00503964"/>
    <w:rsid w:val="00506564"/>
    <w:rsid w:val="00515835"/>
    <w:rsid w:val="00527A02"/>
    <w:rsid w:val="00530CE5"/>
    <w:rsid w:val="0053435E"/>
    <w:rsid w:val="005446F5"/>
    <w:rsid w:val="00565CF5"/>
    <w:rsid w:val="005918A6"/>
    <w:rsid w:val="005934E7"/>
    <w:rsid w:val="005B0151"/>
    <w:rsid w:val="005C5DC5"/>
    <w:rsid w:val="005D3FBB"/>
    <w:rsid w:val="005D7AB0"/>
    <w:rsid w:val="005F19E1"/>
    <w:rsid w:val="00603654"/>
    <w:rsid w:val="00607380"/>
    <w:rsid w:val="006138C4"/>
    <w:rsid w:val="00643010"/>
    <w:rsid w:val="006524E9"/>
    <w:rsid w:val="00670B1B"/>
    <w:rsid w:val="00671B52"/>
    <w:rsid w:val="00675027"/>
    <w:rsid w:val="0069405E"/>
    <w:rsid w:val="006C044A"/>
    <w:rsid w:val="006D46F7"/>
    <w:rsid w:val="006E412F"/>
    <w:rsid w:val="007135EB"/>
    <w:rsid w:val="007176DD"/>
    <w:rsid w:val="00721405"/>
    <w:rsid w:val="00731D7C"/>
    <w:rsid w:val="0074012B"/>
    <w:rsid w:val="00754FB1"/>
    <w:rsid w:val="00760AC6"/>
    <w:rsid w:val="00761666"/>
    <w:rsid w:val="0076173E"/>
    <w:rsid w:val="007708F7"/>
    <w:rsid w:val="0078512B"/>
    <w:rsid w:val="0079388D"/>
    <w:rsid w:val="007D6A02"/>
    <w:rsid w:val="007F39DC"/>
    <w:rsid w:val="007F4CC9"/>
    <w:rsid w:val="007F5CE5"/>
    <w:rsid w:val="00804B57"/>
    <w:rsid w:val="008203A5"/>
    <w:rsid w:val="00822152"/>
    <w:rsid w:val="0084347B"/>
    <w:rsid w:val="00853EF1"/>
    <w:rsid w:val="00865F81"/>
    <w:rsid w:val="0088457C"/>
    <w:rsid w:val="00887A88"/>
    <w:rsid w:val="00895732"/>
    <w:rsid w:val="008B3760"/>
    <w:rsid w:val="008D4C63"/>
    <w:rsid w:val="008E4381"/>
    <w:rsid w:val="008F0500"/>
    <w:rsid w:val="00903E12"/>
    <w:rsid w:val="009259FA"/>
    <w:rsid w:val="00946B5B"/>
    <w:rsid w:val="00947878"/>
    <w:rsid w:val="009573FA"/>
    <w:rsid w:val="00974B48"/>
    <w:rsid w:val="00981D67"/>
    <w:rsid w:val="00991B7C"/>
    <w:rsid w:val="00993112"/>
    <w:rsid w:val="009A752F"/>
    <w:rsid w:val="009B458D"/>
    <w:rsid w:val="009E2F39"/>
    <w:rsid w:val="009E3820"/>
    <w:rsid w:val="009F22B2"/>
    <w:rsid w:val="00A04936"/>
    <w:rsid w:val="00A25947"/>
    <w:rsid w:val="00A32BB6"/>
    <w:rsid w:val="00A51E7A"/>
    <w:rsid w:val="00A617C7"/>
    <w:rsid w:val="00A63B3C"/>
    <w:rsid w:val="00A80C31"/>
    <w:rsid w:val="00A84D45"/>
    <w:rsid w:val="00AA2F52"/>
    <w:rsid w:val="00AB778E"/>
    <w:rsid w:val="00AC2578"/>
    <w:rsid w:val="00AC5009"/>
    <w:rsid w:val="00AE1C49"/>
    <w:rsid w:val="00AE30C1"/>
    <w:rsid w:val="00AE351D"/>
    <w:rsid w:val="00AE3A1E"/>
    <w:rsid w:val="00AE5D84"/>
    <w:rsid w:val="00AF5539"/>
    <w:rsid w:val="00B04E10"/>
    <w:rsid w:val="00B056CE"/>
    <w:rsid w:val="00B30F2E"/>
    <w:rsid w:val="00B45186"/>
    <w:rsid w:val="00B527AF"/>
    <w:rsid w:val="00B620E4"/>
    <w:rsid w:val="00B64CF5"/>
    <w:rsid w:val="00B72CF5"/>
    <w:rsid w:val="00B73111"/>
    <w:rsid w:val="00B76B22"/>
    <w:rsid w:val="00B929FB"/>
    <w:rsid w:val="00BA14E2"/>
    <w:rsid w:val="00BB261E"/>
    <w:rsid w:val="00BB4C7D"/>
    <w:rsid w:val="00BC3A31"/>
    <w:rsid w:val="00BE6873"/>
    <w:rsid w:val="00BF518B"/>
    <w:rsid w:val="00BF5CB5"/>
    <w:rsid w:val="00C0072A"/>
    <w:rsid w:val="00C01CE8"/>
    <w:rsid w:val="00C13FE4"/>
    <w:rsid w:val="00C2742B"/>
    <w:rsid w:val="00C322A5"/>
    <w:rsid w:val="00C4163E"/>
    <w:rsid w:val="00C51E8D"/>
    <w:rsid w:val="00C57C34"/>
    <w:rsid w:val="00C63BA4"/>
    <w:rsid w:val="00C90B61"/>
    <w:rsid w:val="00CA33B3"/>
    <w:rsid w:val="00CA3DEE"/>
    <w:rsid w:val="00CC1AEA"/>
    <w:rsid w:val="00CC25E1"/>
    <w:rsid w:val="00CC35DE"/>
    <w:rsid w:val="00CC624B"/>
    <w:rsid w:val="00CD76C2"/>
    <w:rsid w:val="00CD7BDC"/>
    <w:rsid w:val="00CD7FE8"/>
    <w:rsid w:val="00D337A0"/>
    <w:rsid w:val="00D41264"/>
    <w:rsid w:val="00D43629"/>
    <w:rsid w:val="00D46A6A"/>
    <w:rsid w:val="00D63711"/>
    <w:rsid w:val="00D70B8B"/>
    <w:rsid w:val="00D96AFF"/>
    <w:rsid w:val="00DB0937"/>
    <w:rsid w:val="00DE2B21"/>
    <w:rsid w:val="00E1132F"/>
    <w:rsid w:val="00E17392"/>
    <w:rsid w:val="00E300E7"/>
    <w:rsid w:val="00E3246C"/>
    <w:rsid w:val="00E4380E"/>
    <w:rsid w:val="00E4603B"/>
    <w:rsid w:val="00E54001"/>
    <w:rsid w:val="00E56086"/>
    <w:rsid w:val="00E71573"/>
    <w:rsid w:val="00E82578"/>
    <w:rsid w:val="00E91746"/>
    <w:rsid w:val="00E928ED"/>
    <w:rsid w:val="00EB7F38"/>
    <w:rsid w:val="00EC4600"/>
    <w:rsid w:val="00ED5801"/>
    <w:rsid w:val="00EE3B58"/>
    <w:rsid w:val="00EF16EC"/>
    <w:rsid w:val="00EF424C"/>
    <w:rsid w:val="00F019C3"/>
    <w:rsid w:val="00F07165"/>
    <w:rsid w:val="00F1721E"/>
    <w:rsid w:val="00F23438"/>
    <w:rsid w:val="00F32CE7"/>
    <w:rsid w:val="00F51D07"/>
    <w:rsid w:val="00F573AA"/>
    <w:rsid w:val="00F61DA8"/>
    <w:rsid w:val="00F70741"/>
    <w:rsid w:val="00F83483"/>
    <w:rsid w:val="00F85877"/>
    <w:rsid w:val="00F873FE"/>
    <w:rsid w:val="00FA4B17"/>
    <w:rsid w:val="00FB0F53"/>
    <w:rsid w:val="00FB5F35"/>
    <w:rsid w:val="00FB60F4"/>
    <w:rsid w:val="00FC2F14"/>
    <w:rsid w:val="00FD26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21E"/>
  </w:style>
  <w:style w:type="paragraph" w:styleId="Heading1">
    <w:name w:val="heading 1"/>
    <w:basedOn w:val="Normal"/>
    <w:next w:val="Normal"/>
    <w:link w:val="Heading1Char"/>
    <w:qFormat/>
    <w:rsid w:val="008203A5"/>
    <w:pPr>
      <w:keepNext/>
      <w:spacing w:line="480" w:lineRule="auto"/>
      <w:jc w:val="center"/>
      <w:outlineLvl w:val="0"/>
    </w:pPr>
    <w:rPr>
      <w:rFonts w:eastAsia="Times New Roman"/>
      <w:i/>
      <w:iCs/>
    </w:rPr>
  </w:style>
  <w:style w:type="paragraph" w:styleId="Heading3">
    <w:name w:val="heading 3"/>
    <w:basedOn w:val="Normal"/>
    <w:next w:val="Normal"/>
    <w:link w:val="Heading3Char"/>
    <w:qFormat/>
    <w:rsid w:val="008203A5"/>
    <w:pPr>
      <w:keepNext/>
      <w:spacing w:line="480" w:lineRule="auto"/>
      <w:outlineLvl w:val="2"/>
    </w:pPr>
    <w:rPr>
      <w:rFonts w:eastAsia="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76DD"/>
    <w:rPr>
      <w:color w:val="0000FF"/>
      <w:u w:val="single"/>
    </w:rPr>
  </w:style>
  <w:style w:type="character" w:styleId="FollowedHyperlink">
    <w:name w:val="FollowedHyperlink"/>
    <w:basedOn w:val="DefaultParagraphFont"/>
    <w:uiPriority w:val="99"/>
    <w:semiHidden/>
    <w:unhideWhenUsed/>
    <w:rsid w:val="007176DD"/>
    <w:rPr>
      <w:color w:val="800080"/>
      <w:u w:val="single"/>
    </w:rPr>
  </w:style>
  <w:style w:type="paragraph" w:customStyle="1" w:styleId="font5">
    <w:name w:val="font5"/>
    <w:basedOn w:val="Normal"/>
    <w:rsid w:val="007176DD"/>
    <w:pPr>
      <w:spacing w:before="100" w:beforeAutospacing="1" w:after="100" w:afterAutospacing="1"/>
    </w:pPr>
    <w:rPr>
      <w:rFonts w:eastAsia="Times New Roman"/>
      <w:b/>
      <w:bCs/>
      <w:i/>
      <w:iCs/>
      <w:sz w:val="20"/>
      <w:szCs w:val="20"/>
    </w:rPr>
  </w:style>
  <w:style w:type="paragraph" w:customStyle="1" w:styleId="font6">
    <w:name w:val="font6"/>
    <w:basedOn w:val="Normal"/>
    <w:rsid w:val="007176DD"/>
    <w:pPr>
      <w:spacing w:before="100" w:beforeAutospacing="1" w:after="100" w:afterAutospacing="1"/>
    </w:pPr>
    <w:rPr>
      <w:rFonts w:eastAsia="Times New Roman"/>
      <w:b/>
      <w:bCs/>
      <w:i/>
      <w:iCs/>
      <w:sz w:val="20"/>
      <w:szCs w:val="20"/>
    </w:rPr>
  </w:style>
  <w:style w:type="paragraph" w:customStyle="1" w:styleId="font7">
    <w:name w:val="font7"/>
    <w:basedOn w:val="Normal"/>
    <w:rsid w:val="007176DD"/>
    <w:pPr>
      <w:spacing w:before="100" w:beforeAutospacing="1" w:after="100" w:afterAutospacing="1"/>
    </w:pPr>
    <w:rPr>
      <w:rFonts w:eastAsia="Times New Roman"/>
      <w:sz w:val="20"/>
      <w:szCs w:val="20"/>
    </w:rPr>
  </w:style>
  <w:style w:type="paragraph" w:customStyle="1" w:styleId="font8">
    <w:name w:val="font8"/>
    <w:basedOn w:val="Normal"/>
    <w:rsid w:val="007176DD"/>
    <w:pPr>
      <w:spacing w:before="100" w:beforeAutospacing="1" w:after="100" w:afterAutospacing="1"/>
    </w:pPr>
    <w:rPr>
      <w:rFonts w:eastAsia="Times New Roman"/>
      <w:sz w:val="20"/>
      <w:szCs w:val="20"/>
    </w:rPr>
  </w:style>
  <w:style w:type="paragraph" w:customStyle="1" w:styleId="xl65">
    <w:name w:val="xl65"/>
    <w:basedOn w:val="Normal"/>
    <w:rsid w:val="007176DD"/>
    <w:pPr>
      <w:spacing w:before="100" w:beforeAutospacing="1" w:after="100" w:afterAutospacing="1"/>
    </w:pPr>
    <w:rPr>
      <w:rFonts w:eastAsia="Times New Roman"/>
    </w:rPr>
  </w:style>
  <w:style w:type="paragraph" w:customStyle="1" w:styleId="xl66">
    <w:name w:val="xl66"/>
    <w:basedOn w:val="Normal"/>
    <w:rsid w:val="007176DD"/>
    <w:pPr>
      <w:spacing w:before="100" w:beforeAutospacing="1" w:after="100" w:afterAutospacing="1"/>
      <w:jc w:val="right"/>
    </w:pPr>
    <w:rPr>
      <w:rFonts w:eastAsia="Times New Roman"/>
    </w:rPr>
  </w:style>
  <w:style w:type="paragraph" w:customStyle="1" w:styleId="xl67">
    <w:name w:val="xl67"/>
    <w:basedOn w:val="Normal"/>
    <w:rsid w:val="007176DD"/>
    <w:pPr>
      <w:spacing w:before="100" w:beforeAutospacing="1" w:after="100" w:afterAutospacing="1"/>
      <w:jc w:val="right"/>
    </w:pPr>
    <w:rPr>
      <w:rFonts w:eastAsia="Times New Roman"/>
    </w:rPr>
  </w:style>
  <w:style w:type="paragraph" w:customStyle="1" w:styleId="xl68">
    <w:name w:val="xl68"/>
    <w:basedOn w:val="Normal"/>
    <w:rsid w:val="007176DD"/>
    <w:pPr>
      <w:spacing w:before="100" w:beforeAutospacing="1" w:after="100" w:afterAutospacing="1"/>
    </w:pPr>
    <w:rPr>
      <w:rFonts w:eastAsia="Times New Roman"/>
    </w:rPr>
  </w:style>
  <w:style w:type="paragraph" w:customStyle="1" w:styleId="xl69">
    <w:name w:val="xl69"/>
    <w:basedOn w:val="Normal"/>
    <w:rsid w:val="007176DD"/>
    <w:pPr>
      <w:pBdr>
        <w:left w:val="single" w:sz="4" w:space="0" w:color="000000"/>
      </w:pBdr>
      <w:spacing w:before="100" w:beforeAutospacing="1" w:after="100" w:afterAutospacing="1"/>
    </w:pPr>
    <w:rPr>
      <w:rFonts w:eastAsia="Times New Roman"/>
    </w:rPr>
  </w:style>
  <w:style w:type="paragraph" w:customStyle="1" w:styleId="xl70">
    <w:name w:val="xl70"/>
    <w:basedOn w:val="Normal"/>
    <w:rsid w:val="007176DD"/>
    <w:pPr>
      <w:pBdr>
        <w:left w:val="single" w:sz="4" w:space="0" w:color="000000"/>
        <w:bottom w:val="double" w:sz="6" w:space="0" w:color="000000"/>
      </w:pBdr>
      <w:spacing w:before="100" w:beforeAutospacing="1" w:after="100" w:afterAutospacing="1"/>
    </w:pPr>
    <w:rPr>
      <w:rFonts w:eastAsia="Times New Roman"/>
    </w:rPr>
  </w:style>
  <w:style w:type="paragraph" w:customStyle="1" w:styleId="xl71">
    <w:name w:val="xl71"/>
    <w:basedOn w:val="Normal"/>
    <w:rsid w:val="007176DD"/>
    <w:pPr>
      <w:pBdr>
        <w:bottom w:val="double" w:sz="6" w:space="0" w:color="000000"/>
      </w:pBdr>
      <w:spacing w:before="100" w:beforeAutospacing="1" w:after="100" w:afterAutospacing="1"/>
    </w:pPr>
    <w:rPr>
      <w:rFonts w:eastAsia="Times New Roman"/>
    </w:rPr>
  </w:style>
  <w:style w:type="paragraph" w:customStyle="1" w:styleId="xl72">
    <w:name w:val="xl72"/>
    <w:basedOn w:val="Normal"/>
    <w:rsid w:val="007176DD"/>
    <w:pPr>
      <w:pBdr>
        <w:bottom w:val="single" w:sz="4" w:space="0" w:color="000000"/>
      </w:pBdr>
      <w:spacing w:before="100" w:beforeAutospacing="1" w:after="100" w:afterAutospacing="1"/>
    </w:pPr>
    <w:rPr>
      <w:rFonts w:eastAsia="Times New Roman"/>
    </w:rPr>
  </w:style>
  <w:style w:type="paragraph" w:customStyle="1" w:styleId="xl73">
    <w:name w:val="xl73"/>
    <w:basedOn w:val="Normal"/>
    <w:rsid w:val="007176DD"/>
    <w:pPr>
      <w:pBdr>
        <w:bottom w:val="single" w:sz="4" w:space="0" w:color="000000"/>
        <w:right w:val="single" w:sz="4" w:space="0" w:color="000000"/>
      </w:pBdr>
      <w:spacing w:before="100" w:beforeAutospacing="1" w:after="100" w:afterAutospacing="1"/>
    </w:pPr>
    <w:rPr>
      <w:rFonts w:eastAsia="Times New Roman"/>
    </w:rPr>
  </w:style>
  <w:style w:type="paragraph" w:customStyle="1" w:styleId="xl74">
    <w:name w:val="xl74"/>
    <w:basedOn w:val="Normal"/>
    <w:rsid w:val="007176DD"/>
    <w:pPr>
      <w:pBdr>
        <w:right w:val="single" w:sz="4" w:space="0" w:color="auto"/>
      </w:pBdr>
      <w:spacing w:before="100" w:beforeAutospacing="1" w:after="100" w:afterAutospacing="1"/>
    </w:pPr>
    <w:rPr>
      <w:rFonts w:eastAsia="Times New Roman"/>
    </w:rPr>
  </w:style>
  <w:style w:type="paragraph" w:customStyle="1" w:styleId="xl75">
    <w:name w:val="xl75"/>
    <w:basedOn w:val="Normal"/>
    <w:rsid w:val="007176DD"/>
    <w:pPr>
      <w:spacing w:before="100" w:beforeAutospacing="1" w:after="100" w:afterAutospacing="1"/>
    </w:pPr>
    <w:rPr>
      <w:rFonts w:eastAsia="Times New Roman"/>
      <w:color w:val="FF0000"/>
    </w:rPr>
  </w:style>
  <w:style w:type="paragraph" w:customStyle="1" w:styleId="xl76">
    <w:name w:val="xl76"/>
    <w:basedOn w:val="Normal"/>
    <w:rsid w:val="007176DD"/>
    <w:pPr>
      <w:pBdr>
        <w:left w:val="single" w:sz="4" w:space="0" w:color="auto"/>
        <w:bottom w:val="double" w:sz="6" w:space="0" w:color="auto"/>
      </w:pBdr>
      <w:spacing w:before="100" w:beforeAutospacing="1" w:after="100" w:afterAutospacing="1"/>
    </w:pPr>
    <w:rPr>
      <w:rFonts w:eastAsia="Times New Roman"/>
    </w:rPr>
  </w:style>
  <w:style w:type="paragraph" w:customStyle="1" w:styleId="xl77">
    <w:name w:val="xl77"/>
    <w:basedOn w:val="Normal"/>
    <w:rsid w:val="007176DD"/>
    <w:pPr>
      <w:pBdr>
        <w:bottom w:val="double" w:sz="6" w:space="0" w:color="auto"/>
      </w:pBdr>
      <w:spacing w:before="100" w:beforeAutospacing="1" w:after="100" w:afterAutospacing="1"/>
    </w:pPr>
    <w:rPr>
      <w:rFonts w:eastAsia="Times New Roman"/>
    </w:rPr>
  </w:style>
  <w:style w:type="paragraph" w:customStyle="1" w:styleId="xl78">
    <w:name w:val="xl78"/>
    <w:basedOn w:val="Normal"/>
    <w:rsid w:val="007176DD"/>
    <w:pPr>
      <w:spacing w:before="100" w:beforeAutospacing="1" w:after="100" w:afterAutospacing="1"/>
      <w:jc w:val="right"/>
    </w:pPr>
    <w:rPr>
      <w:rFonts w:eastAsia="Times New Roman"/>
      <w:b/>
      <w:bCs/>
    </w:rPr>
  </w:style>
  <w:style w:type="paragraph" w:customStyle="1" w:styleId="xl79">
    <w:name w:val="xl79"/>
    <w:basedOn w:val="Normal"/>
    <w:rsid w:val="007176DD"/>
    <w:pPr>
      <w:spacing w:before="100" w:beforeAutospacing="1" w:after="100" w:afterAutospacing="1"/>
      <w:jc w:val="right"/>
    </w:pPr>
    <w:rPr>
      <w:rFonts w:eastAsia="Times New Roman"/>
      <w:b/>
      <w:bCs/>
      <w:color w:val="3366FF"/>
    </w:rPr>
  </w:style>
  <w:style w:type="paragraph" w:customStyle="1" w:styleId="xl80">
    <w:name w:val="xl80"/>
    <w:basedOn w:val="Normal"/>
    <w:rsid w:val="007176DD"/>
    <w:pPr>
      <w:pBdr>
        <w:left w:val="single" w:sz="4" w:space="0" w:color="000000"/>
      </w:pBdr>
      <w:spacing w:before="100" w:beforeAutospacing="1" w:after="100" w:afterAutospacing="1"/>
    </w:pPr>
    <w:rPr>
      <w:rFonts w:eastAsia="Times New Roman"/>
    </w:rPr>
  </w:style>
  <w:style w:type="paragraph" w:customStyle="1" w:styleId="xl81">
    <w:name w:val="xl81"/>
    <w:basedOn w:val="Normal"/>
    <w:rsid w:val="007176DD"/>
    <w:pPr>
      <w:spacing w:before="100" w:beforeAutospacing="1" w:after="100" w:afterAutospacing="1"/>
    </w:pPr>
    <w:rPr>
      <w:rFonts w:eastAsia="Times New Roman"/>
    </w:rPr>
  </w:style>
  <w:style w:type="paragraph" w:customStyle="1" w:styleId="xl82">
    <w:name w:val="xl82"/>
    <w:basedOn w:val="Normal"/>
    <w:rsid w:val="007176DD"/>
    <w:pPr>
      <w:spacing w:before="100" w:beforeAutospacing="1" w:after="100" w:afterAutospacing="1"/>
      <w:jc w:val="right"/>
    </w:pPr>
    <w:rPr>
      <w:rFonts w:eastAsia="Times New Roman"/>
    </w:rPr>
  </w:style>
  <w:style w:type="paragraph" w:customStyle="1" w:styleId="xl83">
    <w:name w:val="xl83"/>
    <w:basedOn w:val="Normal"/>
    <w:rsid w:val="007176DD"/>
    <w:pPr>
      <w:pBdr>
        <w:left w:val="single" w:sz="4" w:space="0" w:color="000000"/>
        <w:bottom w:val="double" w:sz="6" w:space="0" w:color="auto"/>
      </w:pBdr>
      <w:spacing w:before="100" w:beforeAutospacing="1" w:after="100" w:afterAutospacing="1"/>
    </w:pPr>
    <w:rPr>
      <w:rFonts w:eastAsia="Times New Roman"/>
    </w:rPr>
  </w:style>
  <w:style w:type="paragraph" w:customStyle="1" w:styleId="xl84">
    <w:name w:val="xl84"/>
    <w:basedOn w:val="Normal"/>
    <w:rsid w:val="007176DD"/>
    <w:pPr>
      <w:pBdr>
        <w:left w:val="single" w:sz="4" w:space="0" w:color="000000"/>
      </w:pBdr>
      <w:spacing w:before="100" w:beforeAutospacing="1" w:after="100" w:afterAutospacing="1"/>
      <w:textAlignment w:val="center"/>
    </w:pPr>
    <w:rPr>
      <w:rFonts w:eastAsia="Times New Roman"/>
    </w:rPr>
  </w:style>
  <w:style w:type="paragraph" w:customStyle="1" w:styleId="xl85">
    <w:name w:val="xl85"/>
    <w:basedOn w:val="Normal"/>
    <w:rsid w:val="007176DD"/>
    <w:pPr>
      <w:spacing w:before="100" w:beforeAutospacing="1" w:after="100" w:afterAutospacing="1"/>
      <w:textAlignment w:val="center"/>
    </w:pPr>
    <w:rPr>
      <w:rFonts w:eastAsia="Times New Roman"/>
    </w:rPr>
  </w:style>
  <w:style w:type="paragraph" w:customStyle="1" w:styleId="xl86">
    <w:name w:val="xl86"/>
    <w:basedOn w:val="Normal"/>
    <w:rsid w:val="007176DD"/>
    <w:pPr>
      <w:spacing w:before="100" w:beforeAutospacing="1" w:after="100" w:afterAutospacing="1"/>
      <w:jc w:val="right"/>
      <w:textAlignment w:val="center"/>
    </w:pPr>
    <w:rPr>
      <w:rFonts w:eastAsia="Times New Roman"/>
    </w:rPr>
  </w:style>
  <w:style w:type="paragraph" w:customStyle="1" w:styleId="xl87">
    <w:name w:val="xl87"/>
    <w:basedOn w:val="Normal"/>
    <w:rsid w:val="007176DD"/>
    <w:pPr>
      <w:spacing w:before="100" w:beforeAutospacing="1" w:after="100" w:afterAutospacing="1"/>
      <w:jc w:val="right"/>
    </w:pPr>
    <w:rPr>
      <w:rFonts w:eastAsia="Times New Roman"/>
    </w:rPr>
  </w:style>
  <w:style w:type="paragraph" w:customStyle="1" w:styleId="xl88">
    <w:name w:val="xl88"/>
    <w:basedOn w:val="Normal"/>
    <w:rsid w:val="007176DD"/>
    <w:pPr>
      <w:spacing w:before="100" w:beforeAutospacing="1" w:after="100" w:afterAutospacing="1"/>
    </w:pPr>
    <w:rPr>
      <w:rFonts w:eastAsia="Times New Roman"/>
      <w:b/>
      <w:bCs/>
    </w:rPr>
  </w:style>
  <w:style w:type="paragraph" w:customStyle="1" w:styleId="xl89">
    <w:name w:val="xl89"/>
    <w:basedOn w:val="Normal"/>
    <w:rsid w:val="007176DD"/>
    <w:pPr>
      <w:pBdr>
        <w:left w:val="single" w:sz="4" w:space="0" w:color="000000"/>
      </w:pBdr>
      <w:spacing w:before="100" w:beforeAutospacing="1" w:after="100" w:afterAutospacing="1"/>
    </w:pPr>
    <w:rPr>
      <w:rFonts w:eastAsia="Times New Roman"/>
      <w:b/>
      <w:bCs/>
    </w:rPr>
  </w:style>
  <w:style w:type="paragraph" w:customStyle="1" w:styleId="xl90">
    <w:name w:val="xl90"/>
    <w:basedOn w:val="Normal"/>
    <w:rsid w:val="007176DD"/>
    <w:pPr>
      <w:pBdr>
        <w:left w:val="single" w:sz="4" w:space="0" w:color="000000"/>
      </w:pBdr>
      <w:spacing w:before="100" w:beforeAutospacing="1" w:after="100" w:afterAutospacing="1"/>
      <w:jc w:val="right"/>
      <w:textAlignment w:val="center"/>
    </w:pPr>
    <w:rPr>
      <w:rFonts w:eastAsia="Times New Roman"/>
    </w:rPr>
  </w:style>
  <w:style w:type="paragraph" w:customStyle="1" w:styleId="xl91">
    <w:name w:val="xl91"/>
    <w:basedOn w:val="Normal"/>
    <w:rsid w:val="007176DD"/>
    <w:pPr>
      <w:spacing w:before="100" w:beforeAutospacing="1" w:after="100" w:afterAutospacing="1"/>
      <w:jc w:val="right"/>
      <w:textAlignment w:val="center"/>
    </w:pPr>
    <w:rPr>
      <w:rFonts w:eastAsia="Times New Roman"/>
    </w:rPr>
  </w:style>
  <w:style w:type="paragraph" w:customStyle="1" w:styleId="xl92">
    <w:name w:val="xl92"/>
    <w:basedOn w:val="Normal"/>
    <w:rsid w:val="007176DD"/>
    <w:pPr>
      <w:pBdr>
        <w:left w:val="single" w:sz="4" w:space="0" w:color="auto"/>
      </w:pBdr>
      <w:spacing w:before="100" w:beforeAutospacing="1" w:after="100" w:afterAutospacing="1"/>
    </w:pPr>
    <w:rPr>
      <w:rFonts w:eastAsia="Times New Roman"/>
    </w:rPr>
  </w:style>
  <w:style w:type="paragraph" w:customStyle="1" w:styleId="xl93">
    <w:name w:val="xl93"/>
    <w:basedOn w:val="Normal"/>
    <w:rsid w:val="007176DD"/>
    <w:pPr>
      <w:pBdr>
        <w:left w:val="single" w:sz="4" w:space="0" w:color="000000"/>
      </w:pBdr>
      <w:spacing w:before="100" w:beforeAutospacing="1" w:after="100" w:afterAutospacing="1"/>
      <w:jc w:val="right"/>
    </w:pPr>
    <w:rPr>
      <w:rFonts w:eastAsia="Times New Roman"/>
    </w:rPr>
  </w:style>
  <w:style w:type="paragraph" w:customStyle="1" w:styleId="xl94">
    <w:name w:val="xl94"/>
    <w:basedOn w:val="Normal"/>
    <w:rsid w:val="007176DD"/>
    <w:pPr>
      <w:spacing w:before="100" w:beforeAutospacing="1" w:after="100" w:afterAutospacing="1"/>
      <w:jc w:val="center"/>
    </w:pPr>
    <w:rPr>
      <w:rFonts w:eastAsia="Times New Roman"/>
    </w:rPr>
  </w:style>
  <w:style w:type="paragraph" w:customStyle="1" w:styleId="xl95">
    <w:name w:val="xl95"/>
    <w:basedOn w:val="Normal"/>
    <w:rsid w:val="007176DD"/>
    <w:pPr>
      <w:spacing w:before="100" w:beforeAutospacing="1" w:after="100" w:afterAutospacing="1"/>
    </w:pPr>
    <w:rPr>
      <w:rFonts w:eastAsia="Times New Roman"/>
    </w:rPr>
  </w:style>
  <w:style w:type="paragraph" w:customStyle="1" w:styleId="xl96">
    <w:name w:val="xl96"/>
    <w:basedOn w:val="Normal"/>
    <w:rsid w:val="007176DD"/>
    <w:pPr>
      <w:spacing w:before="100" w:beforeAutospacing="1" w:after="100" w:afterAutospacing="1"/>
      <w:jc w:val="center"/>
    </w:pPr>
    <w:rPr>
      <w:rFonts w:eastAsia="Times New Roman"/>
      <w:b/>
      <w:bCs/>
    </w:rPr>
  </w:style>
  <w:style w:type="paragraph" w:customStyle="1" w:styleId="xl97">
    <w:name w:val="xl97"/>
    <w:basedOn w:val="Normal"/>
    <w:rsid w:val="007176DD"/>
    <w:pPr>
      <w:pBdr>
        <w:top w:val="single" w:sz="4" w:space="0" w:color="auto"/>
      </w:pBdr>
      <w:spacing w:before="100" w:beforeAutospacing="1" w:after="100" w:afterAutospacing="1"/>
    </w:pPr>
    <w:rPr>
      <w:rFonts w:eastAsia="Times New Roman"/>
      <w:b/>
      <w:bCs/>
      <w:i/>
      <w:iCs/>
    </w:rPr>
  </w:style>
  <w:style w:type="paragraph" w:customStyle="1" w:styleId="xl98">
    <w:name w:val="xl98"/>
    <w:basedOn w:val="Normal"/>
    <w:rsid w:val="007176DD"/>
    <w:pPr>
      <w:pBdr>
        <w:top w:val="single" w:sz="4" w:space="0" w:color="auto"/>
      </w:pBdr>
      <w:spacing w:before="100" w:beforeAutospacing="1" w:after="100" w:afterAutospacing="1"/>
    </w:pPr>
    <w:rPr>
      <w:rFonts w:eastAsia="Times New Roman"/>
    </w:rPr>
  </w:style>
  <w:style w:type="paragraph" w:customStyle="1" w:styleId="xl99">
    <w:name w:val="xl99"/>
    <w:basedOn w:val="Normal"/>
    <w:rsid w:val="007176DD"/>
    <w:pPr>
      <w:pBdr>
        <w:top w:val="single" w:sz="4" w:space="0" w:color="auto"/>
        <w:left w:val="single" w:sz="4" w:space="0" w:color="000000"/>
      </w:pBdr>
      <w:spacing w:before="100" w:beforeAutospacing="1" w:after="100" w:afterAutospacing="1"/>
    </w:pPr>
    <w:rPr>
      <w:rFonts w:eastAsia="Times New Roman"/>
    </w:rPr>
  </w:style>
  <w:style w:type="paragraph" w:customStyle="1" w:styleId="xl100">
    <w:name w:val="xl100"/>
    <w:basedOn w:val="Normal"/>
    <w:rsid w:val="007176DD"/>
    <w:pPr>
      <w:pBdr>
        <w:top w:val="single" w:sz="4" w:space="0" w:color="auto"/>
      </w:pBdr>
      <w:spacing w:before="100" w:beforeAutospacing="1" w:after="100" w:afterAutospacing="1"/>
    </w:pPr>
    <w:rPr>
      <w:rFonts w:eastAsia="Times New Roman"/>
    </w:rPr>
  </w:style>
  <w:style w:type="paragraph" w:customStyle="1" w:styleId="xl101">
    <w:name w:val="xl101"/>
    <w:basedOn w:val="Normal"/>
    <w:rsid w:val="007176DD"/>
    <w:pPr>
      <w:spacing w:before="100" w:beforeAutospacing="1" w:after="100" w:afterAutospacing="1"/>
    </w:pPr>
    <w:rPr>
      <w:rFonts w:eastAsia="Times New Roman"/>
      <w:b/>
      <w:bCs/>
      <w:i/>
      <w:iCs/>
    </w:rPr>
  </w:style>
  <w:style w:type="paragraph" w:customStyle="1" w:styleId="xl102">
    <w:name w:val="xl102"/>
    <w:basedOn w:val="Normal"/>
    <w:rsid w:val="007176DD"/>
    <w:pPr>
      <w:spacing w:before="100" w:beforeAutospacing="1" w:after="100" w:afterAutospacing="1"/>
    </w:pPr>
    <w:rPr>
      <w:rFonts w:eastAsia="Times New Roman"/>
      <w:b/>
      <w:bCs/>
      <w:i/>
      <w:iCs/>
    </w:rPr>
  </w:style>
  <w:style w:type="paragraph" w:customStyle="1" w:styleId="xl103">
    <w:name w:val="xl103"/>
    <w:basedOn w:val="Normal"/>
    <w:rsid w:val="007176DD"/>
    <w:pPr>
      <w:spacing w:before="100" w:beforeAutospacing="1" w:after="100" w:afterAutospacing="1"/>
    </w:pPr>
    <w:rPr>
      <w:rFonts w:eastAsia="Times New Roman"/>
    </w:rPr>
  </w:style>
  <w:style w:type="paragraph" w:customStyle="1" w:styleId="xl104">
    <w:name w:val="xl104"/>
    <w:basedOn w:val="Normal"/>
    <w:rsid w:val="007176DD"/>
    <w:pPr>
      <w:spacing w:before="100" w:beforeAutospacing="1" w:after="100" w:afterAutospacing="1"/>
      <w:jc w:val="center"/>
    </w:pPr>
    <w:rPr>
      <w:rFonts w:eastAsia="Times New Roman"/>
      <w:b/>
      <w:bCs/>
      <w:i/>
      <w:iCs/>
    </w:rPr>
  </w:style>
  <w:style w:type="paragraph" w:customStyle="1" w:styleId="xl105">
    <w:name w:val="xl105"/>
    <w:basedOn w:val="Normal"/>
    <w:rsid w:val="007176DD"/>
    <w:pPr>
      <w:spacing w:before="100" w:beforeAutospacing="1" w:after="100" w:afterAutospacing="1"/>
      <w:jc w:val="center"/>
    </w:pPr>
    <w:rPr>
      <w:rFonts w:eastAsia="Times New Roman"/>
      <w:b/>
      <w:bCs/>
    </w:rPr>
  </w:style>
  <w:style w:type="paragraph" w:customStyle="1" w:styleId="xl106">
    <w:name w:val="xl106"/>
    <w:basedOn w:val="Normal"/>
    <w:rsid w:val="007176DD"/>
    <w:pPr>
      <w:pBdr>
        <w:top w:val="single" w:sz="4" w:space="0" w:color="auto"/>
      </w:pBdr>
      <w:spacing w:before="100" w:beforeAutospacing="1" w:after="100" w:afterAutospacing="1"/>
      <w:jc w:val="right"/>
    </w:pPr>
    <w:rPr>
      <w:rFonts w:eastAsia="Times New Roman"/>
    </w:rPr>
  </w:style>
  <w:style w:type="paragraph" w:customStyle="1" w:styleId="xl107">
    <w:name w:val="xl107"/>
    <w:basedOn w:val="Normal"/>
    <w:rsid w:val="007176DD"/>
    <w:pPr>
      <w:pBdr>
        <w:right w:val="single" w:sz="4" w:space="0" w:color="auto"/>
      </w:pBdr>
      <w:spacing w:before="100" w:beforeAutospacing="1" w:after="100" w:afterAutospacing="1"/>
    </w:pPr>
    <w:rPr>
      <w:rFonts w:eastAsia="Times New Roman"/>
      <w:b/>
      <w:bCs/>
    </w:rPr>
  </w:style>
  <w:style w:type="paragraph" w:customStyle="1" w:styleId="xl108">
    <w:name w:val="xl108"/>
    <w:basedOn w:val="Normal"/>
    <w:rsid w:val="007176DD"/>
    <w:pPr>
      <w:pBdr>
        <w:right w:val="single" w:sz="4" w:space="0" w:color="auto"/>
      </w:pBdr>
      <w:spacing w:before="100" w:beforeAutospacing="1" w:after="100" w:afterAutospacing="1"/>
      <w:jc w:val="center"/>
    </w:pPr>
    <w:rPr>
      <w:rFonts w:eastAsia="Times New Roman"/>
      <w:b/>
      <w:bCs/>
      <w:i/>
      <w:iCs/>
    </w:rPr>
  </w:style>
  <w:style w:type="paragraph" w:customStyle="1" w:styleId="xl109">
    <w:name w:val="xl109"/>
    <w:basedOn w:val="Normal"/>
    <w:rsid w:val="007176DD"/>
    <w:pPr>
      <w:pBdr>
        <w:right w:val="single" w:sz="4" w:space="0" w:color="auto"/>
      </w:pBdr>
      <w:spacing w:before="100" w:beforeAutospacing="1" w:after="100" w:afterAutospacing="1"/>
      <w:jc w:val="center"/>
    </w:pPr>
    <w:rPr>
      <w:rFonts w:eastAsia="Times New Roman"/>
      <w:b/>
      <w:bCs/>
    </w:rPr>
  </w:style>
  <w:style w:type="paragraph" w:customStyle="1" w:styleId="xl110">
    <w:name w:val="xl110"/>
    <w:basedOn w:val="Normal"/>
    <w:rsid w:val="007176DD"/>
    <w:pPr>
      <w:spacing w:before="100" w:beforeAutospacing="1" w:after="100" w:afterAutospacing="1"/>
      <w:jc w:val="right"/>
    </w:pPr>
    <w:rPr>
      <w:rFonts w:eastAsia="Times New Roman"/>
      <w:b/>
      <w:bCs/>
      <w:i/>
      <w:iCs/>
    </w:rPr>
  </w:style>
  <w:style w:type="paragraph" w:customStyle="1" w:styleId="xl111">
    <w:name w:val="xl111"/>
    <w:basedOn w:val="Normal"/>
    <w:rsid w:val="007176DD"/>
    <w:pPr>
      <w:pBdr>
        <w:bottom w:val="single" w:sz="4" w:space="0" w:color="auto"/>
      </w:pBdr>
      <w:spacing w:before="100" w:beforeAutospacing="1" w:after="100" w:afterAutospacing="1"/>
      <w:jc w:val="center"/>
    </w:pPr>
    <w:rPr>
      <w:rFonts w:eastAsia="Times New Roman"/>
      <w:b/>
      <w:bCs/>
    </w:rPr>
  </w:style>
  <w:style w:type="paragraph" w:customStyle="1" w:styleId="xl64">
    <w:name w:val="xl64"/>
    <w:basedOn w:val="Normal"/>
    <w:rsid w:val="002955D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eastAsia="Times New Roman"/>
      <w:b/>
      <w:bCs/>
      <w:color w:val="000000"/>
    </w:rPr>
  </w:style>
  <w:style w:type="paragraph" w:styleId="Header">
    <w:name w:val="header"/>
    <w:basedOn w:val="Normal"/>
    <w:link w:val="HeaderChar"/>
    <w:uiPriority w:val="99"/>
    <w:unhideWhenUsed/>
    <w:rsid w:val="000F7191"/>
    <w:pPr>
      <w:tabs>
        <w:tab w:val="center" w:pos="4680"/>
        <w:tab w:val="right" w:pos="9360"/>
      </w:tabs>
    </w:pPr>
    <w:rPr>
      <w:rFonts w:cstheme="minorBidi"/>
      <w:szCs w:val="20"/>
    </w:rPr>
  </w:style>
  <w:style w:type="character" w:customStyle="1" w:styleId="HeaderChar">
    <w:name w:val="Header Char"/>
    <w:basedOn w:val="DefaultParagraphFont"/>
    <w:link w:val="Header"/>
    <w:uiPriority w:val="99"/>
    <w:rsid w:val="000F7191"/>
    <w:rPr>
      <w:rFonts w:cstheme="minorBidi"/>
      <w:szCs w:val="20"/>
    </w:rPr>
  </w:style>
  <w:style w:type="paragraph" w:styleId="Footer">
    <w:name w:val="footer"/>
    <w:basedOn w:val="Normal"/>
    <w:link w:val="FooterChar"/>
    <w:uiPriority w:val="99"/>
    <w:unhideWhenUsed/>
    <w:rsid w:val="000F7191"/>
    <w:pPr>
      <w:tabs>
        <w:tab w:val="center" w:pos="4680"/>
        <w:tab w:val="right" w:pos="9360"/>
      </w:tabs>
    </w:pPr>
    <w:rPr>
      <w:rFonts w:cstheme="minorBidi"/>
      <w:szCs w:val="20"/>
    </w:rPr>
  </w:style>
  <w:style w:type="character" w:customStyle="1" w:styleId="FooterChar">
    <w:name w:val="Footer Char"/>
    <w:basedOn w:val="DefaultParagraphFont"/>
    <w:link w:val="Footer"/>
    <w:uiPriority w:val="99"/>
    <w:rsid w:val="000F7191"/>
    <w:rPr>
      <w:rFonts w:cstheme="minorBidi"/>
      <w:szCs w:val="20"/>
    </w:rPr>
  </w:style>
  <w:style w:type="paragraph" w:styleId="FootnoteText">
    <w:name w:val="footnote text"/>
    <w:basedOn w:val="Normal"/>
    <w:link w:val="FootnoteTextChar"/>
    <w:rsid w:val="000F7191"/>
    <w:rPr>
      <w:rFonts w:eastAsia="Times New Roman"/>
      <w:sz w:val="20"/>
      <w:szCs w:val="20"/>
    </w:rPr>
  </w:style>
  <w:style w:type="character" w:customStyle="1" w:styleId="FootnoteTextChar">
    <w:name w:val="Footnote Text Char"/>
    <w:basedOn w:val="DefaultParagraphFont"/>
    <w:link w:val="FootnoteText"/>
    <w:rsid w:val="000F7191"/>
    <w:rPr>
      <w:rFonts w:eastAsia="Times New Roman"/>
      <w:sz w:val="20"/>
      <w:szCs w:val="20"/>
    </w:rPr>
  </w:style>
  <w:style w:type="paragraph" w:styleId="NormalWeb">
    <w:name w:val="Normal (Web)"/>
    <w:basedOn w:val="Normal"/>
    <w:uiPriority w:val="99"/>
    <w:rsid w:val="000F7191"/>
    <w:pPr>
      <w:spacing w:before="100" w:beforeAutospacing="1" w:after="100" w:afterAutospacing="1" w:line="270" w:lineRule="atLeast"/>
    </w:pPr>
    <w:rPr>
      <w:rFonts w:ascii="Verdana" w:eastAsia="Times New Roman" w:hAnsi="Verdana"/>
      <w:sz w:val="18"/>
      <w:szCs w:val="18"/>
    </w:rPr>
  </w:style>
  <w:style w:type="character" w:customStyle="1" w:styleId="emailstyle15">
    <w:name w:val="emailstyle15"/>
    <w:basedOn w:val="DefaultParagraphFont"/>
    <w:rsid w:val="000F7191"/>
  </w:style>
  <w:style w:type="character" w:customStyle="1" w:styleId="searchword">
    <w:name w:val="searchword"/>
    <w:basedOn w:val="DefaultParagraphFont"/>
    <w:rsid w:val="000F7191"/>
  </w:style>
  <w:style w:type="character" w:customStyle="1" w:styleId="fontbold">
    <w:name w:val="fontbold"/>
    <w:basedOn w:val="DefaultParagraphFont"/>
    <w:uiPriority w:val="99"/>
    <w:rsid w:val="000F7191"/>
  </w:style>
  <w:style w:type="character" w:customStyle="1" w:styleId="currenturl">
    <w:name w:val="currenturl"/>
    <w:basedOn w:val="DefaultParagraphFont"/>
    <w:rsid w:val="000F7191"/>
  </w:style>
  <w:style w:type="character" w:styleId="Emphasis">
    <w:name w:val="Emphasis"/>
    <w:basedOn w:val="DefaultParagraphFont"/>
    <w:uiPriority w:val="20"/>
    <w:qFormat/>
    <w:rsid w:val="000F7191"/>
    <w:rPr>
      <w:i/>
      <w:iCs/>
    </w:rPr>
  </w:style>
  <w:style w:type="paragraph" w:customStyle="1" w:styleId="ODLTitle2">
    <w:name w:val="ODL Title2"/>
    <w:basedOn w:val="Normal"/>
    <w:rsid w:val="000F7191"/>
    <w:pPr>
      <w:jc w:val="center"/>
    </w:pPr>
    <w:rPr>
      <w:rFonts w:eastAsia="Times New Roman"/>
      <w:b/>
      <w:color w:val="FF0000"/>
      <w:spacing w:val="-2"/>
      <w:sz w:val="28"/>
      <w:szCs w:val="20"/>
      <w:lang w:val="en-GB"/>
    </w:rPr>
  </w:style>
  <w:style w:type="character" w:customStyle="1" w:styleId="addmd">
    <w:name w:val="addmd"/>
    <w:basedOn w:val="DefaultParagraphFont"/>
    <w:rsid w:val="000F7191"/>
  </w:style>
  <w:style w:type="paragraph" w:styleId="BalloonText">
    <w:name w:val="Balloon Text"/>
    <w:basedOn w:val="Normal"/>
    <w:link w:val="BalloonTextChar"/>
    <w:uiPriority w:val="99"/>
    <w:semiHidden/>
    <w:unhideWhenUsed/>
    <w:rsid w:val="000F7191"/>
    <w:rPr>
      <w:rFonts w:ascii="Tahoma" w:hAnsi="Tahoma" w:cs="Tahoma"/>
      <w:sz w:val="16"/>
      <w:szCs w:val="16"/>
    </w:rPr>
  </w:style>
  <w:style w:type="character" w:customStyle="1" w:styleId="BalloonTextChar">
    <w:name w:val="Balloon Text Char"/>
    <w:basedOn w:val="DefaultParagraphFont"/>
    <w:link w:val="BalloonText"/>
    <w:uiPriority w:val="99"/>
    <w:semiHidden/>
    <w:rsid w:val="000F7191"/>
    <w:rPr>
      <w:rFonts w:ascii="Tahoma" w:hAnsi="Tahoma" w:cs="Tahoma"/>
      <w:sz w:val="16"/>
      <w:szCs w:val="16"/>
    </w:rPr>
  </w:style>
  <w:style w:type="character" w:styleId="FootnoteReference">
    <w:name w:val="footnote reference"/>
    <w:basedOn w:val="DefaultParagraphFont"/>
    <w:semiHidden/>
    <w:unhideWhenUsed/>
    <w:rsid w:val="000F7191"/>
    <w:rPr>
      <w:vertAlign w:val="superscript"/>
    </w:rPr>
  </w:style>
  <w:style w:type="paragraph" w:styleId="ListParagraph">
    <w:name w:val="List Paragraph"/>
    <w:basedOn w:val="Normal"/>
    <w:uiPriority w:val="34"/>
    <w:qFormat/>
    <w:rsid w:val="000F7191"/>
    <w:pPr>
      <w:spacing w:after="200" w:line="276" w:lineRule="auto"/>
      <w:ind w:left="720"/>
      <w:contextualSpacing/>
    </w:pPr>
    <w:rPr>
      <w:rFonts w:asciiTheme="minorHAnsi" w:hAnsiTheme="minorHAnsi" w:cstheme="minorBidi"/>
      <w:sz w:val="22"/>
      <w:szCs w:val="22"/>
    </w:rPr>
  </w:style>
  <w:style w:type="character" w:customStyle="1" w:styleId="Heading1Char">
    <w:name w:val="Heading 1 Char"/>
    <w:basedOn w:val="DefaultParagraphFont"/>
    <w:link w:val="Heading1"/>
    <w:rsid w:val="008203A5"/>
    <w:rPr>
      <w:rFonts w:eastAsia="Times New Roman"/>
      <w:i/>
      <w:iCs/>
    </w:rPr>
  </w:style>
  <w:style w:type="character" w:customStyle="1" w:styleId="Heading3Char">
    <w:name w:val="Heading 3 Char"/>
    <w:basedOn w:val="DefaultParagraphFont"/>
    <w:link w:val="Heading3"/>
    <w:rsid w:val="008203A5"/>
    <w:rPr>
      <w:rFonts w:eastAsia="Times New Roman"/>
      <w:u w:val="single"/>
    </w:rPr>
  </w:style>
  <w:style w:type="paragraph" w:styleId="BodyText2">
    <w:name w:val="Body Text 2"/>
    <w:basedOn w:val="Normal"/>
    <w:link w:val="BodyText2Char"/>
    <w:rsid w:val="008203A5"/>
    <w:rPr>
      <w:rFonts w:eastAsia="Times New Roman"/>
      <w:b/>
      <w:bCs/>
    </w:rPr>
  </w:style>
  <w:style w:type="character" w:customStyle="1" w:styleId="BodyText2Char">
    <w:name w:val="Body Text 2 Char"/>
    <w:basedOn w:val="DefaultParagraphFont"/>
    <w:link w:val="BodyText2"/>
    <w:rsid w:val="008203A5"/>
    <w:rPr>
      <w:rFonts w:eastAsia="Times New Roman"/>
      <w:b/>
      <w:bCs/>
    </w:rPr>
  </w:style>
  <w:style w:type="character" w:customStyle="1" w:styleId="highlight">
    <w:name w:val="highlight"/>
    <w:basedOn w:val="DefaultParagraphFont"/>
    <w:rsid w:val="008203A5"/>
  </w:style>
  <w:style w:type="character" w:customStyle="1" w:styleId="space">
    <w:name w:val="space"/>
    <w:basedOn w:val="DefaultParagraphFont"/>
    <w:rsid w:val="008203A5"/>
  </w:style>
  <w:style w:type="character" w:customStyle="1" w:styleId="hi-small-caps">
    <w:name w:val="hi-small-caps"/>
    <w:basedOn w:val="DefaultParagraphFont"/>
    <w:rsid w:val="008203A5"/>
  </w:style>
  <w:style w:type="character" w:customStyle="1" w:styleId="normal0">
    <w:name w:val="normal"/>
    <w:basedOn w:val="DefaultParagraphFont"/>
    <w:rsid w:val="008203A5"/>
  </w:style>
  <w:style w:type="character" w:styleId="CommentReference">
    <w:name w:val="annotation reference"/>
    <w:basedOn w:val="DefaultParagraphFont"/>
    <w:uiPriority w:val="99"/>
    <w:semiHidden/>
    <w:unhideWhenUsed/>
    <w:rsid w:val="00887A88"/>
    <w:rPr>
      <w:sz w:val="16"/>
      <w:szCs w:val="16"/>
    </w:rPr>
  </w:style>
  <w:style w:type="paragraph" w:styleId="CommentText">
    <w:name w:val="annotation text"/>
    <w:basedOn w:val="Normal"/>
    <w:link w:val="CommentTextChar"/>
    <w:uiPriority w:val="99"/>
    <w:semiHidden/>
    <w:unhideWhenUsed/>
    <w:rsid w:val="00887A88"/>
    <w:rPr>
      <w:sz w:val="20"/>
      <w:szCs w:val="20"/>
    </w:rPr>
  </w:style>
  <w:style w:type="character" w:customStyle="1" w:styleId="CommentTextChar">
    <w:name w:val="Comment Text Char"/>
    <w:basedOn w:val="DefaultParagraphFont"/>
    <w:link w:val="CommentText"/>
    <w:uiPriority w:val="99"/>
    <w:semiHidden/>
    <w:rsid w:val="00887A88"/>
    <w:rPr>
      <w:sz w:val="20"/>
      <w:szCs w:val="20"/>
    </w:rPr>
  </w:style>
</w:styles>
</file>

<file path=word/webSettings.xml><?xml version="1.0" encoding="utf-8"?>
<w:webSettings xmlns:r="http://schemas.openxmlformats.org/officeDocument/2006/relationships" xmlns:w="http://schemas.openxmlformats.org/wordprocessingml/2006/main">
  <w:divs>
    <w:div w:id="5406713">
      <w:bodyDiv w:val="1"/>
      <w:marLeft w:val="0"/>
      <w:marRight w:val="0"/>
      <w:marTop w:val="0"/>
      <w:marBottom w:val="0"/>
      <w:divBdr>
        <w:top w:val="none" w:sz="0" w:space="0" w:color="auto"/>
        <w:left w:val="none" w:sz="0" w:space="0" w:color="auto"/>
        <w:bottom w:val="none" w:sz="0" w:space="0" w:color="auto"/>
        <w:right w:val="none" w:sz="0" w:space="0" w:color="auto"/>
      </w:divBdr>
    </w:div>
    <w:div w:id="5452138">
      <w:bodyDiv w:val="1"/>
      <w:marLeft w:val="0"/>
      <w:marRight w:val="0"/>
      <w:marTop w:val="0"/>
      <w:marBottom w:val="0"/>
      <w:divBdr>
        <w:top w:val="none" w:sz="0" w:space="0" w:color="auto"/>
        <w:left w:val="none" w:sz="0" w:space="0" w:color="auto"/>
        <w:bottom w:val="none" w:sz="0" w:space="0" w:color="auto"/>
        <w:right w:val="none" w:sz="0" w:space="0" w:color="auto"/>
      </w:divBdr>
    </w:div>
    <w:div w:id="5788428">
      <w:bodyDiv w:val="1"/>
      <w:marLeft w:val="0"/>
      <w:marRight w:val="0"/>
      <w:marTop w:val="0"/>
      <w:marBottom w:val="0"/>
      <w:divBdr>
        <w:top w:val="none" w:sz="0" w:space="0" w:color="auto"/>
        <w:left w:val="none" w:sz="0" w:space="0" w:color="auto"/>
        <w:bottom w:val="none" w:sz="0" w:space="0" w:color="auto"/>
        <w:right w:val="none" w:sz="0" w:space="0" w:color="auto"/>
      </w:divBdr>
    </w:div>
    <w:div w:id="55131251">
      <w:bodyDiv w:val="1"/>
      <w:marLeft w:val="0"/>
      <w:marRight w:val="0"/>
      <w:marTop w:val="0"/>
      <w:marBottom w:val="0"/>
      <w:divBdr>
        <w:top w:val="none" w:sz="0" w:space="0" w:color="auto"/>
        <w:left w:val="none" w:sz="0" w:space="0" w:color="auto"/>
        <w:bottom w:val="none" w:sz="0" w:space="0" w:color="auto"/>
        <w:right w:val="none" w:sz="0" w:space="0" w:color="auto"/>
      </w:divBdr>
    </w:div>
    <w:div w:id="56171630">
      <w:bodyDiv w:val="1"/>
      <w:marLeft w:val="0"/>
      <w:marRight w:val="0"/>
      <w:marTop w:val="0"/>
      <w:marBottom w:val="0"/>
      <w:divBdr>
        <w:top w:val="none" w:sz="0" w:space="0" w:color="auto"/>
        <w:left w:val="none" w:sz="0" w:space="0" w:color="auto"/>
        <w:bottom w:val="none" w:sz="0" w:space="0" w:color="auto"/>
        <w:right w:val="none" w:sz="0" w:space="0" w:color="auto"/>
      </w:divBdr>
    </w:div>
    <w:div w:id="97525476">
      <w:bodyDiv w:val="1"/>
      <w:marLeft w:val="0"/>
      <w:marRight w:val="0"/>
      <w:marTop w:val="0"/>
      <w:marBottom w:val="0"/>
      <w:divBdr>
        <w:top w:val="none" w:sz="0" w:space="0" w:color="auto"/>
        <w:left w:val="none" w:sz="0" w:space="0" w:color="auto"/>
        <w:bottom w:val="none" w:sz="0" w:space="0" w:color="auto"/>
        <w:right w:val="none" w:sz="0" w:space="0" w:color="auto"/>
      </w:divBdr>
    </w:div>
    <w:div w:id="112096679">
      <w:bodyDiv w:val="1"/>
      <w:marLeft w:val="0"/>
      <w:marRight w:val="0"/>
      <w:marTop w:val="0"/>
      <w:marBottom w:val="0"/>
      <w:divBdr>
        <w:top w:val="none" w:sz="0" w:space="0" w:color="auto"/>
        <w:left w:val="none" w:sz="0" w:space="0" w:color="auto"/>
        <w:bottom w:val="none" w:sz="0" w:space="0" w:color="auto"/>
        <w:right w:val="none" w:sz="0" w:space="0" w:color="auto"/>
      </w:divBdr>
    </w:div>
    <w:div w:id="114448029">
      <w:bodyDiv w:val="1"/>
      <w:marLeft w:val="0"/>
      <w:marRight w:val="0"/>
      <w:marTop w:val="0"/>
      <w:marBottom w:val="0"/>
      <w:divBdr>
        <w:top w:val="none" w:sz="0" w:space="0" w:color="auto"/>
        <w:left w:val="none" w:sz="0" w:space="0" w:color="auto"/>
        <w:bottom w:val="none" w:sz="0" w:space="0" w:color="auto"/>
        <w:right w:val="none" w:sz="0" w:space="0" w:color="auto"/>
      </w:divBdr>
    </w:div>
    <w:div w:id="122894540">
      <w:bodyDiv w:val="1"/>
      <w:marLeft w:val="0"/>
      <w:marRight w:val="0"/>
      <w:marTop w:val="0"/>
      <w:marBottom w:val="0"/>
      <w:divBdr>
        <w:top w:val="none" w:sz="0" w:space="0" w:color="auto"/>
        <w:left w:val="none" w:sz="0" w:space="0" w:color="auto"/>
        <w:bottom w:val="none" w:sz="0" w:space="0" w:color="auto"/>
        <w:right w:val="none" w:sz="0" w:space="0" w:color="auto"/>
      </w:divBdr>
    </w:div>
    <w:div w:id="125436686">
      <w:bodyDiv w:val="1"/>
      <w:marLeft w:val="0"/>
      <w:marRight w:val="0"/>
      <w:marTop w:val="0"/>
      <w:marBottom w:val="0"/>
      <w:divBdr>
        <w:top w:val="none" w:sz="0" w:space="0" w:color="auto"/>
        <w:left w:val="none" w:sz="0" w:space="0" w:color="auto"/>
        <w:bottom w:val="none" w:sz="0" w:space="0" w:color="auto"/>
        <w:right w:val="none" w:sz="0" w:space="0" w:color="auto"/>
      </w:divBdr>
    </w:div>
    <w:div w:id="156851306">
      <w:bodyDiv w:val="1"/>
      <w:marLeft w:val="0"/>
      <w:marRight w:val="0"/>
      <w:marTop w:val="0"/>
      <w:marBottom w:val="0"/>
      <w:divBdr>
        <w:top w:val="none" w:sz="0" w:space="0" w:color="auto"/>
        <w:left w:val="none" w:sz="0" w:space="0" w:color="auto"/>
        <w:bottom w:val="none" w:sz="0" w:space="0" w:color="auto"/>
        <w:right w:val="none" w:sz="0" w:space="0" w:color="auto"/>
      </w:divBdr>
    </w:div>
    <w:div w:id="169023969">
      <w:bodyDiv w:val="1"/>
      <w:marLeft w:val="0"/>
      <w:marRight w:val="0"/>
      <w:marTop w:val="0"/>
      <w:marBottom w:val="0"/>
      <w:divBdr>
        <w:top w:val="none" w:sz="0" w:space="0" w:color="auto"/>
        <w:left w:val="none" w:sz="0" w:space="0" w:color="auto"/>
        <w:bottom w:val="none" w:sz="0" w:space="0" w:color="auto"/>
        <w:right w:val="none" w:sz="0" w:space="0" w:color="auto"/>
      </w:divBdr>
    </w:div>
    <w:div w:id="177738214">
      <w:bodyDiv w:val="1"/>
      <w:marLeft w:val="0"/>
      <w:marRight w:val="0"/>
      <w:marTop w:val="0"/>
      <w:marBottom w:val="0"/>
      <w:divBdr>
        <w:top w:val="none" w:sz="0" w:space="0" w:color="auto"/>
        <w:left w:val="none" w:sz="0" w:space="0" w:color="auto"/>
        <w:bottom w:val="none" w:sz="0" w:space="0" w:color="auto"/>
        <w:right w:val="none" w:sz="0" w:space="0" w:color="auto"/>
      </w:divBdr>
    </w:div>
    <w:div w:id="233004531">
      <w:bodyDiv w:val="1"/>
      <w:marLeft w:val="0"/>
      <w:marRight w:val="0"/>
      <w:marTop w:val="0"/>
      <w:marBottom w:val="0"/>
      <w:divBdr>
        <w:top w:val="none" w:sz="0" w:space="0" w:color="auto"/>
        <w:left w:val="none" w:sz="0" w:space="0" w:color="auto"/>
        <w:bottom w:val="none" w:sz="0" w:space="0" w:color="auto"/>
        <w:right w:val="none" w:sz="0" w:space="0" w:color="auto"/>
      </w:divBdr>
    </w:div>
    <w:div w:id="243687695">
      <w:bodyDiv w:val="1"/>
      <w:marLeft w:val="0"/>
      <w:marRight w:val="0"/>
      <w:marTop w:val="0"/>
      <w:marBottom w:val="0"/>
      <w:divBdr>
        <w:top w:val="none" w:sz="0" w:space="0" w:color="auto"/>
        <w:left w:val="none" w:sz="0" w:space="0" w:color="auto"/>
        <w:bottom w:val="none" w:sz="0" w:space="0" w:color="auto"/>
        <w:right w:val="none" w:sz="0" w:space="0" w:color="auto"/>
      </w:divBdr>
    </w:div>
    <w:div w:id="250697886">
      <w:bodyDiv w:val="1"/>
      <w:marLeft w:val="0"/>
      <w:marRight w:val="0"/>
      <w:marTop w:val="0"/>
      <w:marBottom w:val="0"/>
      <w:divBdr>
        <w:top w:val="none" w:sz="0" w:space="0" w:color="auto"/>
        <w:left w:val="none" w:sz="0" w:space="0" w:color="auto"/>
        <w:bottom w:val="none" w:sz="0" w:space="0" w:color="auto"/>
        <w:right w:val="none" w:sz="0" w:space="0" w:color="auto"/>
      </w:divBdr>
    </w:div>
    <w:div w:id="258028009">
      <w:bodyDiv w:val="1"/>
      <w:marLeft w:val="0"/>
      <w:marRight w:val="0"/>
      <w:marTop w:val="0"/>
      <w:marBottom w:val="0"/>
      <w:divBdr>
        <w:top w:val="none" w:sz="0" w:space="0" w:color="auto"/>
        <w:left w:val="none" w:sz="0" w:space="0" w:color="auto"/>
        <w:bottom w:val="none" w:sz="0" w:space="0" w:color="auto"/>
        <w:right w:val="none" w:sz="0" w:space="0" w:color="auto"/>
      </w:divBdr>
    </w:div>
    <w:div w:id="320234436">
      <w:bodyDiv w:val="1"/>
      <w:marLeft w:val="0"/>
      <w:marRight w:val="0"/>
      <w:marTop w:val="0"/>
      <w:marBottom w:val="0"/>
      <w:divBdr>
        <w:top w:val="none" w:sz="0" w:space="0" w:color="auto"/>
        <w:left w:val="none" w:sz="0" w:space="0" w:color="auto"/>
        <w:bottom w:val="none" w:sz="0" w:space="0" w:color="auto"/>
        <w:right w:val="none" w:sz="0" w:space="0" w:color="auto"/>
      </w:divBdr>
    </w:div>
    <w:div w:id="388846266">
      <w:bodyDiv w:val="1"/>
      <w:marLeft w:val="0"/>
      <w:marRight w:val="0"/>
      <w:marTop w:val="0"/>
      <w:marBottom w:val="0"/>
      <w:divBdr>
        <w:top w:val="none" w:sz="0" w:space="0" w:color="auto"/>
        <w:left w:val="none" w:sz="0" w:space="0" w:color="auto"/>
        <w:bottom w:val="none" w:sz="0" w:space="0" w:color="auto"/>
        <w:right w:val="none" w:sz="0" w:space="0" w:color="auto"/>
      </w:divBdr>
    </w:div>
    <w:div w:id="410540049">
      <w:bodyDiv w:val="1"/>
      <w:marLeft w:val="0"/>
      <w:marRight w:val="0"/>
      <w:marTop w:val="0"/>
      <w:marBottom w:val="0"/>
      <w:divBdr>
        <w:top w:val="none" w:sz="0" w:space="0" w:color="auto"/>
        <w:left w:val="none" w:sz="0" w:space="0" w:color="auto"/>
        <w:bottom w:val="none" w:sz="0" w:space="0" w:color="auto"/>
        <w:right w:val="none" w:sz="0" w:space="0" w:color="auto"/>
      </w:divBdr>
    </w:div>
    <w:div w:id="429856721">
      <w:bodyDiv w:val="1"/>
      <w:marLeft w:val="0"/>
      <w:marRight w:val="0"/>
      <w:marTop w:val="0"/>
      <w:marBottom w:val="0"/>
      <w:divBdr>
        <w:top w:val="none" w:sz="0" w:space="0" w:color="auto"/>
        <w:left w:val="none" w:sz="0" w:space="0" w:color="auto"/>
        <w:bottom w:val="none" w:sz="0" w:space="0" w:color="auto"/>
        <w:right w:val="none" w:sz="0" w:space="0" w:color="auto"/>
      </w:divBdr>
    </w:div>
    <w:div w:id="431631810">
      <w:bodyDiv w:val="1"/>
      <w:marLeft w:val="0"/>
      <w:marRight w:val="0"/>
      <w:marTop w:val="0"/>
      <w:marBottom w:val="0"/>
      <w:divBdr>
        <w:top w:val="none" w:sz="0" w:space="0" w:color="auto"/>
        <w:left w:val="none" w:sz="0" w:space="0" w:color="auto"/>
        <w:bottom w:val="none" w:sz="0" w:space="0" w:color="auto"/>
        <w:right w:val="none" w:sz="0" w:space="0" w:color="auto"/>
      </w:divBdr>
    </w:div>
    <w:div w:id="436947971">
      <w:bodyDiv w:val="1"/>
      <w:marLeft w:val="0"/>
      <w:marRight w:val="0"/>
      <w:marTop w:val="0"/>
      <w:marBottom w:val="0"/>
      <w:divBdr>
        <w:top w:val="none" w:sz="0" w:space="0" w:color="auto"/>
        <w:left w:val="none" w:sz="0" w:space="0" w:color="auto"/>
        <w:bottom w:val="none" w:sz="0" w:space="0" w:color="auto"/>
        <w:right w:val="none" w:sz="0" w:space="0" w:color="auto"/>
      </w:divBdr>
    </w:div>
    <w:div w:id="437917662">
      <w:bodyDiv w:val="1"/>
      <w:marLeft w:val="0"/>
      <w:marRight w:val="0"/>
      <w:marTop w:val="0"/>
      <w:marBottom w:val="0"/>
      <w:divBdr>
        <w:top w:val="none" w:sz="0" w:space="0" w:color="auto"/>
        <w:left w:val="none" w:sz="0" w:space="0" w:color="auto"/>
        <w:bottom w:val="none" w:sz="0" w:space="0" w:color="auto"/>
        <w:right w:val="none" w:sz="0" w:space="0" w:color="auto"/>
      </w:divBdr>
    </w:div>
    <w:div w:id="465976108">
      <w:bodyDiv w:val="1"/>
      <w:marLeft w:val="0"/>
      <w:marRight w:val="0"/>
      <w:marTop w:val="0"/>
      <w:marBottom w:val="0"/>
      <w:divBdr>
        <w:top w:val="none" w:sz="0" w:space="0" w:color="auto"/>
        <w:left w:val="none" w:sz="0" w:space="0" w:color="auto"/>
        <w:bottom w:val="none" w:sz="0" w:space="0" w:color="auto"/>
        <w:right w:val="none" w:sz="0" w:space="0" w:color="auto"/>
      </w:divBdr>
    </w:div>
    <w:div w:id="490219705">
      <w:bodyDiv w:val="1"/>
      <w:marLeft w:val="0"/>
      <w:marRight w:val="0"/>
      <w:marTop w:val="0"/>
      <w:marBottom w:val="0"/>
      <w:divBdr>
        <w:top w:val="none" w:sz="0" w:space="0" w:color="auto"/>
        <w:left w:val="none" w:sz="0" w:space="0" w:color="auto"/>
        <w:bottom w:val="none" w:sz="0" w:space="0" w:color="auto"/>
        <w:right w:val="none" w:sz="0" w:space="0" w:color="auto"/>
      </w:divBdr>
    </w:div>
    <w:div w:id="495073924">
      <w:bodyDiv w:val="1"/>
      <w:marLeft w:val="0"/>
      <w:marRight w:val="0"/>
      <w:marTop w:val="0"/>
      <w:marBottom w:val="0"/>
      <w:divBdr>
        <w:top w:val="none" w:sz="0" w:space="0" w:color="auto"/>
        <w:left w:val="none" w:sz="0" w:space="0" w:color="auto"/>
        <w:bottom w:val="none" w:sz="0" w:space="0" w:color="auto"/>
        <w:right w:val="none" w:sz="0" w:space="0" w:color="auto"/>
      </w:divBdr>
    </w:div>
    <w:div w:id="537091098">
      <w:bodyDiv w:val="1"/>
      <w:marLeft w:val="0"/>
      <w:marRight w:val="0"/>
      <w:marTop w:val="0"/>
      <w:marBottom w:val="0"/>
      <w:divBdr>
        <w:top w:val="none" w:sz="0" w:space="0" w:color="auto"/>
        <w:left w:val="none" w:sz="0" w:space="0" w:color="auto"/>
        <w:bottom w:val="none" w:sz="0" w:space="0" w:color="auto"/>
        <w:right w:val="none" w:sz="0" w:space="0" w:color="auto"/>
      </w:divBdr>
    </w:div>
    <w:div w:id="554203287">
      <w:bodyDiv w:val="1"/>
      <w:marLeft w:val="0"/>
      <w:marRight w:val="0"/>
      <w:marTop w:val="0"/>
      <w:marBottom w:val="0"/>
      <w:divBdr>
        <w:top w:val="none" w:sz="0" w:space="0" w:color="auto"/>
        <w:left w:val="none" w:sz="0" w:space="0" w:color="auto"/>
        <w:bottom w:val="none" w:sz="0" w:space="0" w:color="auto"/>
        <w:right w:val="none" w:sz="0" w:space="0" w:color="auto"/>
      </w:divBdr>
    </w:div>
    <w:div w:id="572399792">
      <w:bodyDiv w:val="1"/>
      <w:marLeft w:val="0"/>
      <w:marRight w:val="0"/>
      <w:marTop w:val="0"/>
      <w:marBottom w:val="0"/>
      <w:divBdr>
        <w:top w:val="none" w:sz="0" w:space="0" w:color="auto"/>
        <w:left w:val="none" w:sz="0" w:space="0" w:color="auto"/>
        <w:bottom w:val="none" w:sz="0" w:space="0" w:color="auto"/>
        <w:right w:val="none" w:sz="0" w:space="0" w:color="auto"/>
      </w:divBdr>
    </w:div>
    <w:div w:id="575820491">
      <w:bodyDiv w:val="1"/>
      <w:marLeft w:val="0"/>
      <w:marRight w:val="0"/>
      <w:marTop w:val="0"/>
      <w:marBottom w:val="0"/>
      <w:divBdr>
        <w:top w:val="none" w:sz="0" w:space="0" w:color="auto"/>
        <w:left w:val="none" w:sz="0" w:space="0" w:color="auto"/>
        <w:bottom w:val="none" w:sz="0" w:space="0" w:color="auto"/>
        <w:right w:val="none" w:sz="0" w:space="0" w:color="auto"/>
      </w:divBdr>
    </w:div>
    <w:div w:id="580873413">
      <w:bodyDiv w:val="1"/>
      <w:marLeft w:val="0"/>
      <w:marRight w:val="0"/>
      <w:marTop w:val="0"/>
      <w:marBottom w:val="0"/>
      <w:divBdr>
        <w:top w:val="none" w:sz="0" w:space="0" w:color="auto"/>
        <w:left w:val="none" w:sz="0" w:space="0" w:color="auto"/>
        <w:bottom w:val="none" w:sz="0" w:space="0" w:color="auto"/>
        <w:right w:val="none" w:sz="0" w:space="0" w:color="auto"/>
      </w:divBdr>
    </w:div>
    <w:div w:id="620306038">
      <w:bodyDiv w:val="1"/>
      <w:marLeft w:val="0"/>
      <w:marRight w:val="0"/>
      <w:marTop w:val="0"/>
      <w:marBottom w:val="0"/>
      <w:divBdr>
        <w:top w:val="none" w:sz="0" w:space="0" w:color="auto"/>
        <w:left w:val="none" w:sz="0" w:space="0" w:color="auto"/>
        <w:bottom w:val="none" w:sz="0" w:space="0" w:color="auto"/>
        <w:right w:val="none" w:sz="0" w:space="0" w:color="auto"/>
      </w:divBdr>
    </w:div>
    <w:div w:id="643849800">
      <w:bodyDiv w:val="1"/>
      <w:marLeft w:val="0"/>
      <w:marRight w:val="0"/>
      <w:marTop w:val="0"/>
      <w:marBottom w:val="0"/>
      <w:divBdr>
        <w:top w:val="none" w:sz="0" w:space="0" w:color="auto"/>
        <w:left w:val="none" w:sz="0" w:space="0" w:color="auto"/>
        <w:bottom w:val="none" w:sz="0" w:space="0" w:color="auto"/>
        <w:right w:val="none" w:sz="0" w:space="0" w:color="auto"/>
      </w:divBdr>
    </w:div>
    <w:div w:id="683483454">
      <w:bodyDiv w:val="1"/>
      <w:marLeft w:val="0"/>
      <w:marRight w:val="0"/>
      <w:marTop w:val="0"/>
      <w:marBottom w:val="0"/>
      <w:divBdr>
        <w:top w:val="none" w:sz="0" w:space="0" w:color="auto"/>
        <w:left w:val="none" w:sz="0" w:space="0" w:color="auto"/>
        <w:bottom w:val="none" w:sz="0" w:space="0" w:color="auto"/>
        <w:right w:val="none" w:sz="0" w:space="0" w:color="auto"/>
      </w:divBdr>
    </w:div>
    <w:div w:id="712654134">
      <w:bodyDiv w:val="1"/>
      <w:marLeft w:val="0"/>
      <w:marRight w:val="0"/>
      <w:marTop w:val="0"/>
      <w:marBottom w:val="0"/>
      <w:divBdr>
        <w:top w:val="none" w:sz="0" w:space="0" w:color="auto"/>
        <w:left w:val="none" w:sz="0" w:space="0" w:color="auto"/>
        <w:bottom w:val="none" w:sz="0" w:space="0" w:color="auto"/>
        <w:right w:val="none" w:sz="0" w:space="0" w:color="auto"/>
      </w:divBdr>
    </w:div>
    <w:div w:id="729425744">
      <w:bodyDiv w:val="1"/>
      <w:marLeft w:val="0"/>
      <w:marRight w:val="0"/>
      <w:marTop w:val="0"/>
      <w:marBottom w:val="0"/>
      <w:divBdr>
        <w:top w:val="none" w:sz="0" w:space="0" w:color="auto"/>
        <w:left w:val="none" w:sz="0" w:space="0" w:color="auto"/>
        <w:bottom w:val="none" w:sz="0" w:space="0" w:color="auto"/>
        <w:right w:val="none" w:sz="0" w:space="0" w:color="auto"/>
      </w:divBdr>
    </w:div>
    <w:div w:id="729958752">
      <w:bodyDiv w:val="1"/>
      <w:marLeft w:val="0"/>
      <w:marRight w:val="0"/>
      <w:marTop w:val="0"/>
      <w:marBottom w:val="0"/>
      <w:divBdr>
        <w:top w:val="none" w:sz="0" w:space="0" w:color="auto"/>
        <w:left w:val="none" w:sz="0" w:space="0" w:color="auto"/>
        <w:bottom w:val="none" w:sz="0" w:space="0" w:color="auto"/>
        <w:right w:val="none" w:sz="0" w:space="0" w:color="auto"/>
      </w:divBdr>
    </w:div>
    <w:div w:id="802230972">
      <w:bodyDiv w:val="1"/>
      <w:marLeft w:val="0"/>
      <w:marRight w:val="0"/>
      <w:marTop w:val="0"/>
      <w:marBottom w:val="0"/>
      <w:divBdr>
        <w:top w:val="none" w:sz="0" w:space="0" w:color="auto"/>
        <w:left w:val="none" w:sz="0" w:space="0" w:color="auto"/>
        <w:bottom w:val="none" w:sz="0" w:space="0" w:color="auto"/>
        <w:right w:val="none" w:sz="0" w:space="0" w:color="auto"/>
      </w:divBdr>
    </w:div>
    <w:div w:id="893156757">
      <w:bodyDiv w:val="1"/>
      <w:marLeft w:val="0"/>
      <w:marRight w:val="0"/>
      <w:marTop w:val="0"/>
      <w:marBottom w:val="0"/>
      <w:divBdr>
        <w:top w:val="none" w:sz="0" w:space="0" w:color="auto"/>
        <w:left w:val="none" w:sz="0" w:space="0" w:color="auto"/>
        <w:bottom w:val="none" w:sz="0" w:space="0" w:color="auto"/>
        <w:right w:val="none" w:sz="0" w:space="0" w:color="auto"/>
      </w:divBdr>
    </w:div>
    <w:div w:id="963733889">
      <w:bodyDiv w:val="1"/>
      <w:marLeft w:val="0"/>
      <w:marRight w:val="0"/>
      <w:marTop w:val="0"/>
      <w:marBottom w:val="0"/>
      <w:divBdr>
        <w:top w:val="none" w:sz="0" w:space="0" w:color="auto"/>
        <w:left w:val="none" w:sz="0" w:space="0" w:color="auto"/>
        <w:bottom w:val="none" w:sz="0" w:space="0" w:color="auto"/>
        <w:right w:val="none" w:sz="0" w:space="0" w:color="auto"/>
      </w:divBdr>
    </w:div>
    <w:div w:id="981352442">
      <w:bodyDiv w:val="1"/>
      <w:marLeft w:val="0"/>
      <w:marRight w:val="0"/>
      <w:marTop w:val="0"/>
      <w:marBottom w:val="0"/>
      <w:divBdr>
        <w:top w:val="none" w:sz="0" w:space="0" w:color="auto"/>
        <w:left w:val="none" w:sz="0" w:space="0" w:color="auto"/>
        <w:bottom w:val="none" w:sz="0" w:space="0" w:color="auto"/>
        <w:right w:val="none" w:sz="0" w:space="0" w:color="auto"/>
      </w:divBdr>
    </w:div>
    <w:div w:id="1020201036">
      <w:bodyDiv w:val="1"/>
      <w:marLeft w:val="0"/>
      <w:marRight w:val="0"/>
      <w:marTop w:val="0"/>
      <w:marBottom w:val="0"/>
      <w:divBdr>
        <w:top w:val="none" w:sz="0" w:space="0" w:color="auto"/>
        <w:left w:val="none" w:sz="0" w:space="0" w:color="auto"/>
        <w:bottom w:val="none" w:sz="0" w:space="0" w:color="auto"/>
        <w:right w:val="none" w:sz="0" w:space="0" w:color="auto"/>
      </w:divBdr>
    </w:div>
    <w:div w:id="1087918997">
      <w:bodyDiv w:val="1"/>
      <w:marLeft w:val="0"/>
      <w:marRight w:val="0"/>
      <w:marTop w:val="0"/>
      <w:marBottom w:val="0"/>
      <w:divBdr>
        <w:top w:val="none" w:sz="0" w:space="0" w:color="auto"/>
        <w:left w:val="none" w:sz="0" w:space="0" w:color="auto"/>
        <w:bottom w:val="none" w:sz="0" w:space="0" w:color="auto"/>
        <w:right w:val="none" w:sz="0" w:space="0" w:color="auto"/>
      </w:divBdr>
    </w:div>
    <w:div w:id="1131287527">
      <w:bodyDiv w:val="1"/>
      <w:marLeft w:val="0"/>
      <w:marRight w:val="0"/>
      <w:marTop w:val="0"/>
      <w:marBottom w:val="0"/>
      <w:divBdr>
        <w:top w:val="none" w:sz="0" w:space="0" w:color="auto"/>
        <w:left w:val="none" w:sz="0" w:space="0" w:color="auto"/>
        <w:bottom w:val="none" w:sz="0" w:space="0" w:color="auto"/>
        <w:right w:val="none" w:sz="0" w:space="0" w:color="auto"/>
      </w:divBdr>
    </w:div>
    <w:div w:id="1137408044">
      <w:bodyDiv w:val="1"/>
      <w:marLeft w:val="0"/>
      <w:marRight w:val="0"/>
      <w:marTop w:val="0"/>
      <w:marBottom w:val="0"/>
      <w:divBdr>
        <w:top w:val="none" w:sz="0" w:space="0" w:color="auto"/>
        <w:left w:val="none" w:sz="0" w:space="0" w:color="auto"/>
        <w:bottom w:val="none" w:sz="0" w:space="0" w:color="auto"/>
        <w:right w:val="none" w:sz="0" w:space="0" w:color="auto"/>
      </w:divBdr>
    </w:div>
    <w:div w:id="1169062437">
      <w:bodyDiv w:val="1"/>
      <w:marLeft w:val="0"/>
      <w:marRight w:val="0"/>
      <w:marTop w:val="0"/>
      <w:marBottom w:val="0"/>
      <w:divBdr>
        <w:top w:val="none" w:sz="0" w:space="0" w:color="auto"/>
        <w:left w:val="none" w:sz="0" w:space="0" w:color="auto"/>
        <w:bottom w:val="none" w:sz="0" w:space="0" w:color="auto"/>
        <w:right w:val="none" w:sz="0" w:space="0" w:color="auto"/>
      </w:divBdr>
    </w:div>
    <w:div w:id="1236742681">
      <w:bodyDiv w:val="1"/>
      <w:marLeft w:val="0"/>
      <w:marRight w:val="0"/>
      <w:marTop w:val="0"/>
      <w:marBottom w:val="0"/>
      <w:divBdr>
        <w:top w:val="none" w:sz="0" w:space="0" w:color="auto"/>
        <w:left w:val="none" w:sz="0" w:space="0" w:color="auto"/>
        <w:bottom w:val="none" w:sz="0" w:space="0" w:color="auto"/>
        <w:right w:val="none" w:sz="0" w:space="0" w:color="auto"/>
      </w:divBdr>
    </w:div>
    <w:div w:id="1238246011">
      <w:bodyDiv w:val="1"/>
      <w:marLeft w:val="0"/>
      <w:marRight w:val="0"/>
      <w:marTop w:val="0"/>
      <w:marBottom w:val="0"/>
      <w:divBdr>
        <w:top w:val="none" w:sz="0" w:space="0" w:color="auto"/>
        <w:left w:val="none" w:sz="0" w:space="0" w:color="auto"/>
        <w:bottom w:val="none" w:sz="0" w:space="0" w:color="auto"/>
        <w:right w:val="none" w:sz="0" w:space="0" w:color="auto"/>
      </w:divBdr>
    </w:div>
    <w:div w:id="1309018502">
      <w:bodyDiv w:val="1"/>
      <w:marLeft w:val="0"/>
      <w:marRight w:val="0"/>
      <w:marTop w:val="0"/>
      <w:marBottom w:val="0"/>
      <w:divBdr>
        <w:top w:val="none" w:sz="0" w:space="0" w:color="auto"/>
        <w:left w:val="none" w:sz="0" w:space="0" w:color="auto"/>
        <w:bottom w:val="none" w:sz="0" w:space="0" w:color="auto"/>
        <w:right w:val="none" w:sz="0" w:space="0" w:color="auto"/>
      </w:divBdr>
    </w:div>
    <w:div w:id="1352873996">
      <w:bodyDiv w:val="1"/>
      <w:marLeft w:val="0"/>
      <w:marRight w:val="0"/>
      <w:marTop w:val="0"/>
      <w:marBottom w:val="0"/>
      <w:divBdr>
        <w:top w:val="none" w:sz="0" w:space="0" w:color="auto"/>
        <w:left w:val="none" w:sz="0" w:space="0" w:color="auto"/>
        <w:bottom w:val="none" w:sz="0" w:space="0" w:color="auto"/>
        <w:right w:val="none" w:sz="0" w:space="0" w:color="auto"/>
      </w:divBdr>
    </w:div>
    <w:div w:id="1391269957">
      <w:bodyDiv w:val="1"/>
      <w:marLeft w:val="0"/>
      <w:marRight w:val="0"/>
      <w:marTop w:val="0"/>
      <w:marBottom w:val="0"/>
      <w:divBdr>
        <w:top w:val="none" w:sz="0" w:space="0" w:color="auto"/>
        <w:left w:val="none" w:sz="0" w:space="0" w:color="auto"/>
        <w:bottom w:val="none" w:sz="0" w:space="0" w:color="auto"/>
        <w:right w:val="none" w:sz="0" w:space="0" w:color="auto"/>
      </w:divBdr>
    </w:div>
    <w:div w:id="1391462399">
      <w:bodyDiv w:val="1"/>
      <w:marLeft w:val="0"/>
      <w:marRight w:val="0"/>
      <w:marTop w:val="0"/>
      <w:marBottom w:val="0"/>
      <w:divBdr>
        <w:top w:val="none" w:sz="0" w:space="0" w:color="auto"/>
        <w:left w:val="none" w:sz="0" w:space="0" w:color="auto"/>
        <w:bottom w:val="none" w:sz="0" w:space="0" w:color="auto"/>
        <w:right w:val="none" w:sz="0" w:space="0" w:color="auto"/>
      </w:divBdr>
    </w:div>
    <w:div w:id="1406682671">
      <w:bodyDiv w:val="1"/>
      <w:marLeft w:val="0"/>
      <w:marRight w:val="0"/>
      <w:marTop w:val="0"/>
      <w:marBottom w:val="0"/>
      <w:divBdr>
        <w:top w:val="none" w:sz="0" w:space="0" w:color="auto"/>
        <w:left w:val="none" w:sz="0" w:space="0" w:color="auto"/>
        <w:bottom w:val="none" w:sz="0" w:space="0" w:color="auto"/>
        <w:right w:val="none" w:sz="0" w:space="0" w:color="auto"/>
      </w:divBdr>
    </w:div>
    <w:div w:id="1439913879">
      <w:bodyDiv w:val="1"/>
      <w:marLeft w:val="0"/>
      <w:marRight w:val="0"/>
      <w:marTop w:val="0"/>
      <w:marBottom w:val="0"/>
      <w:divBdr>
        <w:top w:val="none" w:sz="0" w:space="0" w:color="auto"/>
        <w:left w:val="none" w:sz="0" w:space="0" w:color="auto"/>
        <w:bottom w:val="none" w:sz="0" w:space="0" w:color="auto"/>
        <w:right w:val="none" w:sz="0" w:space="0" w:color="auto"/>
      </w:divBdr>
    </w:div>
    <w:div w:id="1454590768">
      <w:bodyDiv w:val="1"/>
      <w:marLeft w:val="0"/>
      <w:marRight w:val="0"/>
      <w:marTop w:val="0"/>
      <w:marBottom w:val="0"/>
      <w:divBdr>
        <w:top w:val="none" w:sz="0" w:space="0" w:color="auto"/>
        <w:left w:val="none" w:sz="0" w:space="0" w:color="auto"/>
        <w:bottom w:val="none" w:sz="0" w:space="0" w:color="auto"/>
        <w:right w:val="none" w:sz="0" w:space="0" w:color="auto"/>
      </w:divBdr>
    </w:div>
    <w:div w:id="1462653080">
      <w:bodyDiv w:val="1"/>
      <w:marLeft w:val="0"/>
      <w:marRight w:val="0"/>
      <w:marTop w:val="0"/>
      <w:marBottom w:val="0"/>
      <w:divBdr>
        <w:top w:val="none" w:sz="0" w:space="0" w:color="auto"/>
        <w:left w:val="none" w:sz="0" w:space="0" w:color="auto"/>
        <w:bottom w:val="none" w:sz="0" w:space="0" w:color="auto"/>
        <w:right w:val="none" w:sz="0" w:space="0" w:color="auto"/>
      </w:divBdr>
    </w:div>
    <w:div w:id="1553536366">
      <w:bodyDiv w:val="1"/>
      <w:marLeft w:val="0"/>
      <w:marRight w:val="0"/>
      <w:marTop w:val="0"/>
      <w:marBottom w:val="0"/>
      <w:divBdr>
        <w:top w:val="none" w:sz="0" w:space="0" w:color="auto"/>
        <w:left w:val="none" w:sz="0" w:space="0" w:color="auto"/>
        <w:bottom w:val="none" w:sz="0" w:space="0" w:color="auto"/>
        <w:right w:val="none" w:sz="0" w:space="0" w:color="auto"/>
      </w:divBdr>
    </w:div>
    <w:div w:id="1557162260">
      <w:bodyDiv w:val="1"/>
      <w:marLeft w:val="0"/>
      <w:marRight w:val="0"/>
      <w:marTop w:val="0"/>
      <w:marBottom w:val="0"/>
      <w:divBdr>
        <w:top w:val="none" w:sz="0" w:space="0" w:color="auto"/>
        <w:left w:val="none" w:sz="0" w:space="0" w:color="auto"/>
        <w:bottom w:val="none" w:sz="0" w:space="0" w:color="auto"/>
        <w:right w:val="none" w:sz="0" w:space="0" w:color="auto"/>
      </w:divBdr>
    </w:div>
    <w:div w:id="1560288118">
      <w:bodyDiv w:val="1"/>
      <w:marLeft w:val="0"/>
      <w:marRight w:val="0"/>
      <w:marTop w:val="0"/>
      <w:marBottom w:val="0"/>
      <w:divBdr>
        <w:top w:val="none" w:sz="0" w:space="0" w:color="auto"/>
        <w:left w:val="none" w:sz="0" w:space="0" w:color="auto"/>
        <w:bottom w:val="none" w:sz="0" w:space="0" w:color="auto"/>
        <w:right w:val="none" w:sz="0" w:space="0" w:color="auto"/>
      </w:divBdr>
    </w:div>
    <w:div w:id="1578327146">
      <w:bodyDiv w:val="1"/>
      <w:marLeft w:val="0"/>
      <w:marRight w:val="0"/>
      <w:marTop w:val="0"/>
      <w:marBottom w:val="0"/>
      <w:divBdr>
        <w:top w:val="none" w:sz="0" w:space="0" w:color="auto"/>
        <w:left w:val="none" w:sz="0" w:space="0" w:color="auto"/>
        <w:bottom w:val="none" w:sz="0" w:space="0" w:color="auto"/>
        <w:right w:val="none" w:sz="0" w:space="0" w:color="auto"/>
      </w:divBdr>
    </w:div>
    <w:div w:id="1582255282">
      <w:bodyDiv w:val="1"/>
      <w:marLeft w:val="0"/>
      <w:marRight w:val="0"/>
      <w:marTop w:val="0"/>
      <w:marBottom w:val="0"/>
      <w:divBdr>
        <w:top w:val="none" w:sz="0" w:space="0" w:color="auto"/>
        <w:left w:val="none" w:sz="0" w:space="0" w:color="auto"/>
        <w:bottom w:val="none" w:sz="0" w:space="0" w:color="auto"/>
        <w:right w:val="none" w:sz="0" w:space="0" w:color="auto"/>
      </w:divBdr>
    </w:div>
    <w:div w:id="1598905207">
      <w:bodyDiv w:val="1"/>
      <w:marLeft w:val="0"/>
      <w:marRight w:val="0"/>
      <w:marTop w:val="0"/>
      <w:marBottom w:val="0"/>
      <w:divBdr>
        <w:top w:val="none" w:sz="0" w:space="0" w:color="auto"/>
        <w:left w:val="none" w:sz="0" w:space="0" w:color="auto"/>
        <w:bottom w:val="none" w:sz="0" w:space="0" w:color="auto"/>
        <w:right w:val="none" w:sz="0" w:space="0" w:color="auto"/>
      </w:divBdr>
    </w:div>
    <w:div w:id="1615939915">
      <w:bodyDiv w:val="1"/>
      <w:marLeft w:val="0"/>
      <w:marRight w:val="0"/>
      <w:marTop w:val="0"/>
      <w:marBottom w:val="0"/>
      <w:divBdr>
        <w:top w:val="none" w:sz="0" w:space="0" w:color="auto"/>
        <w:left w:val="none" w:sz="0" w:space="0" w:color="auto"/>
        <w:bottom w:val="none" w:sz="0" w:space="0" w:color="auto"/>
        <w:right w:val="none" w:sz="0" w:space="0" w:color="auto"/>
      </w:divBdr>
    </w:div>
    <w:div w:id="1694380297">
      <w:bodyDiv w:val="1"/>
      <w:marLeft w:val="0"/>
      <w:marRight w:val="0"/>
      <w:marTop w:val="0"/>
      <w:marBottom w:val="0"/>
      <w:divBdr>
        <w:top w:val="none" w:sz="0" w:space="0" w:color="auto"/>
        <w:left w:val="none" w:sz="0" w:space="0" w:color="auto"/>
        <w:bottom w:val="none" w:sz="0" w:space="0" w:color="auto"/>
        <w:right w:val="none" w:sz="0" w:space="0" w:color="auto"/>
      </w:divBdr>
    </w:div>
    <w:div w:id="1698775385">
      <w:bodyDiv w:val="1"/>
      <w:marLeft w:val="0"/>
      <w:marRight w:val="0"/>
      <w:marTop w:val="0"/>
      <w:marBottom w:val="0"/>
      <w:divBdr>
        <w:top w:val="none" w:sz="0" w:space="0" w:color="auto"/>
        <w:left w:val="none" w:sz="0" w:space="0" w:color="auto"/>
        <w:bottom w:val="none" w:sz="0" w:space="0" w:color="auto"/>
        <w:right w:val="none" w:sz="0" w:space="0" w:color="auto"/>
      </w:divBdr>
    </w:div>
    <w:div w:id="1714377820">
      <w:bodyDiv w:val="1"/>
      <w:marLeft w:val="0"/>
      <w:marRight w:val="0"/>
      <w:marTop w:val="0"/>
      <w:marBottom w:val="0"/>
      <w:divBdr>
        <w:top w:val="none" w:sz="0" w:space="0" w:color="auto"/>
        <w:left w:val="none" w:sz="0" w:space="0" w:color="auto"/>
        <w:bottom w:val="none" w:sz="0" w:space="0" w:color="auto"/>
        <w:right w:val="none" w:sz="0" w:space="0" w:color="auto"/>
      </w:divBdr>
    </w:div>
    <w:div w:id="1714697774">
      <w:bodyDiv w:val="1"/>
      <w:marLeft w:val="0"/>
      <w:marRight w:val="0"/>
      <w:marTop w:val="0"/>
      <w:marBottom w:val="0"/>
      <w:divBdr>
        <w:top w:val="none" w:sz="0" w:space="0" w:color="auto"/>
        <w:left w:val="none" w:sz="0" w:space="0" w:color="auto"/>
        <w:bottom w:val="none" w:sz="0" w:space="0" w:color="auto"/>
        <w:right w:val="none" w:sz="0" w:space="0" w:color="auto"/>
      </w:divBdr>
    </w:div>
    <w:div w:id="1727491013">
      <w:bodyDiv w:val="1"/>
      <w:marLeft w:val="0"/>
      <w:marRight w:val="0"/>
      <w:marTop w:val="0"/>
      <w:marBottom w:val="0"/>
      <w:divBdr>
        <w:top w:val="none" w:sz="0" w:space="0" w:color="auto"/>
        <w:left w:val="none" w:sz="0" w:space="0" w:color="auto"/>
        <w:bottom w:val="none" w:sz="0" w:space="0" w:color="auto"/>
        <w:right w:val="none" w:sz="0" w:space="0" w:color="auto"/>
      </w:divBdr>
    </w:div>
    <w:div w:id="1778216730">
      <w:bodyDiv w:val="1"/>
      <w:marLeft w:val="0"/>
      <w:marRight w:val="0"/>
      <w:marTop w:val="0"/>
      <w:marBottom w:val="0"/>
      <w:divBdr>
        <w:top w:val="none" w:sz="0" w:space="0" w:color="auto"/>
        <w:left w:val="none" w:sz="0" w:space="0" w:color="auto"/>
        <w:bottom w:val="none" w:sz="0" w:space="0" w:color="auto"/>
        <w:right w:val="none" w:sz="0" w:space="0" w:color="auto"/>
      </w:divBdr>
    </w:div>
    <w:div w:id="1793594224">
      <w:bodyDiv w:val="1"/>
      <w:marLeft w:val="0"/>
      <w:marRight w:val="0"/>
      <w:marTop w:val="0"/>
      <w:marBottom w:val="0"/>
      <w:divBdr>
        <w:top w:val="none" w:sz="0" w:space="0" w:color="auto"/>
        <w:left w:val="none" w:sz="0" w:space="0" w:color="auto"/>
        <w:bottom w:val="none" w:sz="0" w:space="0" w:color="auto"/>
        <w:right w:val="none" w:sz="0" w:space="0" w:color="auto"/>
      </w:divBdr>
    </w:div>
    <w:div w:id="1800149822">
      <w:bodyDiv w:val="1"/>
      <w:marLeft w:val="0"/>
      <w:marRight w:val="0"/>
      <w:marTop w:val="0"/>
      <w:marBottom w:val="0"/>
      <w:divBdr>
        <w:top w:val="none" w:sz="0" w:space="0" w:color="auto"/>
        <w:left w:val="none" w:sz="0" w:space="0" w:color="auto"/>
        <w:bottom w:val="none" w:sz="0" w:space="0" w:color="auto"/>
        <w:right w:val="none" w:sz="0" w:space="0" w:color="auto"/>
      </w:divBdr>
    </w:div>
    <w:div w:id="1804614441">
      <w:bodyDiv w:val="1"/>
      <w:marLeft w:val="0"/>
      <w:marRight w:val="0"/>
      <w:marTop w:val="0"/>
      <w:marBottom w:val="0"/>
      <w:divBdr>
        <w:top w:val="none" w:sz="0" w:space="0" w:color="auto"/>
        <w:left w:val="none" w:sz="0" w:space="0" w:color="auto"/>
        <w:bottom w:val="none" w:sz="0" w:space="0" w:color="auto"/>
        <w:right w:val="none" w:sz="0" w:space="0" w:color="auto"/>
      </w:divBdr>
    </w:div>
    <w:div w:id="1824546767">
      <w:bodyDiv w:val="1"/>
      <w:marLeft w:val="0"/>
      <w:marRight w:val="0"/>
      <w:marTop w:val="0"/>
      <w:marBottom w:val="0"/>
      <w:divBdr>
        <w:top w:val="none" w:sz="0" w:space="0" w:color="auto"/>
        <w:left w:val="none" w:sz="0" w:space="0" w:color="auto"/>
        <w:bottom w:val="none" w:sz="0" w:space="0" w:color="auto"/>
        <w:right w:val="none" w:sz="0" w:space="0" w:color="auto"/>
      </w:divBdr>
    </w:div>
    <w:div w:id="1907183868">
      <w:bodyDiv w:val="1"/>
      <w:marLeft w:val="0"/>
      <w:marRight w:val="0"/>
      <w:marTop w:val="0"/>
      <w:marBottom w:val="0"/>
      <w:divBdr>
        <w:top w:val="none" w:sz="0" w:space="0" w:color="auto"/>
        <w:left w:val="none" w:sz="0" w:space="0" w:color="auto"/>
        <w:bottom w:val="none" w:sz="0" w:space="0" w:color="auto"/>
        <w:right w:val="none" w:sz="0" w:space="0" w:color="auto"/>
      </w:divBdr>
    </w:div>
    <w:div w:id="1926765127">
      <w:bodyDiv w:val="1"/>
      <w:marLeft w:val="0"/>
      <w:marRight w:val="0"/>
      <w:marTop w:val="0"/>
      <w:marBottom w:val="0"/>
      <w:divBdr>
        <w:top w:val="none" w:sz="0" w:space="0" w:color="auto"/>
        <w:left w:val="none" w:sz="0" w:space="0" w:color="auto"/>
        <w:bottom w:val="none" w:sz="0" w:space="0" w:color="auto"/>
        <w:right w:val="none" w:sz="0" w:space="0" w:color="auto"/>
      </w:divBdr>
    </w:div>
    <w:div w:id="1940868108">
      <w:bodyDiv w:val="1"/>
      <w:marLeft w:val="0"/>
      <w:marRight w:val="0"/>
      <w:marTop w:val="0"/>
      <w:marBottom w:val="0"/>
      <w:divBdr>
        <w:top w:val="none" w:sz="0" w:space="0" w:color="auto"/>
        <w:left w:val="none" w:sz="0" w:space="0" w:color="auto"/>
        <w:bottom w:val="none" w:sz="0" w:space="0" w:color="auto"/>
        <w:right w:val="none" w:sz="0" w:space="0" w:color="auto"/>
      </w:divBdr>
    </w:div>
    <w:div w:id="1957056914">
      <w:bodyDiv w:val="1"/>
      <w:marLeft w:val="0"/>
      <w:marRight w:val="0"/>
      <w:marTop w:val="0"/>
      <w:marBottom w:val="0"/>
      <w:divBdr>
        <w:top w:val="none" w:sz="0" w:space="0" w:color="auto"/>
        <w:left w:val="none" w:sz="0" w:space="0" w:color="auto"/>
        <w:bottom w:val="none" w:sz="0" w:space="0" w:color="auto"/>
        <w:right w:val="none" w:sz="0" w:space="0" w:color="auto"/>
      </w:divBdr>
    </w:div>
    <w:div w:id="1960800066">
      <w:bodyDiv w:val="1"/>
      <w:marLeft w:val="0"/>
      <w:marRight w:val="0"/>
      <w:marTop w:val="0"/>
      <w:marBottom w:val="0"/>
      <w:divBdr>
        <w:top w:val="none" w:sz="0" w:space="0" w:color="auto"/>
        <w:left w:val="none" w:sz="0" w:space="0" w:color="auto"/>
        <w:bottom w:val="none" w:sz="0" w:space="0" w:color="auto"/>
        <w:right w:val="none" w:sz="0" w:space="0" w:color="auto"/>
      </w:divBdr>
    </w:div>
    <w:div w:id="2005351657">
      <w:bodyDiv w:val="1"/>
      <w:marLeft w:val="0"/>
      <w:marRight w:val="0"/>
      <w:marTop w:val="0"/>
      <w:marBottom w:val="0"/>
      <w:divBdr>
        <w:top w:val="none" w:sz="0" w:space="0" w:color="auto"/>
        <w:left w:val="none" w:sz="0" w:space="0" w:color="auto"/>
        <w:bottom w:val="none" w:sz="0" w:space="0" w:color="auto"/>
        <w:right w:val="none" w:sz="0" w:space="0" w:color="auto"/>
      </w:divBdr>
    </w:div>
    <w:div w:id="2066097896">
      <w:bodyDiv w:val="1"/>
      <w:marLeft w:val="0"/>
      <w:marRight w:val="0"/>
      <w:marTop w:val="0"/>
      <w:marBottom w:val="0"/>
      <w:divBdr>
        <w:top w:val="none" w:sz="0" w:space="0" w:color="auto"/>
        <w:left w:val="none" w:sz="0" w:space="0" w:color="auto"/>
        <w:bottom w:val="none" w:sz="0" w:space="0" w:color="auto"/>
        <w:right w:val="none" w:sz="0" w:space="0" w:color="auto"/>
      </w:divBdr>
    </w:div>
    <w:div w:id="2066878707">
      <w:bodyDiv w:val="1"/>
      <w:marLeft w:val="0"/>
      <w:marRight w:val="0"/>
      <w:marTop w:val="0"/>
      <w:marBottom w:val="0"/>
      <w:divBdr>
        <w:top w:val="none" w:sz="0" w:space="0" w:color="auto"/>
        <w:left w:val="none" w:sz="0" w:space="0" w:color="auto"/>
        <w:bottom w:val="none" w:sz="0" w:space="0" w:color="auto"/>
        <w:right w:val="none" w:sz="0" w:space="0" w:color="auto"/>
      </w:divBdr>
    </w:div>
    <w:div w:id="2069065908">
      <w:bodyDiv w:val="1"/>
      <w:marLeft w:val="0"/>
      <w:marRight w:val="0"/>
      <w:marTop w:val="0"/>
      <w:marBottom w:val="0"/>
      <w:divBdr>
        <w:top w:val="none" w:sz="0" w:space="0" w:color="auto"/>
        <w:left w:val="none" w:sz="0" w:space="0" w:color="auto"/>
        <w:bottom w:val="none" w:sz="0" w:space="0" w:color="auto"/>
        <w:right w:val="none" w:sz="0" w:space="0" w:color="auto"/>
      </w:divBdr>
    </w:div>
    <w:div w:id="2077892578">
      <w:bodyDiv w:val="1"/>
      <w:marLeft w:val="0"/>
      <w:marRight w:val="0"/>
      <w:marTop w:val="0"/>
      <w:marBottom w:val="0"/>
      <w:divBdr>
        <w:top w:val="none" w:sz="0" w:space="0" w:color="auto"/>
        <w:left w:val="none" w:sz="0" w:space="0" w:color="auto"/>
        <w:bottom w:val="none" w:sz="0" w:space="0" w:color="auto"/>
        <w:right w:val="none" w:sz="0" w:space="0" w:color="auto"/>
      </w:divBdr>
    </w:div>
    <w:div w:id="211551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chart" Target="charts/chart6.xml"/><Relationship Id="rId39" Type="http://schemas.openxmlformats.org/officeDocument/2006/relationships/image" Target="media/image16.jpeg"/><Relationship Id="rId21" Type="http://schemas.openxmlformats.org/officeDocument/2006/relationships/image" Target="media/image12.jpeg"/><Relationship Id="rId34" Type="http://schemas.openxmlformats.org/officeDocument/2006/relationships/chart" Target="charts/chart14.xml"/><Relationship Id="rId42" Type="http://schemas.openxmlformats.org/officeDocument/2006/relationships/image" Target="media/image18.jpeg"/><Relationship Id="rId47" Type="http://schemas.openxmlformats.org/officeDocument/2006/relationships/chart" Target="charts/chart17.xml"/><Relationship Id="rId50" Type="http://schemas.openxmlformats.org/officeDocument/2006/relationships/chart" Target="charts/chart19.xml"/><Relationship Id="rId55" Type="http://schemas.openxmlformats.org/officeDocument/2006/relationships/chart" Target="charts/chart2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chart" Target="charts/chart9.xml"/><Relationship Id="rId41" Type="http://schemas.openxmlformats.org/officeDocument/2006/relationships/image" Target="media/image17.jpeg"/><Relationship Id="rId54" Type="http://schemas.openxmlformats.org/officeDocument/2006/relationships/chart" Target="charts/chart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chart" Target="charts/chart4.xml"/><Relationship Id="rId32" Type="http://schemas.openxmlformats.org/officeDocument/2006/relationships/chart" Target="charts/chart12.xml"/><Relationship Id="rId37" Type="http://schemas.openxmlformats.org/officeDocument/2006/relationships/image" Target="media/image14.jpeg"/><Relationship Id="rId40" Type="http://schemas.openxmlformats.org/officeDocument/2006/relationships/chart" Target="charts/chart16.xml"/><Relationship Id="rId45" Type="http://schemas.openxmlformats.org/officeDocument/2006/relationships/image" Target="media/image21.jpeg"/><Relationship Id="rId53" Type="http://schemas.openxmlformats.org/officeDocument/2006/relationships/chart" Target="charts/chart21.xml"/><Relationship Id="rId58" Type="http://schemas.openxmlformats.org/officeDocument/2006/relationships/chart" Target="charts/chart25.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image" Target="media/image13.jpeg"/><Relationship Id="rId49" Type="http://schemas.openxmlformats.org/officeDocument/2006/relationships/image" Target="media/image23.jpeg"/><Relationship Id="rId57" Type="http://schemas.openxmlformats.org/officeDocument/2006/relationships/hyperlink" Target="file:///S:\Restoration\Archaeological%20Sites\44FX762.17%20South%20Grove\Artifact%20Research\Straight%20Pins\books.htm" TargetMode="External"/><Relationship Id="rId61"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chart" Target="charts/chart11.xml"/><Relationship Id="rId44" Type="http://schemas.openxmlformats.org/officeDocument/2006/relationships/image" Target="media/image20.jpeg"/><Relationship Id="rId52" Type="http://schemas.openxmlformats.org/officeDocument/2006/relationships/chart" Target="charts/chart20.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chart" Target="charts/chart15.xml"/><Relationship Id="rId43" Type="http://schemas.openxmlformats.org/officeDocument/2006/relationships/image" Target="media/image19.jpeg"/><Relationship Id="rId48" Type="http://schemas.openxmlformats.org/officeDocument/2006/relationships/chart" Target="charts/chart18.xml"/><Relationship Id="rId56" Type="http://schemas.openxmlformats.org/officeDocument/2006/relationships/chart" Target="charts/chart24.xml"/><Relationship Id="rId8" Type="http://schemas.openxmlformats.org/officeDocument/2006/relationships/footer" Target="footer1.xml"/><Relationship Id="rId51" Type="http://schemas.openxmlformats.org/officeDocument/2006/relationships/image" Target="media/image24.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chart" Target="charts/chart5.xml"/><Relationship Id="rId33" Type="http://schemas.openxmlformats.org/officeDocument/2006/relationships/chart" Target="charts/chart13.xml"/><Relationship Id="rId38" Type="http://schemas.openxmlformats.org/officeDocument/2006/relationships/image" Target="media/image15.png"/><Relationship Id="rId46" Type="http://schemas.openxmlformats.org/officeDocument/2006/relationships/image" Target="media/image22.jpeg"/><Relationship Id="rId59" Type="http://schemas.openxmlformats.org/officeDocument/2006/relationships/chart" Target="charts/chart26.xml"/></Relationships>
</file>

<file path=word/charts/_rels/chart1.xml.rels><?xml version="1.0" encoding="UTF-8" standalone="yes"?>
<Relationships xmlns="http://schemas.openxmlformats.org/package/2006/relationships"><Relationship Id="rId1" Type="http://schemas.openxmlformats.org/officeDocument/2006/relationships/oleObject" Target="file:///\\johnson\departments\Restoration\Eleanor\Dissertation\Chapters\Chapter%204\Slave%20Arrivals%20to%20North%20and%20South%20Potomac.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ebreen\Local%20Settings\Temp\Dataset%20summary%20analysi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ebreen\Local%20Settings\Temp\Dataset%20summary%20analy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ebreen\Local%20Settings\Temp\Dataset%20summary%20analy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ebreen\Local%20Settings\Temp\Fees%20Analy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ebreen\Local%20Settings\Temp\Category%20and%20Subcategory%20Analysi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ebreen\Local%20Settings\Temp\Fees%20Analysi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ebreen\Local%20Settings\Temp\Fees%20Analysi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Eleanor\Documents\EB%20Dissertation\Chapters\Scheme%20of%20Goods%20analysi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johnson\departments\Restoration\Eleanor\Dissertation\Chapters\Chapter%20Scheme%20of%20Goods\Scheme%20of%20Goods%20analysi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Eleanor\Documents\EB%20Dissertation\Chapters\Scheme%20of%20Goods%20analysi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johnson\departments\Restoration\Eleanor\MAACS%202013\Breen%20MAACS%202013%20figure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johnson\departments\Restoration\Eleanor\MAACS%202013\Breen%20MAACS%202013%20figure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johnson\departments\Restoration\Eleanor\MAACS%202013\Breen%20MAACS%202013%20figure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johnson\departments\Restoration\Eleanor\MAACS%202013\Breen%20MAACS%202013%20figure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johnson\Departments\Restoration\Eleanor\Dissertation\Chapters\Chapter%207\Figures%20for%20Chapter%207.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fileserver1\Departments\Restoration\Restoration\Grounds\44FX762.17%20South%20Grove\Artifact%20Research\Beads\Bead%20Stats\MV%20Bead%20Size.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ebreen\AppData\Local\Temp\HFF%20Art%20Query%205%20beads%208.13.13.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E:\Artifact%20Research\Scabbard%20and%20other%20silver\Copy%20of%20Crest%20cypher%20references_jp.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johnson\Departments\Restoration\Eleanor\Dissertation\Chapters\Chapter%207\Figures%20for%20Chapter%207.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johnson\Departments\Restoration\Eleanor\Dissertation\Chapters\Chapter%207\Figures%20for%20Chapter%207.xlsx" TargetMode="External"/></Relationships>
</file>

<file path=word/charts/_rels/chart2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Artifact%20Research\Straight%20Pins\Miervaldis,%202012,%20Statistical%20Report%20on%20SGM%20pins%20along%20with%20DAACS%20and%20HFF%20excel%20data.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Eleanor\Documents\EB%20Dissertation\Chapters\Figures%20for%20Chapter%207.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johnson\Departments\Restoration\Archaeological%20Sites\44FX762.17%20South%20Grove\Artifact%20Research\Straight%20Pins\Pins%20from%20Documentary%20Sources.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Eleanor\Documents\EB%20Dissertation\Chapters\HFF_with_outlier_removed_-_cluster_done_in_R.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Eleanor\Documents\EB%20Dissertation\Chapters\Artifact_Query_5_fairfield_pin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1"/>
          <c:order val="0"/>
          <c:tx>
            <c:strRef>
              <c:f>'slave imports by decade'!$E$1</c:f>
              <c:strCache>
                <c:ptCount val="1"/>
                <c:pt idx="0">
                  <c:v>#</c:v>
                </c:pt>
              </c:strCache>
            </c:strRef>
          </c:tx>
          <c:cat>
            <c:numRef>
              <c:f>'slave imports by decade'!$D$2:$D$8</c:f>
              <c:numCache>
                <c:formatCode>General</c:formatCode>
                <c:ptCount val="7"/>
                <c:pt idx="0">
                  <c:v>1710</c:v>
                </c:pt>
                <c:pt idx="1">
                  <c:v>1720</c:v>
                </c:pt>
                <c:pt idx="2">
                  <c:v>1730</c:v>
                </c:pt>
                <c:pt idx="3">
                  <c:v>1740</c:v>
                </c:pt>
                <c:pt idx="4">
                  <c:v>1750</c:v>
                </c:pt>
                <c:pt idx="5">
                  <c:v>1760</c:v>
                </c:pt>
                <c:pt idx="6">
                  <c:v>1770</c:v>
                </c:pt>
              </c:numCache>
            </c:numRef>
          </c:cat>
          <c:val>
            <c:numRef>
              <c:f>'slave imports by decade'!$E$2:$E$8</c:f>
              <c:numCache>
                <c:formatCode>General</c:formatCode>
                <c:ptCount val="7"/>
                <c:pt idx="0">
                  <c:v>105</c:v>
                </c:pt>
                <c:pt idx="1">
                  <c:v>0</c:v>
                </c:pt>
                <c:pt idx="2">
                  <c:v>1455</c:v>
                </c:pt>
                <c:pt idx="3">
                  <c:v>5</c:v>
                </c:pt>
                <c:pt idx="4">
                  <c:v>878</c:v>
                </c:pt>
                <c:pt idx="5">
                  <c:v>652</c:v>
                </c:pt>
                <c:pt idx="6">
                  <c:v>71</c:v>
                </c:pt>
              </c:numCache>
            </c:numRef>
          </c:val>
        </c:ser>
        <c:marker val="1"/>
        <c:axId val="82716544"/>
        <c:axId val="82718080"/>
      </c:lineChart>
      <c:catAx>
        <c:axId val="82716544"/>
        <c:scaling>
          <c:orientation val="minMax"/>
        </c:scaling>
        <c:axPos val="b"/>
        <c:numFmt formatCode="General" sourceLinked="1"/>
        <c:tickLblPos val="nextTo"/>
        <c:txPr>
          <a:bodyPr/>
          <a:lstStyle/>
          <a:p>
            <a:pPr>
              <a:defRPr>
                <a:latin typeface="Arial" pitchFamily="34" charset="0"/>
                <a:cs typeface="Arial" pitchFamily="34" charset="0"/>
              </a:defRPr>
            </a:pPr>
            <a:endParaRPr lang="en-US"/>
          </a:p>
        </c:txPr>
        <c:crossAx val="82718080"/>
        <c:crosses val="autoZero"/>
        <c:auto val="1"/>
        <c:lblAlgn val="ctr"/>
        <c:lblOffset val="100"/>
      </c:catAx>
      <c:valAx>
        <c:axId val="82718080"/>
        <c:scaling>
          <c:orientation val="minMax"/>
        </c:scaling>
        <c:axPos val="l"/>
        <c:majorGridlines/>
        <c:numFmt formatCode="General" sourceLinked="1"/>
        <c:tickLblPos val="nextTo"/>
        <c:txPr>
          <a:bodyPr/>
          <a:lstStyle/>
          <a:p>
            <a:pPr>
              <a:defRPr>
                <a:latin typeface="Arial" pitchFamily="34" charset="0"/>
                <a:cs typeface="Arial" pitchFamily="34" charset="0"/>
              </a:defRPr>
            </a:pPr>
            <a:endParaRPr lang="en-US"/>
          </a:p>
        </c:txPr>
        <c:crossAx val="82716544"/>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'sumshipdate total item I'!$B$1</c:f>
              <c:strCache>
                <c:ptCount val="1"/>
                <c:pt idx="0">
                  <c:v>Total</c:v>
                </c:pt>
              </c:strCache>
            </c:strRef>
          </c:tx>
          <c:marker>
            <c:symbol val="none"/>
          </c:marker>
          <c:cat>
            <c:numRef>
              <c:f>'sumshipdate total item I'!$A$2:$A$20</c:f>
              <c:numCache>
                <c:formatCode>General</c:formatCode>
                <c:ptCount val="19"/>
                <c:pt idx="0">
                  <c:v>1754</c:v>
                </c:pt>
                <c:pt idx="1">
                  <c:v>1755</c:v>
                </c:pt>
                <c:pt idx="2">
                  <c:v>1756</c:v>
                </c:pt>
                <c:pt idx="3">
                  <c:v>1757</c:v>
                </c:pt>
                <c:pt idx="4">
                  <c:v>1758</c:v>
                </c:pt>
                <c:pt idx="5">
                  <c:v>1759</c:v>
                </c:pt>
                <c:pt idx="6">
                  <c:v>1760</c:v>
                </c:pt>
                <c:pt idx="7">
                  <c:v>1761</c:v>
                </c:pt>
                <c:pt idx="8">
                  <c:v>1762</c:v>
                </c:pt>
                <c:pt idx="9">
                  <c:v>1763</c:v>
                </c:pt>
                <c:pt idx="10">
                  <c:v>1764</c:v>
                </c:pt>
                <c:pt idx="11">
                  <c:v>1765</c:v>
                </c:pt>
                <c:pt idx="12">
                  <c:v>1766</c:v>
                </c:pt>
                <c:pt idx="13">
                  <c:v>1767</c:v>
                </c:pt>
                <c:pt idx="14">
                  <c:v>1768</c:v>
                </c:pt>
                <c:pt idx="15">
                  <c:v>1769</c:v>
                </c:pt>
                <c:pt idx="16">
                  <c:v>1770</c:v>
                </c:pt>
                <c:pt idx="17">
                  <c:v>1771</c:v>
                </c:pt>
                <c:pt idx="18">
                  <c:v>1772</c:v>
                </c:pt>
              </c:numCache>
            </c:numRef>
          </c:cat>
          <c:val>
            <c:numRef>
              <c:f>'sumshipdate total item I'!$B$2:$B$20</c:f>
              <c:numCache>
                <c:formatCode>General</c:formatCode>
                <c:ptCount val="19"/>
                <c:pt idx="0">
                  <c:v>22</c:v>
                </c:pt>
                <c:pt idx="1">
                  <c:v>0</c:v>
                </c:pt>
                <c:pt idx="2">
                  <c:v>39</c:v>
                </c:pt>
                <c:pt idx="3">
                  <c:v>202</c:v>
                </c:pt>
                <c:pt idx="4">
                  <c:v>66</c:v>
                </c:pt>
                <c:pt idx="5">
                  <c:v>115</c:v>
                </c:pt>
                <c:pt idx="6">
                  <c:v>288</c:v>
                </c:pt>
                <c:pt idx="7">
                  <c:v>251</c:v>
                </c:pt>
                <c:pt idx="8">
                  <c:v>196</c:v>
                </c:pt>
                <c:pt idx="9">
                  <c:v>226</c:v>
                </c:pt>
                <c:pt idx="10">
                  <c:v>233</c:v>
                </c:pt>
                <c:pt idx="11">
                  <c:v>264</c:v>
                </c:pt>
                <c:pt idx="12">
                  <c:v>156</c:v>
                </c:pt>
                <c:pt idx="13">
                  <c:v>146</c:v>
                </c:pt>
                <c:pt idx="14">
                  <c:v>122</c:v>
                </c:pt>
                <c:pt idx="15">
                  <c:v>1</c:v>
                </c:pt>
                <c:pt idx="16">
                  <c:v>204</c:v>
                </c:pt>
                <c:pt idx="17">
                  <c:v>202</c:v>
                </c:pt>
                <c:pt idx="18">
                  <c:v>157</c:v>
                </c:pt>
              </c:numCache>
            </c:numRef>
          </c:val>
        </c:ser>
        <c:marker val="1"/>
        <c:axId val="83179776"/>
        <c:axId val="83190528"/>
      </c:lineChart>
      <c:catAx>
        <c:axId val="83179776"/>
        <c:scaling>
          <c:orientation val="minMax"/>
        </c:scaling>
        <c:axPos val="b"/>
        <c:title>
          <c:tx>
            <c:rich>
              <a:bodyPr/>
              <a:lstStyle/>
              <a:p>
                <a:pPr>
                  <a:defRPr/>
                </a:pPr>
                <a:r>
                  <a:rPr lang="en-US"/>
                  <a:t>Year</a:t>
                </a:r>
              </a:p>
            </c:rich>
          </c:tx>
          <c:layout/>
        </c:title>
        <c:numFmt formatCode="General" sourceLinked="1"/>
        <c:tickLblPos val="nextTo"/>
        <c:crossAx val="83190528"/>
        <c:crosses val="autoZero"/>
        <c:auto val="1"/>
        <c:lblAlgn val="ctr"/>
        <c:lblOffset val="100"/>
      </c:catAx>
      <c:valAx>
        <c:axId val="83190528"/>
        <c:scaling>
          <c:orientation val="minMax"/>
          <c:max val="300"/>
        </c:scaling>
        <c:axPos val="l"/>
        <c:majorGridlines/>
        <c:title>
          <c:tx>
            <c:rich>
              <a:bodyPr rot="-5400000" vert="horz"/>
              <a:lstStyle/>
              <a:p>
                <a:pPr>
                  <a:defRPr/>
                </a:pPr>
                <a:r>
                  <a:rPr lang="en-US"/>
                  <a:t>Count</a:t>
                </a:r>
              </a:p>
            </c:rich>
          </c:tx>
          <c:layout/>
        </c:title>
        <c:numFmt formatCode="General" sourceLinked="1"/>
        <c:tickLblPos val="nextTo"/>
        <c:crossAx val="83179776"/>
        <c:crosses val="autoZero"/>
        <c:crossBetween val="between"/>
      </c:valAx>
    </c:plotArea>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'sumshipdate total O&amp;I'!$B$1</c:f>
              <c:strCache>
                <c:ptCount val="1"/>
                <c:pt idx="0">
                  <c:v>Total</c:v>
                </c:pt>
              </c:strCache>
            </c:strRef>
          </c:tx>
          <c:marker>
            <c:symbol val="none"/>
          </c:marker>
          <c:cat>
            <c:numRef>
              <c:f>'sumshipdate total O&amp;I'!$A$2:$A$21</c:f>
              <c:numCache>
                <c:formatCode>General</c:formatCode>
                <c:ptCount val="20"/>
                <c:pt idx="0">
                  <c:v>1754</c:v>
                </c:pt>
                <c:pt idx="1">
                  <c:v>1755</c:v>
                </c:pt>
                <c:pt idx="2">
                  <c:v>1756</c:v>
                </c:pt>
                <c:pt idx="3">
                  <c:v>1757</c:v>
                </c:pt>
                <c:pt idx="4">
                  <c:v>1758</c:v>
                </c:pt>
                <c:pt idx="5">
                  <c:v>1759</c:v>
                </c:pt>
                <c:pt idx="6">
                  <c:v>1760</c:v>
                </c:pt>
                <c:pt idx="7">
                  <c:v>1761</c:v>
                </c:pt>
                <c:pt idx="8">
                  <c:v>1762</c:v>
                </c:pt>
                <c:pt idx="9">
                  <c:v>1763</c:v>
                </c:pt>
                <c:pt idx="10">
                  <c:v>1764</c:v>
                </c:pt>
                <c:pt idx="11">
                  <c:v>1765</c:v>
                </c:pt>
                <c:pt idx="12">
                  <c:v>1766</c:v>
                </c:pt>
                <c:pt idx="13">
                  <c:v>1767</c:v>
                </c:pt>
                <c:pt idx="14">
                  <c:v>1768</c:v>
                </c:pt>
                <c:pt idx="15">
                  <c:v>1769</c:v>
                </c:pt>
                <c:pt idx="16">
                  <c:v>1770</c:v>
                </c:pt>
                <c:pt idx="17">
                  <c:v>1771</c:v>
                </c:pt>
                <c:pt idx="18">
                  <c:v>1772</c:v>
                </c:pt>
                <c:pt idx="19">
                  <c:v>1773</c:v>
                </c:pt>
              </c:numCache>
            </c:numRef>
          </c:cat>
          <c:val>
            <c:numRef>
              <c:f>'sumshipdate total O&amp;I'!$B$2:$B$21</c:f>
              <c:numCache>
                <c:formatCode>General</c:formatCode>
                <c:ptCount val="20"/>
                <c:pt idx="0">
                  <c:v>22</c:v>
                </c:pt>
                <c:pt idx="1">
                  <c:v>0</c:v>
                </c:pt>
                <c:pt idx="2">
                  <c:v>39</c:v>
                </c:pt>
                <c:pt idx="3">
                  <c:v>202</c:v>
                </c:pt>
                <c:pt idx="4">
                  <c:v>66</c:v>
                </c:pt>
                <c:pt idx="5">
                  <c:v>122</c:v>
                </c:pt>
                <c:pt idx="6">
                  <c:v>292</c:v>
                </c:pt>
                <c:pt idx="7">
                  <c:v>255</c:v>
                </c:pt>
                <c:pt idx="8">
                  <c:v>208</c:v>
                </c:pt>
                <c:pt idx="9">
                  <c:v>229</c:v>
                </c:pt>
                <c:pt idx="10">
                  <c:v>234</c:v>
                </c:pt>
                <c:pt idx="11">
                  <c:v>267</c:v>
                </c:pt>
                <c:pt idx="12">
                  <c:v>166</c:v>
                </c:pt>
                <c:pt idx="13">
                  <c:v>151</c:v>
                </c:pt>
                <c:pt idx="14">
                  <c:v>122</c:v>
                </c:pt>
                <c:pt idx="15">
                  <c:v>5</c:v>
                </c:pt>
                <c:pt idx="16">
                  <c:v>205</c:v>
                </c:pt>
                <c:pt idx="17">
                  <c:v>209</c:v>
                </c:pt>
                <c:pt idx="18">
                  <c:v>173</c:v>
                </c:pt>
                <c:pt idx="19">
                  <c:v>237</c:v>
                </c:pt>
              </c:numCache>
            </c:numRef>
          </c:val>
        </c:ser>
        <c:marker val="1"/>
        <c:axId val="83226624"/>
        <c:axId val="83228544"/>
      </c:lineChart>
      <c:catAx>
        <c:axId val="83226624"/>
        <c:scaling>
          <c:orientation val="minMax"/>
        </c:scaling>
        <c:axPos val="b"/>
        <c:title>
          <c:tx>
            <c:rich>
              <a:bodyPr/>
              <a:lstStyle/>
              <a:p>
                <a:pPr>
                  <a:defRPr/>
                </a:pPr>
                <a:r>
                  <a:rPr lang="en-US"/>
                  <a:t>Year</a:t>
                </a:r>
              </a:p>
            </c:rich>
          </c:tx>
          <c:layout/>
        </c:title>
        <c:numFmt formatCode="General" sourceLinked="1"/>
        <c:tickLblPos val="nextTo"/>
        <c:crossAx val="83228544"/>
        <c:crosses val="autoZero"/>
        <c:auto val="1"/>
        <c:lblAlgn val="ctr"/>
        <c:lblOffset val="100"/>
      </c:catAx>
      <c:valAx>
        <c:axId val="83228544"/>
        <c:scaling>
          <c:orientation val="minMax"/>
          <c:max val="300"/>
        </c:scaling>
        <c:axPos val="l"/>
        <c:majorGridlines/>
        <c:title>
          <c:tx>
            <c:rich>
              <a:bodyPr rot="-5400000" vert="horz"/>
              <a:lstStyle/>
              <a:p>
                <a:pPr>
                  <a:defRPr/>
                </a:pPr>
                <a:r>
                  <a:rPr lang="en-US"/>
                  <a:t>Count</a:t>
                </a:r>
              </a:p>
            </c:rich>
          </c:tx>
          <c:layout/>
        </c:title>
        <c:numFmt formatCode="General" sourceLinked="1"/>
        <c:tickLblPos val="nextTo"/>
        <c:crossAx val="83226624"/>
        <c:crosses val="autoZero"/>
        <c:crossBetween val="between"/>
      </c:valAx>
    </c:plotArea>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'sumorderdate total O'!$B$1</c:f>
              <c:strCache>
                <c:ptCount val="1"/>
                <c:pt idx="0">
                  <c:v>Total</c:v>
                </c:pt>
              </c:strCache>
            </c:strRef>
          </c:tx>
          <c:marker>
            <c:symbol val="none"/>
          </c:marker>
          <c:cat>
            <c:numRef>
              <c:f>'sumorderdate total O'!$A$2:$A$20</c:f>
              <c:numCache>
                <c:formatCode>General</c:formatCode>
                <c:ptCount val="19"/>
                <c:pt idx="0">
                  <c:v>1755</c:v>
                </c:pt>
                <c:pt idx="1">
                  <c:v>1756</c:v>
                </c:pt>
                <c:pt idx="2">
                  <c:v>1757</c:v>
                </c:pt>
                <c:pt idx="3">
                  <c:v>1758</c:v>
                </c:pt>
                <c:pt idx="4">
                  <c:v>1759</c:v>
                </c:pt>
                <c:pt idx="5">
                  <c:v>1760</c:v>
                </c:pt>
                <c:pt idx="6">
                  <c:v>1761</c:v>
                </c:pt>
                <c:pt idx="7">
                  <c:v>1762</c:v>
                </c:pt>
                <c:pt idx="8">
                  <c:v>1763</c:v>
                </c:pt>
                <c:pt idx="9">
                  <c:v>1764</c:v>
                </c:pt>
                <c:pt idx="10">
                  <c:v>1765</c:v>
                </c:pt>
                <c:pt idx="11">
                  <c:v>1766</c:v>
                </c:pt>
                <c:pt idx="12">
                  <c:v>1767</c:v>
                </c:pt>
                <c:pt idx="13">
                  <c:v>1768</c:v>
                </c:pt>
                <c:pt idx="14">
                  <c:v>1769</c:v>
                </c:pt>
                <c:pt idx="15">
                  <c:v>1770</c:v>
                </c:pt>
                <c:pt idx="16">
                  <c:v>1771</c:v>
                </c:pt>
                <c:pt idx="17">
                  <c:v>1772</c:v>
                </c:pt>
                <c:pt idx="18">
                  <c:v>1773</c:v>
                </c:pt>
              </c:numCache>
            </c:numRef>
          </c:cat>
          <c:val>
            <c:numRef>
              <c:f>'sumorderdate total O'!$B$2:$B$20</c:f>
              <c:numCache>
                <c:formatCode>General</c:formatCode>
                <c:ptCount val="19"/>
                <c:pt idx="0">
                  <c:v>16</c:v>
                </c:pt>
                <c:pt idx="1">
                  <c:v>1</c:v>
                </c:pt>
                <c:pt idx="2">
                  <c:v>68</c:v>
                </c:pt>
                <c:pt idx="3">
                  <c:v>32</c:v>
                </c:pt>
                <c:pt idx="4">
                  <c:v>386</c:v>
                </c:pt>
                <c:pt idx="5">
                  <c:v>254</c:v>
                </c:pt>
                <c:pt idx="6">
                  <c:v>183</c:v>
                </c:pt>
                <c:pt idx="7">
                  <c:v>247</c:v>
                </c:pt>
                <c:pt idx="8">
                  <c:v>216</c:v>
                </c:pt>
                <c:pt idx="9">
                  <c:v>116</c:v>
                </c:pt>
                <c:pt idx="10">
                  <c:v>169</c:v>
                </c:pt>
                <c:pt idx="11">
                  <c:v>145</c:v>
                </c:pt>
                <c:pt idx="12">
                  <c:v>146</c:v>
                </c:pt>
                <c:pt idx="13">
                  <c:v>120</c:v>
                </c:pt>
                <c:pt idx="14">
                  <c:v>105</c:v>
                </c:pt>
                <c:pt idx="15">
                  <c:v>99</c:v>
                </c:pt>
                <c:pt idx="16">
                  <c:v>205</c:v>
                </c:pt>
                <c:pt idx="17">
                  <c:v>170</c:v>
                </c:pt>
                <c:pt idx="18">
                  <c:v>237</c:v>
                </c:pt>
              </c:numCache>
            </c:numRef>
          </c:val>
        </c:ser>
        <c:marker val="1"/>
        <c:axId val="83264640"/>
        <c:axId val="83266560"/>
      </c:lineChart>
      <c:catAx>
        <c:axId val="83264640"/>
        <c:scaling>
          <c:orientation val="minMax"/>
        </c:scaling>
        <c:axPos val="b"/>
        <c:title>
          <c:tx>
            <c:rich>
              <a:bodyPr/>
              <a:lstStyle/>
              <a:p>
                <a:pPr>
                  <a:defRPr/>
                </a:pPr>
                <a:r>
                  <a:rPr lang="en-US"/>
                  <a:t>Year</a:t>
                </a:r>
              </a:p>
            </c:rich>
          </c:tx>
          <c:layout/>
        </c:title>
        <c:numFmt formatCode="General" sourceLinked="1"/>
        <c:tickLblPos val="nextTo"/>
        <c:crossAx val="83266560"/>
        <c:crosses val="autoZero"/>
        <c:auto val="1"/>
        <c:lblAlgn val="ctr"/>
        <c:lblOffset val="100"/>
      </c:catAx>
      <c:valAx>
        <c:axId val="83266560"/>
        <c:scaling>
          <c:orientation val="minMax"/>
          <c:max val="400"/>
        </c:scaling>
        <c:axPos val="l"/>
        <c:majorGridlines/>
        <c:title>
          <c:tx>
            <c:rich>
              <a:bodyPr rot="-5400000" vert="horz"/>
              <a:lstStyle/>
              <a:p>
                <a:pPr>
                  <a:defRPr/>
                </a:pPr>
                <a:r>
                  <a:rPr lang="en-US"/>
                  <a:t>Count</a:t>
                </a:r>
              </a:p>
            </c:rich>
          </c:tx>
          <c:layout/>
        </c:title>
        <c:numFmt formatCode="General" sourceLinked="1"/>
        <c:tickLblPos val="nextTo"/>
        <c:crossAx val="83264640"/>
        <c:crosses val="autoZero"/>
        <c:crossBetween val="between"/>
      </c:valAx>
    </c:plotArea>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'Total of invoice by year'!$F$1</c:f>
              <c:strCache>
                <c:ptCount val="1"/>
                <c:pt idx="0">
                  <c:v>Percent</c:v>
                </c:pt>
              </c:strCache>
            </c:strRef>
          </c:tx>
          <c:marker>
            <c:symbol val="none"/>
          </c:marker>
          <c:cat>
            <c:numRef>
              <c:f>'Total of invoice by year'!$A$2:$A$20</c:f>
              <c:numCache>
                <c:formatCode>General</c:formatCode>
                <c:ptCount val="19"/>
                <c:pt idx="0">
                  <c:v>1754</c:v>
                </c:pt>
                <c:pt idx="1">
                  <c:v>1755</c:v>
                </c:pt>
                <c:pt idx="2">
                  <c:v>1756</c:v>
                </c:pt>
                <c:pt idx="3">
                  <c:v>1757</c:v>
                </c:pt>
                <c:pt idx="4">
                  <c:v>1758</c:v>
                </c:pt>
                <c:pt idx="5">
                  <c:v>1759</c:v>
                </c:pt>
                <c:pt idx="6">
                  <c:v>1760</c:v>
                </c:pt>
                <c:pt idx="7">
                  <c:v>1761</c:v>
                </c:pt>
                <c:pt idx="8">
                  <c:v>1762</c:v>
                </c:pt>
                <c:pt idx="9">
                  <c:v>1763</c:v>
                </c:pt>
                <c:pt idx="10">
                  <c:v>1764</c:v>
                </c:pt>
                <c:pt idx="11">
                  <c:v>1765</c:v>
                </c:pt>
                <c:pt idx="12">
                  <c:v>1766</c:v>
                </c:pt>
                <c:pt idx="13">
                  <c:v>1767</c:v>
                </c:pt>
                <c:pt idx="14">
                  <c:v>1768</c:v>
                </c:pt>
                <c:pt idx="15">
                  <c:v>1769</c:v>
                </c:pt>
                <c:pt idx="16">
                  <c:v>1770</c:v>
                </c:pt>
                <c:pt idx="17">
                  <c:v>1771</c:v>
                </c:pt>
                <c:pt idx="18">
                  <c:v>1772</c:v>
                </c:pt>
              </c:numCache>
            </c:numRef>
          </c:cat>
          <c:val>
            <c:numRef>
              <c:f>'Total of invoice by year'!$F$2:$F$20</c:f>
              <c:numCache>
                <c:formatCode>0.0</c:formatCode>
                <c:ptCount val="19"/>
                <c:pt idx="0">
                  <c:v>0.60743515543167581</c:v>
                </c:pt>
                <c:pt idx="1">
                  <c:v>0</c:v>
                </c:pt>
                <c:pt idx="2">
                  <c:v>1.4904930140074792</c:v>
                </c:pt>
                <c:pt idx="3">
                  <c:v>9.2815168569247568</c:v>
                </c:pt>
                <c:pt idx="4">
                  <c:v>2.3655618087240602</c:v>
                </c:pt>
                <c:pt idx="5">
                  <c:v>3.5656967351359032</c:v>
                </c:pt>
                <c:pt idx="6">
                  <c:v>7.5371491469455085</c:v>
                </c:pt>
                <c:pt idx="7">
                  <c:v>6.7491611482947924</c:v>
                </c:pt>
                <c:pt idx="8">
                  <c:v>8.0391286594350699</c:v>
                </c:pt>
                <c:pt idx="9">
                  <c:v>7.1089353240896855</c:v>
                </c:pt>
                <c:pt idx="10">
                  <c:v>9.2045555417472968</c:v>
                </c:pt>
                <c:pt idx="11">
                  <c:v>8.4160349388394238</c:v>
                </c:pt>
                <c:pt idx="12">
                  <c:v>4.8890407797326434</c:v>
                </c:pt>
                <c:pt idx="13">
                  <c:v>2.9719317556411924</c:v>
                </c:pt>
                <c:pt idx="14">
                  <c:v>6.7251939567170265</c:v>
                </c:pt>
                <c:pt idx="15">
                  <c:v>0.27961723507376568</c:v>
                </c:pt>
                <c:pt idx="16">
                  <c:v>4.4444049922772386</c:v>
                </c:pt>
                <c:pt idx="17">
                  <c:v>8.2258952189891268</c:v>
                </c:pt>
                <c:pt idx="18">
                  <c:v>8.0982477319935189</c:v>
                </c:pt>
              </c:numCache>
            </c:numRef>
          </c:val>
        </c:ser>
        <c:marker val="1"/>
        <c:axId val="83290368"/>
        <c:axId val="83292544"/>
      </c:lineChart>
      <c:catAx>
        <c:axId val="83290368"/>
        <c:scaling>
          <c:orientation val="minMax"/>
        </c:scaling>
        <c:axPos val="b"/>
        <c:title>
          <c:tx>
            <c:rich>
              <a:bodyPr/>
              <a:lstStyle/>
              <a:p>
                <a:pPr>
                  <a:defRPr/>
                </a:pPr>
                <a:r>
                  <a:rPr lang="en-US"/>
                  <a:t>Year</a:t>
                </a:r>
              </a:p>
            </c:rich>
          </c:tx>
          <c:layout/>
        </c:title>
        <c:numFmt formatCode="General" sourceLinked="1"/>
        <c:tickLblPos val="nextTo"/>
        <c:crossAx val="83292544"/>
        <c:crosses val="autoZero"/>
        <c:auto val="1"/>
        <c:lblAlgn val="ctr"/>
        <c:lblOffset val="100"/>
      </c:catAx>
      <c:valAx>
        <c:axId val="83292544"/>
        <c:scaling>
          <c:orientation val="minMax"/>
        </c:scaling>
        <c:axPos val="l"/>
        <c:majorGridlines/>
        <c:title>
          <c:tx>
            <c:rich>
              <a:bodyPr rot="-5400000" vert="horz"/>
              <a:lstStyle/>
              <a:p>
                <a:pPr>
                  <a:defRPr/>
                </a:pPr>
                <a:r>
                  <a:rPr lang="en-US"/>
                  <a:t>Percent</a:t>
                </a:r>
              </a:p>
            </c:rich>
          </c:tx>
          <c:layout/>
        </c:title>
        <c:numFmt formatCode="0.0" sourceLinked="1"/>
        <c:tickLblPos val="nextTo"/>
        <c:crossAx val="83290368"/>
        <c:crosses val="autoZero"/>
        <c:crossBetween val="between"/>
      </c:valAx>
    </c:plotArea>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766202301635467"/>
          <c:y val="3.6267721727662391E-2"/>
          <c:w val="0.67618413082980577"/>
          <c:h val="0.8012637886139542"/>
        </c:manualLayout>
      </c:layout>
      <c:lineChart>
        <c:grouping val="standard"/>
        <c:ser>
          <c:idx val="0"/>
          <c:order val="0"/>
          <c:tx>
            <c:strRef>
              <c:f>'cat counts by year top 4'!$B$2</c:f>
              <c:strCache>
                <c:ptCount val="1"/>
                <c:pt idx="0">
                  <c:v>Clothing</c:v>
                </c:pt>
              </c:strCache>
            </c:strRef>
          </c:tx>
          <c:marker>
            <c:symbol val="none"/>
          </c:marker>
          <c:cat>
            <c:numRef>
              <c:f>'cat counts by year top 4'!$A$22:$A$41</c:f>
              <c:numCache>
                <c:formatCode>General</c:formatCode>
                <c:ptCount val="20"/>
                <c:pt idx="0">
                  <c:v>1754</c:v>
                </c:pt>
                <c:pt idx="1">
                  <c:v>1755</c:v>
                </c:pt>
                <c:pt idx="2">
                  <c:v>1756</c:v>
                </c:pt>
                <c:pt idx="3">
                  <c:v>1757</c:v>
                </c:pt>
                <c:pt idx="4">
                  <c:v>1758</c:v>
                </c:pt>
                <c:pt idx="5">
                  <c:v>1759</c:v>
                </c:pt>
                <c:pt idx="6">
                  <c:v>1760</c:v>
                </c:pt>
                <c:pt idx="7">
                  <c:v>1761</c:v>
                </c:pt>
                <c:pt idx="8">
                  <c:v>1762</c:v>
                </c:pt>
                <c:pt idx="9">
                  <c:v>1763</c:v>
                </c:pt>
                <c:pt idx="10">
                  <c:v>1764</c:v>
                </c:pt>
                <c:pt idx="11">
                  <c:v>1765</c:v>
                </c:pt>
                <c:pt idx="12">
                  <c:v>1766</c:v>
                </c:pt>
                <c:pt idx="13">
                  <c:v>1767</c:v>
                </c:pt>
                <c:pt idx="14">
                  <c:v>1768</c:v>
                </c:pt>
                <c:pt idx="15">
                  <c:v>1769</c:v>
                </c:pt>
                <c:pt idx="16">
                  <c:v>1770</c:v>
                </c:pt>
                <c:pt idx="17">
                  <c:v>1771</c:v>
                </c:pt>
                <c:pt idx="18">
                  <c:v>1772</c:v>
                </c:pt>
                <c:pt idx="19">
                  <c:v>1773</c:v>
                </c:pt>
              </c:numCache>
            </c:numRef>
          </c:cat>
          <c:val>
            <c:numRef>
              <c:f>'cat counts by year top 4'!$D$2:$D$21</c:f>
              <c:numCache>
                <c:formatCode>0.0</c:formatCode>
                <c:ptCount val="20"/>
                <c:pt idx="0">
                  <c:v>18.181818181818407</c:v>
                </c:pt>
                <c:pt idx="1">
                  <c:v>0</c:v>
                </c:pt>
                <c:pt idx="2">
                  <c:v>33.333333333333329</c:v>
                </c:pt>
                <c:pt idx="3">
                  <c:v>1.9801980198019911</c:v>
                </c:pt>
                <c:pt idx="4">
                  <c:v>4.5454545454545459</c:v>
                </c:pt>
                <c:pt idx="5">
                  <c:v>13.934426229508336</c:v>
                </c:pt>
                <c:pt idx="6">
                  <c:v>16.43835616438356</c:v>
                </c:pt>
                <c:pt idx="7">
                  <c:v>12.941176470588237</c:v>
                </c:pt>
                <c:pt idx="8">
                  <c:v>15.865384615384817</c:v>
                </c:pt>
                <c:pt idx="9">
                  <c:v>14.847161572052398</c:v>
                </c:pt>
                <c:pt idx="10">
                  <c:v>22.649572649572626</c:v>
                </c:pt>
                <c:pt idx="11">
                  <c:v>13.483146067415754</c:v>
                </c:pt>
                <c:pt idx="12">
                  <c:v>12.048192771084338</c:v>
                </c:pt>
                <c:pt idx="13">
                  <c:v>14.569536423841175</c:v>
                </c:pt>
                <c:pt idx="14">
                  <c:v>17.213114754098395</c:v>
                </c:pt>
                <c:pt idx="15">
                  <c:v>0</c:v>
                </c:pt>
                <c:pt idx="16">
                  <c:v>7.3170731707317067</c:v>
                </c:pt>
                <c:pt idx="17">
                  <c:v>22.009569377990427</c:v>
                </c:pt>
                <c:pt idx="18">
                  <c:v>26.589595375722489</c:v>
                </c:pt>
                <c:pt idx="19">
                  <c:v>13.502109704641352</c:v>
                </c:pt>
              </c:numCache>
            </c:numRef>
          </c:val>
        </c:ser>
        <c:ser>
          <c:idx val="1"/>
          <c:order val="1"/>
          <c:tx>
            <c:strRef>
              <c:f>'cat counts by year top 4'!$B$22</c:f>
              <c:strCache>
                <c:ptCount val="1"/>
                <c:pt idx="0">
                  <c:v>Hardware</c:v>
                </c:pt>
              </c:strCache>
            </c:strRef>
          </c:tx>
          <c:marker>
            <c:symbol val="none"/>
          </c:marker>
          <c:val>
            <c:numRef>
              <c:f>'cat counts by year top 4'!$D$22:$D$41</c:f>
              <c:numCache>
                <c:formatCode>0.0</c:formatCode>
                <c:ptCount val="20"/>
                <c:pt idx="0">
                  <c:v>4.5454545454545459</c:v>
                </c:pt>
                <c:pt idx="1">
                  <c:v>0</c:v>
                </c:pt>
                <c:pt idx="2">
                  <c:v>0</c:v>
                </c:pt>
                <c:pt idx="3">
                  <c:v>39.108910891089536</c:v>
                </c:pt>
                <c:pt idx="4">
                  <c:v>16.666666666666664</c:v>
                </c:pt>
                <c:pt idx="5">
                  <c:v>23.770491803278688</c:v>
                </c:pt>
                <c:pt idx="6">
                  <c:v>26.712328767123289</c:v>
                </c:pt>
                <c:pt idx="7">
                  <c:v>13.333333333333334</c:v>
                </c:pt>
                <c:pt idx="8">
                  <c:v>24.519230769230791</c:v>
                </c:pt>
                <c:pt idx="9">
                  <c:v>16.15720524017469</c:v>
                </c:pt>
                <c:pt idx="10">
                  <c:v>11.965811965811966</c:v>
                </c:pt>
                <c:pt idx="11">
                  <c:v>20.224719101123309</c:v>
                </c:pt>
                <c:pt idx="12">
                  <c:v>12.650602409638553</c:v>
                </c:pt>
                <c:pt idx="13">
                  <c:v>12.582781456953652</c:v>
                </c:pt>
                <c:pt idx="14">
                  <c:v>6.557377049180328</c:v>
                </c:pt>
                <c:pt idx="15">
                  <c:v>0</c:v>
                </c:pt>
                <c:pt idx="16">
                  <c:v>11.219512195121952</c:v>
                </c:pt>
                <c:pt idx="17">
                  <c:v>13.875598086124505</c:v>
                </c:pt>
                <c:pt idx="18">
                  <c:v>5.2023121387283284</c:v>
                </c:pt>
                <c:pt idx="19">
                  <c:v>32.067510548523607</c:v>
                </c:pt>
              </c:numCache>
            </c:numRef>
          </c:val>
        </c:ser>
        <c:ser>
          <c:idx val="2"/>
          <c:order val="2"/>
          <c:tx>
            <c:strRef>
              <c:f>'cat counts by year top 4'!$B$42</c:f>
              <c:strCache>
                <c:ptCount val="1"/>
                <c:pt idx="0">
                  <c:v>Household Stores</c:v>
                </c:pt>
              </c:strCache>
            </c:strRef>
          </c:tx>
          <c:marker>
            <c:symbol val="none"/>
          </c:marker>
          <c:val>
            <c:numRef>
              <c:f>'cat counts by year top 4'!$D$42:$D$61</c:f>
              <c:numCache>
                <c:formatCode>0.0</c:formatCode>
                <c:ptCount val="20"/>
                <c:pt idx="0">
                  <c:v>0</c:v>
                </c:pt>
                <c:pt idx="1">
                  <c:v>0</c:v>
                </c:pt>
                <c:pt idx="2">
                  <c:v>0</c:v>
                </c:pt>
                <c:pt idx="3">
                  <c:v>9.9009900990100022</c:v>
                </c:pt>
                <c:pt idx="4">
                  <c:v>28.787878787878835</c:v>
                </c:pt>
                <c:pt idx="5">
                  <c:v>1.6393442622950818</c:v>
                </c:pt>
                <c:pt idx="6">
                  <c:v>18.493150684931489</c:v>
                </c:pt>
                <c:pt idx="7">
                  <c:v>20</c:v>
                </c:pt>
                <c:pt idx="8">
                  <c:v>22.115384615384631</c:v>
                </c:pt>
                <c:pt idx="9">
                  <c:v>21.83406113537119</c:v>
                </c:pt>
                <c:pt idx="10">
                  <c:v>10.256410256410359</c:v>
                </c:pt>
                <c:pt idx="11">
                  <c:v>19.475655430711612</c:v>
                </c:pt>
                <c:pt idx="12">
                  <c:v>18.072289156626507</c:v>
                </c:pt>
                <c:pt idx="13">
                  <c:v>21.854304635761586</c:v>
                </c:pt>
                <c:pt idx="14">
                  <c:v>23.770491803278688</c:v>
                </c:pt>
                <c:pt idx="15">
                  <c:v>20</c:v>
                </c:pt>
                <c:pt idx="16">
                  <c:v>24.390243902438989</c:v>
                </c:pt>
                <c:pt idx="17">
                  <c:v>19.138755980861227</c:v>
                </c:pt>
                <c:pt idx="18">
                  <c:v>18.497109826589586</c:v>
                </c:pt>
                <c:pt idx="19">
                  <c:v>17.721518987341689</c:v>
                </c:pt>
              </c:numCache>
            </c:numRef>
          </c:val>
        </c:ser>
        <c:ser>
          <c:idx val="3"/>
          <c:order val="3"/>
          <c:tx>
            <c:strRef>
              <c:f>'cat counts by year top 4'!$B$62</c:f>
              <c:strCache>
                <c:ptCount val="1"/>
                <c:pt idx="0">
                  <c:v>Textiles</c:v>
                </c:pt>
              </c:strCache>
            </c:strRef>
          </c:tx>
          <c:marker>
            <c:symbol val="none"/>
          </c:marker>
          <c:val>
            <c:numRef>
              <c:f>'cat counts by year top 4'!$D$62:$D$81</c:f>
              <c:numCache>
                <c:formatCode>0.0</c:formatCode>
                <c:ptCount val="20"/>
                <c:pt idx="0">
                  <c:v>72.727272727272734</c:v>
                </c:pt>
                <c:pt idx="1">
                  <c:v>0</c:v>
                </c:pt>
                <c:pt idx="2">
                  <c:v>48.717948717948715</c:v>
                </c:pt>
                <c:pt idx="3">
                  <c:v>10.396039603960476</c:v>
                </c:pt>
                <c:pt idx="4">
                  <c:v>30.303030303030287</c:v>
                </c:pt>
                <c:pt idx="5">
                  <c:v>31.147540983606557</c:v>
                </c:pt>
                <c:pt idx="6">
                  <c:v>24.657534246575189</c:v>
                </c:pt>
                <c:pt idx="7">
                  <c:v>12.549019607843137</c:v>
                </c:pt>
                <c:pt idx="8">
                  <c:v>21.63461538461539</c:v>
                </c:pt>
                <c:pt idx="9">
                  <c:v>17.030567685589521</c:v>
                </c:pt>
                <c:pt idx="10">
                  <c:v>30.341880341880341</c:v>
                </c:pt>
                <c:pt idx="11">
                  <c:v>27.715355805243448</c:v>
                </c:pt>
                <c:pt idx="12">
                  <c:v>26.506024096385527</c:v>
                </c:pt>
                <c:pt idx="13">
                  <c:v>28.476821192052991</c:v>
                </c:pt>
                <c:pt idx="14">
                  <c:v>23.770491803278688</c:v>
                </c:pt>
                <c:pt idx="15">
                  <c:v>20</c:v>
                </c:pt>
                <c:pt idx="16">
                  <c:v>20.487804878048781</c:v>
                </c:pt>
                <c:pt idx="17">
                  <c:v>21.5311004784689</c:v>
                </c:pt>
                <c:pt idx="18">
                  <c:v>27.167630057803464</c:v>
                </c:pt>
                <c:pt idx="19">
                  <c:v>17.299578059071727</c:v>
                </c:pt>
              </c:numCache>
            </c:numRef>
          </c:val>
        </c:ser>
        <c:marker val="1"/>
        <c:axId val="83326464"/>
        <c:axId val="83328384"/>
      </c:lineChart>
      <c:catAx>
        <c:axId val="83326464"/>
        <c:scaling>
          <c:orientation val="minMax"/>
        </c:scaling>
        <c:axPos val="b"/>
        <c:title>
          <c:tx>
            <c:rich>
              <a:bodyPr/>
              <a:lstStyle/>
              <a:p>
                <a:pPr>
                  <a:defRPr/>
                </a:pPr>
                <a:r>
                  <a:rPr lang="en-US"/>
                  <a:t>Year</a:t>
                </a:r>
              </a:p>
            </c:rich>
          </c:tx>
          <c:layout/>
        </c:title>
        <c:numFmt formatCode="General" sourceLinked="1"/>
        <c:tickLblPos val="nextTo"/>
        <c:crossAx val="83328384"/>
        <c:crosses val="autoZero"/>
        <c:auto val="1"/>
        <c:lblAlgn val="ctr"/>
        <c:lblOffset val="100"/>
      </c:catAx>
      <c:valAx>
        <c:axId val="83328384"/>
        <c:scaling>
          <c:orientation val="minMax"/>
        </c:scaling>
        <c:axPos val="l"/>
        <c:majorGridlines/>
        <c:title>
          <c:tx>
            <c:rich>
              <a:bodyPr rot="-5400000" vert="horz"/>
              <a:lstStyle/>
              <a:p>
                <a:pPr>
                  <a:defRPr/>
                </a:pPr>
                <a:r>
                  <a:rPr lang="en-US"/>
                  <a:t>Percent of Yearly Total</a:t>
                </a:r>
              </a:p>
            </c:rich>
          </c:tx>
          <c:layout/>
        </c:title>
        <c:numFmt formatCode="0.0" sourceLinked="1"/>
        <c:tickLblPos val="nextTo"/>
        <c:crossAx val="83326464"/>
        <c:crosses val="autoZero"/>
        <c:crossBetween val="between"/>
      </c:valAx>
    </c:plotArea>
    <c:legend>
      <c:legendPos val="r"/>
      <c:layout>
        <c:manualLayout>
          <c:xMode val="edge"/>
          <c:yMode val="edge"/>
          <c:x val="0.79384615384615387"/>
          <c:y val="0.38748283319185334"/>
          <c:w val="0.20401709401709675"/>
          <c:h val="0.29097564584842606"/>
        </c:manualLayout>
      </c:layout>
    </c:legend>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'containermat for chart'!$A$1:$A$29</c:f>
              <c:strCache>
                <c:ptCount val="1"/>
                <c:pt idx="0">
                  <c:v>Invoice Date 1754, Oct 23 1756, April 6 1757, Aug 20 1757, Sept 28 1757, Nov 10 1758, Aug 18  1759, March 20 1759, Aug 6  1760, March 15 1761, March 31 1762, April 10 1763, April 13 1763, April 23 1764, Feb 13 1764, April 2 1764, June 6 1765, Feb 13 1765,</c:v>
                </c:pt>
              </c:strCache>
            </c:strRef>
          </c:tx>
          <c:cat>
            <c:strRef>
              <c:f>'containermat for chart'!$A$2:$A$30</c:f>
              <c:strCache>
                <c:ptCount val="29"/>
                <c:pt idx="0">
                  <c:v>1754, Oct 23</c:v>
                </c:pt>
                <c:pt idx="1">
                  <c:v>1756, April 6</c:v>
                </c:pt>
                <c:pt idx="2">
                  <c:v>1757, Aug 20</c:v>
                </c:pt>
                <c:pt idx="3">
                  <c:v>1757, Sept 28</c:v>
                </c:pt>
                <c:pt idx="4">
                  <c:v>1757, Nov 10</c:v>
                </c:pt>
                <c:pt idx="5">
                  <c:v>1758, Aug 18 </c:v>
                </c:pt>
                <c:pt idx="6">
                  <c:v>1759, March 20</c:v>
                </c:pt>
                <c:pt idx="7">
                  <c:v>1759, Aug 6 </c:v>
                </c:pt>
                <c:pt idx="8">
                  <c:v>1760, March 15</c:v>
                </c:pt>
                <c:pt idx="9">
                  <c:v>1761, March 31</c:v>
                </c:pt>
                <c:pt idx="10">
                  <c:v>1762, April 10</c:v>
                </c:pt>
                <c:pt idx="11">
                  <c:v>1763, April 13</c:v>
                </c:pt>
                <c:pt idx="12">
                  <c:v>1763, April 23</c:v>
                </c:pt>
                <c:pt idx="13">
                  <c:v>1764, Feb 13</c:v>
                </c:pt>
                <c:pt idx="14">
                  <c:v>1764, April 2</c:v>
                </c:pt>
                <c:pt idx="15">
                  <c:v>1764, June 6</c:v>
                </c:pt>
                <c:pt idx="16">
                  <c:v>1765, Feb 13</c:v>
                </c:pt>
                <c:pt idx="17">
                  <c:v>1765, May 15</c:v>
                </c:pt>
                <c:pt idx="18">
                  <c:v>1765, July</c:v>
                </c:pt>
                <c:pt idx="19">
                  <c:v>1765, Dec 20</c:v>
                </c:pt>
                <c:pt idx="20">
                  <c:v>1766, Feb 28</c:v>
                </c:pt>
                <c:pt idx="21">
                  <c:v>1766, March 27</c:v>
                </c:pt>
                <c:pt idx="22">
                  <c:v>1766, Nov 17 </c:v>
                </c:pt>
                <c:pt idx="23">
                  <c:v>1767, Oct 29</c:v>
                </c:pt>
                <c:pt idx="24">
                  <c:v>1768, Sept 28</c:v>
                </c:pt>
                <c:pt idx="25">
                  <c:v>1770, Jan 23</c:v>
                </c:pt>
                <c:pt idx="26">
                  <c:v>1770, Nov 13</c:v>
                </c:pt>
                <c:pt idx="27">
                  <c:v>1771, Dec 3</c:v>
                </c:pt>
                <c:pt idx="28">
                  <c:v>1772, Sept 29</c:v>
                </c:pt>
              </c:strCache>
            </c:strRef>
          </c:cat>
          <c:val>
            <c:numRef>
              <c:f>'containermat for chart'!$D$2:$D$30</c:f>
              <c:numCache>
                <c:formatCode>0.0</c:formatCode>
                <c:ptCount val="29"/>
                <c:pt idx="0">
                  <c:v>1.2</c:v>
                </c:pt>
                <c:pt idx="1">
                  <c:v>1.2</c:v>
                </c:pt>
                <c:pt idx="2">
                  <c:v>1.8</c:v>
                </c:pt>
                <c:pt idx="3">
                  <c:v>0.5</c:v>
                </c:pt>
                <c:pt idx="4">
                  <c:v>1.9000000000000001</c:v>
                </c:pt>
                <c:pt idx="5">
                  <c:v>1.7</c:v>
                </c:pt>
                <c:pt idx="6">
                  <c:v>0.8</c:v>
                </c:pt>
                <c:pt idx="7">
                  <c:v>2.2000000000000002</c:v>
                </c:pt>
                <c:pt idx="8">
                  <c:v>3.5</c:v>
                </c:pt>
                <c:pt idx="9">
                  <c:v>2.2000000000000002</c:v>
                </c:pt>
                <c:pt idx="10">
                  <c:v>2.7</c:v>
                </c:pt>
                <c:pt idx="11">
                  <c:v>2.5</c:v>
                </c:pt>
                <c:pt idx="12">
                  <c:v>1.5</c:v>
                </c:pt>
                <c:pt idx="13">
                  <c:v>2.2999999999999998</c:v>
                </c:pt>
                <c:pt idx="14">
                  <c:v>2.6</c:v>
                </c:pt>
                <c:pt idx="15">
                  <c:v>1.2</c:v>
                </c:pt>
                <c:pt idx="16">
                  <c:v>2.5</c:v>
                </c:pt>
                <c:pt idx="17">
                  <c:v>3.9</c:v>
                </c:pt>
                <c:pt idx="18">
                  <c:v>0.9</c:v>
                </c:pt>
                <c:pt idx="19">
                  <c:v>2.2999999999999998</c:v>
                </c:pt>
                <c:pt idx="20">
                  <c:v>2</c:v>
                </c:pt>
                <c:pt idx="21">
                  <c:v>2.6</c:v>
                </c:pt>
                <c:pt idx="22">
                  <c:v>2.4</c:v>
                </c:pt>
                <c:pt idx="23">
                  <c:v>3</c:v>
                </c:pt>
                <c:pt idx="24">
                  <c:v>2.9</c:v>
                </c:pt>
                <c:pt idx="25">
                  <c:v>2.2000000000000002</c:v>
                </c:pt>
                <c:pt idx="26">
                  <c:v>2.2999999999999998</c:v>
                </c:pt>
                <c:pt idx="27">
                  <c:v>2.5</c:v>
                </c:pt>
                <c:pt idx="28">
                  <c:v>2.2000000000000002</c:v>
                </c:pt>
              </c:numCache>
            </c:numRef>
          </c:val>
        </c:ser>
        <c:marker val="1"/>
        <c:axId val="83348864"/>
        <c:axId val="83367424"/>
      </c:lineChart>
      <c:catAx>
        <c:axId val="83348864"/>
        <c:scaling>
          <c:orientation val="minMax"/>
        </c:scaling>
        <c:axPos val="b"/>
        <c:title>
          <c:tx>
            <c:rich>
              <a:bodyPr/>
              <a:lstStyle/>
              <a:p>
                <a:pPr>
                  <a:defRPr/>
                </a:pPr>
                <a:r>
                  <a:rPr lang="en-US"/>
                  <a:t>Invoice Date</a:t>
                </a:r>
              </a:p>
            </c:rich>
          </c:tx>
          <c:layout/>
        </c:title>
        <c:tickLblPos val="nextTo"/>
        <c:crossAx val="83367424"/>
        <c:crosses val="autoZero"/>
        <c:auto val="1"/>
        <c:lblAlgn val="ctr"/>
        <c:lblOffset val="100"/>
      </c:catAx>
      <c:valAx>
        <c:axId val="83367424"/>
        <c:scaling>
          <c:orientation val="minMax"/>
        </c:scaling>
        <c:axPos val="l"/>
        <c:majorGridlines/>
        <c:title>
          <c:tx>
            <c:rich>
              <a:bodyPr rot="-5400000" vert="horz"/>
              <a:lstStyle/>
              <a:p>
                <a:pPr>
                  <a:defRPr/>
                </a:pPr>
                <a:r>
                  <a:rPr lang="en-US"/>
                  <a:t>Percent</a:t>
                </a:r>
              </a:p>
            </c:rich>
          </c:tx>
          <c:layout/>
        </c:title>
        <c:numFmt formatCode="0.0" sourceLinked="1"/>
        <c:tickLblPos val="nextTo"/>
        <c:crossAx val="83348864"/>
        <c:crosses val="autoZero"/>
        <c:crossBetween val="between"/>
      </c:valAx>
    </c:plotArea>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'Fees for chart'!$D$1</c:f>
              <c:strCache>
                <c:ptCount val="1"/>
                <c:pt idx="0">
                  <c:v>Percent of Shipping-related Costs of Total Invoice</c:v>
                </c:pt>
              </c:strCache>
            </c:strRef>
          </c:tx>
          <c:cat>
            <c:strRef>
              <c:f>'Fees for chart'!$A$2:$A$29</c:f>
              <c:strCache>
                <c:ptCount val="28"/>
                <c:pt idx="0">
                  <c:v>1754, Oct 23</c:v>
                </c:pt>
                <c:pt idx="1">
                  <c:v>1756, April 6</c:v>
                </c:pt>
                <c:pt idx="2">
                  <c:v>1757, Aug 20</c:v>
                </c:pt>
                <c:pt idx="3">
                  <c:v>1757, Sept 28</c:v>
                </c:pt>
                <c:pt idx="4">
                  <c:v>1757, Nov 10</c:v>
                </c:pt>
                <c:pt idx="5">
                  <c:v>1758, Aug 18 </c:v>
                </c:pt>
                <c:pt idx="6">
                  <c:v>1759, Aug 6 </c:v>
                </c:pt>
                <c:pt idx="7">
                  <c:v>1759, March 20</c:v>
                </c:pt>
                <c:pt idx="8">
                  <c:v>1760, March 15</c:v>
                </c:pt>
                <c:pt idx="9">
                  <c:v>1761, March 31</c:v>
                </c:pt>
                <c:pt idx="10">
                  <c:v>1762, April 10</c:v>
                </c:pt>
                <c:pt idx="11">
                  <c:v>1763, April 13</c:v>
                </c:pt>
                <c:pt idx="12">
                  <c:v>1763, April 23</c:v>
                </c:pt>
                <c:pt idx="13">
                  <c:v>1764, Feb 13</c:v>
                </c:pt>
                <c:pt idx="14">
                  <c:v>1764, April 2</c:v>
                </c:pt>
                <c:pt idx="15">
                  <c:v>1765, Feb 13</c:v>
                </c:pt>
                <c:pt idx="16">
                  <c:v>1765, Dec 20</c:v>
                </c:pt>
                <c:pt idx="17">
                  <c:v>1765, May 15</c:v>
                </c:pt>
                <c:pt idx="18">
                  <c:v>1765, July</c:v>
                </c:pt>
                <c:pt idx="19">
                  <c:v>1766, Feb 28</c:v>
                </c:pt>
                <c:pt idx="20">
                  <c:v>1766, March 27</c:v>
                </c:pt>
                <c:pt idx="21">
                  <c:v>1766, Nov 17 </c:v>
                </c:pt>
                <c:pt idx="22">
                  <c:v>1767, Oct 29</c:v>
                </c:pt>
                <c:pt idx="23">
                  <c:v>1768, Sept 28</c:v>
                </c:pt>
                <c:pt idx="24">
                  <c:v>1770, Jan 23</c:v>
                </c:pt>
                <c:pt idx="25">
                  <c:v>1770, Nov 13</c:v>
                </c:pt>
                <c:pt idx="26">
                  <c:v>1771, Dec 3</c:v>
                </c:pt>
                <c:pt idx="27">
                  <c:v>1772, Sept 29</c:v>
                </c:pt>
              </c:strCache>
            </c:strRef>
          </c:cat>
          <c:val>
            <c:numRef>
              <c:f>'Fees for chart'!$D$2:$D$29</c:f>
              <c:numCache>
                <c:formatCode>0.0</c:formatCode>
                <c:ptCount val="28"/>
                <c:pt idx="0">
                  <c:v>6.3</c:v>
                </c:pt>
                <c:pt idx="1">
                  <c:v>6</c:v>
                </c:pt>
                <c:pt idx="2">
                  <c:v>21.7</c:v>
                </c:pt>
                <c:pt idx="3">
                  <c:v>19.399999999999999</c:v>
                </c:pt>
                <c:pt idx="4">
                  <c:v>12.8</c:v>
                </c:pt>
                <c:pt idx="5">
                  <c:v>10.4</c:v>
                </c:pt>
                <c:pt idx="6">
                  <c:v>13.4</c:v>
                </c:pt>
                <c:pt idx="7">
                  <c:v>8.3000000000000007</c:v>
                </c:pt>
                <c:pt idx="8">
                  <c:v>10.8</c:v>
                </c:pt>
                <c:pt idx="9">
                  <c:v>10.9</c:v>
                </c:pt>
                <c:pt idx="10">
                  <c:v>8.1</c:v>
                </c:pt>
                <c:pt idx="11">
                  <c:v>8.5</c:v>
                </c:pt>
                <c:pt idx="12">
                  <c:v>7.8</c:v>
                </c:pt>
                <c:pt idx="13">
                  <c:v>9.3000000000000007</c:v>
                </c:pt>
                <c:pt idx="14">
                  <c:v>8.1</c:v>
                </c:pt>
                <c:pt idx="15">
                  <c:v>9.2000000000000011</c:v>
                </c:pt>
                <c:pt idx="16">
                  <c:v>9.7000000000000011</c:v>
                </c:pt>
                <c:pt idx="17">
                  <c:v>5.5</c:v>
                </c:pt>
                <c:pt idx="18">
                  <c:v>10.6</c:v>
                </c:pt>
                <c:pt idx="19">
                  <c:v>9.2000000000000011</c:v>
                </c:pt>
                <c:pt idx="20">
                  <c:v>8.3000000000000007</c:v>
                </c:pt>
                <c:pt idx="21">
                  <c:v>10.1</c:v>
                </c:pt>
                <c:pt idx="22">
                  <c:v>10</c:v>
                </c:pt>
                <c:pt idx="23">
                  <c:v>8.6</c:v>
                </c:pt>
                <c:pt idx="24">
                  <c:v>9</c:v>
                </c:pt>
                <c:pt idx="25">
                  <c:v>10.7</c:v>
                </c:pt>
                <c:pt idx="26">
                  <c:v>9</c:v>
                </c:pt>
                <c:pt idx="27">
                  <c:v>8.2000000000000011</c:v>
                </c:pt>
              </c:numCache>
            </c:numRef>
          </c:val>
        </c:ser>
        <c:marker val="1"/>
        <c:axId val="83391232"/>
        <c:axId val="83393152"/>
      </c:lineChart>
      <c:catAx>
        <c:axId val="83391232"/>
        <c:scaling>
          <c:orientation val="minMax"/>
        </c:scaling>
        <c:axPos val="b"/>
        <c:title>
          <c:tx>
            <c:rich>
              <a:bodyPr/>
              <a:lstStyle/>
              <a:p>
                <a:pPr>
                  <a:defRPr/>
                </a:pPr>
                <a:r>
                  <a:rPr lang="en-US"/>
                  <a:t>Invoice Date</a:t>
                </a:r>
              </a:p>
            </c:rich>
          </c:tx>
          <c:layout/>
        </c:title>
        <c:tickLblPos val="nextTo"/>
        <c:crossAx val="83393152"/>
        <c:crosses val="autoZero"/>
        <c:auto val="1"/>
        <c:lblAlgn val="ctr"/>
        <c:lblOffset val="100"/>
      </c:catAx>
      <c:valAx>
        <c:axId val="83393152"/>
        <c:scaling>
          <c:orientation val="minMax"/>
        </c:scaling>
        <c:axPos val="l"/>
        <c:majorGridlines/>
        <c:title>
          <c:tx>
            <c:rich>
              <a:bodyPr rot="-5400000" vert="horz"/>
              <a:lstStyle/>
              <a:p>
                <a:pPr>
                  <a:defRPr/>
                </a:pPr>
                <a:r>
                  <a:rPr lang="en-US"/>
                  <a:t>Percent</a:t>
                </a:r>
              </a:p>
            </c:rich>
          </c:tx>
          <c:layout/>
        </c:title>
        <c:numFmt formatCode="0.0" sourceLinked="1"/>
        <c:tickLblPos val="nextTo"/>
        <c:crossAx val="83391232"/>
        <c:crosses val="autoZero"/>
        <c:crossBetween val="between"/>
      </c:valAx>
    </c:plotArea>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ordercountbyyrsum!$B$1</c:f>
              <c:strCache>
                <c:ptCount val="1"/>
                <c:pt idx="0">
                  <c:v>Count</c:v>
                </c:pt>
              </c:strCache>
            </c:strRef>
          </c:tx>
          <c:marker>
            <c:symbol val="none"/>
          </c:marker>
          <c:cat>
            <c:numRef>
              <c:f>ordercountbyyrsum!$A$2:$A$8</c:f>
              <c:numCache>
                <c:formatCode>General</c:formatCode>
                <c:ptCount val="7"/>
                <c:pt idx="0">
                  <c:v>1759</c:v>
                </c:pt>
                <c:pt idx="1">
                  <c:v>1760</c:v>
                </c:pt>
                <c:pt idx="2">
                  <c:v>1761</c:v>
                </c:pt>
                <c:pt idx="3">
                  <c:v>1762</c:v>
                </c:pt>
                <c:pt idx="4">
                  <c:v>1763</c:v>
                </c:pt>
                <c:pt idx="5">
                  <c:v>1764</c:v>
                </c:pt>
                <c:pt idx="6">
                  <c:v>1765</c:v>
                </c:pt>
              </c:numCache>
            </c:numRef>
          </c:cat>
          <c:val>
            <c:numRef>
              <c:f>ordercountbyyrsum!$B$2:$B$8</c:f>
              <c:numCache>
                <c:formatCode>General</c:formatCode>
                <c:ptCount val="7"/>
                <c:pt idx="0">
                  <c:v>490</c:v>
                </c:pt>
                <c:pt idx="1">
                  <c:v>572</c:v>
                </c:pt>
                <c:pt idx="2">
                  <c:v>128</c:v>
                </c:pt>
                <c:pt idx="3">
                  <c:v>182</c:v>
                </c:pt>
                <c:pt idx="4">
                  <c:v>429</c:v>
                </c:pt>
                <c:pt idx="5">
                  <c:v>244</c:v>
                </c:pt>
                <c:pt idx="6">
                  <c:v>232</c:v>
                </c:pt>
              </c:numCache>
            </c:numRef>
          </c:val>
        </c:ser>
        <c:marker val="1"/>
        <c:axId val="83420672"/>
        <c:axId val="83422592"/>
      </c:lineChart>
      <c:catAx>
        <c:axId val="83420672"/>
        <c:scaling>
          <c:orientation val="minMax"/>
        </c:scaling>
        <c:axPos val="b"/>
        <c:title>
          <c:tx>
            <c:rich>
              <a:bodyPr/>
              <a:lstStyle/>
              <a:p>
                <a:pPr>
                  <a:defRPr/>
                </a:pPr>
                <a:r>
                  <a:rPr lang="en-US"/>
                  <a:t>Year</a:t>
                </a:r>
              </a:p>
            </c:rich>
          </c:tx>
          <c:layout/>
        </c:title>
        <c:numFmt formatCode="General" sourceLinked="1"/>
        <c:tickLblPos val="nextTo"/>
        <c:crossAx val="83422592"/>
        <c:crosses val="autoZero"/>
        <c:auto val="1"/>
        <c:lblAlgn val="ctr"/>
        <c:lblOffset val="100"/>
      </c:catAx>
      <c:valAx>
        <c:axId val="83422592"/>
        <c:scaling>
          <c:orientation val="minMax"/>
          <c:max val="600"/>
        </c:scaling>
        <c:axPos val="l"/>
        <c:majorGridlines/>
        <c:title>
          <c:tx>
            <c:rich>
              <a:bodyPr rot="-5400000" vert="horz"/>
              <a:lstStyle/>
              <a:p>
                <a:pPr>
                  <a:defRPr/>
                </a:pPr>
                <a:r>
                  <a:rPr lang="en-US"/>
                  <a:t>Count</a:t>
                </a:r>
              </a:p>
            </c:rich>
          </c:tx>
          <c:layout/>
        </c:title>
        <c:numFmt formatCode="General" sourceLinked="1"/>
        <c:tickLblPos val="nextTo"/>
        <c:crossAx val="83420672"/>
        <c:crosses val="autoZero"/>
        <c:crossBetween val="between"/>
      </c:valAx>
    </c:plotArea>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1"/>
          <c:order val="0"/>
          <c:dPt>
            <c:idx val="4"/>
            <c:spPr>
              <a:noFill/>
              <a:ln>
                <a:solidFill>
                  <a:schemeClr val="tx1"/>
                </a:solidFill>
              </a:ln>
            </c:spPr>
          </c:dPt>
          <c:dPt>
            <c:idx val="6"/>
            <c:spPr>
              <a:noFill/>
              <a:ln>
                <a:solidFill>
                  <a:prstClr val="black"/>
                </a:solidFill>
              </a:ln>
            </c:spPr>
          </c:dPt>
          <c:cat>
            <c:numRef>
              <c:f>invworth!$A$22:$A$28</c:f>
              <c:numCache>
                <c:formatCode>General</c:formatCode>
                <c:ptCount val="7"/>
                <c:pt idx="0">
                  <c:v>1759</c:v>
                </c:pt>
                <c:pt idx="1">
                  <c:v>1760</c:v>
                </c:pt>
                <c:pt idx="2">
                  <c:v>1761</c:v>
                </c:pt>
                <c:pt idx="3">
                  <c:v>1762</c:v>
                </c:pt>
                <c:pt idx="4">
                  <c:v>1763</c:v>
                </c:pt>
                <c:pt idx="5">
                  <c:v>1764</c:v>
                </c:pt>
                <c:pt idx="6">
                  <c:v>1765</c:v>
                </c:pt>
              </c:numCache>
            </c:numRef>
          </c:cat>
          <c:val>
            <c:numRef>
              <c:f>invworth!$E$22:$E$28</c:f>
              <c:numCache>
                <c:formatCode>General</c:formatCode>
                <c:ptCount val="7"/>
                <c:pt idx="0">
                  <c:v>1240</c:v>
                </c:pt>
                <c:pt idx="1">
                  <c:v>1229</c:v>
                </c:pt>
                <c:pt idx="2">
                  <c:v>497</c:v>
                </c:pt>
                <c:pt idx="3">
                  <c:v>791</c:v>
                </c:pt>
                <c:pt idx="4">
                  <c:v>1097</c:v>
                </c:pt>
                <c:pt idx="5">
                  <c:v>1090</c:v>
                </c:pt>
                <c:pt idx="6">
                  <c:v>1000</c:v>
                </c:pt>
              </c:numCache>
            </c:numRef>
          </c:val>
        </c:ser>
        <c:axId val="83532800"/>
        <c:axId val="83539072"/>
      </c:barChart>
      <c:catAx>
        <c:axId val="83532800"/>
        <c:scaling>
          <c:orientation val="minMax"/>
        </c:scaling>
        <c:axPos val="b"/>
        <c:title>
          <c:tx>
            <c:rich>
              <a:bodyPr/>
              <a:lstStyle/>
              <a:p>
                <a:pPr>
                  <a:defRPr/>
                </a:pPr>
                <a:r>
                  <a:rPr lang="en-US"/>
                  <a:t>Year</a:t>
                </a:r>
              </a:p>
            </c:rich>
          </c:tx>
          <c:layout/>
        </c:title>
        <c:numFmt formatCode="General" sourceLinked="1"/>
        <c:tickLblPos val="nextTo"/>
        <c:crossAx val="83539072"/>
        <c:crosses val="autoZero"/>
        <c:auto val="1"/>
        <c:lblAlgn val="ctr"/>
        <c:lblOffset val="100"/>
      </c:catAx>
      <c:valAx>
        <c:axId val="83539072"/>
        <c:scaling>
          <c:orientation val="minMax"/>
        </c:scaling>
        <c:axPos val="l"/>
        <c:majorGridlines/>
        <c:title>
          <c:tx>
            <c:rich>
              <a:bodyPr rot="-5400000" vert="horz"/>
              <a:lstStyle/>
              <a:p>
                <a:pPr>
                  <a:defRPr/>
                </a:pPr>
                <a:r>
                  <a:rPr lang="en-US"/>
                  <a:t>Inventory Value (Pounds)</a:t>
                </a:r>
              </a:p>
            </c:rich>
          </c:tx>
          <c:layout/>
        </c:title>
        <c:numFmt formatCode="General" sourceLinked="1"/>
        <c:tickLblPos val="nextTo"/>
        <c:crossAx val="83532800"/>
        <c:crosses val="autoZero"/>
        <c:crossBetween val="between"/>
      </c:valAx>
    </c:plotArea>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topcatsbyyr!$B$2</c:f>
              <c:strCache>
                <c:ptCount val="1"/>
                <c:pt idx="0">
                  <c:v>Clothing</c:v>
                </c:pt>
              </c:strCache>
            </c:strRef>
          </c:tx>
          <c:marker>
            <c:symbol val="none"/>
          </c:marker>
          <c:cat>
            <c:numRef>
              <c:f>topcatsbyyr!$A$2:$A$8</c:f>
              <c:numCache>
                <c:formatCode>General</c:formatCode>
                <c:ptCount val="7"/>
                <c:pt idx="0">
                  <c:v>1759</c:v>
                </c:pt>
                <c:pt idx="1">
                  <c:v>1760</c:v>
                </c:pt>
                <c:pt idx="2">
                  <c:v>1761</c:v>
                </c:pt>
                <c:pt idx="3">
                  <c:v>1762</c:v>
                </c:pt>
                <c:pt idx="4">
                  <c:v>1763</c:v>
                </c:pt>
                <c:pt idx="5">
                  <c:v>1764</c:v>
                </c:pt>
                <c:pt idx="6">
                  <c:v>1765</c:v>
                </c:pt>
              </c:numCache>
            </c:numRef>
          </c:cat>
          <c:val>
            <c:numRef>
              <c:f>topcatsbyyr!$D$2:$D$8</c:f>
              <c:numCache>
                <c:formatCode>General</c:formatCode>
                <c:ptCount val="7"/>
                <c:pt idx="0">
                  <c:v>17.551020408163229</c:v>
                </c:pt>
                <c:pt idx="1">
                  <c:v>16.783216783216783</c:v>
                </c:pt>
                <c:pt idx="2">
                  <c:v>9.3750000000000266</c:v>
                </c:pt>
                <c:pt idx="3">
                  <c:v>23.076923076922853</c:v>
                </c:pt>
                <c:pt idx="4">
                  <c:v>18.648018648018695</c:v>
                </c:pt>
                <c:pt idx="5">
                  <c:v>20.901639344261998</c:v>
                </c:pt>
                <c:pt idx="6">
                  <c:v>13.793103448275748</c:v>
                </c:pt>
              </c:numCache>
            </c:numRef>
          </c:val>
        </c:ser>
        <c:ser>
          <c:idx val="1"/>
          <c:order val="1"/>
          <c:tx>
            <c:strRef>
              <c:f>topcatsbyyr!$B$9</c:f>
              <c:strCache>
                <c:ptCount val="1"/>
                <c:pt idx="0">
                  <c:v>Hardware</c:v>
                </c:pt>
              </c:strCache>
            </c:strRef>
          </c:tx>
          <c:marker>
            <c:symbol val="none"/>
          </c:marker>
          <c:cat>
            <c:numRef>
              <c:f>topcatsbyyr!$A$2:$A$8</c:f>
              <c:numCache>
                <c:formatCode>General</c:formatCode>
                <c:ptCount val="7"/>
                <c:pt idx="0">
                  <c:v>1759</c:v>
                </c:pt>
                <c:pt idx="1">
                  <c:v>1760</c:v>
                </c:pt>
                <c:pt idx="2">
                  <c:v>1761</c:v>
                </c:pt>
                <c:pt idx="3">
                  <c:v>1762</c:v>
                </c:pt>
                <c:pt idx="4">
                  <c:v>1763</c:v>
                </c:pt>
                <c:pt idx="5">
                  <c:v>1764</c:v>
                </c:pt>
                <c:pt idx="6">
                  <c:v>1765</c:v>
                </c:pt>
              </c:numCache>
            </c:numRef>
          </c:cat>
          <c:val>
            <c:numRef>
              <c:f>topcatsbyyr!$D$9:$D$15</c:f>
              <c:numCache>
                <c:formatCode>General</c:formatCode>
                <c:ptCount val="7"/>
                <c:pt idx="0">
                  <c:v>11.020408163265307</c:v>
                </c:pt>
                <c:pt idx="1">
                  <c:v>13.111888111888112</c:v>
                </c:pt>
                <c:pt idx="2">
                  <c:v>17.1875</c:v>
                </c:pt>
                <c:pt idx="3">
                  <c:v>4.3956043956044004</c:v>
                </c:pt>
                <c:pt idx="4">
                  <c:v>17.016317016317018</c:v>
                </c:pt>
                <c:pt idx="5">
                  <c:v>15.16393442622952</c:v>
                </c:pt>
                <c:pt idx="6">
                  <c:v>12.5</c:v>
                </c:pt>
              </c:numCache>
            </c:numRef>
          </c:val>
        </c:ser>
        <c:ser>
          <c:idx val="2"/>
          <c:order val="2"/>
          <c:tx>
            <c:strRef>
              <c:f>topcatsbyyr!$B$16</c:f>
              <c:strCache>
                <c:ptCount val="1"/>
                <c:pt idx="0">
                  <c:v>Textiles</c:v>
                </c:pt>
              </c:strCache>
            </c:strRef>
          </c:tx>
          <c:marker>
            <c:symbol val="none"/>
          </c:marker>
          <c:cat>
            <c:numRef>
              <c:f>topcatsbyyr!$A$2:$A$8</c:f>
              <c:numCache>
                <c:formatCode>General</c:formatCode>
                <c:ptCount val="7"/>
                <c:pt idx="0">
                  <c:v>1759</c:v>
                </c:pt>
                <c:pt idx="1">
                  <c:v>1760</c:v>
                </c:pt>
                <c:pt idx="2">
                  <c:v>1761</c:v>
                </c:pt>
                <c:pt idx="3">
                  <c:v>1762</c:v>
                </c:pt>
                <c:pt idx="4">
                  <c:v>1763</c:v>
                </c:pt>
                <c:pt idx="5">
                  <c:v>1764</c:v>
                </c:pt>
                <c:pt idx="6">
                  <c:v>1765</c:v>
                </c:pt>
              </c:numCache>
            </c:numRef>
          </c:cat>
          <c:val>
            <c:numRef>
              <c:f>topcatsbyyr!$D$16:$D$22</c:f>
              <c:numCache>
                <c:formatCode>General</c:formatCode>
                <c:ptCount val="7"/>
                <c:pt idx="0">
                  <c:v>41.632653061224474</c:v>
                </c:pt>
                <c:pt idx="1">
                  <c:v>36.888111888112</c:v>
                </c:pt>
                <c:pt idx="2">
                  <c:v>35.15625</c:v>
                </c:pt>
                <c:pt idx="3">
                  <c:v>43.956043956043487</c:v>
                </c:pt>
                <c:pt idx="4">
                  <c:v>35.19813519813615</c:v>
                </c:pt>
                <c:pt idx="5">
                  <c:v>34.83606557377005</c:v>
                </c:pt>
                <c:pt idx="6">
                  <c:v>47.844827586205888</c:v>
                </c:pt>
              </c:numCache>
            </c:numRef>
          </c:val>
        </c:ser>
        <c:marker val="1"/>
        <c:axId val="83433344"/>
        <c:axId val="83443712"/>
      </c:lineChart>
      <c:catAx>
        <c:axId val="83433344"/>
        <c:scaling>
          <c:orientation val="minMax"/>
        </c:scaling>
        <c:axPos val="b"/>
        <c:title>
          <c:tx>
            <c:rich>
              <a:bodyPr/>
              <a:lstStyle/>
              <a:p>
                <a:pPr>
                  <a:defRPr/>
                </a:pPr>
                <a:r>
                  <a:rPr lang="en-US"/>
                  <a:t>Year</a:t>
                </a:r>
              </a:p>
            </c:rich>
          </c:tx>
          <c:layout/>
        </c:title>
        <c:numFmt formatCode="General" sourceLinked="1"/>
        <c:tickLblPos val="nextTo"/>
        <c:crossAx val="83443712"/>
        <c:crosses val="autoZero"/>
        <c:auto val="1"/>
        <c:lblAlgn val="ctr"/>
        <c:lblOffset val="100"/>
      </c:catAx>
      <c:valAx>
        <c:axId val="83443712"/>
        <c:scaling>
          <c:orientation val="minMax"/>
          <c:max val="50"/>
        </c:scaling>
        <c:axPos val="l"/>
        <c:majorGridlines/>
        <c:title>
          <c:tx>
            <c:rich>
              <a:bodyPr rot="-5400000" vert="horz"/>
              <a:lstStyle/>
              <a:p>
                <a:pPr>
                  <a:defRPr/>
                </a:pPr>
                <a:r>
                  <a:rPr lang="en-US"/>
                  <a:t>Percent of Yearly Total</a:t>
                </a:r>
              </a:p>
            </c:rich>
          </c:tx>
          <c:layout/>
        </c:title>
        <c:numFmt formatCode="General" sourceLinked="1"/>
        <c:tickLblPos val="nextTo"/>
        <c:crossAx val="83433344"/>
        <c:crosses val="autoZero"/>
        <c:crossBetween val="between"/>
        <c:majorUnit val="10"/>
      </c:valAx>
    </c:plotArea>
    <c:legend>
      <c:legendPos val="r"/>
      <c:layout/>
    </c:legend>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explosion val="25"/>
          <c:dPt>
            <c:idx val="1"/>
            <c:spPr>
              <a:solidFill>
                <a:srgbClr val="FF9933"/>
              </a:solidFill>
            </c:spPr>
          </c:dPt>
          <c:dLbls>
            <c:showPercent val="1"/>
            <c:showLeaderLines val="1"/>
          </c:dLbls>
          <c:cat>
            <c:strRef>
              <c:f>catpie!$A$2:$A$5</c:f>
              <c:strCache>
                <c:ptCount val="4"/>
                <c:pt idx="0">
                  <c:v>Textiles</c:v>
                </c:pt>
                <c:pt idx="1">
                  <c:v>Hardware</c:v>
                </c:pt>
                <c:pt idx="2">
                  <c:v>Household Stores</c:v>
                </c:pt>
                <c:pt idx="3">
                  <c:v>Other Categories</c:v>
                </c:pt>
              </c:strCache>
            </c:strRef>
          </c:cat>
          <c:val>
            <c:numRef>
              <c:f>catpie!$B$2:$B$5</c:f>
              <c:numCache>
                <c:formatCode>General</c:formatCode>
                <c:ptCount val="4"/>
                <c:pt idx="0">
                  <c:v>739</c:v>
                </c:pt>
                <c:pt idx="1">
                  <c:v>587</c:v>
                </c:pt>
                <c:pt idx="2">
                  <c:v>575</c:v>
                </c:pt>
                <c:pt idx="3">
                  <c:v>1303</c:v>
                </c:pt>
              </c:numCache>
            </c:numRef>
          </c:val>
        </c:ser>
        <c:dLbls>
          <c:showPercent val="1"/>
        </c:dLbls>
        <c:firstSliceAng val="0"/>
      </c:pieChart>
    </c:plotArea>
    <c:legend>
      <c:legendPos val="r"/>
      <c:layout/>
    </c:legend>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explosion val="25"/>
          <c:dPt>
            <c:idx val="2"/>
            <c:spPr>
              <a:solidFill>
                <a:srgbClr val="FF9933"/>
              </a:solidFill>
            </c:spPr>
          </c:dPt>
          <c:dLbls>
            <c:dLbl>
              <c:idx val="2"/>
              <c:layout>
                <c:manualLayout>
                  <c:x val="8.9597344449591748E-2"/>
                  <c:y val="-0.13124965936634991"/>
                </c:manualLayout>
              </c:layout>
              <c:showPercent val="1"/>
            </c:dLbl>
            <c:showPercent val="1"/>
            <c:showLeaderLines val="1"/>
          </c:dLbls>
          <c:cat>
            <c:strRef>
              <c:f>catpie!$A$9:$A$12</c:f>
              <c:strCache>
                <c:ptCount val="4"/>
                <c:pt idx="0">
                  <c:v>Textiles</c:v>
                </c:pt>
                <c:pt idx="1">
                  <c:v>Clothing</c:v>
                </c:pt>
                <c:pt idx="2">
                  <c:v>Hardware</c:v>
                </c:pt>
                <c:pt idx="3">
                  <c:v>Other Categories</c:v>
                </c:pt>
              </c:strCache>
            </c:strRef>
          </c:cat>
          <c:val>
            <c:numRef>
              <c:f>catpie!$B$9:$B$12</c:f>
              <c:numCache>
                <c:formatCode>General</c:formatCode>
                <c:ptCount val="4"/>
                <c:pt idx="0">
                  <c:v>887</c:v>
                </c:pt>
                <c:pt idx="1">
                  <c:v>399</c:v>
                </c:pt>
                <c:pt idx="2">
                  <c:v>298</c:v>
                </c:pt>
                <c:pt idx="3">
                  <c:v>693</c:v>
                </c:pt>
              </c:numCache>
            </c:numRef>
          </c:val>
        </c:ser>
        <c:dLbls>
          <c:showPercent val="1"/>
        </c:dLbls>
        <c:firstSliceAng val="0"/>
      </c:pieChart>
    </c:plotArea>
    <c:legend>
      <c:legendPos val="r"/>
      <c:layout/>
    </c:legend>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explosion val="25"/>
          <c:dPt>
            <c:idx val="1"/>
            <c:spPr>
              <a:solidFill>
                <a:srgbClr val="FF9933"/>
              </a:solidFill>
            </c:spPr>
          </c:dPt>
          <c:dLbls>
            <c:dLbl>
              <c:idx val="0"/>
              <c:layout>
                <c:manualLayout>
                  <c:x val="-7.7797685125425953E-2"/>
                  <c:y val="0.14779976337154746"/>
                </c:manualLayout>
              </c:layout>
              <c:showPercent val="1"/>
            </c:dLbl>
            <c:dLbl>
              <c:idx val="1"/>
              <c:layout>
                <c:manualLayout>
                  <c:x val="-0.10701518867518622"/>
                  <c:y val="7.3927624331933353E-2"/>
                </c:manualLayout>
              </c:layout>
              <c:showPercent val="1"/>
            </c:dLbl>
            <c:dLbl>
              <c:idx val="2"/>
              <c:layout>
                <c:manualLayout>
                  <c:x val="-0.13286192504625438"/>
                  <c:y val="-1.9477513497341333E-2"/>
                </c:manualLayout>
              </c:layout>
              <c:showPercent val="1"/>
            </c:dLbl>
            <c:showPercent val="1"/>
            <c:showLeaderLines val="1"/>
          </c:dLbls>
          <c:cat>
            <c:strRef>
              <c:f>subcatpie!$A$2:$A$5</c:f>
              <c:strCache>
                <c:ptCount val="4"/>
                <c:pt idx="0">
                  <c:v>Hardware, Tools</c:v>
                </c:pt>
                <c:pt idx="1">
                  <c:v>Textiles, Fabric</c:v>
                </c:pt>
                <c:pt idx="2">
                  <c:v>Textiles, Notions</c:v>
                </c:pt>
                <c:pt idx="3">
                  <c:v>Other Subcategories</c:v>
                </c:pt>
              </c:strCache>
            </c:strRef>
          </c:cat>
          <c:val>
            <c:numRef>
              <c:f>subcatpie!$B$2:$B$5</c:f>
              <c:numCache>
                <c:formatCode>General</c:formatCode>
                <c:ptCount val="4"/>
                <c:pt idx="0">
                  <c:v>353</c:v>
                </c:pt>
                <c:pt idx="1">
                  <c:v>336</c:v>
                </c:pt>
                <c:pt idx="2">
                  <c:v>324</c:v>
                </c:pt>
                <c:pt idx="3">
                  <c:v>2191</c:v>
                </c:pt>
              </c:numCache>
            </c:numRef>
          </c:val>
        </c:ser>
        <c:dLbls>
          <c:showPercent val="1"/>
        </c:dLbls>
        <c:firstSliceAng val="0"/>
      </c:pieChart>
    </c:plotArea>
    <c:legend>
      <c:legendPos val="r"/>
      <c:layout/>
    </c:legend>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explosion val="25"/>
          <c:dPt>
            <c:idx val="0"/>
            <c:spPr>
              <a:solidFill>
                <a:srgbClr val="FF9933"/>
              </a:solidFill>
            </c:spPr>
          </c:dPt>
          <c:dPt>
            <c:idx val="1"/>
            <c:spPr>
              <a:solidFill>
                <a:schemeClr val="accent3"/>
              </a:solidFill>
            </c:spPr>
          </c:dPt>
          <c:dPt>
            <c:idx val="2"/>
            <c:spPr>
              <a:solidFill>
                <a:schemeClr val="accent1"/>
              </a:solidFill>
            </c:spPr>
          </c:dPt>
          <c:dLbls>
            <c:dLbl>
              <c:idx val="1"/>
              <c:layout>
                <c:manualLayout>
                  <c:x val="-0.10726217169873672"/>
                  <c:y val="-5.3817797914926468E-2"/>
                </c:manualLayout>
              </c:layout>
              <c:showPercent val="1"/>
            </c:dLbl>
            <c:dLbl>
              <c:idx val="2"/>
              <c:layout>
                <c:manualLayout>
                  <c:x val="-8.1075767846900015E-2"/>
                  <c:y val="-0.13320019355122753"/>
                </c:manualLayout>
              </c:layout>
              <c:showPercent val="1"/>
            </c:dLbl>
            <c:showPercent val="1"/>
            <c:showLeaderLines val="1"/>
          </c:dLbls>
          <c:cat>
            <c:strRef>
              <c:f>subcatpie!$A$8:$A$11</c:f>
              <c:strCache>
                <c:ptCount val="4"/>
                <c:pt idx="0">
                  <c:v>Textiles, Fabric</c:v>
                </c:pt>
                <c:pt idx="1">
                  <c:v>Textiles, Notions</c:v>
                </c:pt>
                <c:pt idx="2">
                  <c:v>Hardware, Tools</c:v>
                </c:pt>
                <c:pt idx="3">
                  <c:v>Other Subcategories</c:v>
                </c:pt>
              </c:strCache>
            </c:strRef>
          </c:cat>
          <c:val>
            <c:numRef>
              <c:f>subcatpie!$B$8:$B$11</c:f>
              <c:numCache>
                <c:formatCode>General</c:formatCode>
                <c:ptCount val="4"/>
                <c:pt idx="0">
                  <c:v>577</c:v>
                </c:pt>
                <c:pt idx="1">
                  <c:v>239</c:v>
                </c:pt>
                <c:pt idx="2">
                  <c:v>181</c:v>
                </c:pt>
                <c:pt idx="3">
                  <c:v>1280</c:v>
                </c:pt>
              </c:numCache>
            </c:numRef>
          </c:val>
        </c:ser>
        <c:dLbls>
          <c:showPercent val="1"/>
        </c:dLbls>
        <c:firstSliceAng val="0"/>
      </c:pieChart>
    </c:plotArea>
    <c:legend>
      <c:legendPos val="r"/>
      <c:layout/>
    </c:legend>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'fig 7-storesets'!$B$1</c:f>
              <c:strCache>
                <c:ptCount val="1"/>
                <c:pt idx="0">
                  <c:v>Pewter</c:v>
                </c:pt>
              </c:strCache>
            </c:strRef>
          </c:tx>
          <c:cat>
            <c:numRef>
              <c:f>'fig 7-storesets'!$A$2:$A$8</c:f>
              <c:numCache>
                <c:formatCode>General</c:formatCode>
                <c:ptCount val="7"/>
                <c:pt idx="0">
                  <c:v>1759</c:v>
                </c:pt>
                <c:pt idx="1">
                  <c:v>1760</c:v>
                </c:pt>
                <c:pt idx="2">
                  <c:v>1761</c:v>
                </c:pt>
                <c:pt idx="3">
                  <c:v>1762</c:v>
                </c:pt>
                <c:pt idx="4">
                  <c:v>1763</c:v>
                </c:pt>
                <c:pt idx="5">
                  <c:v>1764</c:v>
                </c:pt>
                <c:pt idx="6">
                  <c:v>1765</c:v>
                </c:pt>
              </c:numCache>
            </c:numRef>
          </c:cat>
          <c:val>
            <c:numRef>
              <c:f>'fig 7-storesets'!$B$2:$B$8</c:f>
              <c:numCache>
                <c:formatCode>General</c:formatCode>
                <c:ptCount val="7"/>
                <c:pt idx="0">
                  <c:v>378</c:v>
                </c:pt>
                <c:pt idx="1">
                  <c:v>564</c:v>
                </c:pt>
                <c:pt idx="2">
                  <c:v>276</c:v>
                </c:pt>
                <c:pt idx="3">
                  <c:v>0</c:v>
                </c:pt>
                <c:pt idx="4">
                  <c:v>198</c:v>
                </c:pt>
                <c:pt idx="5">
                  <c:v>150</c:v>
                </c:pt>
                <c:pt idx="6">
                  <c:v>0</c:v>
                </c:pt>
              </c:numCache>
            </c:numRef>
          </c:val>
        </c:ser>
        <c:ser>
          <c:idx val="1"/>
          <c:order val="1"/>
          <c:tx>
            <c:strRef>
              <c:f>'fig 7-storesets'!$C$1</c:f>
              <c:strCache>
                <c:ptCount val="1"/>
                <c:pt idx="0">
                  <c:v>Chinese Porcelain</c:v>
                </c:pt>
              </c:strCache>
            </c:strRef>
          </c:tx>
          <c:spPr>
            <a:solidFill>
              <a:schemeClr val="accent6"/>
            </a:solidFill>
          </c:spPr>
          <c:cat>
            <c:numRef>
              <c:f>'fig 7-storesets'!$A$2:$A$8</c:f>
              <c:numCache>
                <c:formatCode>General</c:formatCode>
                <c:ptCount val="7"/>
                <c:pt idx="0">
                  <c:v>1759</c:v>
                </c:pt>
                <c:pt idx="1">
                  <c:v>1760</c:v>
                </c:pt>
                <c:pt idx="2">
                  <c:v>1761</c:v>
                </c:pt>
                <c:pt idx="3">
                  <c:v>1762</c:v>
                </c:pt>
                <c:pt idx="4">
                  <c:v>1763</c:v>
                </c:pt>
                <c:pt idx="5">
                  <c:v>1764</c:v>
                </c:pt>
                <c:pt idx="6">
                  <c:v>1765</c:v>
                </c:pt>
              </c:numCache>
            </c:numRef>
          </c:cat>
          <c:val>
            <c:numRef>
              <c:f>'fig 7-storesets'!$C$2:$C$8</c:f>
              <c:numCache>
                <c:formatCode>General</c:formatCode>
                <c:ptCount val="7"/>
                <c:pt idx="0">
                  <c:v>280</c:v>
                </c:pt>
                <c:pt idx="1">
                  <c:v>282</c:v>
                </c:pt>
                <c:pt idx="2">
                  <c:v>0</c:v>
                </c:pt>
                <c:pt idx="3">
                  <c:v>0</c:v>
                </c:pt>
                <c:pt idx="4">
                  <c:v>0</c:v>
                </c:pt>
                <c:pt idx="5">
                  <c:v>0</c:v>
                </c:pt>
                <c:pt idx="6">
                  <c:v>0</c:v>
                </c:pt>
              </c:numCache>
            </c:numRef>
          </c:val>
        </c:ser>
        <c:ser>
          <c:idx val="2"/>
          <c:order val="2"/>
          <c:tx>
            <c:strRef>
              <c:f>'fig 7-storesets'!$D$1</c:f>
              <c:strCache>
                <c:ptCount val="1"/>
                <c:pt idx="0">
                  <c:v>Stoneware </c:v>
                </c:pt>
              </c:strCache>
            </c:strRef>
          </c:tx>
          <c:cat>
            <c:numRef>
              <c:f>'fig 7-storesets'!$A$2:$A$8</c:f>
              <c:numCache>
                <c:formatCode>General</c:formatCode>
                <c:ptCount val="7"/>
                <c:pt idx="0">
                  <c:v>1759</c:v>
                </c:pt>
                <c:pt idx="1">
                  <c:v>1760</c:v>
                </c:pt>
                <c:pt idx="2">
                  <c:v>1761</c:v>
                </c:pt>
                <c:pt idx="3">
                  <c:v>1762</c:v>
                </c:pt>
                <c:pt idx="4">
                  <c:v>1763</c:v>
                </c:pt>
                <c:pt idx="5">
                  <c:v>1764</c:v>
                </c:pt>
                <c:pt idx="6">
                  <c:v>1765</c:v>
                </c:pt>
              </c:numCache>
            </c:numRef>
          </c:cat>
          <c:val>
            <c:numRef>
              <c:f>'fig 7-storesets'!$D$2:$D$8</c:f>
              <c:numCache>
                <c:formatCode>General</c:formatCode>
                <c:ptCount val="7"/>
                <c:pt idx="0">
                  <c:v>87</c:v>
                </c:pt>
                <c:pt idx="1">
                  <c:v>144</c:v>
                </c:pt>
                <c:pt idx="2">
                  <c:v>0</c:v>
                </c:pt>
                <c:pt idx="3">
                  <c:v>181</c:v>
                </c:pt>
                <c:pt idx="4">
                  <c:v>0</c:v>
                </c:pt>
                <c:pt idx="5">
                  <c:v>22</c:v>
                </c:pt>
                <c:pt idx="6">
                  <c:v>27</c:v>
                </c:pt>
              </c:numCache>
            </c:numRef>
          </c:val>
        </c:ser>
        <c:ser>
          <c:idx val="3"/>
          <c:order val="3"/>
          <c:tx>
            <c:strRef>
              <c:f>'fig 7-storesets'!$E$1</c:f>
              <c:strCache>
                <c:ptCount val="1"/>
                <c:pt idx="0">
                  <c:v>Earthenware</c:v>
                </c:pt>
              </c:strCache>
            </c:strRef>
          </c:tx>
          <c:cat>
            <c:numRef>
              <c:f>'fig 7-storesets'!$A$2:$A$8</c:f>
              <c:numCache>
                <c:formatCode>General</c:formatCode>
                <c:ptCount val="7"/>
                <c:pt idx="0">
                  <c:v>1759</c:v>
                </c:pt>
                <c:pt idx="1">
                  <c:v>1760</c:v>
                </c:pt>
                <c:pt idx="2">
                  <c:v>1761</c:v>
                </c:pt>
                <c:pt idx="3">
                  <c:v>1762</c:v>
                </c:pt>
                <c:pt idx="4">
                  <c:v>1763</c:v>
                </c:pt>
                <c:pt idx="5">
                  <c:v>1764</c:v>
                </c:pt>
                <c:pt idx="6">
                  <c:v>1765</c:v>
                </c:pt>
              </c:numCache>
            </c:numRef>
          </c:cat>
          <c:val>
            <c:numRef>
              <c:f>'fig 7-storesets'!$E$2:$E$8</c:f>
              <c:numCache>
                <c:formatCode>General</c:formatCode>
                <c:ptCount val="7"/>
                <c:pt idx="0">
                  <c:v>84</c:v>
                </c:pt>
                <c:pt idx="1">
                  <c:v>0</c:v>
                </c:pt>
                <c:pt idx="2">
                  <c:v>0</c:v>
                </c:pt>
                <c:pt idx="3">
                  <c:v>0</c:v>
                </c:pt>
                <c:pt idx="4">
                  <c:v>18</c:v>
                </c:pt>
                <c:pt idx="5">
                  <c:v>0</c:v>
                </c:pt>
                <c:pt idx="6">
                  <c:v>0</c:v>
                </c:pt>
              </c:numCache>
            </c:numRef>
          </c:val>
        </c:ser>
        <c:axId val="83993728"/>
        <c:axId val="83995648"/>
      </c:barChart>
      <c:catAx>
        <c:axId val="83993728"/>
        <c:scaling>
          <c:orientation val="minMax"/>
        </c:scaling>
        <c:axPos val="b"/>
        <c:title>
          <c:tx>
            <c:rich>
              <a:bodyPr/>
              <a:lstStyle/>
              <a:p>
                <a:pPr>
                  <a:defRPr/>
                </a:pPr>
                <a:r>
                  <a:rPr lang="en-US"/>
                  <a:t>Year</a:t>
                </a:r>
              </a:p>
            </c:rich>
          </c:tx>
          <c:layout/>
        </c:title>
        <c:numFmt formatCode="General" sourceLinked="1"/>
        <c:tickLblPos val="nextTo"/>
        <c:crossAx val="83995648"/>
        <c:crosses val="autoZero"/>
        <c:auto val="1"/>
        <c:lblAlgn val="ctr"/>
        <c:lblOffset val="100"/>
      </c:catAx>
      <c:valAx>
        <c:axId val="83995648"/>
        <c:scaling>
          <c:orientation val="minMax"/>
        </c:scaling>
        <c:axPos val="l"/>
        <c:majorGridlines/>
        <c:title>
          <c:tx>
            <c:rich>
              <a:bodyPr rot="-5400000" vert="horz"/>
              <a:lstStyle/>
              <a:p>
                <a:pPr>
                  <a:defRPr/>
                </a:pPr>
                <a:r>
                  <a:rPr lang="en-US"/>
                  <a:t>Vessel Count</a:t>
                </a:r>
              </a:p>
            </c:rich>
          </c:tx>
          <c:layout/>
        </c:title>
        <c:numFmt formatCode="General" sourceLinked="1"/>
        <c:tickLblPos val="nextTo"/>
        <c:crossAx val="83993728"/>
        <c:crosses val="autoZero"/>
        <c:crossBetween val="between"/>
      </c:valAx>
    </c:plotArea>
    <c:legend>
      <c:legendPos val="r"/>
      <c:layout/>
    </c:legend>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cat>
            <c:numRef>
              <c:f>Sheet3!$C$4:$C$39</c:f>
              <c:numCache>
                <c:formatCode>General</c:formatCode>
                <c:ptCount val="36"/>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pt idx="21">
                  <c:v>10.5</c:v>
                </c:pt>
                <c:pt idx="22">
                  <c:v>11</c:v>
                </c:pt>
                <c:pt idx="23">
                  <c:v>11.5</c:v>
                </c:pt>
                <c:pt idx="24">
                  <c:v>12</c:v>
                </c:pt>
                <c:pt idx="25">
                  <c:v>12.5</c:v>
                </c:pt>
                <c:pt idx="26">
                  <c:v>13</c:v>
                </c:pt>
                <c:pt idx="27">
                  <c:v>13.5</c:v>
                </c:pt>
                <c:pt idx="28">
                  <c:v>14</c:v>
                </c:pt>
                <c:pt idx="29">
                  <c:v>14.5</c:v>
                </c:pt>
                <c:pt idx="30">
                  <c:v>15</c:v>
                </c:pt>
                <c:pt idx="31">
                  <c:v>15.5</c:v>
                </c:pt>
                <c:pt idx="32">
                  <c:v>16</c:v>
                </c:pt>
                <c:pt idx="33">
                  <c:v>16.5</c:v>
                </c:pt>
                <c:pt idx="34">
                  <c:v>17</c:v>
                </c:pt>
                <c:pt idx="35">
                  <c:v>17.5</c:v>
                </c:pt>
              </c:numCache>
            </c:numRef>
          </c:cat>
          <c:val>
            <c:numRef>
              <c:f>Sheet3!$D$4:$D$39</c:f>
              <c:numCache>
                <c:formatCode>General</c:formatCode>
                <c:ptCount val="36"/>
                <c:pt idx="0">
                  <c:v>0</c:v>
                </c:pt>
                <c:pt idx="1">
                  <c:v>5</c:v>
                </c:pt>
                <c:pt idx="2">
                  <c:v>35</c:v>
                </c:pt>
                <c:pt idx="3">
                  <c:v>49</c:v>
                </c:pt>
                <c:pt idx="4">
                  <c:v>31</c:v>
                </c:pt>
                <c:pt idx="5">
                  <c:v>13</c:v>
                </c:pt>
                <c:pt idx="6">
                  <c:v>1</c:v>
                </c:pt>
                <c:pt idx="7">
                  <c:v>0</c:v>
                </c:pt>
                <c:pt idx="8">
                  <c:v>3</c:v>
                </c:pt>
                <c:pt idx="9">
                  <c:v>1</c:v>
                </c:pt>
                <c:pt idx="10">
                  <c:v>1</c:v>
                </c:pt>
                <c:pt idx="11">
                  <c:v>0</c:v>
                </c:pt>
                <c:pt idx="12">
                  <c:v>1</c:v>
                </c:pt>
                <c:pt idx="13">
                  <c:v>2</c:v>
                </c:pt>
                <c:pt idx="14">
                  <c:v>0</c:v>
                </c:pt>
                <c:pt idx="15">
                  <c:v>4</c:v>
                </c:pt>
                <c:pt idx="16">
                  <c:v>10</c:v>
                </c:pt>
                <c:pt idx="17">
                  <c:v>6</c:v>
                </c:pt>
                <c:pt idx="18">
                  <c:v>4</c:v>
                </c:pt>
                <c:pt idx="19">
                  <c:v>11</c:v>
                </c:pt>
                <c:pt idx="20">
                  <c:v>10</c:v>
                </c:pt>
                <c:pt idx="21">
                  <c:v>8</c:v>
                </c:pt>
                <c:pt idx="22">
                  <c:v>4</c:v>
                </c:pt>
                <c:pt idx="23">
                  <c:v>1</c:v>
                </c:pt>
                <c:pt idx="24">
                  <c:v>5</c:v>
                </c:pt>
                <c:pt idx="25">
                  <c:v>3</c:v>
                </c:pt>
                <c:pt idx="26">
                  <c:v>4</c:v>
                </c:pt>
                <c:pt idx="27">
                  <c:v>6</c:v>
                </c:pt>
                <c:pt idx="28">
                  <c:v>3</c:v>
                </c:pt>
                <c:pt idx="29">
                  <c:v>0</c:v>
                </c:pt>
                <c:pt idx="30">
                  <c:v>1</c:v>
                </c:pt>
                <c:pt idx="31">
                  <c:v>0</c:v>
                </c:pt>
                <c:pt idx="32">
                  <c:v>0</c:v>
                </c:pt>
                <c:pt idx="33">
                  <c:v>1</c:v>
                </c:pt>
                <c:pt idx="34">
                  <c:v>0</c:v>
                </c:pt>
                <c:pt idx="35">
                  <c:v>1</c:v>
                </c:pt>
              </c:numCache>
            </c:numRef>
          </c:val>
        </c:ser>
        <c:axId val="84016128"/>
        <c:axId val="84051072"/>
      </c:barChart>
      <c:catAx>
        <c:axId val="84016128"/>
        <c:scaling>
          <c:orientation val="minMax"/>
        </c:scaling>
        <c:axPos val="b"/>
        <c:title>
          <c:tx>
            <c:rich>
              <a:bodyPr/>
              <a:lstStyle/>
              <a:p>
                <a:pPr>
                  <a:defRPr/>
                </a:pPr>
                <a:r>
                  <a:rPr lang="en-US"/>
                  <a:t>Length (mm)</a:t>
                </a:r>
              </a:p>
            </c:rich>
          </c:tx>
          <c:layout/>
        </c:title>
        <c:numFmt formatCode="General" sourceLinked="1"/>
        <c:tickLblPos val="nextTo"/>
        <c:crossAx val="84051072"/>
        <c:crosses val="autoZero"/>
        <c:auto val="1"/>
        <c:lblAlgn val="ctr"/>
        <c:lblOffset val="100"/>
      </c:catAx>
      <c:valAx>
        <c:axId val="84051072"/>
        <c:scaling>
          <c:orientation val="minMax"/>
          <c:max val="50"/>
        </c:scaling>
        <c:axPos val="l"/>
        <c:majorGridlines/>
        <c:title>
          <c:tx>
            <c:rich>
              <a:bodyPr rot="-5400000" vert="horz"/>
              <a:lstStyle/>
              <a:p>
                <a:pPr>
                  <a:defRPr/>
                </a:pPr>
                <a:r>
                  <a:rPr lang="en-US"/>
                  <a:t>Frequency</a:t>
                </a:r>
              </a:p>
            </c:rich>
          </c:tx>
          <c:layout/>
        </c:title>
        <c:numFmt formatCode="General" sourceLinked="1"/>
        <c:tickLblPos val="nextTo"/>
        <c:crossAx val="84016128"/>
        <c:crosses val="autoZero"/>
        <c:crossBetween val="between"/>
      </c:valAx>
    </c:plotArea>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cat>
            <c:numRef>
              <c:f>Sheet2!$C$3:$C$38</c:f>
              <c:numCache>
                <c:formatCode>General</c:formatCode>
                <c:ptCount val="36"/>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pt idx="21">
                  <c:v>10.5</c:v>
                </c:pt>
                <c:pt idx="22">
                  <c:v>11</c:v>
                </c:pt>
                <c:pt idx="23">
                  <c:v>11.5</c:v>
                </c:pt>
                <c:pt idx="24">
                  <c:v>12</c:v>
                </c:pt>
                <c:pt idx="25">
                  <c:v>12.5</c:v>
                </c:pt>
                <c:pt idx="26">
                  <c:v>13</c:v>
                </c:pt>
                <c:pt idx="27">
                  <c:v>13.5</c:v>
                </c:pt>
                <c:pt idx="28">
                  <c:v>14</c:v>
                </c:pt>
                <c:pt idx="29">
                  <c:v>14.5</c:v>
                </c:pt>
                <c:pt idx="30">
                  <c:v>15</c:v>
                </c:pt>
                <c:pt idx="31">
                  <c:v>15.5</c:v>
                </c:pt>
                <c:pt idx="32">
                  <c:v>16</c:v>
                </c:pt>
                <c:pt idx="33">
                  <c:v>16.5</c:v>
                </c:pt>
                <c:pt idx="34">
                  <c:v>17</c:v>
                </c:pt>
                <c:pt idx="35">
                  <c:v>17.5</c:v>
                </c:pt>
              </c:numCache>
            </c:numRef>
          </c:cat>
          <c:val>
            <c:numRef>
              <c:f>Sheet2!$D$3:$D$38</c:f>
              <c:numCache>
                <c:formatCode>General</c:formatCode>
                <c:ptCount val="36"/>
                <c:pt idx="0">
                  <c:v>0</c:v>
                </c:pt>
                <c:pt idx="1">
                  <c:v>2</c:v>
                </c:pt>
                <c:pt idx="2">
                  <c:v>3</c:v>
                </c:pt>
                <c:pt idx="3">
                  <c:v>9</c:v>
                </c:pt>
                <c:pt idx="4">
                  <c:v>28</c:v>
                </c:pt>
                <c:pt idx="5">
                  <c:v>5</c:v>
                </c:pt>
                <c:pt idx="6">
                  <c:v>1</c:v>
                </c:pt>
                <c:pt idx="7">
                  <c:v>0</c:v>
                </c:pt>
                <c:pt idx="8">
                  <c:v>0</c:v>
                </c:pt>
                <c:pt idx="9">
                  <c:v>0</c:v>
                </c:pt>
                <c:pt idx="10">
                  <c:v>0</c:v>
                </c:pt>
                <c:pt idx="11">
                  <c:v>0</c:v>
                </c:pt>
                <c:pt idx="12">
                  <c:v>0</c:v>
                </c:pt>
                <c:pt idx="13">
                  <c:v>0</c:v>
                </c:pt>
                <c:pt idx="14">
                  <c:v>0</c:v>
                </c:pt>
                <c:pt idx="15">
                  <c:v>0</c:v>
                </c:pt>
                <c:pt idx="16">
                  <c:v>0</c:v>
                </c:pt>
                <c:pt idx="17">
                  <c:v>0</c:v>
                </c:pt>
                <c:pt idx="18">
                  <c:v>0</c:v>
                </c:pt>
                <c:pt idx="19">
                  <c:v>2</c:v>
                </c:pt>
                <c:pt idx="20">
                  <c:v>0</c:v>
                </c:pt>
                <c:pt idx="21">
                  <c:v>1</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numCache>
            </c:numRef>
          </c:val>
        </c:ser>
        <c:axId val="84074880"/>
        <c:axId val="84076800"/>
      </c:barChart>
      <c:catAx>
        <c:axId val="84074880"/>
        <c:scaling>
          <c:orientation val="minMax"/>
        </c:scaling>
        <c:axPos val="b"/>
        <c:title>
          <c:tx>
            <c:rich>
              <a:bodyPr/>
              <a:lstStyle/>
              <a:p>
                <a:pPr>
                  <a:defRPr/>
                </a:pPr>
                <a:r>
                  <a:rPr lang="en-US"/>
                  <a:t>Length (mm)</a:t>
                </a:r>
              </a:p>
            </c:rich>
          </c:tx>
          <c:layout/>
        </c:title>
        <c:numFmt formatCode="General" sourceLinked="1"/>
        <c:tickLblPos val="nextTo"/>
        <c:crossAx val="84076800"/>
        <c:crosses val="autoZero"/>
        <c:auto val="1"/>
        <c:lblAlgn val="ctr"/>
        <c:lblOffset val="100"/>
      </c:catAx>
      <c:valAx>
        <c:axId val="84076800"/>
        <c:scaling>
          <c:orientation val="minMax"/>
        </c:scaling>
        <c:axPos val="l"/>
        <c:majorGridlines/>
        <c:title>
          <c:tx>
            <c:rich>
              <a:bodyPr rot="-5400000" vert="horz"/>
              <a:lstStyle/>
              <a:p>
                <a:pPr>
                  <a:defRPr/>
                </a:pPr>
                <a:r>
                  <a:rPr lang="en-US"/>
                  <a:t>Frequency</a:t>
                </a:r>
              </a:p>
            </c:rich>
          </c:tx>
          <c:layout/>
        </c:title>
        <c:numFmt formatCode="General" sourceLinked="1"/>
        <c:tickLblPos val="nextTo"/>
        <c:crossAx val="84074880"/>
        <c:crosses val="autoZero"/>
        <c:crossBetween val="between"/>
      </c:valAx>
    </c:plotArea>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5291300412401733E-2"/>
          <c:y val="3.4267912772585812E-2"/>
          <c:w val="0.8838401807524715"/>
          <c:h val="0.85235386464542395"/>
        </c:manualLayout>
      </c:layout>
      <c:barChart>
        <c:barDir val="col"/>
        <c:grouping val="stacked"/>
        <c:ser>
          <c:idx val="0"/>
          <c:order val="0"/>
          <c:tx>
            <c:strRef>
              <c:f>Sheet2!$B$2</c:f>
              <c:strCache>
                <c:ptCount val="1"/>
                <c:pt idx="0">
                  <c:v>Coat of arms</c:v>
                </c:pt>
              </c:strCache>
            </c:strRef>
          </c:tx>
          <c:spPr>
            <a:solidFill>
              <a:srgbClr val="00B0F0"/>
            </a:solidFill>
          </c:spPr>
          <c:cat>
            <c:numRef>
              <c:f>Sheet2!$A$3:$A$31</c:f>
              <c:numCache>
                <c:formatCode>General</c:formatCode>
                <c:ptCount val="29"/>
                <c:pt idx="0">
                  <c:v>1755</c:v>
                </c:pt>
                <c:pt idx="1">
                  <c:v>1757</c:v>
                </c:pt>
                <c:pt idx="2">
                  <c:v>1759</c:v>
                </c:pt>
                <c:pt idx="3">
                  <c:v>1762</c:v>
                </c:pt>
                <c:pt idx="4">
                  <c:v>1763</c:v>
                </c:pt>
                <c:pt idx="5">
                  <c:v>1764</c:v>
                </c:pt>
                <c:pt idx="6">
                  <c:v>1765</c:v>
                </c:pt>
                <c:pt idx="7">
                  <c:v>1768</c:v>
                </c:pt>
                <c:pt idx="8">
                  <c:v>1770</c:v>
                </c:pt>
                <c:pt idx="9">
                  <c:v>1771</c:v>
                </c:pt>
                <c:pt idx="10">
                  <c:v>1773</c:v>
                </c:pt>
                <c:pt idx="11">
                  <c:v>1774</c:v>
                </c:pt>
                <c:pt idx="12">
                  <c:v>1775</c:v>
                </c:pt>
                <c:pt idx="13">
                  <c:v>1776</c:v>
                </c:pt>
                <c:pt idx="14">
                  <c:v>1778</c:v>
                </c:pt>
                <c:pt idx="15">
                  <c:v>1779</c:v>
                </c:pt>
                <c:pt idx="16">
                  <c:v>1780</c:v>
                </c:pt>
                <c:pt idx="17">
                  <c:v>1782</c:v>
                </c:pt>
                <c:pt idx="18">
                  <c:v>1783</c:v>
                </c:pt>
                <c:pt idx="19">
                  <c:v>1784</c:v>
                </c:pt>
                <c:pt idx="20">
                  <c:v>1787</c:v>
                </c:pt>
                <c:pt idx="21">
                  <c:v>1788</c:v>
                </c:pt>
                <c:pt idx="22">
                  <c:v>1789</c:v>
                </c:pt>
                <c:pt idx="23">
                  <c:v>1790</c:v>
                </c:pt>
                <c:pt idx="24">
                  <c:v>1792</c:v>
                </c:pt>
                <c:pt idx="25">
                  <c:v>1793</c:v>
                </c:pt>
                <c:pt idx="26">
                  <c:v>1797</c:v>
                </c:pt>
                <c:pt idx="27">
                  <c:v>1798</c:v>
                </c:pt>
                <c:pt idx="28">
                  <c:v>1799</c:v>
                </c:pt>
              </c:numCache>
            </c:numRef>
          </c:cat>
          <c:val>
            <c:numRef>
              <c:f>Sheet2!$B$3:$B$31</c:f>
              <c:numCache>
                <c:formatCode>General</c:formatCode>
                <c:ptCount val="29"/>
                <c:pt idx="0">
                  <c:v>1</c:v>
                </c:pt>
                <c:pt idx="1">
                  <c:v>2</c:v>
                </c:pt>
                <c:pt idx="2">
                  <c:v>2</c:v>
                </c:pt>
                <c:pt idx="3">
                  <c:v>1</c:v>
                </c:pt>
                <c:pt idx="4">
                  <c:v>1</c:v>
                </c:pt>
                <c:pt idx="5">
                  <c:v>1</c:v>
                </c:pt>
                <c:pt idx="7">
                  <c:v>1</c:v>
                </c:pt>
                <c:pt idx="9">
                  <c:v>3</c:v>
                </c:pt>
                <c:pt idx="10">
                  <c:v>1</c:v>
                </c:pt>
                <c:pt idx="14">
                  <c:v>1</c:v>
                </c:pt>
                <c:pt idx="15">
                  <c:v>1</c:v>
                </c:pt>
                <c:pt idx="16">
                  <c:v>2</c:v>
                </c:pt>
                <c:pt idx="17">
                  <c:v>2</c:v>
                </c:pt>
                <c:pt idx="18">
                  <c:v>1</c:v>
                </c:pt>
                <c:pt idx="19">
                  <c:v>2</c:v>
                </c:pt>
                <c:pt idx="20">
                  <c:v>3</c:v>
                </c:pt>
                <c:pt idx="21">
                  <c:v>1</c:v>
                </c:pt>
                <c:pt idx="22">
                  <c:v>1</c:v>
                </c:pt>
                <c:pt idx="23">
                  <c:v>2</c:v>
                </c:pt>
                <c:pt idx="24">
                  <c:v>1</c:v>
                </c:pt>
                <c:pt idx="25">
                  <c:v>3</c:v>
                </c:pt>
                <c:pt idx="26">
                  <c:v>2</c:v>
                </c:pt>
              </c:numCache>
            </c:numRef>
          </c:val>
        </c:ser>
        <c:ser>
          <c:idx val="1"/>
          <c:order val="1"/>
          <c:tx>
            <c:strRef>
              <c:f>Sheet2!$C$2</c:f>
              <c:strCache>
                <c:ptCount val="1"/>
                <c:pt idx="0">
                  <c:v>Monogram</c:v>
                </c:pt>
              </c:strCache>
            </c:strRef>
          </c:tx>
          <c:spPr>
            <a:solidFill>
              <a:srgbClr val="FF0000"/>
            </a:solidFill>
          </c:spPr>
          <c:cat>
            <c:numRef>
              <c:f>Sheet2!$A$3:$A$31</c:f>
              <c:numCache>
                <c:formatCode>General</c:formatCode>
                <c:ptCount val="29"/>
                <c:pt idx="0">
                  <c:v>1755</c:v>
                </c:pt>
                <c:pt idx="1">
                  <c:v>1757</c:v>
                </c:pt>
                <c:pt idx="2">
                  <c:v>1759</c:v>
                </c:pt>
                <c:pt idx="3">
                  <c:v>1762</c:v>
                </c:pt>
                <c:pt idx="4">
                  <c:v>1763</c:v>
                </c:pt>
                <c:pt idx="5">
                  <c:v>1764</c:v>
                </c:pt>
                <c:pt idx="6">
                  <c:v>1765</c:v>
                </c:pt>
                <c:pt idx="7">
                  <c:v>1768</c:v>
                </c:pt>
                <c:pt idx="8">
                  <c:v>1770</c:v>
                </c:pt>
                <c:pt idx="9">
                  <c:v>1771</c:v>
                </c:pt>
                <c:pt idx="10">
                  <c:v>1773</c:v>
                </c:pt>
                <c:pt idx="11">
                  <c:v>1774</c:v>
                </c:pt>
                <c:pt idx="12">
                  <c:v>1775</c:v>
                </c:pt>
                <c:pt idx="13">
                  <c:v>1776</c:v>
                </c:pt>
                <c:pt idx="14">
                  <c:v>1778</c:v>
                </c:pt>
                <c:pt idx="15">
                  <c:v>1779</c:v>
                </c:pt>
                <c:pt idx="16">
                  <c:v>1780</c:v>
                </c:pt>
                <c:pt idx="17">
                  <c:v>1782</c:v>
                </c:pt>
                <c:pt idx="18">
                  <c:v>1783</c:v>
                </c:pt>
                <c:pt idx="19">
                  <c:v>1784</c:v>
                </c:pt>
                <c:pt idx="20">
                  <c:v>1787</c:v>
                </c:pt>
                <c:pt idx="21">
                  <c:v>1788</c:v>
                </c:pt>
                <c:pt idx="22">
                  <c:v>1789</c:v>
                </c:pt>
                <c:pt idx="23">
                  <c:v>1790</c:v>
                </c:pt>
                <c:pt idx="24">
                  <c:v>1792</c:v>
                </c:pt>
                <c:pt idx="25">
                  <c:v>1793</c:v>
                </c:pt>
                <c:pt idx="26">
                  <c:v>1797</c:v>
                </c:pt>
                <c:pt idx="27">
                  <c:v>1798</c:v>
                </c:pt>
                <c:pt idx="28">
                  <c:v>1799</c:v>
                </c:pt>
              </c:numCache>
            </c:numRef>
          </c:cat>
          <c:val>
            <c:numRef>
              <c:f>Sheet2!$C$3:$C$31</c:f>
              <c:numCache>
                <c:formatCode>General</c:formatCode>
                <c:ptCount val="29"/>
                <c:pt idx="6">
                  <c:v>1</c:v>
                </c:pt>
                <c:pt idx="8">
                  <c:v>1</c:v>
                </c:pt>
                <c:pt idx="11">
                  <c:v>1</c:v>
                </c:pt>
                <c:pt idx="12">
                  <c:v>1</c:v>
                </c:pt>
                <c:pt idx="14">
                  <c:v>1</c:v>
                </c:pt>
                <c:pt idx="17">
                  <c:v>1</c:v>
                </c:pt>
                <c:pt idx="20">
                  <c:v>1</c:v>
                </c:pt>
                <c:pt idx="27">
                  <c:v>2</c:v>
                </c:pt>
                <c:pt idx="28">
                  <c:v>1</c:v>
                </c:pt>
              </c:numCache>
            </c:numRef>
          </c:val>
        </c:ser>
        <c:ser>
          <c:idx val="2"/>
          <c:order val="2"/>
          <c:tx>
            <c:strRef>
              <c:f>Sheet2!$D$2</c:f>
              <c:strCache>
                <c:ptCount val="1"/>
                <c:pt idx="0">
                  <c:v>Name</c:v>
                </c:pt>
              </c:strCache>
            </c:strRef>
          </c:tx>
          <c:spPr>
            <a:solidFill>
              <a:srgbClr val="FFC000"/>
            </a:solidFill>
          </c:spPr>
          <c:cat>
            <c:numRef>
              <c:f>Sheet2!$A$3:$A$31</c:f>
              <c:numCache>
                <c:formatCode>General</c:formatCode>
                <c:ptCount val="29"/>
                <c:pt idx="0">
                  <c:v>1755</c:v>
                </c:pt>
                <c:pt idx="1">
                  <c:v>1757</c:v>
                </c:pt>
                <c:pt idx="2">
                  <c:v>1759</c:v>
                </c:pt>
                <c:pt idx="3">
                  <c:v>1762</c:v>
                </c:pt>
                <c:pt idx="4">
                  <c:v>1763</c:v>
                </c:pt>
                <c:pt idx="5">
                  <c:v>1764</c:v>
                </c:pt>
                <c:pt idx="6">
                  <c:v>1765</c:v>
                </c:pt>
                <c:pt idx="7">
                  <c:v>1768</c:v>
                </c:pt>
                <c:pt idx="8">
                  <c:v>1770</c:v>
                </c:pt>
                <c:pt idx="9">
                  <c:v>1771</c:v>
                </c:pt>
                <c:pt idx="10">
                  <c:v>1773</c:v>
                </c:pt>
                <c:pt idx="11">
                  <c:v>1774</c:v>
                </c:pt>
                <c:pt idx="12">
                  <c:v>1775</c:v>
                </c:pt>
                <c:pt idx="13">
                  <c:v>1776</c:v>
                </c:pt>
                <c:pt idx="14">
                  <c:v>1778</c:v>
                </c:pt>
                <c:pt idx="15">
                  <c:v>1779</c:v>
                </c:pt>
                <c:pt idx="16">
                  <c:v>1780</c:v>
                </c:pt>
                <c:pt idx="17">
                  <c:v>1782</c:v>
                </c:pt>
                <c:pt idx="18">
                  <c:v>1783</c:v>
                </c:pt>
                <c:pt idx="19">
                  <c:v>1784</c:v>
                </c:pt>
                <c:pt idx="20">
                  <c:v>1787</c:v>
                </c:pt>
                <c:pt idx="21">
                  <c:v>1788</c:v>
                </c:pt>
                <c:pt idx="22">
                  <c:v>1789</c:v>
                </c:pt>
                <c:pt idx="23">
                  <c:v>1790</c:v>
                </c:pt>
                <c:pt idx="24">
                  <c:v>1792</c:v>
                </c:pt>
                <c:pt idx="25">
                  <c:v>1793</c:v>
                </c:pt>
                <c:pt idx="26">
                  <c:v>1797</c:v>
                </c:pt>
                <c:pt idx="27">
                  <c:v>1798</c:v>
                </c:pt>
                <c:pt idx="28">
                  <c:v>1799</c:v>
                </c:pt>
              </c:numCache>
            </c:numRef>
          </c:cat>
          <c:val>
            <c:numRef>
              <c:f>Sheet2!$D$3:$D$31</c:f>
              <c:numCache>
                <c:formatCode>General</c:formatCode>
                <c:ptCount val="29"/>
                <c:pt idx="13">
                  <c:v>1</c:v>
                </c:pt>
                <c:pt idx="14">
                  <c:v>1</c:v>
                </c:pt>
              </c:numCache>
            </c:numRef>
          </c:val>
        </c:ser>
        <c:ser>
          <c:idx val="3"/>
          <c:order val="3"/>
          <c:tx>
            <c:strRef>
              <c:f>Sheet2!$E$2</c:f>
              <c:strCache>
                <c:ptCount val="1"/>
                <c:pt idx="0">
                  <c:v>Coat and Monogram</c:v>
                </c:pt>
              </c:strCache>
            </c:strRef>
          </c:tx>
          <c:cat>
            <c:numRef>
              <c:f>Sheet2!$A$3:$A$31</c:f>
              <c:numCache>
                <c:formatCode>General</c:formatCode>
                <c:ptCount val="29"/>
                <c:pt idx="0">
                  <c:v>1755</c:v>
                </c:pt>
                <c:pt idx="1">
                  <c:v>1757</c:v>
                </c:pt>
                <c:pt idx="2">
                  <c:v>1759</c:v>
                </c:pt>
                <c:pt idx="3">
                  <c:v>1762</c:v>
                </c:pt>
                <c:pt idx="4">
                  <c:v>1763</c:v>
                </c:pt>
                <c:pt idx="5">
                  <c:v>1764</c:v>
                </c:pt>
                <c:pt idx="6">
                  <c:v>1765</c:v>
                </c:pt>
                <c:pt idx="7">
                  <c:v>1768</c:v>
                </c:pt>
                <c:pt idx="8">
                  <c:v>1770</c:v>
                </c:pt>
                <c:pt idx="9">
                  <c:v>1771</c:v>
                </c:pt>
                <c:pt idx="10">
                  <c:v>1773</c:v>
                </c:pt>
                <c:pt idx="11">
                  <c:v>1774</c:v>
                </c:pt>
                <c:pt idx="12">
                  <c:v>1775</c:v>
                </c:pt>
                <c:pt idx="13">
                  <c:v>1776</c:v>
                </c:pt>
                <c:pt idx="14">
                  <c:v>1778</c:v>
                </c:pt>
                <c:pt idx="15">
                  <c:v>1779</c:v>
                </c:pt>
                <c:pt idx="16">
                  <c:v>1780</c:v>
                </c:pt>
                <c:pt idx="17">
                  <c:v>1782</c:v>
                </c:pt>
                <c:pt idx="18">
                  <c:v>1783</c:v>
                </c:pt>
                <c:pt idx="19">
                  <c:v>1784</c:v>
                </c:pt>
                <c:pt idx="20">
                  <c:v>1787</c:v>
                </c:pt>
                <c:pt idx="21">
                  <c:v>1788</c:v>
                </c:pt>
                <c:pt idx="22">
                  <c:v>1789</c:v>
                </c:pt>
                <c:pt idx="23">
                  <c:v>1790</c:v>
                </c:pt>
                <c:pt idx="24">
                  <c:v>1792</c:v>
                </c:pt>
                <c:pt idx="25">
                  <c:v>1793</c:v>
                </c:pt>
                <c:pt idx="26">
                  <c:v>1797</c:v>
                </c:pt>
                <c:pt idx="27">
                  <c:v>1798</c:v>
                </c:pt>
                <c:pt idx="28">
                  <c:v>1799</c:v>
                </c:pt>
              </c:numCache>
            </c:numRef>
          </c:cat>
          <c:val>
            <c:numRef>
              <c:f>Sheet2!$E$3:$E$31</c:f>
              <c:numCache>
                <c:formatCode>General</c:formatCode>
                <c:ptCount val="29"/>
                <c:pt idx="20">
                  <c:v>1</c:v>
                </c:pt>
              </c:numCache>
            </c:numRef>
          </c:val>
        </c:ser>
        <c:overlap val="100"/>
        <c:axId val="83606912"/>
        <c:axId val="83616896"/>
      </c:barChart>
      <c:catAx>
        <c:axId val="83606912"/>
        <c:scaling>
          <c:orientation val="minMax"/>
        </c:scaling>
        <c:axPos val="b"/>
        <c:numFmt formatCode="General" sourceLinked="1"/>
        <c:tickLblPos val="nextTo"/>
        <c:crossAx val="83616896"/>
        <c:crosses val="autoZero"/>
        <c:auto val="1"/>
        <c:lblAlgn val="ctr"/>
        <c:lblOffset val="100"/>
      </c:catAx>
      <c:valAx>
        <c:axId val="83616896"/>
        <c:scaling>
          <c:orientation val="minMax"/>
          <c:max val="5"/>
        </c:scaling>
        <c:axPos val="l"/>
        <c:majorGridlines/>
        <c:title>
          <c:tx>
            <c:rich>
              <a:bodyPr rot="-5400000" vert="horz"/>
              <a:lstStyle/>
              <a:p>
                <a:pPr>
                  <a:defRPr/>
                </a:pPr>
                <a:r>
                  <a:rPr lang="en-US"/>
                  <a:t>Count</a:t>
                </a:r>
              </a:p>
            </c:rich>
          </c:tx>
          <c:layout/>
        </c:title>
        <c:numFmt formatCode="General" sourceLinked="1"/>
        <c:tickLblPos val="nextTo"/>
        <c:crossAx val="83606912"/>
        <c:crosses val="autoZero"/>
        <c:crossBetween val="between"/>
        <c:majorUnit val="1"/>
      </c:valAx>
      <c:spPr>
        <a:ln>
          <a:noFill/>
        </a:ln>
      </c:spPr>
    </c:plotArea>
    <c:legend>
      <c:legendPos val="r"/>
      <c:layout>
        <c:manualLayout>
          <c:xMode val="edge"/>
          <c:yMode val="edge"/>
          <c:x val="0.14976620361847978"/>
          <c:y val="4.8154880172688687E-2"/>
          <c:w val="0.28959619772389888"/>
          <c:h val="0.21502048225280673"/>
        </c:manualLayout>
      </c:layout>
      <c:spPr>
        <a:ln>
          <a:solidFill>
            <a:schemeClr val="tx1"/>
          </a:solidFill>
        </a:ln>
      </c:spPr>
    </c:legend>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'figure 7-bookratio'!$K$25:$K$27</c:f>
              <c:strCache>
                <c:ptCount val="1"/>
                <c:pt idx="0">
                  <c:v>20 25 0.3</c:v>
                </c:pt>
              </c:strCache>
            </c:strRef>
          </c:tx>
          <c:cat>
            <c:strRef>
              <c:f>'figure 7-bookratio'!$G$25:$G$27</c:f>
              <c:strCache>
                <c:ptCount val="3"/>
                <c:pt idx="0">
                  <c:v>Lawrence Washington</c:v>
                </c:pt>
                <c:pt idx="1">
                  <c:v>George Washington</c:v>
                </c:pt>
                <c:pt idx="2">
                  <c:v>Colchester Store</c:v>
                </c:pt>
              </c:strCache>
            </c:strRef>
          </c:cat>
          <c:val>
            <c:numRef>
              <c:f>'figure 7-bookratio'!$K$25:$K$27</c:f>
              <c:numCache>
                <c:formatCode>General</c:formatCode>
                <c:ptCount val="3"/>
                <c:pt idx="0">
                  <c:v>20</c:v>
                </c:pt>
                <c:pt idx="1">
                  <c:v>25</c:v>
                </c:pt>
                <c:pt idx="2">
                  <c:v>0.30000000000000032</c:v>
                </c:pt>
              </c:numCache>
            </c:numRef>
          </c:val>
        </c:ser>
        <c:axId val="85803392"/>
        <c:axId val="85805312"/>
      </c:barChart>
      <c:catAx>
        <c:axId val="85803392"/>
        <c:scaling>
          <c:orientation val="minMax"/>
        </c:scaling>
        <c:axPos val="b"/>
        <c:title>
          <c:tx>
            <c:rich>
              <a:bodyPr/>
              <a:lstStyle/>
              <a:p>
                <a:pPr>
                  <a:defRPr/>
                </a:pPr>
                <a:r>
                  <a:rPr lang="en-US"/>
                  <a:t>Library</a:t>
                </a:r>
              </a:p>
            </c:rich>
          </c:tx>
          <c:layout/>
        </c:title>
        <c:numFmt formatCode="General" sourceLinked="1"/>
        <c:tickLblPos val="nextTo"/>
        <c:crossAx val="85805312"/>
        <c:crosses val="autoZero"/>
        <c:auto val="1"/>
        <c:lblAlgn val="ctr"/>
        <c:lblOffset val="100"/>
      </c:catAx>
      <c:valAx>
        <c:axId val="85805312"/>
        <c:scaling>
          <c:orientation val="minMax"/>
        </c:scaling>
        <c:axPos val="l"/>
        <c:majorGridlines/>
        <c:title>
          <c:tx>
            <c:rich>
              <a:bodyPr rot="-5400000" vert="horz"/>
              <a:lstStyle/>
              <a:p>
                <a:pPr>
                  <a:defRPr/>
                </a:pPr>
                <a:r>
                  <a:rPr lang="en-US"/>
                  <a:t>Ratio</a:t>
                </a:r>
              </a:p>
            </c:rich>
          </c:tx>
          <c:layout/>
        </c:title>
        <c:numFmt formatCode="General" sourceLinked="1"/>
        <c:tickLblPos val="nextTo"/>
        <c:crossAx val="85803392"/>
        <c:crosses val="autoZero"/>
        <c:crossBetween val="between"/>
      </c:valAx>
    </c:plotArea>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8.9129939307685063E-2"/>
          <c:y val="6.1641016463849646E-2"/>
          <c:w val="0.87245603674540684"/>
          <c:h val="0.81250735703491606"/>
        </c:manualLayout>
      </c:layout>
      <c:barChart>
        <c:barDir val="col"/>
        <c:grouping val="clustered"/>
        <c:ser>
          <c:idx val="0"/>
          <c:order val="0"/>
          <c:cat>
            <c:strRef>
              <c:f>'figure 7-tack'!$D$2:$D$10</c:f>
              <c:strCache>
                <c:ptCount val="9"/>
                <c:pt idx="0">
                  <c:v>1/4th</c:v>
                </c:pt>
                <c:pt idx="1">
                  <c:v>5/16ths</c:v>
                </c:pt>
                <c:pt idx="2">
                  <c:v>3/8ths</c:v>
                </c:pt>
                <c:pt idx="3">
                  <c:v>7/16ths</c:v>
                </c:pt>
                <c:pt idx="4">
                  <c:v>1/2</c:v>
                </c:pt>
                <c:pt idx="5">
                  <c:v>9/16ths</c:v>
                </c:pt>
                <c:pt idx="6">
                  <c:v>5/8ths</c:v>
                </c:pt>
                <c:pt idx="7">
                  <c:v>11/16ths</c:v>
                </c:pt>
                <c:pt idx="8">
                  <c:v>3/4ths</c:v>
                </c:pt>
              </c:strCache>
            </c:strRef>
          </c:cat>
          <c:val>
            <c:numRef>
              <c:f>'figure 7-tack'!$F$2:$F$10</c:f>
              <c:numCache>
                <c:formatCode>General</c:formatCode>
                <c:ptCount val="9"/>
                <c:pt idx="0">
                  <c:v>1</c:v>
                </c:pt>
                <c:pt idx="1">
                  <c:v>2</c:v>
                </c:pt>
                <c:pt idx="2">
                  <c:v>6</c:v>
                </c:pt>
                <c:pt idx="3">
                  <c:v>33</c:v>
                </c:pt>
                <c:pt idx="4">
                  <c:v>8</c:v>
                </c:pt>
                <c:pt idx="5">
                  <c:v>3</c:v>
                </c:pt>
                <c:pt idx="6">
                  <c:v>0</c:v>
                </c:pt>
                <c:pt idx="7">
                  <c:v>0</c:v>
                </c:pt>
                <c:pt idx="8">
                  <c:v>0</c:v>
                </c:pt>
              </c:numCache>
            </c:numRef>
          </c:val>
        </c:ser>
        <c:axId val="85829120"/>
        <c:axId val="85831040"/>
      </c:barChart>
      <c:catAx>
        <c:axId val="85829120"/>
        <c:scaling>
          <c:orientation val="minMax"/>
        </c:scaling>
        <c:axPos val="b"/>
        <c:title>
          <c:tx>
            <c:rich>
              <a:bodyPr/>
              <a:lstStyle/>
              <a:p>
                <a:pPr>
                  <a:defRPr/>
                </a:pPr>
                <a:r>
                  <a:rPr lang="en-US"/>
                  <a:t>Tack Head Diameter</a:t>
                </a:r>
              </a:p>
            </c:rich>
          </c:tx>
          <c:layout/>
        </c:title>
        <c:tickLblPos val="nextTo"/>
        <c:crossAx val="85831040"/>
        <c:crosses val="autoZero"/>
        <c:auto val="1"/>
        <c:lblAlgn val="ctr"/>
        <c:lblOffset val="100"/>
      </c:catAx>
      <c:valAx>
        <c:axId val="85831040"/>
        <c:scaling>
          <c:orientation val="minMax"/>
        </c:scaling>
        <c:axPos val="l"/>
        <c:majorGridlines/>
        <c:title>
          <c:tx>
            <c:rich>
              <a:bodyPr rot="-5400000" vert="horz"/>
              <a:lstStyle/>
              <a:p>
                <a:pPr>
                  <a:defRPr/>
                </a:pPr>
                <a:r>
                  <a:rPr lang="en-US"/>
                  <a:t>Count</a:t>
                </a:r>
              </a:p>
            </c:rich>
          </c:tx>
          <c:layout/>
        </c:title>
        <c:numFmt formatCode="General" sourceLinked="1"/>
        <c:tickLblPos val="nextTo"/>
        <c:crossAx val="85829120"/>
        <c:crosses val="autoZero"/>
        <c:crossBetween val="between"/>
      </c:valAx>
      <c:spPr>
        <a:ln>
          <a:noFill/>
        </a:ln>
      </c:spPr>
    </c:plotArea>
    <c:plotVisOnly val="1"/>
  </c:chart>
  <c:spPr>
    <a:ln>
      <a:noFill/>
    </a:ln>
  </c:spPr>
  <c:txPr>
    <a:bodyPr/>
    <a:lstStyle/>
    <a:p>
      <a:pPr>
        <a:defRPr sz="1000">
          <a:latin typeface="Arial" pitchFamily="34" charset="0"/>
          <a:cs typeface="Arial" pitchFamily="34" charset="0"/>
        </a:defRPr>
      </a:pPr>
      <a:endParaRPr lang="en-US"/>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strRef>
              <c:f>'C:\Documents and Settings\ebreen\Local Settings\Temporary Internet Files\Content.Outlook\5MK7BYE6\[Complete_pins_w_L_and_W_for_analysis-1 working copy.xlsx]Original'!$B$1</c:f>
              <c:strCache>
                <c:ptCount val="1"/>
                <c:pt idx="0">
                  <c:v>Width (mm)</c:v>
                </c:pt>
              </c:strCache>
            </c:strRef>
          </c:tx>
          <c:spPr>
            <a:ln w="28575">
              <a:noFill/>
            </a:ln>
          </c:spPr>
          <c:xVal>
            <c:numRef>
              <c:f>'C:\Documents and Settings\ebreen\Local Settings\Temporary Internet Files\Content.Outlook\5MK7BYE6\[Complete_pins_w_L_and_W_for_analysis-1 working copy.xlsx]Original'!$C$2:$C$382</c:f>
              <c:numCache>
                <c:formatCode>General</c:formatCode>
                <c:ptCount val="381"/>
                <c:pt idx="0">
                  <c:v>18.459999999999987</c:v>
                </c:pt>
                <c:pt idx="1">
                  <c:v>16.54</c:v>
                </c:pt>
                <c:pt idx="2">
                  <c:v>13.12</c:v>
                </c:pt>
                <c:pt idx="3">
                  <c:v>18.02</c:v>
                </c:pt>
                <c:pt idx="4">
                  <c:v>18.239999999999988</c:v>
                </c:pt>
                <c:pt idx="5">
                  <c:v>17.190000000000001</c:v>
                </c:pt>
                <c:pt idx="6">
                  <c:v>16.03</c:v>
                </c:pt>
                <c:pt idx="7">
                  <c:v>17.8</c:v>
                </c:pt>
                <c:pt idx="8">
                  <c:v>17.05</c:v>
                </c:pt>
                <c:pt idx="9">
                  <c:v>17.420000000000002</c:v>
                </c:pt>
                <c:pt idx="10">
                  <c:v>17.630000000000031</c:v>
                </c:pt>
                <c:pt idx="11">
                  <c:v>17.850000000000001</c:v>
                </c:pt>
                <c:pt idx="12">
                  <c:v>18.25</c:v>
                </c:pt>
                <c:pt idx="13">
                  <c:v>17.5</c:v>
                </c:pt>
                <c:pt idx="14">
                  <c:v>17.899999999999999</c:v>
                </c:pt>
                <c:pt idx="15">
                  <c:v>17.91</c:v>
                </c:pt>
                <c:pt idx="16">
                  <c:v>17.059999999999999</c:v>
                </c:pt>
                <c:pt idx="17">
                  <c:v>17.07</c:v>
                </c:pt>
                <c:pt idx="18">
                  <c:v>22.58</c:v>
                </c:pt>
                <c:pt idx="19">
                  <c:v>17.110000000000031</c:v>
                </c:pt>
                <c:pt idx="20">
                  <c:v>16.77</c:v>
                </c:pt>
                <c:pt idx="21">
                  <c:v>16.959999999999987</c:v>
                </c:pt>
                <c:pt idx="22">
                  <c:v>17.600000000000001</c:v>
                </c:pt>
                <c:pt idx="23">
                  <c:v>17.690000000000001</c:v>
                </c:pt>
                <c:pt idx="24">
                  <c:v>19.149999999999999</c:v>
                </c:pt>
                <c:pt idx="25">
                  <c:v>20.9</c:v>
                </c:pt>
                <c:pt idx="26">
                  <c:v>17</c:v>
                </c:pt>
                <c:pt idx="27">
                  <c:v>17.130000000000031</c:v>
                </c:pt>
                <c:pt idx="28">
                  <c:v>18.510000000000005</c:v>
                </c:pt>
                <c:pt idx="29">
                  <c:v>18.510000000000005</c:v>
                </c:pt>
                <c:pt idx="30">
                  <c:v>17</c:v>
                </c:pt>
                <c:pt idx="31">
                  <c:v>17.079999999999988</c:v>
                </c:pt>
                <c:pt idx="32">
                  <c:v>17.27</c:v>
                </c:pt>
                <c:pt idx="33">
                  <c:v>17.579999999999988</c:v>
                </c:pt>
                <c:pt idx="34">
                  <c:v>17.739999999999988</c:v>
                </c:pt>
                <c:pt idx="35">
                  <c:v>17.779999999999987</c:v>
                </c:pt>
                <c:pt idx="36">
                  <c:v>18.07</c:v>
                </c:pt>
                <c:pt idx="37">
                  <c:v>18.649999999999999</c:v>
                </c:pt>
                <c:pt idx="38">
                  <c:v>22.24</c:v>
                </c:pt>
                <c:pt idx="39">
                  <c:v>17.32</c:v>
                </c:pt>
                <c:pt idx="40">
                  <c:v>18.16</c:v>
                </c:pt>
                <c:pt idx="41">
                  <c:v>20.610000000000031</c:v>
                </c:pt>
                <c:pt idx="42">
                  <c:v>22.53</c:v>
                </c:pt>
                <c:pt idx="43">
                  <c:v>24</c:v>
                </c:pt>
                <c:pt idx="44">
                  <c:v>16.479999999999986</c:v>
                </c:pt>
                <c:pt idx="45">
                  <c:v>17.89</c:v>
                </c:pt>
                <c:pt idx="46">
                  <c:v>17.91</c:v>
                </c:pt>
                <c:pt idx="47">
                  <c:v>18</c:v>
                </c:pt>
                <c:pt idx="48">
                  <c:v>22.58</c:v>
                </c:pt>
                <c:pt idx="49">
                  <c:v>17.489999999999789</c:v>
                </c:pt>
                <c:pt idx="50">
                  <c:v>17.899999999999999</c:v>
                </c:pt>
                <c:pt idx="51">
                  <c:v>18.12</c:v>
                </c:pt>
                <c:pt idx="52">
                  <c:v>18.18</c:v>
                </c:pt>
                <c:pt idx="53">
                  <c:v>19.03</c:v>
                </c:pt>
                <c:pt idx="54">
                  <c:v>22.29</c:v>
                </c:pt>
                <c:pt idx="55">
                  <c:v>22.72</c:v>
                </c:pt>
                <c:pt idx="56">
                  <c:v>17.630000000000031</c:v>
                </c:pt>
                <c:pt idx="57">
                  <c:v>21.2</c:v>
                </c:pt>
                <c:pt idx="58">
                  <c:v>21.66</c:v>
                </c:pt>
                <c:pt idx="59">
                  <c:v>16.75</c:v>
                </c:pt>
                <c:pt idx="60">
                  <c:v>17.53</c:v>
                </c:pt>
                <c:pt idx="61">
                  <c:v>17.939999999999987</c:v>
                </c:pt>
                <c:pt idx="62">
                  <c:v>18.02</c:v>
                </c:pt>
                <c:pt idx="63">
                  <c:v>18.36</c:v>
                </c:pt>
                <c:pt idx="64">
                  <c:v>18.64</c:v>
                </c:pt>
                <c:pt idx="65">
                  <c:v>19.29</c:v>
                </c:pt>
                <c:pt idx="66">
                  <c:v>20</c:v>
                </c:pt>
                <c:pt idx="67">
                  <c:v>18.12</c:v>
                </c:pt>
                <c:pt idx="68">
                  <c:v>18.14</c:v>
                </c:pt>
                <c:pt idx="69">
                  <c:v>19</c:v>
                </c:pt>
                <c:pt idx="70">
                  <c:v>22</c:v>
                </c:pt>
                <c:pt idx="71">
                  <c:v>22.51</c:v>
                </c:pt>
                <c:pt idx="72">
                  <c:v>18.079999999999988</c:v>
                </c:pt>
                <c:pt idx="73">
                  <c:v>18.12</c:v>
                </c:pt>
                <c:pt idx="74">
                  <c:v>18.16</c:v>
                </c:pt>
                <c:pt idx="75">
                  <c:v>18.36</c:v>
                </c:pt>
                <c:pt idx="76">
                  <c:v>19.2</c:v>
                </c:pt>
                <c:pt idx="77">
                  <c:v>19.2</c:v>
                </c:pt>
                <c:pt idx="78">
                  <c:v>20.260000000000002</c:v>
                </c:pt>
                <c:pt idx="79">
                  <c:v>22.259999999999987</c:v>
                </c:pt>
                <c:pt idx="80">
                  <c:v>22.77</c:v>
                </c:pt>
                <c:pt idx="81">
                  <c:v>23.06</c:v>
                </c:pt>
                <c:pt idx="82">
                  <c:v>17.64</c:v>
                </c:pt>
                <c:pt idx="83">
                  <c:v>17.779999999999987</c:v>
                </c:pt>
                <c:pt idx="84">
                  <c:v>18</c:v>
                </c:pt>
                <c:pt idx="85">
                  <c:v>18.39</c:v>
                </c:pt>
                <c:pt idx="86">
                  <c:v>18.7</c:v>
                </c:pt>
                <c:pt idx="87">
                  <c:v>20.279999999999987</c:v>
                </c:pt>
                <c:pt idx="88">
                  <c:v>22.58</c:v>
                </c:pt>
                <c:pt idx="89">
                  <c:v>22.66</c:v>
                </c:pt>
                <c:pt idx="90">
                  <c:v>22.99</c:v>
                </c:pt>
                <c:pt idx="91">
                  <c:v>13.26</c:v>
                </c:pt>
                <c:pt idx="92">
                  <c:v>15.03</c:v>
                </c:pt>
                <c:pt idx="93">
                  <c:v>16.479999999999986</c:v>
                </c:pt>
                <c:pt idx="94">
                  <c:v>17.34</c:v>
                </c:pt>
                <c:pt idx="95">
                  <c:v>18.309999999999999</c:v>
                </c:pt>
                <c:pt idx="96">
                  <c:v>18.610000000000031</c:v>
                </c:pt>
                <c:pt idx="97">
                  <c:v>20.12</c:v>
                </c:pt>
                <c:pt idx="98">
                  <c:v>17.510000000000005</c:v>
                </c:pt>
                <c:pt idx="99">
                  <c:v>18.12</c:v>
                </c:pt>
                <c:pt idx="100">
                  <c:v>18.68</c:v>
                </c:pt>
                <c:pt idx="101">
                  <c:v>19.29</c:v>
                </c:pt>
                <c:pt idx="102">
                  <c:v>20.9</c:v>
                </c:pt>
                <c:pt idx="103">
                  <c:v>22</c:v>
                </c:pt>
                <c:pt idx="104">
                  <c:v>22.17</c:v>
                </c:pt>
                <c:pt idx="105">
                  <c:v>17</c:v>
                </c:pt>
                <c:pt idx="106">
                  <c:v>17.97</c:v>
                </c:pt>
                <c:pt idx="107">
                  <c:v>18.059999999999999</c:v>
                </c:pt>
                <c:pt idx="108">
                  <c:v>19.68</c:v>
                </c:pt>
                <c:pt idx="109">
                  <c:v>21.419999999999987</c:v>
                </c:pt>
                <c:pt idx="110">
                  <c:v>24</c:v>
                </c:pt>
                <c:pt idx="111">
                  <c:v>17.71</c:v>
                </c:pt>
                <c:pt idx="112">
                  <c:v>17.72</c:v>
                </c:pt>
                <c:pt idx="113">
                  <c:v>18.09</c:v>
                </c:pt>
                <c:pt idx="114">
                  <c:v>19.630000000000031</c:v>
                </c:pt>
                <c:pt idx="115">
                  <c:v>21.86</c:v>
                </c:pt>
                <c:pt idx="116">
                  <c:v>22.06</c:v>
                </c:pt>
                <c:pt idx="117">
                  <c:v>23.4</c:v>
                </c:pt>
                <c:pt idx="118">
                  <c:v>23.47</c:v>
                </c:pt>
                <c:pt idx="119">
                  <c:v>24</c:v>
                </c:pt>
                <c:pt idx="120">
                  <c:v>18</c:v>
                </c:pt>
                <c:pt idx="121">
                  <c:v>18.100000000000001</c:v>
                </c:pt>
                <c:pt idx="122">
                  <c:v>18.62</c:v>
                </c:pt>
                <c:pt idx="123">
                  <c:v>18.91</c:v>
                </c:pt>
                <c:pt idx="124">
                  <c:v>19.32</c:v>
                </c:pt>
                <c:pt idx="125">
                  <c:v>19.72</c:v>
                </c:pt>
                <c:pt idx="126">
                  <c:v>21.610000000000031</c:v>
                </c:pt>
                <c:pt idx="127">
                  <c:v>22.1</c:v>
                </c:pt>
                <c:pt idx="128">
                  <c:v>22.72</c:v>
                </c:pt>
                <c:pt idx="129">
                  <c:v>22.75</c:v>
                </c:pt>
                <c:pt idx="130">
                  <c:v>23</c:v>
                </c:pt>
                <c:pt idx="131">
                  <c:v>23.259999999999987</c:v>
                </c:pt>
                <c:pt idx="132">
                  <c:v>23.51</c:v>
                </c:pt>
                <c:pt idx="133">
                  <c:v>24.779999999999987</c:v>
                </c:pt>
                <c:pt idx="134">
                  <c:v>25.87</c:v>
                </c:pt>
                <c:pt idx="135">
                  <c:v>17</c:v>
                </c:pt>
                <c:pt idx="136">
                  <c:v>19.02</c:v>
                </c:pt>
                <c:pt idx="137">
                  <c:v>19.53</c:v>
                </c:pt>
                <c:pt idx="138">
                  <c:v>19.64</c:v>
                </c:pt>
                <c:pt idx="139">
                  <c:v>21</c:v>
                </c:pt>
                <c:pt idx="140">
                  <c:v>22.439999999999987</c:v>
                </c:pt>
                <c:pt idx="141">
                  <c:v>23</c:v>
                </c:pt>
                <c:pt idx="142">
                  <c:v>23.9</c:v>
                </c:pt>
                <c:pt idx="143">
                  <c:v>25</c:v>
                </c:pt>
                <c:pt idx="144">
                  <c:v>18.459999999999987</c:v>
                </c:pt>
                <c:pt idx="145">
                  <c:v>22.23</c:v>
                </c:pt>
                <c:pt idx="146">
                  <c:v>22.39</c:v>
                </c:pt>
                <c:pt idx="147">
                  <c:v>23</c:v>
                </c:pt>
                <c:pt idx="148">
                  <c:v>23</c:v>
                </c:pt>
                <c:pt idx="149">
                  <c:v>26</c:v>
                </c:pt>
                <c:pt idx="150">
                  <c:v>16.71</c:v>
                </c:pt>
                <c:pt idx="151">
                  <c:v>19.3</c:v>
                </c:pt>
                <c:pt idx="152">
                  <c:v>22.279999999999987</c:v>
                </c:pt>
                <c:pt idx="153">
                  <c:v>24</c:v>
                </c:pt>
                <c:pt idx="154">
                  <c:v>24.86</c:v>
                </c:pt>
                <c:pt idx="155">
                  <c:v>18.239999999999988</c:v>
                </c:pt>
                <c:pt idx="156">
                  <c:v>20.630000000000031</c:v>
                </c:pt>
                <c:pt idx="157">
                  <c:v>24.19</c:v>
                </c:pt>
                <c:pt idx="158">
                  <c:v>21.03</c:v>
                </c:pt>
                <c:pt idx="159">
                  <c:v>21.17</c:v>
                </c:pt>
                <c:pt idx="160">
                  <c:v>21.2</c:v>
                </c:pt>
                <c:pt idx="161">
                  <c:v>21.2</c:v>
                </c:pt>
                <c:pt idx="162">
                  <c:v>22.130000000000031</c:v>
                </c:pt>
                <c:pt idx="163">
                  <c:v>22.5</c:v>
                </c:pt>
                <c:pt idx="164">
                  <c:v>22.67</c:v>
                </c:pt>
                <c:pt idx="165">
                  <c:v>23</c:v>
                </c:pt>
                <c:pt idx="166">
                  <c:v>24.08</c:v>
                </c:pt>
                <c:pt idx="167">
                  <c:v>26</c:v>
                </c:pt>
                <c:pt idx="168">
                  <c:v>26</c:v>
                </c:pt>
                <c:pt idx="169">
                  <c:v>29</c:v>
                </c:pt>
                <c:pt idx="170">
                  <c:v>18.43</c:v>
                </c:pt>
                <c:pt idx="171">
                  <c:v>20</c:v>
                </c:pt>
                <c:pt idx="172">
                  <c:v>21.99</c:v>
                </c:pt>
                <c:pt idx="173">
                  <c:v>22</c:v>
                </c:pt>
                <c:pt idx="174">
                  <c:v>22.54</c:v>
                </c:pt>
                <c:pt idx="175">
                  <c:v>23.18</c:v>
                </c:pt>
                <c:pt idx="176">
                  <c:v>23.259999999999987</c:v>
                </c:pt>
                <c:pt idx="177">
                  <c:v>24</c:v>
                </c:pt>
                <c:pt idx="178">
                  <c:v>26.39</c:v>
                </c:pt>
                <c:pt idx="179">
                  <c:v>22.01</c:v>
                </c:pt>
                <c:pt idx="180">
                  <c:v>22.16</c:v>
                </c:pt>
                <c:pt idx="181">
                  <c:v>22.18</c:v>
                </c:pt>
                <c:pt idx="182">
                  <c:v>23.17</c:v>
                </c:pt>
                <c:pt idx="183">
                  <c:v>23.330000000000005</c:v>
                </c:pt>
                <c:pt idx="184">
                  <c:v>17</c:v>
                </c:pt>
                <c:pt idx="185">
                  <c:v>18.399999999999999</c:v>
                </c:pt>
                <c:pt idx="186">
                  <c:v>19.66</c:v>
                </c:pt>
                <c:pt idx="187">
                  <c:v>22.73</c:v>
                </c:pt>
                <c:pt idx="188">
                  <c:v>22.84</c:v>
                </c:pt>
                <c:pt idx="189">
                  <c:v>22.91</c:v>
                </c:pt>
                <c:pt idx="190">
                  <c:v>23</c:v>
                </c:pt>
                <c:pt idx="191">
                  <c:v>23.130000000000031</c:v>
                </c:pt>
                <c:pt idx="192">
                  <c:v>24.919999999999987</c:v>
                </c:pt>
                <c:pt idx="193">
                  <c:v>19.52</c:v>
                </c:pt>
                <c:pt idx="194">
                  <c:v>21.75</c:v>
                </c:pt>
                <c:pt idx="195">
                  <c:v>22.150000000000031</c:v>
                </c:pt>
                <c:pt idx="196">
                  <c:v>22.4</c:v>
                </c:pt>
                <c:pt idx="197">
                  <c:v>22.49</c:v>
                </c:pt>
                <c:pt idx="198">
                  <c:v>22.93</c:v>
                </c:pt>
                <c:pt idx="199">
                  <c:v>23</c:v>
                </c:pt>
                <c:pt idx="200">
                  <c:v>27.06</c:v>
                </c:pt>
                <c:pt idx="201">
                  <c:v>21.87</c:v>
                </c:pt>
                <c:pt idx="202">
                  <c:v>22</c:v>
                </c:pt>
                <c:pt idx="203">
                  <c:v>22.06</c:v>
                </c:pt>
                <c:pt idx="204">
                  <c:v>22.14</c:v>
                </c:pt>
                <c:pt idx="205">
                  <c:v>22.35</c:v>
                </c:pt>
                <c:pt idx="206">
                  <c:v>24.17</c:v>
                </c:pt>
                <c:pt idx="207">
                  <c:v>24.21</c:v>
                </c:pt>
                <c:pt idx="208">
                  <c:v>27.02</c:v>
                </c:pt>
                <c:pt idx="209">
                  <c:v>21.09</c:v>
                </c:pt>
                <c:pt idx="210">
                  <c:v>22</c:v>
                </c:pt>
                <c:pt idx="211">
                  <c:v>22</c:v>
                </c:pt>
                <c:pt idx="212">
                  <c:v>22.85</c:v>
                </c:pt>
                <c:pt idx="213">
                  <c:v>22.89</c:v>
                </c:pt>
                <c:pt idx="214">
                  <c:v>23</c:v>
                </c:pt>
                <c:pt idx="215">
                  <c:v>23</c:v>
                </c:pt>
                <c:pt idx="216">
                  <c:v>23.07</c:v>
                </c:pt>
                <c:pt idx="217">
                  <c:v>23.330000000000005</c:v>
                </c:pt>
                <c:pt idx="218">
                  <c:v>25</c:v>
                </c:pt>
                <c:pt idx="219">
                  <c:v>25.959999999999987</c:v>
                </c:pt>
                <c:pt idx="220">
                  <c:v>27.85</c:v>
                </c:pt>
                <c:pt idx="221">
                  <c:v>21.01</c:v>
                </c:pt>
                <c:pt idx="222">
                  <c:v>21.959999999999987</c:v>
                </c:pt>
                <c:pt idx="223">
                  <c:v>23.06</c:v>
                </c:pt>
                <c:pt idx="224">
                  <c:v>23.6</c:v>
                </c:pt>
                <c:pt idx="225">
                  <c:v>24</c:v>
                </c:pt>
                <c:pt idx="226">
                  <c:v>28.73</c:v>
                </c:pt>
                <c:pt idx="227">
                  <c:v>20.84</c:v>
                </c:pt>
                <c:pt idx="228">
                  <c:v>21.64</c:v>
                </c:pt>
                <c:pt idx="229">
                  <c:v>21.9</c:v>
                </c:pt>
                <c:pt idx="230">
                  <c:v>22.310000000000031</c:v>
                </c:pt>
                <c:pt idx="231">
                  <c:v>22.32</c:v>
                </c:pt>
                <c:pt idx="232">
                  <c:v>22.5</c:v>
                </c:pt>
                <c:pt idx="233">
                  <c:v>22.630000000000031</c:v>
                </c:pt>
                <c:pt idx="234">
                  <c:v>23.32</c:v>
                </c:pt>
                <c:pt idx="235">
                  <c:v>23.330000000000005</c:v>
                </c:pt>
                <c:pt idx="236">
                  <c:v>23.45</c:v>
                </c:pt>
                <c:pt idx="237">
                  <c:v>24.07</c:v>
                </c:pt>
                <c:pt idx="238">
                  <c:v>27.110000000000031</c:v>
                </c:pt>
                <c:pt idx="239">
                  <c:v>28</c:v>
                </c:pt>
                <c:pt idx="240">
                  <c:v>28.439999999999987</c:v>
                </c:pt>
                <c:pt idx="241">
                  <c:v>22.18</c:v>
                </c:pt>
                <c:pt idx="242">
                  <c:v>22.19</c:v>
                </c:pt>
                <c:pt idx="243">
                  <c:v>22.279999999999987</c:v>
                </c:pt>
                <c:pt idx="244">
                  <c:v>22.52</c:v>
                </c:pt>
                <c:pt idx="245">
                  <c:v>22.84</c:v>
                </c:pt>
                <c:pt idx="246">
                  <c:v>23.1</c:v>
                </c:pt>
                <c:pt idx="247">
                  <c:v>25.2</c:v>
                </c:pt>
                <c:pt idx="248">
                  <c:v>21.53</c:v>
                </c:pt>
                <c:pt idx="249">
                  <c:v>22.64</c:v>
                </c:pt>
                <c:pt idx="250">
                  <c:v>22.959999999999987</c:v>
                </c:pt>
                <c:pt idx="251">
                  <c:v>23</c:v>
                </c:pt>
                <c:pt idx="252">
                  <c:v>23.06</c:v>
                </c:pt>
                <c:pt idx="253">
                  <c:v>23.21</c:v>
                </c:pt>
                <c:pt idx="254">
                  <c:v>23.36</c:v>
                </c:pt>
                <c:pt idx="255">
                  <c:v>27.130000000000031</c:v>
                </c:pt>
                <c:pt idx="256">
                  <c:v>22.35</c:v>
                </c:pt>
                <c:pt idx="257">
                  <c:v>23.24</c:v>
                </c:pt>
                <c:pt idx="258">
                  <c:v>23.5</c:v>
                </c:pt>
                <c:pt idx="259">
                  <c:v>24</c:v>
                </c:pt>
                <c:pt idx="260">
                  <c:v>24.02</c:v>
                </c:pt>
                <c:pt idx="261">
                  <c:v>25.88</c:v>
                </c:pt>
                <c:pt idx="262">
                  <c:v>28.5</c:v>
                </c:pt>
                <c:pt idx="263">
                  <c:v>29</c:v>
                </c:pt>
                <c:pt idx="264">
                  <c:v>29</c:v>
                </c:pt>
                <c:pt idx="265">
                  <c:v>20.16</c:v>
                </c:pt>
                <c:pt idx="266">
                  <c:v>22.6</c:v>
                </c:pt>
                <c:pt idx="267">
                  <c:v>22.73</c:v>
                </c:pt>
                <c:pt idx="268">
                  <c:v>23.8</c:v>
                </c:pt>
                <c:pt idx="269">
                  <c:v>24</c:v>
                </c:pt>
                <c:pt idx="270">
                  <c:v>25</c:v>
                </c:pt>
                <c:pt idx="271">
                  <c:v>26.58</c:v>
                </c:pt>
                <c:pt idx="272">
                  <c:v>26.85</c:v>
                </c:pt>
                <c:pt idx="273">
                  <c:v>28.35</c:v>
                </c:pt>
                <c:pt idx="274">
                  <c:v>21.7</c:v>
                </c:pt>
                <c:pt idx="275">
                  <c:v>22.14</c:v>
                </c:pt>
                <c:pt idx="276">
                  <c:v>23</c:v>
                </c:pt>
                <c:pt idx="277">
                  <c:v>23.58</c:v>
                </c:pt>
                <c:pt idx="278">
                  <c:v>23.77</c:v>
                </c:pt>
                <c:pt idx="279">
                  <c:v>26.25</c:v>
                </c:pt>
                <c:pt idx="280">
                  <c:v>26.45</c:v>
                </c:pt>
                <c:pt idx="281">
                  <c:v>27.2</c:v>
                </c:pt>
                <c:pt idx="282">
                  <c:v>28</c:v>
                </c:pt>
                <c:pt idx="283">
                  <c:v>28.67</c:v>
                </c:pt>
                <c:pt idx="284">
                  <c:v>23.1</c:v>
                </c:pt>
                <c:pt idx="285">
                  <c:v>23.5</c:v>
                </c:pt>
                <c:pt idx="286">
                  <c:v>23.56</c:v>
                </c:pt>
                <c:pt idx="287">
                  <c:v>24.54</c:v>
                </c:pt>
                <c:pt idx="288">
                  <c:v>24.91</c:v>
                </c:pt>
                <c:pt idx="289">
                  <c:v>25.35</c:v>
                </c:pt>
                <c:pt idx="290">
                  <c:v>25.45</c:v>
                </c:pt>
                <c:pt idx="291">
                  <c:v>27</c:v>
                </c:pt>
                <c:pt idx="292">
                  <c:v>28.32</c:v>
                </c:pt>
                <c:pt idx="293">
                  <c:v>29.3</c:v>
                </c:pt>
                <c:pt idx="294">
                  <c:v>23</c:v>
                </c:pt>
                <c:pt idx="295">
                  <c:v>24.03</c:v>
                </c:pt>
                <c:pt idx="296">
                  <c:v>27</c:v>
                </c:pt>
                <c:pt idx="297">
                  <c:v>27.71</c:v>
                </c:pt>
                <c:pt idx="298">
                  <c:v>28</c:v>
                </c:pt>
                <c:pt idx="299">
                  <c:v>28.5</c:v>
                </c:pt>
                <c:pt idx="300">
                  <c:v>28.7</c:v>
                </c:pt>
                <c:pt idx="301">
                  <c:v>21.93</c:v>
                </c:pt>
                <c:pt idx="302">
                  <c:v>22.5</c:v>
                </c:pt>
                <c:pt idx="303">
                  <c:v>22.77</c:v>
                </c:pt>
                <c:pt idx="304">
                  <c:v>23</c:v>
                </c:pt>
                <c:pt idx="305">
                  <c:v>23.21</c:v>
                </c:pt>
                <c:pt idx="306">
                  <c:v>23.58</c:v>
                </c:pt>
                <c:pt idx="307">
                  <c:v>24</c:v>
                </c:pt>
                <c:pt idx="308">
                  <c:v>27</c:v>
                </c:pt>
                <c:pt idx="309">
                  <c:v>27.72</c:v>
                </c:pt>
                <c:pt idx="310">
                  <c:v>29.18</c:v>
                </c:pt>
                <c:pt idx="311">
                  <c:v>22.779999999999987</c:v>
                </c:pt>
                <c:pt idx="312">
                  <c:v>23.330000000000005</c:v>
                </c:pt>
                <c:pt idx="313">
                  <c:v>24</c:v>
                </c:pt>
                <c:pt idx="314">
                  <c:v>25.34</c:v>
                </c:pt>
                <c:pt idx="315">
                  <c:v>27.21</c:v>
                </c:pt>
                <c:pt idx="316">
                  <c:v>27.810000000000031</c:v>
                </c:pt>
                <c:pt idx="317">
                  <c:v>27.9</c:v>
                </c:pt>
                <c:pt idx="318">
                  <c:v>28</c:v>
                </c:pt>
                <c:pt idx="319">
                  <c:v>28.38</c:v>
                </c:pt>
                <c:pt idx="320">
                  <c:v>21.8</c:v>
                </c:pt>
                <c:pt idx="321">
                  <c:v>23.02</c:v>
                </c:pt>
                <c:pt idx="322">
                  <c:v>23.130000000000031</c:v>
                </c:pt>
                <c:pt idx="323">
                  <c:v>23.59</c:v>
                </c:pt>
                <c:pt idx="324">
                  <c:v>23.62</c:v>
                </c:pt>
                <c:pt idx="325">
                  <c:v>23.67</c:v>
                </c:pt>
                <c:pt idx="326">
                  <c:v>23.7</c:v>
                </c:pt>
                <c:pt idx="327">
                  <c:v>24.88</c:v>
                </c:pt>
                <c:pt idx="328">
                  <c:v>27.419999999999987</c:v>
                </c:pt>
                <c:pt idx="329">
                  <c:v>28.5</c:v>
                </c:pt>
                <c:pt idx="330">
                  <c:v>29.630000000000031</c:v>
                </c:pt>
                <c:pt idx="331">
                  <c:v>23.279999999999987</c:v>
                </c:pt>
                <c:pt idx="332">
                  <c:v>23.979999999999986</c:v>
                </c:pt>
                <c:pt idx="333">
                  <c:v>24.479999999999986</c:v>
                </c:pt>
                <c:pt idx="334">
                  <c:v>29</c:v>
                </c:pt>
                <c:pt idx="335">
                  <c:v>21.979999999999986</c:v>
                </c:pt>
                <c:pt idx="336">
                  <c:v>25.02</c:v>
                </c:pt>
                <c:pt idx="337">
                  <c:v>25.06</c:v>
                </c:pt>
                <c:pt idx="338">
                  <c:v>27.5</c:v>
                </c:pt>
                <c:pt idx="339">
                  <c:v>28.630000000000031</c:v>
                </c:pt>
                <c:pt idx="340">
                  <c:v>29.610000000000031</c:v>
                </c:pt>
                <c:pt idx="341">
                  <c:v>32.480000000000004</c:v>
                </c:pt>
                <c:pt idx="342">
                  <c:v>24.150000000000031</c:v>
                </c:pt>
                <c:pt idx="343">
                  <c:v>24.330000000000005</c:v>
                </c:pt>
                <c:pt idx="344">
                  <c:v>24.9</c:v>
                </c:pt>
                <c:pt idx="345">
                  <c:v>25.3</c:v>
                </c:pt>
                <c:pt idx="346">
                  <c:v>29.01</c:v>
                </c:pt>
                <c:pt idx="347">
                  <c:v>29.479999999999986</c:v>
                </c:pt>
                <c:pt idx="348">
                  <c:v>29.64</c:v>
                </c:pt>
                <c:pt idx="349">
                  <c:v>28.310000000000031</c:v>
                </c:pt>
                <c:pt idx="350">
                  <c:v>28.69</c:v>
                </c:pt>
                <c:pt idx="351">
                  <c:v>29.110000000000031</c:v>
                </c:pt>
                <c:pt idx="352">
                  <c:v>23.02</c:v>
                </c:pt>
                <c:pt idx="353">
                  <c:v>22.22</c:v>
                </c:pt>
                <c:pt idx="354">
                  <c:v>23.479999999999986</c:v>
                </c:pt>
                <c:pt idx="355">
                  <c:v>25.3</c:v>
                </c:pt>
                <c:pt idx="356">
                  <c:v>26</c:v>
                </c:pt>
                <c:pt idx="357">
                  <c:v>29.279999999999987</c:v>
                </c:pt>
                <c:pt idx="358">
                  <c:v>29.75</c:v>
                </c:pt>
                <c:pt idx="359">
                  <c:v>23.05</c:v>
                </c:pt>
                <c:pt idx="360">
                  <c:v>26</c:v>
                </c:pt>
                <c:pt idx="361">
                  <c:v>28.47</c:v>
                </c:pt>
                <c:pt idx="362">
                  <c:v>34</c:v>
                </c:pt>
                <c:pt idx="363">
                  <c:v>24.310000000000031</c:v>
                </c:pt>
                <c:pt idx="364">
                  <c:v>25.34</c:v>
                </c:pt>
                <c:pt idx="365">
                  <c:v>27.79</c:v>
                </c:pt>
                <c:pt idx="366">
                  <c:v>33.49</c:v>
                </c:pt>
                <c:pt idx="367">
                  <c:v>23</c:v>
                </c:pt>
                <c:pt idx="368">
                  <c:v>27.479999999999986</c:v>
                </c:pt>
                <c:pt idx="369">
                  <c:v>29.53</c:v>
                </c:pt>
                <c:pt idx="370">
                  <c:v>29.610000000000031</c:v>
                </c:pt>
                <c:pt idx="371">
                  <c:v>29.68</c:v>
                </c:pt>
                <c:pt idx="372">
                  <c:v>28.74</c:v>
                </c:pt>
                <c:pt idx="373">
                  <c:v>29.88</c:v>
                </c:pt>
                <c:pt idx="374">
                  <c:v>28.810000000000031</c:v>
                </c:pt>
                <c:pt idx="375">
                  <c:v>23.66</c:v>
                </c:pt>
                <c:pt idx="376">
                  <c:v>23.07</c:v>
                </c:pt>
                <c:pt idx="377">
                  <c:v>28.55</c:v>
                </c:pt>
                <c:pt idx="378">
                  <c:v>32.14</c:v>
                </c:pt>
                <c:pt idx="379">
                  <c:v>28.85</c:v>
                </c:pt>
                <c:pt idx="380">
                  <c:v>29.23</c:v>
                </c:pt>
              </c:numCache>
            </c:numRef>
          </c:xVal>
          <c:yVal>
            <c:numRef>
              <c:f>'C:\Documents and Settings\ebreen\Local Settings\Temporary Internet Files\Content.Outlook\5MK7BYE6\[Complete_pins_w_L_and_W_for_analysis-1 working copy.xlsx]Original'!$B$2:$B$382</c:f>
              <c:numCache>
                <c:formatCode>General</c:formatCode>
                <c:ptCount val="381"/>
                <c:pt idx="0">
                  <c:v>0.30000000000000032</c:v>
                </c:pt>
                <c:pt idx="1">
                  <c:v>0.31000000000000238</c:v>
                </c:pt>
                <c:pt idx="2">
                  <c:v>0.36000000000000032</c:v>
                </c:pt>
                <c:pt idx="3">
                  <c:v>0.38000000000000589</c:v>
                </c:pt>
                <c:pt idx="4">
                  <c:v>0.38000000000000589</c:v>
                </c:pt>
                <c:pt idx="5">
                  <c:v>0.3900000000000064</c:v>
                </c:pt>
                <c:pt idx="6">
                  <c:v>0.4</c:v>
                </c:pt>
                <c:pt idx="7">
                  <c:v>0.4</c:v>
                </c:pt>
                <c:pt idx="8">
                  <c:v>0.41000000000000031</c:v>
                </c:pt>
                <c:pt idx="9">
                  <c:v>0.41000000000000031</c:v>
                </c:pt>
                <c:pt idx="10">
                  <c:v>0.41000000000000031</c:v>
                </c:pt>
                <c:pt idx="11">
                  <c:v>0.41000000000000031</c:v>
                </c:pt>
                <c:pt idx="12">
                  <c:v>0.41000000000000031</c:v>
                </c:pt>
                <c:pt idx="13">
                  <c:v>0.42000000000000032</c:v>
                </c:pt>
                <c:pt idx="14">
                  <c:v>0.43000000000000038</c:v>
                </c:pt>
                <c:pt idx="15">
                  <c:v>0.43000000000000038</c:v>
                </c:pt>
                <c:pt idx="16">
                  <c:v>0.44</c:v>
                </c:pt>
                <c:pt idx="17">
                  <c:v>0.44</c:v>
                </c:pt>
                <c:pt idx="18">
                  <c:v>0.44</c:v>
                </c:pt>
                <c:pt idx="19">
                  <c:v>0.45</c:v>
                </c:pt>
                <c:pt idx="20">
                  <c:v>0.46</c:v>
                </c:pt>
                <c:pt idx="21">
                  <c:v>0.46</c:v>
                </c:pt>
                <c:pt idx="22">
                  <c:v>0.46</c:v>
                </c:pt>
                <c:pt idx="23">
                  <c:v>0.46</c:v>
                </c:pt>
                <c:pt idx="24">
                  <c:v>0.46</c:v>
                </c:pt>
                <c:pt idx="25">
                  <c:v>0.46</c:v>
                </c:pt>
                <c:pt idx="26">
                  <c:v>0.47000000000000008</c:v>
                </c:pt>
                <c:pt idx="27">
                  <c:v>0.47000000000000008</c:v>
                </c:pt>
                <c:pt idx="28">
                  <c:v>0.47000000000000008</c:v>
                </c:pt>
                <c:pt idx="29">
                  <c:v>0.47000000000000008</c:v>
                </c:pt>
                <c:pt idx="30">
                  <c:v>0.48000000000000032</c:v>
                </c:pt>
                <c:pt idx="31">
                  <c:v>0.48000000000000032</c:v>
                </c:pt>
                <c:pt idx="32">
                  <c:v>0.48000000000000032</c:v>
                </c:pt>
                <c:pt idx="33">
                  <c:v>0.48000000000000032</c:v>
                </c:pt>
                <c:pt idx="34">
                  <c:v>0.48000000000000032</c:v>
                </c:pt>
                <c:pt idx="35">
                  <c:v>0.48000000000000032</c:v>
                </c:pt>
                <c:pt idx="36">
                  <c:v>0.48000000000000032</c:v>
                </c:pt>
                <c:pt idx="37">
                  <c:v>0.48000000000000032</c:v>
                </c:pt>
                <c:pt idx="38">
                  <c:v>0.48000000000000032</c:v>
                </c:pt>
                <c:pt idx="39">
                  <c:v>0.49000000000000032</c:v>
                </c:pt>
                <c:pt idx="40">
                  <c:v>0.49000000000000032</c:v>
                </c:pt>
                <c:pt idx="41">
                  <c:v>0.49000000000000032</c:v>
                </c:pt>
                <c:pt idx="42">
                  <c:v>0.49000000000000032</c:v>
                </c:pt>
                <c:pt idx="43">
                  <c:v>0.49000000000000032</c:v>
                </c:pt>
                <c:pt idx="44">
                  <c:v>0.5</c:v>
                </c:pt>
                <c:pt idx="45">
                  <c:v>0.5</c:v>
                </c:pt>
                <c:pt idx="46">
                  <c:v>0.5</c:v>
                </c:pt>
                <c:pt idx="47">
                  <c:v>0.5</c:v>
                </c:pt>
                <c:pt idx="48">
                  <c:v>0.5</c:v>
                </c:pt>
                <c:pt idx="49">
                  <c:v>0.51</c:v>
                </c:pt>
                <c:pt idx="50">
                  <c:v>0.51</c:v>
                </c:pt>
                <c:pt idx="51">
                  <c:v>0.51</c:v>
                </c:pt>
                <c:pt idx="52">
                  <c:v>0.51</c:v>
                </c:pt>
                <c:pt idx="53">
                  <c:v>0.51</c:v>
                </c:pt>
                <c:pt idx="54">
                  <c:v>0.51</c:v>
                </c:pt>
                <c:pt idx="55">
                  <c:v>0.51</c:v>
                </c:pt>
                <c:pt idx="56">
                  <c:v>0.52</c:v>
                </c:pt>
                <c:pt idx="57">
                  <c:v>0.52</c:v>
                </c:pt>
                <c:pt idx="58">
                  <c:v>0.52</c:v>
                </c:pt>
                <c:pt idx="59">
                  <c:v>0.53</c:v>
                </c:pt>
                <c:pt idx="60">
                  <c:v>0.53</c:v>
                </c:pt>
                <c:pt idx="61">
                  <c:v>0.53</c:v>
                </c:pt>
                <c:pt idx="62">
                  <c:v>0.53</c:v>
                </c:pt>
                <c:pt idx="63">
                  <c:v>0.53</c:v>
                </c:pt>
                <c:pt idx="64">
                  <c:v>0.53</c:v>
                </c:pt>
                <c:pt idx="65">
                  <c:v>0.53</c:v>
                </c:pt>
                <c:pt idx="66">
                  <c:v>0.53</c:v>
                </c:pt>
                <c:pt idx="67">
                  <c:v>0.54</c:v>
                </c:pt>
                <c:pt idx="68">
                  <c:v>0.54</c:v>
                </c:pt>
                <c:pt idx="69">
                  <c:v>0.54</c:v>
                </c:pt>
                <c:pt idx="70">
                  <c:v>0.54</c:v>
                </c:pt>
                <c:pt idx="71">
                  <c:v>0.54</c:v>
                </c:pt>
                <c:pt idx="72">
                  <c:v>0.55000000000000004</c:v>
                </c:pt>
                <c:pt idx="73">
                  <c:v>0.55000000000000004</c:v>
                </c:pt>
                <c:pt idx="74">
                  <c:v>0.55000000000000004</c:v>
                </c:pt>
                <c:pt idx="75">
                  <c:v>0.55000000000000004</c:v>
                </c:pt>
                <c:pt idx="76">
                  <c:v>0.55000000000000004</c:v>
                </c:pt>
                <c:pt idx="77">
                  <c:v>0.55000000000000004</c:v>
                </c:pt>
                <c:pt idx="78">
                  <c:v>0.55000000000000004</c:v>
                </c:pt>
                <c:pt idx="79">
                  <c:v>0.55000000000000004</c:v>
                </c:pt>
                <c:pt idx="80">
                  <c:v>0.55000000000000004</c:v>
                </c:pt>
                <c:pt idx="81">
                  <c:v>0.55000000000000004</c:v>
                </c:pt>
                <c:pt idx="82">
                  <c:v>0.56000000000000005</c:v>
                </c:pt>
                <c:pt idx="83">
                  <c:v>0.56000000000000005</c:v>
                </c:pt>
                <c:pt idx="84">
                  <c:v>0.56000000000000005</c:v>
                </c:pt>
                <c:pt idx="85">
                  <c:v>0.56000000000000005</c:v>
                </c:pt>
                <c:pt idx="86">
                  <c:v>0.56000000000000005</c:v>
                </c:pt>
                <c:pt idx="87">
                  <c:v>0.56000000000000005</c:v>
                </c:pt>
                <c:pt idx="88">
                  <c:v>0.56000000000000005</c:v>
                </c:pt>
                <c:pt idx="89">
                  <c:v>0.56000000000000005</c:v>
                </c:pt>
                <c:pt idx="90">
                  <c:v>0.56000000000000005</c:v>
                </c:pt>
                <c:pt idx="91">
                  <c:v>0.56999999999999995</c:v>
                </c:pt>
                <c:pt idx="92">
                  <c:v>0.56999999999999995</c:v>
                </c:pt>
                <c:pt idx="93">
                  <c:v>0.56999999999999995</c:v>
                </c:pt>
                <c:pt idx="94">
                  <c:v>0.56999999999999995</c:v>
                </c:pt>
                <c:pt idx="95">
                  <c:v>0.56999999999999995</c:v>
                </c:pt>
                <c:pt idx="96">
                  <c:v>0.56999999999999995</c:v>
                </c:pt>
                <c:pt idx="97">
                  <c:v>0.56999999999999995</c:v>
                </c:pt>
                <c:pt idx="98">
                  <c:v>0.58000000000000007</c:v>
                </c:pt>
                <c:pt idx="99">
                  <c:v>0.58000000000000007</c:v>
                </c:pt>
                <c:pt idx="100">
                  <c:v>0.58000000000000007</c:v>
                </c:pt>
                <c:pt idx="101">
                  <c:v>0.58000000000000007</c:v>
                </c:pt>
                <c:pt idx="102">
                  <c:v>0.58000000000000007</c:v>
                </c:pt>
                <c:pt idx="103">
                  <c:v>0.58000000000000007</c:v>
                </c:pt>
                <c:pt idx="104">
                  <c:v>0.58000000000000007</c:v>
                </c:pt>
                <c:pt idx="105">
                  <c:v>0.59</c:v>
                </c:pt>
                <c:pt idx="106">
                  <c:v>0.59</c:v>
                </c:pt>
                <c:pt idx="107">
                  <c:v>0.59</c:v>
                </c:pt>
                <c:pt idx="108">
                  <c:v>0.59</c:v>
                </c:pt>
                <c:pt idx="109">
                  <c:v>0.59</c:v>
                </c:pt>
                <c:pt idx="110">
                  <c:v>0.59</c:v>
                </c:pt>
                <c:pt idx="111">
                  <c:v>0.60000000000000064</c:v>
                </c:pt>
                <c:pt idx="112">
                  <c:v>0.60000000000000064</c:v>
                </c:pt>
                <c:pt idx="113">
                  <c:v>0.60000000000000064</c:v>
                </c:pt>
                <c:pt idx="114">
                  <c:v>0.60000000000000064</c:v>
                </c:pt>
                <c:pt idx="115">
                  <c:v>0.60000000000000064</c:v>
                </c:pt>
                <c:pt idx="116">
                  <c:v>0.60000000000000064</c:v>
                </c:pt>
                <c:pt idx="117">
                  <c:v>0.60000000000000064</c:v>
                </c:pt>
                <c:pt idx="118">
                  <c:v>0.60000000000000064</c:v>
                </c:pt>
                <c:pt idx="119">
                  <c:v>0.60000000000000064</c:v>
                </c:pt>
                <c:pt idx="120">
                  <c:v>0.61000000000000065</c:v>
                </c:pt>
                <c:pt idx="121">
                  <c:v>0.61000000000000065</c:v>
                </c:pt>
                <c:pt idx="122">
                  <c:v>0.61000000000000065</c:v>
                </c:pt>
                <c:pt idx="123">
                  <c:v>0.61000000000000065</c:v>
                </c:pt>
                <c:pt idx="124">
                  <c:v>0.61000000000000065</c:v>
                </c:pt>
                <c:pt idx="125">
                  <c:v>0.61000000000000065</c:v>
                </c:pt>
                <c:pt idx="126">
                  <c:v>0.61000000000000065</c:v>
                </c:pt>
                <c:pt idx="127">
                  <c:v>0.61000000000000065</c:v>
                </c:pt>
                <c:pt idx="128">
                  <c:v>0.61000000000000065</c:v>
                </c:pt>
                <c:pt idx="129">
                  <c:v>0.61000000000000065</c:v>
                </c:pt>
                <c:pt idx="130">
                  <c:v>0.61000000000000065</c:v>
                </c:pt>
                <c:pt idx="131">
                  <c:v>0.61000000000000065</c:v>
                </c:pt>
                <c:pt idx="132">
                  <c:v>0.61000000000000065</c:v>
                </c:pt>
                <c:pt idx="133">
                  <c:v>0.61000000000000065</c:v>
                </c:pt>
                <c:pt idx="134">
                  <c:v>0.61000000000000065</c:v>
                </c:pt>
                <c:pt idx="135">
                  <c:v>0.62000000000000965</c:v>
                </c:pt>
                <c:pt idx="136">
                  <c:v>0.62000000000000965</c:v>
                </c:pt>
                <c:pt idx="137">
                  <c:v>0.62000000000000965</c:v>
                </c:pt>
                <c:pt idx="138">
                  <c:v>0.62000000000000965</c:v>
                </c:pt>
                <c:pt idx="139">
                  <c:v>0.62000000000000965</c:v>
                </c:pt>
                <c:pt idx="140">
                  <c:v>0.62000000000000965</c:v>
                </c:pt>
                <c:pt idx="141">
                  <c:v>0.62000000000000965</c:v>
                </c:pt>
                <c:pt idx="142">
                  <c:v>0.62000000000000965</c:v>
                </c:pt>
                <c:pt idx="143">
                  <c:v>0.62000000000000965</c:v>
                </c:pt>
                <c:pt idx="144">
                  <c:v>0.63000000000001199</c:v>
                </c:pt>
                <c:pt idx="145">
                  <c:v>0.63000000000001199</c:v>
                </c:pt>
                <c:pt idx="146">
                  <c:v>0.63000000000001199</c:v>
                </c:pt>
                <c:pt idx="147">
                  <c:v>0.63000000000001199</c:v>
                </c:pt>
                <c:pt idx="148">
                  <c:v>0.63000000000001199</c:v>
                </c:pt>
                <c:pt idx="149">
                  <c:v>0.63000000000001199</c:v>
                </c:pt>
                <c:pt idx="150">
                  <c:v>0.64000000000001278</c:v>
                </c:pt>
                <c:pt idx="151">
                  <c:v>0.64000000000001278</c:v>
                </c:pt>
                <c:pt idx="152">
                  <c:v>0.64000000000001278</c:v>
                </c:pt>
                <c:pt idx="153">
                  <c:v>0.64000000000001278</c:v>
                </c:pt>
                <c:pt idx="154">
                  <c:v>0.64000000000001278</c:v>
                </c:pt>
                <c:pt idx="155">
                  <c:v>0.6500000000000129</c:v>
                </c:pt>
                <c:pt idx="156">
                  <c:v>0.6500000000000129</c:v>
                </c:pt>
                <c:pt idx="157">
                  <c:v>0.6500000000000129</c:v>
                </c:pt>
                <c:pt idx="158">
                  <c:v>0.66000000000001424</c:v>
                </c:pt>
                <c:pt idx="159">
                  <c:v>0.66000000000001424</c:v>
                </c:pt>
                <c:pt idx="160">
                  <c:v>0.66000000000001424</c:v>
                </c:pt>
                <c:pt idx="161">
                  <c:v>0.66000000000001424</c:v>
                </c:pt>
                <c:pt idx="162">
                  <c:v>0.66000000000001424</c:v>
                </c:pt>
                <c:pt idx="163">
                  <c:v>0.66000000000001424</c:v>
                </c:pt>
                <c:pt idx="164">
                  <c:v>0.66000000000001424</c:v>
                </c:pt>
                <c:pt idx="165">
                  <c:v>0.66000000000001424</c:v>
                </c:pt>
                <c:pt idx="166">
                  <c:v>0.66000000000001424</c:v>
                </c:pt>
                <c:pt idx="167">
                  <c:v>0.66000000000001424</c:v>
                </c:pt>
                <c:pt idx="168">
                  <c:v>0.66000000000001424</c:v>
                </c:pt>
                <c:pt idx="169">
                  <c:v>0.66000000000001424</c:v>
                </c:pt>
                <c:pt idx="170">
                  <c:v>0.67000000000001458</c:v>
                </c:pt>
                <c:pt idx="171">
                  <c:v>0.67000000000001458</c:v>
                </c:pt>
                <c:pt idx="172">
                  <c:v>0.67000000000001458</c:v>
                </c:pt>
                <c:pt idx="173">
                  <c:v>0.67000000000001458</c:v>
                </c:pt>
                <c:pt idx="174">
                  <c:v>0.67000000000001458</c:v>
                </c:pt>
                <c:pt idx="175">
                  <c:v>0.67000000000001458</c:v>
                </c:pt>
                <c:pt idx="176">
                  <c:v>0.67000000000001458</c:v>
                </c:pt>
                <c:pt idx="177">
                  <c:v>0.67000000000001458</c:v>
                </c:pt>
                <c:pt idx="178">
                  <c:v>0.67000000000001458</c:v>
                </c:pt>
                <c:pt idx="179">
                  <c:v>0.68</c:v>
                </c:pt>
                <c:pt idx="180">
                  <c:v>0.68</c:v>
                </c:pt>
                <c:pt idx="181">
                  <c:v>0.68</c:v>
                </c:pt>
                <c:pt idx="182">
                  <c:v>0.68</c:v>
                </c:pt>
                <c:pt idx="183">
                  <c:v>0.68</c:v>
                </c:pt>
                <c:pt idx="184">
                  <c:v>0.69000000000000061</c:v>
                </c:pt>
                <c:pt idx="185">
                  <c:v>0.69000000000000061</c:v>
                </c:pt>
                <c:pt idx="186">
                  <c:v>0.69000000000000061</c:v>
                </c:pt>
                <c:pt idx="187">
                  <c:v>0.69000000000000061</c:v>
                </c:pt>
                <c:pt idx="188">
                  <c:v>0.69000000000000061</c:v>
                </c:pt>
                <c:pt idx="189">
                  <c:v>0.69000000000000061</c:v>
                </c:pt>
                <c:pt idx="190">
                  <c:v>0.69000000000000061</c:v>
                </c:pt>
                <c:pt idx="191">
                  <c:v>0.69000000000000061</c:v>
                </c:pt>
                <c:pt idx="192">
                  <c:v>0.69000000000000061</c:v>
                </c:pt>
                <c:pt idx="193">
                  <c:v>0.70000000000000062</c:v>
                </c:pt>
                <c:pt idx="194">
                  <c:v>0.70000000000000062</c:v>
                </c:pt>
                <c:pt idx="195">
                  <c:v>0.70000000000000062</c:v>
                </c:pt>
                <c:pt idx="196">
                  <c:v>0.70000000000000062</c:v>
                </c:pt>
                <c:pt idx="197">
                  <c:v>0.70000000000000062</c:v>
                </c:pt>
                <c:pt idx="198">
                  <c:v>0.70000000000000062</c:v>
                </c:pt>
                <c:pt idx="199">
                  <c:v>0.70000000000000062</c:v>
                </c:pt>
                <c:pt idx="200">
                  <c:v>0.70000000000000062</c:v>
                </c:pt>
                <c:pt idx="201">
                  <c:v>0.71000000000000063</c:v>
                </c:pt>
                <c:pt idx="202">
                  <c:v>0.71000000000000063</c:v>
                </c:pt>
                <c:pt idx="203">
                  <c:v>0.71000000000000063</c:v>
                </c:pt>
                <c:pt idx="204">
                  <c:v>0.71000000000000063</c:v>
                </c:pt>
                <c:pt idx="205">
                  <c:v>0.71000000000000063</c:v>
                </c:pt>
                <c:pt idx="206">
                  <c:v>0.71000000000000063</c:v>
                </c:pt>
                <c:pt idx="207">
                  <c:v>0.71000000000000063</c:v>
                </c:pt>
                <c:pt idx="208">
                  <c:v>0.71000000000000063</c:v>
                </c:pt>
                <c:pt idx="209">
                  <c:v>0.72000000000000064</c:v>
                </c:pt>
                <c:pt idx="210">
                  <c:v>0.72000000000000064</c:v>
                </c:pt>
                <c:pt idx="211">
                  <c:v>0.72000000000000064</c:v>
                </c:pt>
                <c:pt idx="212">
                  <c:v>0.72000000000000064</c:v>
                </c:pt>
                <c:pt idx="213">
                  <c:v>0.72000000000000064</c:v>
                </c:pt>
                <c:pt idx="214">
                  <c:v>0.72000000000000064</c:v>
                </c:pt>
                <c:pt idx="215">
                  <c:v>0.72000000000000064</c:v>
                </c:pt>
                <c:pt idx="216">
                  <c:v>0.72000000000000064</c:v>
                </c:pt>
                <c:pt idx="217">
                  <c:v>0.72000000000000064</c:v>
                </c:pt>
                <c:pt idx="218">
                  <c:v>0.72000000000000064</c:v>
                </c:pt>
                <c:pt idx="219">
                  <c:v>0.72000000000000064</c:v>
                </c:pt>
                <c:pt idx="220">
                  <c:v>0.72000000000000064</c:v>
                </c:pt>
                <c:pt idx="221">
                  <c:v>0.73000000000000065</c:v>
                </c:pt>
                <c:pt idx="222">
                  <c:v>0.73000000000000065</c:v>
                </c:pt>
                <c:pt idx="223">
                  <c:v>0.73000000000000065</c:v>
                </c:pt>
                <c:pt idx="224">
                  <c:v>0.73000000000000065</c:v>
                </c:pt>
                <c:pt idx="225">
                  <c:v>0.73000000000000065</c:v>
                </c:pt>
                <c:pt idx="226">
                  <c:v>0.73000000000000065</c:v>
                </c:pt>
                <c:pt idx="227">
                  <c:v>0.74000000000000365</c:v>
                </c:pt>
                <c:pt idx="228">
                  <c:v>0.74000000000000365</c:v>
                </c:pt>
                <c:pt idx="229">
                  <c:v>0.74000000000000365</c:v>
                </c:pt>
                <c:pt idx="230">
                  <c:v>0.74000000000000365</c:v>
                </c:pt>
                <c:pt idx="231">
                  <c:v>0.74000000000000365</c:v>
                </c:pt>
                <c:pt idx="232">
                  <c:v>0.74000000000000365</c:v>
                </c:pt>
                <c:pt idx="233">
                  <c:v>0.74000000000000365</c:v>
                </c:pt>
                <c:pt idx="234">
                  <c:v>0.74000000000000365</c:v>
                </c:pt>
                <c:pt idx="235">
                  <c:v>0.74000000000000365</c:v>
                </c:pt>
                <c:pt idx="236">
                  <c:v>0.74000000000000365</c:v>
                </c:pt>
                <c:pt idx="237">
                  <c:v>0.74000000000000365</c:v>
                </c:pt>
                <c:pt idx="238">
                  <c:v>0.74000000000000365</c:v>
                </c:pt>
                <c:pt idx="239">
                  <c:v>0.74000000000000365</c:v>
                </c:pt>
                <c:pt idx="240">
                  <c:v>0.74000000000000365</c:v>
                </c:pt>
                <c:pt idx="241">
                  <c:v>0.75000000000001144</c:v>
                </c:pt>
                <c:pt idx="242">
                  <c:v>0.75000000000001144</c:v>
                </c:pt>
                <c:pt idx="243">
                  <c:v>0.75000000000001144</c:v>
                </c:pt>
                <c:pt idx="244">
                  <c:v>0.75000000000001144</c:v>
                </c:pt>
                <c:pt idx="245">
                  <c:v>0.75000000000001144</c:v>
                </c:pt>
                <c:pt idx="246">
                  <c:v>0.75000000000001144</c:v>
                </c:pt>
                <c:pt idx="247">
                  <c:v>0.75000000000001144</c:v>
                </c:pt>
                <c:pt idx="248">
                  <c:v>0.76000000000001267</c:v>
                </c:pt>
                <c:pt idx="249">
                  <c:v>0.76000000000001267</c:v>
                </c:pt>
                <c:pt idx="250">
                  <c:v>0.76000000000001267</c:v>
                </c:pt>
                <c:pt idx="251">
                  <c:v>0.76000000000001267</c:v>
                </c:pt>
                <c:pt idx="252">
                  <c:v>0.76000000000001267</c:v>
                </c:pt>
                <c:pt idx="253">
                  <c:v>0.76000000000001267</c:v>
                </c:pt>
                <c:pt idx="254">
                  <c:v>0.76000000000001267</c:v>
                </c:pt>
                <c:pt idx="255">
                  <c:v>0.76000000000001267</c:v>
                </c:pt>
                <c:pt idx="256">
                  <c:v>0.77000000000001279</c:v>
                </c:pt>
                <c:pt idx="257">
                  <c:v>0.77000000000001279</c:v>
                </c:pt>
                <c:pt idx="258">
                  <c:v>0.77000000000001279</c:v>
                </c:pt>
                <c:pt idx="259">
                  <c:v>0.77000000000001279</c:v>
                </c:pt>
                <c:pt idx="260">
                  <c:v>0.77000000000001279</c:v>
                </c:pt>
                <c:pt idx="261">
                  <c:v>0.77000000000001279</c:v>
                </c:pt>
                <c:pt idx="262">
                  <c:v>0.77000000000001279</c:v>
                </c:pt>
                <c:pt idx="263">
                  <c:v>0.77000000000001279</c:v>
                </c:pt>
                <c:pt idx="264">
                  <c:v>0.77000000000001279</c:v>
                </c:pt>
                <c:pt idx="265">
                  <c:v>0.78</c:v>
                </c:pt>
                <c:pt idx="266">
                  <c:v>0.78</c:v>
                </c:pt>
                <c:pt idx="267">
                  <c:v>0.78</c:v>
                </c:pt>
                <c:pt idx="268">
                  <c:v>0.78</c:v>
                </c:pt>
                <c:pt idx="269">
                  <c:v>0.78</c:v>
                </c:pt>
                <c:pt idx="270">
                  <c:v>0.78</c:v>
                </c:pt>
                <c:pt idx="271">
                  <c:v>0.78</c:v>
                </c:pt>
                <c:pt idx="272">
                  <c:v>0.78</c:v>
                </c:pt>
                <c:pt idx="273">
                  <c:v>0.78</c:v>
                </c:pt>
                <c:pt idx="274">
                  <c:v>0.79</c:v>
                </c:pt>
                <c:pt idx="275">
                  <c:v>0.79</c:v>
                </c:pt>
                <c:pt idx="276">
                  <c:v>0.79</c:v>
                </c:pt>
                <c:pt idx="277">
                  <c:v>0.79</c:v>
                </c:pt>
                <c:pt idx="278">
                  <c:v>0.79</c:v>
                </c:pt>
                <c:pt idx="279">
                  <c:v>0.79</c:v>
                </c:pt>
                <c:pt idx="280">
                  <c:v>0.79</c:v>
                </c:pt>
                <c:pt idx="281">
                  <c:v>0.79</c:v>
                </c:pt>
                <c:pt idx="282">
                  <c:v>0.79</c:v>
                </c:pt>
                <c:pt idx="283">
                  <c:v>0.79</c:v>
                </c:pt>
                <c:pt idx="284">
                  <c:v>0.8</c:v>
                </c:pt>
                <c:pt idx="285">
                  <c:v>0.8</c:v>
                </c:pt>
                <c:pt idx="286">
                  <c:v>0.8</c:v>
                </c:pt>
                <c:pt idx="287">
                  <c:v>0.8</c:v>
                </c:pt>
                <c:pt idx="288">
                  <c:v>0.8</c:v>
                </c:pt>
                <c:pt idx="289">
                  <c:v>0.8</c:v>
                </c:pt>
                <c:pt idx="290">
                  <c:v>0.8</c:v>
                </c:pt>
                <c:pt idx="291">
                  <c:v>0.8</c:v>
                </c:pt>
                <c:pt idx="292">
                  <c:v>0.8</c:v>
                </c:pt>
                <c:pt idx="293">
                  <c:v>0.8</c:v>
                </c:pt>
                <c:pt idx="294">
                  <c:v>0.81</c:v>
                </c:pt>
                <c:pt idx="295">
                  <c:v>0.81</c:v>
                </c:pt>
                <c:pt idx="296">
                  <c:v>0.81</c:v>
                </c:pt>
                <c:pt idx="297">
                  <c:v>0.81</c:v>
                </c:pt>
                <c:pt idx="298">
                  <c:v>0.81</c:v>
                </c:pt>
                <c:pt idx="299">
                  <c:v>0.81</c:v>
                </c:pt>
                <c:pt idx="300">
                  <c:v>0.81</c:v>
                </c:pt>
                <c:pt idx="301">
                  <c:v>0.82000000000000062</c:v>
                </c:pt>
                <c:pt idx="302">
                  <c:v>0.82000000000000062</c:v>
                </c:pt>
                <c:pt idx="303">
                  <c:v>0.82000000000000062</c:v>
                </c:pt>
                <c:pt idx="304">
                  <c:v>0.82000000000000062</c:v>
                </c:pt>
                <c:pt idx="305">
                  <c:v>0.82000000000000062</c:v>
                </c:pt>
                <c:pt idx="306">
                  <c:v>0.82000000000000062</c:v>
                </c:pt>
                <c:pt idx="307">
                  <c:v>0.82000000000000062</c:v>
                </c:pt>
                <c:pt idx="308">
                  <c:v>0.82000000000000062</c:v>
                </c:pt>
                <c:pt idx="309">
                  <c:v>0.82000000000000062</c:v>
                </c:pt>
                <c:pt idx="310">
                  <c:v>0.82000000000000062</c:v>
                </c:pt>
                <c:pt idx="311">
                  <c:v>0.83000000000000063</c:v>
                </c:pt>
                <c:pt idx="312">
                  <c:v>0.83000000000000063</c:v>
                </c:pt>
                <c:pt idx="313">
                  <c:v>0.83000000000000063</c:v>
                </c:pt>
                <c:pt idx="314">
                  <c:v>0.83000000000000063</c:v>
                </c:pt>
                <c:pt idx="315">
                  <c:v>0.83000000000000063</c:v>
                </c:pt>
                <c:pt idx="316">
                  <c:v>0.83000000000000063</c:v>
                </c:pt>
                <c:pt idx="317">
                  <c:v>0.83000000000000063</c:v>
                </c:pt>
                <c:pt idx="318">
                  <c:v>0.83000000000000063</c:v>
                </c:pt>
                <c:pt idx="319">
                  <c:v>0.83000000000000063</c:v>
                </c:pt>
                <c:pt idx="320">
                  <c:v>0.84000000000000064</c:v>
                </c:pt>
                <c:pt idx="321">
                  <c:v>0.84000000000000064</c:v>
                </c:pt>
                <c:pt idx="322">
                  <c:v>0.84000000000000064</c:v>
                </c:pt>
                <c:pt idx="323">
                  <c:v>0.84000000000000064</c:v>
                </c:pt>
                <c:pt idx="324">
                  <c:v>0.84000000000000064</c:v>
                </c:pt>
                <c:pt idx="325">
                  <c:v>0.84000000000000064</c:v>
                </c:pt>
                <c:pt idx="326">
                  <c:v>0.84000000000000064</c:v>
                </c:pt>
                <c:pt idx="327">
                  <c:v>0.84000000000000064</c:v>
                </c:pt>
                <c:pt idx="328">
                  <c:v>0.84000000000000064</c:v>
                </c:pt>
                <c:pt idx="329">
                  <c:v>0.84000000000000064</c:v>
                </c:pt>
                <c:pt idx="330">
                  <c:v>0.84000000000000064</c:v>
                </c:pt>
                <c:pt idx="331">
                  <c:v>0.85000000000000064</c:v>
                </c:pt>
                <c:pt idx="332">
                  <c:v>0.85000000000000064</c:v>
                </c:pt>
                <c:pt idx="333">
                  <c:v>0.85000000000000064</c:v>
                </c:pt>
                <c:pt idx="334">
                  <c:v>0.85000000000000064</c:v>
                </c:pt>
                <c:pt idx="335">
                  <c:v>0.86000000000000065</c:v>
                </c:pt>
                <c:pt idx="336">
                  <c:v>0.86000000000000065</c:v>
                </c:pt>
                <c:pt idx="337">
                  <c:v>0.86000000000000065</c:v>
                </c:pt>
                <c:pt idx="338">
                  <c:v>0.86000000000000065</c:v>
                </c:pt>
                <c:pt idx="339">
                  <c:v>0.86000000000000065</c:v>
                </c:pt>
                <c:pt idx="340">
                  <c:v>0.86000000000000065</c:v>
                </c:pt>
                <c:pt idx="341">
                  <c:v>0.86000000000000065</c:v>
                </c:pt>
                <c:pt idx="342">
                  <c:v>0.87000000000000965</c:v>
                </c:pt>
                <c:pt idx="343">
                  <c:v>0.87000000000000965</c:v>
                </c:pt>
                <c:pt idx="344">
                  <c:v>0.87000000000000965</c:v>
                </c:pt>
                <c:pt idx="345">
                  <c:v>0.87000000000000965</c:v>
                </c:pt>
                <c:pt idx="346">
                  <c:v>0.87000000000000965</c:v>
                </c:pt>
                <c:pt idx="347">
                  <c:v>0.87000000000000965</c:v>
                </c:pt>
                <c:pt idx="348">
                  <c:v>0.87000000000000965</c:v>
                </c:pt>
                <c:pt idx="349">
                  <c:v>0.88</c:v>
                </c:pt>
                <c:pt idx="350">
                  <c:v>0.88</c:v>
                </c:pt>
                <c:pt idx="351">
                  <c:v>0.88</c:v>
                </c:pt>
                <c:pt idx="352">
                  <c:v>0.89</c:v>
                </c:pt>
                <c:pt idx="353">
                  <c:v>0.9</c:v>
                </c:pt>
                <c:pt idx="354">
                  <c:v>0.9</c:v>
                </c:pt>
                <c:pt idx="355">
                  <c:v>0.9</c:v>
                </c:pt>
                <c:pt idx="356">
                  <c:v>0.9</c:v>
                </c:pt>
                <c:pt idx="357">
                  <c:v>0.9</c:v>
                </c:pt>
                <c:pt idx="358">
                  <c:v>0.9</c:v>
                </c:pt>
                <c:pt idx="359">
                  <c:v>0.91</c:v>
                </c:pt>
                <c:pt idx="360">
                  <c:v>0.91</c:v>
                </c:pt>
                <c:pt idx="361">
                  <c:v>0.92</c:v>
                </c:pt>
                <c:pt idx="362">
                  <c:v>0.92</c:v>
                </c:pt>
                <c:pt idx="363">
                  <c:v>0.93</c:v>
                </c:pt>
                <c:pt idx="364">
                  <c:v>0.93</c:v>
                </c:pt>
                <c:pt idx="365">
                  <c:v>0.93</c:v>
                </c:pt>
                <c:pt idx="366">
                  <c:v>0.93</c:v>
                </c:pt>
                <c:pt idx="367">
                  <c:v>0.94000000000000061</c:v>
                </c:pt>
                <c:pt idx="368">
                  <c:v>0.94000000000000061</c:v>
                </c:pt>
                <c:pt idx="369">
                  <c:v>0.95000000000000062</c:v>
                </c:pt>
                <c:pt idx="370">
                  <c:v>0.95000000000000062</c:v>
                </c:pt>
                <c:pt idx="371">
                  <c:v>0.95000000000000062</c:v>
                </c:pt>
                <c:pt idx="372">
                  <c:v>0.97000000000000064</c:v>
                </c:pt>
                <c:pt idx="373">
                  <c:v>0.97000000000000064</c:v>
                </c:pt>
                <c:pt idx="374">
                  <c:v>0.98</c:v>
                </c:pt>
                <c:pt idx="375">
                  <c:v>0.99</c:v>
                </c:pt>
                <c:pt idx="376">
                  <c:v>1.03</c:v>
                </c:pt>
                <c:pt idx="377">
                  <c:v>1.03</c:v>
                </c:pt>
                <c:pt idx="378">
                  <c:v>1.04</c:v>
                </c:pt>
                <c:pt idx="379">
                  <c:v>1.1000000000000001</c:v>
                </c:pt>
                <c:pt idx="380">
                  <c:v>1.1299999999999746</c:v>
                </c:pt>
              </c:numCache>
            </c:numRef>
          </c:yVal>
        </c:ser>
        <c:axId val="84091648"/>
        <c:axId val="84093568"/>
      </c:scatterChart>
      <c:valAx>
        <c:axId val="84091648"/>
        <c:scaling>
          <c:orientation val="minMax"/>
          <c:min val="10"/>
        </c:scaling>
        <c:axPos val="b"/>
        <c:title>
          <c:tx>
            <c:rich>
              <a:bodyPr/>
              <a:lstStyle/>
              <a:p>
                <a:pPr>
                  <a:defRPr/>
                </a:pPr>
                <a:r>
                  <a:rPr lang="en-US"/>
                  <a:t>Length (mm)</a:t>
                </a:r>
              </a:p>
            </c:rich>
          </c:tx>
          <c:layout/>
        </c:title>
        <c:numFmt formatCode="General" sourceLinked="1"/>
        <c:tickLblPos val="nextTo"/>
        <c:crossAx val="84093568"/>
        <c:crosses val="autoZero"/>
        <c:crossBetween val="midCat"/>
        <c:majorUnit val="1"/>
      </c:valAx>
      <c:valAx>
        <c:axId val="84093568"/>
        <c:scaling>
          <c:orientation val="minMax"/>
        </c:scaling>
        <c:axPos val="l"/>
        <c:title>
          <c:tx>
            <c:rich>
              <a:bodyPr rot="-5400000" vert="horz"/>
              <a:lstStyle/>
              <a:p>
                <a:pPr>
                  <a:defRPr/>
                </a:pPr>
                <a:r>
                  <a:rPr lang="en-US"/>
                  <a:t>Width (mm)</a:t>
                </a:r>
              </a:p>
            </c:rich>
          </c:tx>
          <c:layout/>
        </c:title>
        <c:numFmt formatCode="General" sourceLinked="1"/>
        <c:tickLblPos val="nextTo"/>
        <c:crossAx val="84091648"/>
        <c:crosses val="autoZero"/>
        <c:crossBetween val="midCat"/>
        <c:majorUnit val="0.1"/>
      </c:valAx>
    </c:plotArea>
    <c:plotVisOnly val="1"/>
  </c:chart>
  <c:spPr>
    <a:ln>
      <a:noFill/>
    </a:ln>
  </c:spPr>
  <c:txPr>
    <a:bodyPr/>
    <a:lstStyle/>
    <a:p>
      <a:pPr>
        <a:defRPr>
          <a:latin typeface="Arial" pitchFamily="34" charset="0"/>
          <a:cs typeface="Arial" pitchFamily="34" charset="0"/>
        </a:defRPr>
      </a:pPr>
      <a:endParaRPr lang="en-US"/>
    </a:p>
  </c:txPr>
  <c:externalData r:id="rId1"/>
  <c:userShapes r:id="rId2"/>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1"/>
          <c:order val="0"/>
          <c:spPr>
            <a:solidFill>
              <a:schemeClr val="accent1"/>
            </a:solidFill>
          </c:spPr>
          <c:cat>
            <c:numRef>
              <c:f>'figure 7-sgmpinhist'!$A$1:$A$45</c:f>
              <c:numCache>
                <c:formatCode>General</c:formatCode>
                <c:ptCount val="45"/>
                <c:pt idx="0">
                  <c:v>13</c:v>
                </c:pt>
                <c:pt idx="1">
                  <c:v>13.5</c:v>
                </c:pt>
                <c:pt idx="2">
                  <c:v>14</c:v>
                </c:pt>
                <c:pt idx="3">
                  <c:v>14.5</c:v>
                </c:pt>
                <c:pt idx="4">
                  <c:v>15</c:v>
                </c:pt>
                <c:pt idx="5">
                  <c:v>15.5</c:v>
                </c:pt>
                <c:pt idx="6">
                  <c:v>16</c:v>
                </c:pt>
                <c:pt idx="7">
                  <c:v>16.5</c:v>
                </c:pt>
                <c:pt idx="8">
                  <c:v>17</c:v>
                </c:pt>
                <c:pt idx="9">
                  <c:v>17.5</c:v>
                </c:pt>
                <c:pt idx="10">
                  <c:v>18</c:v>
                </c:pt>
                <c:pt idx="11">
                  <c:v>18.5</c:v>
                </c:pt>
                <c:pt idx="12">
                  <c:v>19</c:v>
                </c:pt>
                <c:pt idx="13">
                  <c:v>19.5</c:v>
                </c:pt>
                <c:pt idx="14">
                  <c:v>20</c:v>
                </c:pt>
                <c:pt idx="15">
                  <c:v>20.5</c:v>
                </c:pt>
                <c:pt idx="16">
                  <c:v>21</c:v>
                </c:pt>
                <c:pt idx="17">
                  <c:v>21.5</c:v>
                </c:pt>
                <c:pt idx="18">
                  <c:v>22</c:v>
                </c:pt>
                <c:pt idx="19">
                  <c:v>22.5</c:v>
                </c:pt>
                <c:pt idx="20">
                  <c:v>23</c:v>
                </c:pt>
                <c:pt idx="21">
                  <c:v>23.5</c:v>
                </c:pt>
                <c:pt idx="22">
                  <c:v>24</c:v>
                </c:pt>
                <c:pt idx="23">
                  <c:v>24.5</c:v>
                </c:pt>
                <c:pt idx="24">
                  <c:v>25</c:v>
                </c:pt>
                <c:pt idx="25">
                  <c:v>25.5</c:v>
                </c:pt>
                <c:pt idx="26">
                  <c:v>26</c:v>
                </c:pt>
                <c:pt idx="27">
                  <c:v>26.5</c:v>
                </c:pt>
                <c:pt idx="28">
                  <c:v>27</c:v>
                </c:pt>
                <c:pt idx="29">
                  <c:v>27.5</c:v>
                </c:pt>
                <c:pt idx="30">
                  <c:v>28</c:v>
                </c:pt>
                <c:pt idx="31">
                  <c:v>28.5</c:v>
                </c:pt>
                <c:pt idx="32">
                  <c:v>29</c:v>
                </c:pt>
                <c:pt idx="33">
                  <c:v>29.5</c:v>
                </c:pt>
                <c:pt idx="34">
                  <c:v>30</c:v>
                </c:pt>
                <c:pt idx="35">
                  <c:v>30.5</c:v>
                </c:pt>
                <c:pt idx="36">
                  <c:v>31</c:v>
                </c:pt>
                <c:pt idx="37">
                  <c:v>31.5</c:v>
                </c:pt>
                <c:pt idx="38">
                  <c:v>32</c:v>
                </c:pt>
                <c:pt idx="39">
                  <c:v>32.5</c:v>
                </c:pt>
                <c:pt idx="40">
                  <c:v>33</c:v>
                </c:pt>
                <c:pt idx="41">
                  <c:v>33.5</c:v>
                </c:pt>
                <c:pt idx="42">
                  <c:v>34</c:v>
                </c:pt>
                <c:pt idx="43">
                  <c:v>34.5</c:v>
                </c:pt>
                <c:pt idx="44">
                  <c:v>35</c:v>
                </c:pt>
              </c:numCache>
            </c:numRef>
          </c:cat>
          <c:val>
            <c:numRef>
              <c:f>'figure 7-sgmpinhist'!$B$1:$B$45</c:f>
              <c:numCache>
                <c:formatCode>General</c:formatCode>
                <c:ptCount val="45"/>
                <c:pt idx="0">
                  <c:v>0</c:v>
                </c:pt>
                <c:pt idx="1">
                  <c:v>2</c:v>
                </c:pt>
                <c:pt idx="2">
                  <c:v>0</c:v>
                </c:pt>
                <c:pt idx="3">
                  <c:v>0</c:v>
                </c:pt>
                <c:pt idx="4">
                  <c:v>0</c:v>
                </c:pt>
                <c:pt idx="5">
                  <c:v>1</c:v>
                </c:pt>
                <c:pt idx="6">
                  <c:v>0</c:v>
                </c:pt>
                <c:pt idx="7">
                  <c:v>3</c:v>
                </c:pt>
                <c:pt idx="8">
                  <c:v>10</c:v>
                </c:pt>
                <c:pt idx="9">
                  <c:v>13</c:v>
                </c:pt>
                <c:pt idx="10">
                  <c:v>25</c:v>
                </c:pt>
                <c:pt idx="11">
                  <c:v>26</c:v>
                </c:pt>
                <c:pt idx="12">
                  <c:v>10</c:v>
                </c:pt>
                <c:pt idx="13">
                  <c:v>9</c:v>
                </c:pt>
                <c:pt idx="14">
                  <c:v>9</c:v>
                </c:pt>
                <c:pt idx="15">
                  <c:v>4</c:v>
                </c:pt>
                <c:pt idx="16">
                  <c:v>6</c:v>
                </c:pt>
                <c:pt idx="17">
                  <c:v>8</c:v>
                </c:pt>
                <c:pt idx="18">
                  <c:v>20</c:v>
                </c:pt>
                <c:pt idx="19">
                  <c:v>31</c:v>
                </c:pt>
                <c:pt idx="20">
                  <c:v>42</c:v>
                </c:pt>
                <c:pt idx="21">
                  <c:v>32</c:v>
                </c:pt>
                <c:pt idx="22">
                  <c:v>24</c:v>
                </c:pt>
                <c:pt idx="23">
                  <c:v>11</c:v>
                </c:pt>
                <c:pt idx="24">
                  <c:v>10</c:v>
                </c:pt>
                <c:pt idx="25">
                  <c:v>9</c:v>
                </c:pt>
                <c:pt idx="26">
                  <c:v>8</c:v>
                </c:pt>
                <c:pt idx="27">
                  <c:v>4</c:v>
                </c:pt>
                <c:pt idx="28">
                  <c:v>4</c:v>
                </c:pt>
                <c:pt idx="29">
                  <c:v>9</c:v>
                </c:pt>
                <c:pt idx="30">
                  <c:v>10</c:v>
                </c:pt>
                <c:pt idx="31">
                  <c:v>9</c:v>
                </c:pt>
                <c:pt idx="32">
                  <c:v>13</c:v>
                </c:pt>
                <c:pt idx="33">
                  <c:v>7</c:v>
                </c:pt>
                <c:pt idx="34">
                  <c:v>8</c:v>
                </c:pt>
                <c:pt idx="35">
                  <c:v>0</c:v>
                </c:pt>
                <c:pt idx="36">
                  <c:v>0</c:v>
                </c:pt>
                <c:pt idx="37">
                  <c:v>0</c:v>
                </c:pt>
                <c:pt idx="38">
                  <c:v>0</c:v>
                </c:pt>
                <c:pt idx="39">
                  <c:v>2</c:v>
                </c:pt>
                <c:pt idx="40">
                  <c:v>0</c:v>
                </c:pt>
                <c:pt idx="41">
                  <c:v>1</c:v>
                </c:pt>
                <c:pt idx="42">
                  <c:v>1</c:v>
                </c:pt>
                <c:pt idx="43">
                  <c:v>0</c:v>
                </c:pt>
                <c:pt idx="44">
                  <c:v>0</c:v>
                </c:pt>
              </c:numCache>
            </c:numRef>
          </c:val>
        </c:ser>
        <c:axId val="86082304"/>
        <c:axId val="86084224"/>
      </c:barChart>
      <c:catAx>
        <c:axId val="86082304"/>
        <c:scaling>
          <c:orientation val="minMax"/>
        </c:scaling>
        <c:axPos val="b"/>
        <c:title>
          <c:tx>
            <c:rich>
              <a:bodyPr/>
              <a:lstStyle/>
              <a:p>
                <a:pPr>
                  <a:defRPr/>
                </a:pPr>
                <a:r>
                  <a:rPr lang="en-US"/>
                  <a:t>Length (mm)</a:t>
                </a:r>
              </a:p>
            </c:rich>
          </c:tx>
          <c:layout/>
        </c:title>
        <c:numFmt formatCode="General" sourceLinked="1"/>
        <c:tickLblPos val="nextTo"/>
        <c:crossAx val="86084224"/>
        <c:crosses val="autoZero"/>
        <c:auto val="1"/>
        <c:lblAlgn val="ctr"/>
        <c:lblOffset val="100"/>
      </c:catAx>
      <c:valAx>
        <c:axId val="86084224"/>
        <c:scaling>
          <c:orientation val="minMax"/>
        </c:scaling>
        <c:axPos val="l"/>
        <c:majorGridlines/>
        <c:title>
          <c:tx>
            <c:rich>
              <a:bodyPr rot="-5400000" vert="horz"/>
              <a:lstStyle/>
              <a:p>
                <a:pPr>
                  <a:defRPr/>
                </a:pPr>
                <a:r>
                  <a:rPr lang="en-US"/>
                  <a:t>Frequency</a:t>
                </a:r>
              </a:p>
            </c:rich>
          </c:tx>
          <c:layout/>
        </c:title>
        <c:numFmt formatCode="General" sourceLinked="1"/>
        <c:tickLblPos val="nextTo"/>
        <c:crossAx val="86082304"/>
        <c:crosses val="autoZero"/>
        <c:crossBetween val="between"/>
      </c:valAx>
    </c:plotArea>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1"/>
          <c:order val="0"/>
          <c:dPt>
            <c:idx val="3"/>
            <c:spPr>
              <a:solidFill>
                <a:schemeClr val="accent1"/>
              </a:solidFill>
            </c:spPr>
          </c:dPt>
          <c:cat>
            <c:numRef>
              <c:f>'just straight pins from Orders'!$A$25:$A$33</c:f>
              <c:numCache>
                <c:formatCode>General</c:formatCode>
                <c:ptCount val="9"/>
                <c:pt idx="0">
                  <c:v>1759</c:v>
                </c:pt>
                <c:pt idx="1">
                  <c:v>1760</c:v>
                </c:pt>
                <c:pt idx="2">
                  <c:v>1761</c:v>
                </c:pt>
                <c:pt idx="3">
                  <c:v>1765</c:v>
                </c:pt>
                <c:pt idx="4">
                  <c:v>1766</c:v>
                </c:pt>
                <c:pt idx="5">
                  <c:v>1768</c:v>
                </c:pt>
                <c:pt idx="6">
                  <c:v>1769</c:v>
                </c:pt>
                <c:pt idx="7">
                  <c:v>1772</c:v>
                </c:pt>
                <c:pt idx="8">
                  <c:v>1773</c:v>
                </c:pt>
              </c:numCache>
            </c:numRef>
          </c:cat>
          <c:val>
            <c:numRef>
              <c:f>'just straight pins from Orders'!$B$25:$B$33</c:f>
              <c:numCache>
                <c:formatCode>General</c:formatCode>
                <c:ptCount val="9"/>
                <c:pt idx="0">
                  <c:v>18000</c:v>
                </c:pt>
                <c:pt idx="1">
                  <c:v>18000</c:v>
                </c:pt>
                <c:pt idx="2">
                  <c:v>12000</c:v>
                </c:pt>
                <c:pt idx="3">
                  <c:v>6800</c:v>
                </c:pt>
                <c:pt idx="4">
                  <c:v>4000</c:v>
                </c:pt>
                <c:pt idx="5">
                  <c:v>10000</c:v>
                </c:pt>
                <c:pt idx="6">
                  <c:v>8000</c:v>
                </c:pt>
                <c:pt idx="7">
                  <c:v>9000</c:v>
                </c:pt>
                <c:pt idx="8">
                  <c:v>10000</c:v>
                </c:pt>
              </c:numCache>
            </c:numRef>
          </c:val>
        </c:ser>
        <c:gapWidth val="75"/>
        <c:overlap val="-25"/>
        <c:axId val="86096896"/>
        <c:axId val="86107264"/>
      </c:barChart>
      <c:catAx>
        <c:axId val="86096896"/>
        <c:scaling>
          <c:orientation val="minMax"/>
        </c:scaling>
        <c:axPos val="b"/>
        <c:title>
          <c:tx>
            <c:rich>
              <a:bodyPr/>
              <a:lstStyle/>
              <a:p>
                <a:pPr>
                  <a:defRPr/>
                </a:pPr>
                <a:r>
                  <a:rPr lang="en-US"/>
                  <a:t>Year</a:t>
                </a:r>
              </a:p>
            </c:rich>
          </c:tx>
          <c:layout/>
        </c:title>
        <c:numFmt formatCode="General" sourceLinked="1"/>
        <c:majorTickMark val="none"/>
        <c:tickLblPos val="nextTo"/>
        <c:crossAx val="86107264"/>
        <c:crosses val="autoZero"/>
        <c:auto val="1"/>
        <c:lblAlgn val="ctr"/>
        <c:lblOffset val="100"/>
      </c:catAx>
      <c:valAx>
        <c:axId val="86107264"/>
        <c:scaling>
          <c:orientation val="minMax"/>
        </c:scaling>
        <c:axPos val="l"/>
        <c:majorGridlines/>
        <c:title>
          <c:tx>
            <c:rich>
              <a:bodyPr rot="-5400000" vert="horz"/>
              <a:lstStyle/>
              <a:p>
                <a:pPr>
                  <a:defRPr/>
                </a:pPr>
                <a:r>
                  <a:rPr lang="en-US"/>
                  <a:t>Number of Pins</a:t>
                </a:r>
              </a:p>
            </c:rich>
          </c:tx>
          <c:layout/>
        </c:title>
        <c:numFmt formatCode="General" sourceLinked="1"/>
        <c:majorTickMark val="none"/>
        <c:tickLblPos val="nextTo"/>
        <c:spPr>
          <a:ln w="9525">
            <a:noFill/>
          </a:ln>
        </c:spPr>
        <c:crossAx val="86096896"/>
        <c:crosses val="autoZero"/>
        <c:crossBetween val="between"/>
      </c:valAx>
    </c:plotArea>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cat>
            <c:numRef>
              <c:f>histogram!$A$1:$A$26</c:f>
              <c:numCache>
                <c:formatCode>General</c:formatCode>
                <c:ptCount val="26"/>
                <c:pt idx="0">
                  <c:v>16.5</c:v>
                </c:pt>
                <c:pt idx="1">
                  <c:v>17</c:v>
                </c:pt>
                <c:pt idx="2">
                  <c:v>17.5</c:v>
                </c:pt>
                <c:pt idx="3">
                  <c:v>18</c:v>
                </c:pt>
                <c:pt idx="4">
                  <c:v>18.5</c:v>
                </c:pt>
                <c:pt idx="5">
                  <c:v>19</c:v>
                </c:pt>
                <c:pt idx="6">
                  <c:v>19.5</c:v>
                </c:pt>
                <c:pt idx="7">
                  <c:v>20</c:v>
                </c:pt>
                <c:pt idx="8">
                  <c:v>20.5</c:v>
                </c:pt>
                <c:pt idx="9">
                  <c:v>21</c:v>
                </c:pt>
                <c:pt idx="10">
                  <c:v>21.5</c:v>
                </c:pt>
                <c:pt idx="11">
                  <c:v>22</c:v>
                </c:pt>
                <c:pt idx="12">
                  <c:v>23</c:v>
                </c:pt>
                <c:pt idx="13">
                  <c:v>23.5</c:v>
                </c:pt>
                <c:pt idx="14">
                  <c:v>24</c:v>
                </c:pt>
                <c:pt idx="15">
                  <c:v>24.5</c:v>
                </c:pt>
                <c:pt idx="16">
                  <c:v>25</c:v>
                </c:pt>
                <c:pt idx="17">
                  <c:v>25.5</c:v>
                </c:pt>
                <c:pt idx="18">
                  <c:v>26</c:v>
                </c:pt>
                <c:pt idx="19">
                  <c:v>26.5</c:v>
                </c:pt>
                <c:pt idx="20">
                  <c:v>27</c:v>
                </c:pt>
                <c:pt idx="21">
                  <c:v>27.5</c:v>
                </c:pt>
                <c:pt idx="22">
                  <c:v>28</c:v>
                </c:pt>
                <c:pt idx="23">
                  <c:v>28.5</c:v>
                </c:pt>
                <c:pt idx="24">
                  <c:v>29</c:v>
                </c:pt>
                <c:pt idx="25">
                  <c:v>29.5</c:v>
                </c:pt>
              </c:numCache>
            </c:numRef>
          </c:cat>
          <c:val>
            <c:numRef>
              <c:f>histogram!$B$1:$B$26</c:f>
              <c:numCache>
                <c:formatCode>General</c:formatCode>
                <c:ptCount val="26"/>
                <c:pt idx="0">
                  <c:v>1</c:v>
                </c:pt>
                <c:pt idx="1">
                  <c:v>0</c:v>
                </c:pt>
                <c:pt idx="2">
                  <c:v>0</c:v>
                </c:pt>
                <c:pt idx="3">
                  <c:v>1</c:v>
                </c:pt>
                <c:pt idx="4">
                  <c:v>1</c:v>
                </c:pt>
                <c:pt idx="5">
                  <c:v>5</c:v>
                </c:pt>
                <c:pt idx="6">
                  <c:v>4</c:v>
                </c:pt>
                <c:pt idx="7">
                  <c:v>4</c:v>
                </c:pt>
                <c:pt idx="8">
                  <c:v>3</c:v>
                </c:pt>
                <c:pt idx="9">
                  <c:v>4</c:v>
                </c:pt>
                <c:pt idx="10">
                  <c:v>5</c:v>
                </c:pt>
                <c:pt idx="11">
                  <c:v>0</c:v>
                </c:pt>
                <c:pt idx="12">
                  <c:v>5</c:v>
                </c:pt>
                <c:pt idx="13">
                  <c:v>9</c:v>
                </c:pt>
                <c:pt idx="14">
                  <c:v>9</c:v>
                </c:pt>
                <c:pt idx="15">
                  <c:v>7</c:v>
                </c:pt>
                <c:pt idx="16">
                  <c:v>4</c:v>
                </c:pt>
                <c:pt idx="17">
                  <c:v>1</c:v>
                </c:pt>
                <c:pt idx="18">
                  <c:v>4</c:v>
                </c:pt>
                <c:pt idx="19">
                  <c:v>5</c:v>
                </c:pt>
                <c:pt idx="20">
                  <c:v>5</c:v>
                </c:pt>
                <c:pt idx="21">
                  <c:v>8</c:v>
                </c:pt>
                <c:pt idx="22">
                  <c:v>13</c:v>
                </c:pt>
                <c:pt idx="23">
                  <c:v>12</c:v>
                </c:pt>
                <c:pt idx="24">
                  <c:v>7</c:v>
                </c:pt>
                <c:pt idx="25">
                  <c:v>1</c:v>
                </c:pt>
              </c:numCache>
            </c:numRef>
          </c:val>
        </c:ser>
        <c:axId val="92867968"/>
        <c:axId val="92886528"/>
      </c:barChart>
      <c:catAx>
        <c:axId val="92867968"/>
        <c:scaling>
          <c:orientation val="minMax"/>
        </c:scaling>
        <c:axPos val="b"/>
        <c:title>
          <c:tx>
            <c:rich>
              <a:bodyPr/>
              <a:lstStyle/>
              <a:p>
                <a:pPr>
                  <a:defRPr/>
                </a:pPr>
                <a:r>
                  <a:rPr lang="en-US"/>
                  <a:t>Length (mm)</a:t>
                </a:r>
              </a:p>
            </c:rich>
          </c:tx>
          <c:layout/>
        </c:title>
        <c:numFmt formatCode="General" sourceLinked="1"/>
        <c:tickLblPos val="nextTo"/>
        <c:crossAx val="92886528"/>
        <c:crosses val="autoZero"/>
        <c:auto val="1"/>
        <c:lblAlgn val="ctr"/>
        <c:lblOffset val="100"/>
      </c:catAx>
      <c:valAx>
        <c:axId val="92886528"/>
        <c:scaling>
          <c:orientation val="minMax"/>
        </c:scaling>
        <c:axPos val="l"/>
        <c:majorGridlines/>
        <c:title>
          <c:tx>
            <c:rich>
              <a:bodyPr rot="-5400000" vert="horz"/>
              <a:lstStyle/>
              <a:p>
                <a:pPr>
                  <a:defRPr/>
                </a:pPr>
                <a:r>
                  <a:rPr lang="en-US"/>
                  <a:t>Frequency</a:t>
                </a:r>
              </a:p>
            </c:rich>
          </c:tx>
          <c:layout/>
        </c:title>
        <c:numFmt formatCode="General" sourceLinked="1"/>
        <c:tickLblPos val="nextTo"/>
        <c:crossAx val="92867968"/>
        <c:crosses val="autoZero"/>
        <c:crossBetween val="between"/>
      </c:valAx>
    </c:plotArea>
    <c:plotVisOnly val="1"/>
  </c:chart>
  <c:spPr>
    <a:ln>
      <a:noFill/>
    </a:ln>
  </c:spPr>
  <c:txPr>
    <a:bodyPr/>
    <a:lstStyle/>
    <a:p>
      <a:pPr>
        <a:defRPr>
          <a:latin typeface="Arial" pitchFamily="34" charset="0"/>
          <a:cs typeface="Arial" pitchFamily="34" charset="0"/>
        </a:defRPr>
      </a:pPr>
      <a:endParaRPr lang="en-US"/>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v>Frequency</c:v>
          </c:tx>
          <c:cat>
            <c:numRef>
              <c:f>histogram!$A$1:$A$47</c:f>
              <c:numCache>
                <c:formatCode>General</c:formatCode>
                <c:ptCount val="47"/>
                <c:pt idx="0">
                  <c:v>11</c:v>
                </c:pt>
                <c:pt idx="1">
                  <c:v>11.5</c:v>
                </c:pt>
                <c:pt idx="2">
                  <c:v>12</c:v>
                </c:pt>
                <c:pt idx="3">
                  <c:v>12.5</c:v>
                </c:pt>
                <c:pt idx="4">
                  <c:v>13</c:v>
                </c:pt>
                <c:pt idx="5">
                  <c:v>13.5</c:v>
                </c:pt>
                <c:pt idx="6">
                  <c:v>14</c:v>
                </c:pt>
                <c:pt idx="7">
                  <c:v>14.5</c:v>
                </c:pt>
                <c:pt idx="8">
                  <c:v>15</c:v>
                </c:pt>
                <c:pt idx="9">
                  <c:v>15.5</c:v>
                </c:pt>
                <c:pt idx="10">
                  <c:v>16</c:v>
                </c:pt>
                <c:pt idx="11">
                  <c:v>16.5</c:v>
                </c:pt>
                <c:pt idx="12">
                  <c:v>17</c:v>
                </c:pt>
                <c:pt idx="13">
                  <c:v>17.5</c:v>
                </c:pt>
                <c:pt idx="14">
                  <c:v>18</c:v>
                </c:pt>
                <c:pt idx="15">
                  <c:v>18.5</c:v>
                </c:pt>
                <c:pt idx="16">
                  <c:v>19</c:v>
                </c:pt>
                <c:pt idx="17">
                  <c:v>19.5</c:v>
                </c:pt>
                <c:pt idx="18">
                  <c:v>20</c:v>
                </c:pt>
                <c:pt idx="19">
                  <c:v>20.5</c:v>
                </c:pt>
                <c:pt idx="20">
                  <c:v>21</c:v>
                </c:pt>
                <c:pt idx="21">
                  <c:v>21.5</c:v>
                </c:pt>
                <c:pt idx="22">
                  <c:v>22</c:v>
                </c:pt>
                <c:pt idx="23">
                  <c:v>22.5</c:v>
                </c:pt>
                <c:pt idx="24">
                  <c:v>23</c:v>
                </c:pt>
                <c:pt idx="25">
                  <c:v>23.5</c:v>
                </c:pt>
                <c:pt idx="26">
                  <c:v>24</c:v>
                </c:pt>
                <c:pt idx="27">
                  <c:v>24.5</c:v>
                </c:pt>
                <c:pt idx="28">
                  <c:v>25</c:v>
                </c:pt>
                <c:pt idx="29">
                  <c:v>25.5</c:v>
                </c:pt>
                <c:pt idx="30">
                  <c:v>26</c:v>
                </c:pt>
                <c:pt idx="31">
                  <c:v>26.5</c:v>
                </c:pt>
                <c:pt idx="32">
                  <c:v>27</c:v>
                </c:pt>
                <c:pt idx="33">
                  <c:v>27.5</c:v>
                </c:pt>
                <c:pt idx="34">
                  <c:v>28</c:v>
                </c:pt>
                <c:pt idx="35">
                  <c:v>28.5</c:v>
                </c:pt>
                <c:pt idx="36">
                  <c:v>29</c:v>
                </c:pt>
                <c:pt idx="37">
                  <c:v>29.5</c:v>
                </c:pt>
                <c:pt idx="38">
                  <c:v>30</c:v>
                </c:pt>
                <c:pt idx="39">
                  <c:v>30.5</c:v>
                </c:pt>
                <c:pt idx="40">
                  <c:v>31</c:v>
                </c:pt>
                <c:pt idx="41">
                  <c:v>31.5</c:v>
                </c:pt>
                <c:pt idx="42">
                  <c:v>32</c:v>
                </c:pt>
                <c:pt idx="43">
                  <c:v>32.5</c:v>
                </c:pt>
                <c:pt idx="44">
                  <c:v>33</c:v>
                </c:pt>
                <c:pt idx="45">
                  <c:v>33.5</c:v>
                </c:pt>
                <c:pt idx="46">
                  <c:v>34</c:v>
                </c:pt>
              </c:numCache>
            </c:numRef>
          </c:cat>
          <c:val>
            <c:numRef>
              <c:f>histogram!$B$1:$B$47</c:f>
              <c:numCache>
                <c:formatCode>General</c:formatCode>
                <c:ptCount val="47"/>
                <c:pt idx="0">
                  <c:v>0</c:v>
                </c:pt>
                <c:pt idx="1">
                  <c:v>1</c:v>
                </c:pt>
                <c:pt idx="2">
                  <c:v>4</c:v>
                </c:pt>
                <c:pt idx="3">
                  <c:v>4</c:v>
                </c:pt>
                <c:pt idx="4">
                  <c:v>0</c:v>
                </c:pt>
                <c:pt idx="5">
                  <c:v>1</c:v>
                </c:pt>
                <c:pt idx="6">
                  <c:v>1</c:v>
                </c:pt>
                <c:pt idx="7">
                  <c:v>0</c:v>
                </c:pt>
                <c:pt idx="8">
                  <c:v>0</c:v>
                </c:pt>
                <c:pt idx="9">
                  <c:v>0</c:v>
                </c:pt>
                <c:pt idx="10">
                  <c:v>0</c:v>
                </c:pt>
                <c:pt idx="11">
                  <c:v>0</c:v>
                </c:pt>
                <c:pt idx="12">
                  <c:v>1</c:v>
                </c:pt>
                <c:pt idx="14">
                  <c:v>2</c:v>
                </c:pt>
                <c:pt idx="15">
                  <c:v>5</c:v>
                </c:pt>
                <c:pt idx="16">
                  <c:v>3</c:v>
                </c:pt>
                <c:pt idx="17">
                  <c:v>8</c:v>
                </c:pt>
                <c:pt idx="18">
                  <c:v>4</c:v>
                </c:pt>
                <c:pt idx="19">
                  <c:v>1</c:v>
                </c:pt>
                <c:pt idx="20">
                  <c:v>1</c:v>
                </c:pt>
                <c:pt idx="21">
                  <c:v>2</c:v>
                </c:pt>
                <c:pt idx="22">
                  <c:v>8</c:v>
                </c:pt>
                <c:pt idx="23">
                  <c:v>4</c:v>
                </c:pt>
                <c:pt idx="24">
                  <c:v>18</c:v>
                </c:pt>
                <c:pt idx="25">
                  <c:v>12</c:v>
                </c:pt>
                <c:pt idx="26">
                  <c:v>7</c:v>
                </c:pt>
                <c:pt idx="27">
                  <c:v>10</c:v>
                </c:pt>
                <c:pt idx="28">
                  <c:v>12</c:v>
                </c:pt>
                <c:pt idx="29">
                  <c:v>5</c:v>
                </c:pt>
                <c:pt idx="30">
                  <c:v>2</c:v>
                </c:pt>
                <c:pt idx="31">
                  <c:v>0</c:v>
                </c:pt>
                <c:pt idx="32">
                  <c:v>3</c:v>
                </c:pt>
                <c:pt idx="33">
                  <c:v>5</c:v>
                </c:pt>
                <c:pt idx="34">
                  <c:v>3</c:v>
                </c:pt>
                <c:pt idx="35">
                  <c:v>5</c:v>
                </c:pt>
                <c:pt idx="36">
                  <c:v>5</c:v>
                </c:pt>
                <c:pt idx="37">
                  <c:v>3</c:v>
                </c:pt>
                <c:pt idx="38">
                  <c:v>5</c:v>
                </c:pt>
                <c:pt idx="39">
                  <c:v>4</c:v>
                </c:pt>
                <c:pt idx="40">
                  <c:v>0</c:v>
                </c:pt>
                <c:pt idx="41">
                  <c:v>0</c:v>
                </c:pt>
                <c:pt idx="42">
                  <c:v>0</c:v>
                </c:pt>
                <c:pt idx="43">
                  <c:v>0</c:v>
                </c:pt>
                <c:pt idx="44">
                  <c:v>0</c:v>
                </c:pt>
                <c:pt idx="45">
                  <c:v>0</c:v>
                </c:pt>
                <c:pt idx="46">
                  <c:v>1</c:v>
                </c:pt>
              </c:numCache>
            </c:numRef>
          </c:val>
        </c:ser>
        <c:axId val="84682240"/>
        <c:axId val="84684160"/>
      </c:barChart>
      <c:catAx>
        <c:axId val="84682240"/>
        <c:scaling>
          <c:orientation val="minMax"/>
        </c:scaling>
        <c:axPos val="b"/>
        <c:title>
          <c:tx>
            <c:rich>
              <a:bodyPr/>
              <a:lstStyle/>
              <a:p>
                <a:pPr>
                  <a:defRPr sz="1000" b="1" i="0" u="none" strike="noStrike" baseline="0">
                    <a:solidFill>
                      <a:srgbClr val="000000"/>
                    </a:solidFill>
                    <a:latin typeface="Arial"/>
                    <a:ea typeface="Arial"/>
                    <a:cs typeface="Arial"/>
                  </a:defRPr>
                </a:pPr>
                <a:r>
                  <a:rPr lang="en-US"/>
                  <a:t>Length (mm)</a:t>
                </a:r>
              </a:p>
            </c:rich>
          </c:tx>
          <c:layout/>
        </c:title>
        <c:numFmt formatCode="General" sourceLinked="1"/>
        <c:tickLblPos val="nextTo"/>
        <c:txPr>
          <a:bodyPr rot="-2700000" vert="horz"/>
          <a:lstStyle/>
          <a:p>
            <a:pPr>
              <a:defRPr sz="1000" b="0" i="0" u="none" strike="noStrike" baseline="0">
                <a:solidFill>
                  <a:srgbClr val="000000"/>
                </a:solidFill>
                <a:latin typeface="Arial"/>
                <a:ea typeface="Arial"/>
                <a:cs typeface="Arial"/>
              </a:defRPr>
            </a:pPr>
            <a:endParaRPr lang="en-US"/>
          </a:p>
        </c:txPr>
        <c:crossAx val="84684160"/>
        <c:crosses val="autoZero"/>
        <c:auto val="1"/>
        <c:lblAlgn val="ctr"/>
        <c:lblOffset val="100"/>
      </c:catAx>
      <c:valAx>
        <c:axId val="84684160"/>
        <c:scaling>
          <c:orientation val="minMax"/>
        </c:scaling>
        <c:axPos val="l"/>
        <c:majorGridlines/>
        <c:title>
          <c:tx>
            <c:rich>
              <a:bodyPr/>
              <a:lstStyle/>
              <a:p>
                <a:pPr>
                  <a:defRPr sz="1000" b="1" i="0" u="none" strike="noStrike" baseline="0">
                    <a:solidFill>
                      <a:srgbClr val="000000"/>
                    </a:solidFill>
                    <a:latin typeface="Arial"/>
                    <a:ea typeface="Arial"/>
                    <a:cs typeface="Arial"/>
                  </a:defRPr>
                </a:pPr>
                <a:r>
                  <a:rPr lang="en-US"/>
                  <a:t>Frequency</a:t>
                </a:r>
              </a:p>
            </c:rich>
          </c:tx>
          <c:layout/>
        </c:title>
        <c:numFmt formatCode="General" sourceLinked="1"/>
        <c:tickLblPos val="nextTo"/>
        <c:txPr>
          <a:bodyPr rot="0" vert="horz"/>
          <a:lstStyle/>
          <a:p>
            <a:pPr>
              <a:defRPr sz="1000" b="0" i="0" u="none" strike="noStrike" baseline="0">
                <a:solidFill>
                  <a:srgbClr val="000000"/>
                </a:solidFill>
                <a:latin typeface="Arial"/>
                <a:ea typeface="Arial"/>
                <a:cs typeface="Arial"/>
              </a:defRPr>
            </a:pPr>
            <a:endParaRPr lang="en-US"/>
          </a:p>
        </c:txPr>
        <c:crossAx val="84682240"/>
        <c:crosses val="autoZero"/>
        <c:crossBetween val="between"/>
      </c:valAx>
    </c:plotArea>
    <c:plotVisOnly val="1"/>
    <c:dispBlanksAs val="gap"/>
  </c:chart>
  <c:spPr>
    <a:ln>
      <a:noFill/>
    </a:ln>
  </c:spPr>
  <c:txPr>
    <a:bodyPr/>
    <a:lstStyle/>
    <a:p>
      <a:pPr>
        <a:defRPr sz="1000" b="0" i="0" u="none" strike="noStrike" baseline="0">
          <a:solidFill>
            <a:srgbClr val="000000"/>
          </a:solidFill>
          <a:latin typeface="Arial"/>
          <a:ea typeface="Arial"/>
          <a:cs typeface="Arial"/>
        </a:defRPr>
      </a:pPr>
      <a:endParaRPr lang="en-US"/>
    </a:p>
  </c:txPr>
  <c:externalData r:id="rId1"/>
</c:chartSpace>
</file>

<file path=word/drawings/drawing1.xml><?xml version="1.0" encoding="utf-8"?>
<c:userShapes xmlns:c="http://schemas.openxmlformats.org/drawingml/2006/chart">
  <cdr:relSizeAnchor xmlns:cdr="http://schemas.openxmlformats.org/drawingml/2006/chartDrawing">
    <cdr:from>
      <cdr:x>0.28302</cdr:x>
      <cdr:y>0.31601</cdr:y>
    </cdr:from>
    <cdr:to>
      <cdr:x>0.44511</cdr:x>
      <cdr:y>0.69703</cdr:y>
    </cdr:to>
    <cdr:sp macro="" textlink="">
      <cdr:nvSpPr>
        <cdr:cNvPr id="2" name="Oval 1"/>
        <cdr:cNvSpPr/>
      </cdr:nvSpPr>
      <cdr:spPr>
        <a:xfrm xmlns:a="http://schemas.openxmlformats.org/drawingml/2006/main">
          <a:off x="2095500" y="1666875"/>
          <a:ext cx="1200150" cy="2009775"/>
        </a:xfrm>
        <a:prstGeom xmlns:a="http://schemas.openxmlformats.org/drawingml/2006/main" prst="ellipse">
          <a:avLst/>
        </a:prstGeom>
        <a:noFill xmlns:a="http://schemas.openxmlformats.org/drawingml/2006/main"/>
        <a:ln xmlns:a="http://schemas.openxmlformats.org/drawingml/2006/main">
          <a:solidFill>
            <a:srgbClr val="FF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0.44254</cdr:x>
      <cdr:y>0.20044</cdr:y>
    </cdr:from>
    <cdr:to>
      <cdr:x>0.60463</cdr:x>
      <cdr:y>0.58146</cdr:y>
    </cdr:to>
    <cdr:sp macro="" textlink="">
      <cdr:nvSpPr>
        <cdr:cNvPr id="3" name="Oval 2"/>
        <cdr:cNvSpPr/>
      </cdr:nvSpPr>
      <cdr:spPr>
        <a:xfrm xmlns:a="http://schemas.openxmlformats.org/drawingml/2006/main">
          <a:off x="3276600" y="1057275"/>
          <a:ext cx="1200150" cy="2009775"/>
        </a:xfrm>
        <a:prstGeom xmlns:a="http://schemas.openxmlformats.org/drawingml/2006/main" prst="ellipse">
          <a:avLst/>
        </a:prstGeom>
        <a:noFill xmlns:a="http://schemas.openxmlformats.org/drawingml/2006/main"/>
        <a:ln xmlns:a="http://schemas.openxmlformats.org/drawingml/2006/main" w="25400" cap="flat" cmpd="sng" algn="ctr">
          <a:solidFill>
            <a:srgbClr val="FF0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0.63165</cdr:x>
      <cdr:y>0.08668</cdr:y>
    </cdr:from>
    <cdr:to>
      <cdr:x>0.79374</cdr:x>
      <cdr:y>0.4677</cdr:y>
    </cdr:to>
    <cdr:sp macro="" textlink="">
      <cdr:nvSpPr>
        <cdr:cNvPr id="4" name="Oval 3"/>
        <cdr:cNvSpPr/>
      </cdr:nvSpPr>
      <cdr:spPr>
        <a:xfrm xmlns:a="http://schemas.openxmlformats.org/drawingml/2006/main">
          <a:off x="4676775" y="457200"/>
          <a:ext cx="1200150" cy="2009775"/>
        </a:xfrm>
        <a:prstGeom xmlns:a="http://schemas.openxmlformats.org/drawingml/2006/main" prst="ellipse">
          <a:avLst/>
        </a:prstGeom>
        <a:noFill xmlns:a="http://schemas.openxmlformats.org/drawingml/2006/main"/>
        <a:ln xmlns:a="http://schemas.openxmlformats.org/drawingml/2006/main" w="25400" cap="flat" cmpd="sng" algn="ctr">
          <a:solidFill>
            <a:srgbClr val="FF0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7ADD0D-797E-4D3B-8054-008095B9B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451</Pages>
  <Words>114151</Words>
  <Characters>650667</Characters>
  <Application>Microsoft Office Word</Application>
  <DocSecurity>0</DocSecurity>
  <Lines>5422</Lines>
  <Paragraphs>1526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ebreen</dc:creator>
  <cp:lastModifiedBy>ebreen</cp:lastModifiedBy>
  <cp:revision>6</cp:revision>
  <cp:lastPrinted>2013-11-09T14:42:00Z</cp:lastPrinted>
  <dcterms:created xsi:type="dcterms:W3CDTF">2013-11-09T14:33:00Z</dcterms:created>
  <dcterms:modified xsi:type="dcterms:W3CDTF">2013-11-09T16:11:00Z</dcterms:modified>
</cp:coreProperties>
</file>