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wmf" ContentType="image/x-wmf"/>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A25" w:rsidRDefault="001F4A25" w:rsidP="001F4A25">
      <w:pPr>
        <w:ind w:left="3600" w:firstLine="720"/>
        <w:jc w:val="both"/>
      </w:pPr>
      <w:r>
        <w:t xml:space="preserve">                                                                           </w:t>
      </w:r>
    </w:p>
    <w:p w:rsidR="001F4A25" w:rsidRPr="00991034" w:rsidRDefault="001F4A25" w:rsidP="001F4A25">
      <w:pPr>
        <w:spacing w:line="360" w:lineRule="auto"/>
        <w:jc w:val="center"/>
        <w:rPr>
          <w:b/>
          <w:sz w:val="42"/>
          <w:szCs w:val="32"/>
        </w:rPr>
      </w:pPr>
      <w:r w:rsidRPr="00991034">
        <w:rPr>
          <w:b/>
          <w:bCs/>
          <w:sz w:val="42"/>
          <w:szCs w:val="32"/>
        </w:rPr>
        <w:t xml:space="preserve">In Vivo Mechanics of Cam/Post Engagement in Fixed &amp; Mobile Bearing TKA and Vibroarthography of the Knee Joint </w:t>
      </w:r>
    </w:p>
    <w:p w:rsidR="001F4A25" w:rsidRDefault="001F4A25" w:rsidP="001F4A25">
      <w:pPr>
        <w:spacing w:line="360" w:lineRule="auto"/>
        <w:jc w:val="center"/>
        <w:rPr>
          <w:b/>
          <w:sz w:val="32"/>
          <w:szCs w:val="32"/>
        </w:rPr>
      </w:pPr>
    </w:p>
    <w:p w:rsidR="001F4A25" w:rsidRDefault="001F4A25" w:rsidP="001F4A25">
      <w:pPr>
        <w:spacing w:line="360" w:lineRule="auto"/>
        <w:jc w:val="center"/>
        <w:rPr>
          <w:b/>
          <w:sz w:val="32"/>
          <w:szCs w:val="32"/>
        </w:rPr>
      </w:pPr>
    </w:p>
    <w:p w:rsidR="001F4A25" w:rsidRDefault="001F4A25" w:rsidP="001F4A25">
      <w:pPr>
        <w:spacing w:line="360" w:lineRule="auto"/>
        <w:jc w:val="center"/>
        <w:rPr>
          <w:b/>
          <w:sz w:val="32"/>
          <w:szCs w:val="32"/>
        </w:rPr>
      </w:pPr>
    </w:p>
    <w:p w:rsidR="001F4A25" w:rsidRDefault="001F4A25" w:rsidP="001F4A25">
      <w:pPr>
        <w:spacing w:line="360" w:lineRule="auto"/>
        <w:rPr>
          <w:b/>
          <w:sz w:val="32"/>
          <w:szCs w:val="32"/>
        </w:rPr>
      </w:pPr>
    </w:p>
    <w:p w:rsidR="001F4A25" w:rsidRDefault="001F4A25" w:rsidP="001F4A25">
      <w:pPr>
        <w:spacing w:line="360" w:lineRule="auto"/>
        <w:jc w:val="center"/>
        <w:rPr>
          <w:b/>
          <w:sz w:val="32"/>
          <w:szCs w:val="32"/>
        </w:rPr>
      </w:pPr>
    </w:p>
    <w:p w:rsidR="001F4A25" w:rsidRPr="00403E04" w:rsidRDefault="001F4A25" w:rsidP="001F4A25">
      <w:pPr>
        <w:jc w:val="center"/>
      </w:pPr>
      <w:r>
        <w:t>A  Dissertation for the</w:t>
      </w:r>
    </w:p>
    <w:p w:rsidR="001F4A25" w:rsidRPr="00403E04" w:rsidRDefault="001F4A25" w:rsidP="001F4A25">
      <w:pPr>
        <w:jc w:val="center"/>
      </w:pPr>
      <w:r>
        <w:t>Doctor of Philosophy Degree</w:t>
      </w:r>
    </w:p>
    <w:p w:rsidR="001F4A25" w:rsidRDefault="001F4A25" w:rsidP="001F4A25">
      <w:pPr>
        <w:jc w:val="center"/>
      </w:pPr>
      <w:r>
        <w:t xml:space="preserve">The </w:t>
      </w:r>
      <w:smartTag w:uri="urn:schemas-microsoft-com:office:smarttags" w:element="PlaceType">
        <w:r w:rsidRPr="00403E04">
          <w:t>University</w:t>
        </w:r>
      </w:smartTag>
      <w:r>
        <w:t xml:space="preserve"> o</w:t>
      </w:r>
      <w:r w:rsidRPr="00403E04">
        <w:t xml:space="preserve">f </w:t>
      </w:r>
      <w:smartTag w:uri="urn:schemas-microsoft-com:office:smarttags" w:element="PlaceName">
        <w:r w:rsidRPr="00403E04">
          <w:t>Tennessee</w:t>
        </w:r>
      </w:smartTag>
      <w:r w:rsidRPr="00403E04">
        <w:t xml:space="preserve">, </w:t>
      </w:r>
      <w:smartTag w:uri="urn:schemas-microsoft-com:office:smarttags" w:element="City">
        <w:smartTag w:uri="urn:schemas-microsoft-com:office:smarttags" w:element="place">
          <w:r w:rsidRPr="00403E04">
            <w:t>Knoxville</w:t>
          </w:r>
        </w:smartTag>
      </w:smartTag>
    </w:p>
    <w:p w:rsidR="001F4A25" w:rsidRDefault="001F4A25" w:rsidP="001F4A25">
      <w:pPr>
        <w:jc w:val="center"/>
      </w:pPr>
    </w:p>
    <w:p w:rsidR="001F4A25" w:rsidRDefault="001F4A25" w:rsidP="001F4A25">
      <w:pPr>
        <w:jc w:val="center"/>
      </w:pPr>
    </w:p>
    <w:p w:rsidR="001F4A25" w:rsidRDefault="001F4A25" w:rsidP="001F4A25">
      <w:pPr>
        <w:jc w:val="center"/>
      </w:pPr>
    </w:p>
    <w:p w:rsidR="001F4A25" w:rsidRDefault="001F4A25" w:rsidP="001F4A25">
      <w:pPr>
        <w:jc w:val="center"/>
      </w:pPr>
    </w:p>
    <w:p w:rsidR="001F4A25" w:rsidRDefault="001F4A25" w:rsidP="001F4A25">
      <w:pPr>
        <w:jc w:val="center"/>
      </w:pPr>
    </w:p>
    <w:p w:rsidR="001F4A25" w:rsidRDefault="001F4A25" w:rsidP="001F4A25">
      <w:pPr>
        <w:jc w:val="center"/>
      </w:pPr>
    </w:p>
    <w:p w:rsidR="001F4A25" w:rsidRDefault="001F4A25" w:rsidP="001F4A25">
      <w:pPr>
        <w:jc w:val="center"/>
      </w:pPr>
    </w:p>
    <w:p w:rsidR="001F4A25" w:rsidRDefault="001F4A25" w:rsidP="001F4A25">
      <w:pPr>
        <w:jc w:val="center"/>
      </w:pPr>
    </w:p>
    <w:p w:rsidR="001F4A25" w:rsidRDefault="001F4A25" w:rsidP="001F4A25">
      <w:pPr>
        <w:jc w:val="center"/>
      </w:pPr>
    </w:p>
    <w:p w:rsidR="001F4A25" w:rsidRDefault="001F4A25" w:rsidP="001F4A25">
      <w:pPr>
        <w:jc w:val="center"/>
      </w:pPr>
    </w:p>
    <w:p w:rsidR="001F4A25" w:rsidRDefault="001F4A25" w:rsidP="001F4A25">
      <w:pPr>
        <w:jc w:val="center"/>
      </w:pPr>
    </w:p>
    <w:p w:rsidR="001F4A25" w:rsidRDefault="001F4A25" w:rsidP="001F4A25">
      <w:pPr>
        <w:jc w:val="center"/>
      </w:pPr>
    </w:p>
    <w:p w:rsidR="001F4A25" w:rsidRDefault="001F4A25" w:rsidP="001F4A25">
      <w:pPr>
        <w:jc w:val="center"/>
      </w:pPr>
    </w:p>
    <w:p w:rsidR="001F4A25" w:rsidRDefault="001F4A25" w:rsidP="001F4A25">
      <w:pPr>
        <w:jc w:val="center"/>
      </w:pPr>
    </w:p>
    <w:p w:rsidR="001F4A25" w:rsidRDefault="001F4A25" w:rsidP="001F4A25">
      <w:pPr>
        <w:jc w:val="center"/>
      </w:pPr>
    </w:p>
    <w:p w:rsidR="001F4A25" w:rsidRDefault="001F4A25" w:rsidP="001F4A25">
      <w:pPr>
        <w:jc w:val="center"/>
      </w:pPr>
      <w:r>
        <w:t>Sumesh M Zingde</w:t>
      </w:r>
    </w:p>
    <w:p w:rsidR="001F4A25" w:rsidRDefault="001F4A25" w:rsidP="001F4A25">
      <w:pPr>
        <w:jc w:val="center"/>
      </w:pPr>
      <w:r>
        <w:t>November 2014</w:t>
      </w:r>
    </w:p>
    <w:p w:rsidR="001F4A25" w:rsidRDefault="001F4A25" w:rsidP="001F4A25">
      <w:pPr>
        <w:spacing w:line="960" w:lineRule="auto"/>
        <w:rPr>
          <w:b/>
          <w:sz w:val="28"/>
          <w:szCs w:val="28"/>
        </w:rPr>
        <w:sectPr w:rsidR="001F4A25" w:rsidSect="00531534">
          <w:headerReference w:type="default" r:id="rId7"/>
          <w:footerReference w:type="default" r:id="rId8"/>
          <w:headerReference w:type="first" r:id="rId9"/>
          <w:footerReference w:type="first" r:id="rId10"/>
          <w:pgSz w:w="12240" w:h="15840" w:code="1"/>
          <w:pgMar w:top="1440" w:right="1440" w:bottom="1872" w:left="2160" w:header="1440" w:footer="1872" w:gutter="0"/>
          <w:pgNumType w:fmt="lowerRoman"/>
          <w:cols w:space="720"/>
          <w:titlePg/>
          <w:docGrid w:linePitch="360"/>
        </w:sectPr>
      </w:pPr>
    </w:p>
    <w:p w:rsidR="001F4A25" w:rsidRPr="00EC0050" w:rsidRDefault="001F4A25" w:rsidP="001F4A25"/>
    <w:p w:rsidR="001F4A25" w:rsidRPr="00EC0050" w:rsidRDefault="001F4A25" w:rsidP="001F4A25">
      <w:pPr>
        <w:numPr>
          <w:ilvl w:val="0"/>
          <w:numId w:val="13"/>
        </w:numPr>
        <w:spacing w:line="480" w:lineRule="auto"/>
        <w:jc w:val="center"/>
        <w:rPr>
          <w:b/>
        </w:rPr>
      </w:pPr>
      <w:r>
        <w:rPr>
          <w:b/>
        </w:rPr>
        <w:t>INTRODUCTION</w:t>
      </w:r>
      <w:r w:rsidRPr="00EC0050">
        <w:rPr>
          <w:b/>
        </w:rPr>
        <w:t xml:space="preserve"> …………………………………</w:t>
      </w:r>
      <w:r>
        <w:rPr>
          <w:b/>
        </w:rPr>
        <w:t>…………</w:t>
      </w:r>
      <w:r w:rsidRPr="00EC0050">
        <w:rPr>
          <w:b/>
        </w:rPr>
        <w:t xml:space="preserve">   1</w:t>
      </w:r>
    </w:p>
    <w:p w:rsidR="001F4A25" w:rsidRPr="00007D97" w:rsidRDefault="001F4A25" w:rsidP="001F4A25">
      <w:pPr>
        <w:numPr>
          <w:ilvl w:val="1"/>
          <w:numId w:val="13"/>
        </w:numPr>
        <w:tabs>
          <w:tab w:val="clear" w:pos="0"/>
          <w:tab w:val="num" w:pos="-180"/>
        </w:tabs>
        <w:spacing w:line="480" w:lineRule="auto"/>
        <w:jc w:val="center"/>
      </w:pPr>
      <w:r>
        <w:t>KINEMATICS OF THE NORMAL KNEE IN FLEXION</w:t>
      </w:r>
      <w:r w:rsidRPr="00EC0050">
        <w:t>………</w:t>
      </w:r>
      <w:r>
        <w:t>…………....  2</w:t>
      </w:r>
    </w:p>
    <w:p w:rsidR="001F4A25" w:rsidRPr="00007D97" w:rsidRDefault="001F4A25" w:rsidP="001F4A25">
      <w:pPr>
        <w:numPr>
          <w:ilvl w:val="1"/>
          <w:numId w:val="13"/>
        </w:numPr>
        <w:spacing w:line="480" w:lineRule="auto"/>
        <w:jc w:val="right"/>
      </w:pPr>
      <w:r w:rsidRPr="00007D97">
        <w:t>TOTAL KNEE ARTHROPLASTY (TKA)</w:t>
      </w:r>
      <w:r>
        <w:t>…..</w:t>
      </w:r>
      <w:r w:rsidRPr="00007D97">
        <w:t>……</w:t>
      </w:r>
      <w:r>
        <w:t>…</w:t>
      </w:r>
      <w:r w:rsidRPr="00007D97">
        <w:t>……………………….</w:t>
      </w:r>
      <w:r>
        <w:t>....</w:t>
      </w:r>
      <w:r w:rsidRPr="00007D97">
        <w:t xml:space="preserve"> </w:t>
      </w:r>
      <w:r>
        <w:t>5</w:t>
      </w:r>
    </w:p>
    <w:p w:rsidR="001F4A25" w:rsidRDefault="001F4A25" w:rsidP="001F4A25">
      <w:pPr>
        <w:numPr>
          <w:ilvl w:val="1"/>
          <w:numId w:val="13"/>
        </w:numPr>
        <w:spacing w:line="480" w:lineRule="auto"/>
        <w:jc w:val="right"/>
      </w:pPr>
      <w:r w:rsidRPr="00007D97">
        <w:t>CONCERNS RISING FROM TKAS</w:t>
      </w:r>
      <w:r>
        <w:t>...</w:t>
      </w:r>
      <w:r w:rsidRPr="00007D97">
        <w:t>……………………………</w:t>
      </w:r>
      <w:r>
        <w:t>.</w:t>
      </w:r>
      <w:r w:rsidRPr="00007D97">
        <w:t>………….</w:t>
      </w:r>
      <w:r>
        <w:t>.</w:t>
      </w:r>
      <w:r w:rsidRPr="00007D97">
        <w:t xml:space="preserve">  </w:t>
      </w:r>
      <w:r>
        <w:t>10</w:t>
      </w:r>
    </w:p>
    <w:p w:rsidR="001F4A25" w:rsidRPr="00007D97" w:rsidRDefault="001F4A25" w:rsidP="001F4A25">
      <w:pPr>
        <w:numPr>
          <w:ilvl w:val="1"/>
          <w:numId w:val="13"/>
        </w:numPr>
        <w:spacing w:line="480" w:lineRule="auto"/>
        <w:jc w:val="right"/>
      </w:pPr>
      <w:r w:rsidRPr="00007D97">
        <w:t>KNEE VIBRATION DATA- THE FUTURE OF DIAGNOSIS?</w:t>
      </w:r>
      <w:r>
        <w:t>........................11</w:t>
      </w:r>
    </w:p>
    <w:p w:rsidR="001F4A25" w:rsidRPr="00EC0050" w:rsidRDefault="001F4A25" w:rsidP="001F4A25">
      <w:pPr>
        <w:spacing w:line="480" w:lineRule="auto"/>
        <w:rPr>
          <w:b/>
        </w:rPr>
      </w:pPr>
    </w:p>
    <w:p w:rsidR="001F4A25" w:rsidRPr="00EC0050" w:rsidRDefault="001F4A25" w:rsidP="001F4A25">
      <w:pPr>
        <w:numPr>
          <w:ilvl w:val="0"/>
          <w:numId w:val="13"/>
        </w:numPr>
        <w:spacing w:line="480" w:lineRule="auto"/>
        <w:jc w:val="right"/>
        <w:rPr>
          <w:b/>
        </w:rPr>
      </w:pPr>
      <w:r>
        <w:rPr>
          <w:b/>
        </w:rPr>
        <w:t>RESEARCH AIMS AND CONTRIBUTION………………..</w:t>
      </w:r>
      <w:r w:rsidRPr="00EC0050">
        <w:rPr>
          <w:b/>
        </w:rPr>
        <w:t xml:space="preserve"> </w:t>
      </w:r>
      <w:r>
        <w:rPr>
          <w:b/>
        </w:rPr>
        <w:t>13</w:t>
      </w:r>
    </w:p>
    <w:p w:rsidR="001F4A25" w:rsidRPr="00EC0050" w:rsidRDefault="001F4A25" w:rsidP="001F4A25">
      <w:pPr>
        <w:numPr>
          <w:ilvl w:val="1"/>
          <w:numId w:val="13"/>
        </w:numPr>
        <w:spacing w:line="480" w:lineRule="auto"/>
        <w:jc w:val="right"/>
        <w:rPr>
          <w:b/>
        </w:rPr>
      </w:pPr>
      <w:r>
        <w:t>RESEARCH AIMS</w:t>
      </w:r>
      <w:r w:rsidRPr="00EC0050">
        <w:t>…………………………………………………</w:t>
      </w:r>
      <w:r>
        <w:t>………….. 13</w:t>
      </w:r>
      <w:r w:rsidRPr="00EC0050">
        <w:t xml:space="preserve"> </w:t>
      </w:r>
    </w:p>
    <w:p w:rsidR="001F4A25" w:rsidRPr="00EC0050" w:rsidRDefault="001F4A25" w:rsidP="001F4A25">
      <w:pPr>
        <w:numPr>
          <w:ilvl w:val="1"/>
          <w:numId w:val="13"/>
        </w:numPr>
        <w:spacing w:line="480" w:lineRule="auto"/>
        <w:jc w:val="right"/>
        <w:rPr>
          <w:b/>
        </w:rPr>
      </w:pPr>
      <w:r>
        <w:t>FUNDAMENTAL CONTRIBUTIONS…......</w:t>
      </w:r>
      <w:r w:rsidRPr="00EC0050">
        <w:t xml:space="preserve">……………………. </w:t>
      </w:r>
      <w:r>
        <w:t>…………...16</w:t>
      </w:r>
    </w:p>
    <w:p w:rsidR="001F4A25" w:rsidRPr="00EC0050" w:rsidRDefault="001F4A25" w:rsidP="001F4A25">
      <w:pPr>
        <w:spacing w:line="480" w:lineRule="auto"/>
        <w:rPr>
          <w:b/>
        </w:rPr>
      </w:pPr>
    </w:p>
    <w:p w:rsidR="001F4A25" w:rsidRPr="00EC0050" w:rsidRDefault="001F4A25" w:rsidP="001F4A25">
      <w:pPr>
        <w:numPr>
          <w:ilvl w:val="0"/>
          <w:numId w:val="13"/>
        </w:numPr>
        <w:spacing w:line="480" w:lineRule="auto"/>
        <w:jc w:val="right"/>
        <w:rPr>
          <w:b/>
        </w:rPr>
      </w:pPr>
      <w:r>
        <w:rPr>
          <w:b/>
        </w:rPr>
        <w:t>LITERATURE REVIEW AND MOTIVATION...………….</w:t>
      </w:r>
      <w:r w:rsidRPr="00EC0050">
        <w:rPr>
          <w:b/>
        </w:rPr>
        <w:t xml:space="preserve">  </w:t>
      </w:r>
      <w:r>
        <w:rPr>
          <w:b/>
        </w:rPr>
        <w:t>20</w:t>
      </w:r>
    </w:p>
    <w:p w:rsidR="001F4A25" w:rsidRPr="00EC0050" w:rsidRDefault="001F4A25" w:rsidP="001F4A25">
      <w:pPr>
        <w:numPr>
          <w:ilvl w:val="1"/>
          <w:numId w:val="13"/>
        </w:numPr>
        <w:spacing w:line="480" w:lineRule="auto"/>
        <w:jc w:val="right"/>
        <w:rPr>
          <w:b/>
        </w:rPr>
      </w:pPr>
      <w:r>
        <w:t>TECHNIQUES USED TO DETERMINE JOINT KINEMATICS………..</w:t>
      </w:r>
      <w:r w:rsidRPr="00EC0050">
        <w:t xml:space="preserve">…... </w:t>
      </w:r>
      <w:r>
        <w:t>21</w:t>
      </w:r>
    </w:p>
    <w:p w:rsidR="001F4A25" w:rsidRPr="00E418A9" w:rsidRDefault="001F4A25" w:rsidP="001F4A25">
      <w:pPr>
        <w:numPr>
          <w:ilvl w:val="1"/>
          <w:numId w:val="13"/>
        </w:numPr>
        <w:spacing w:line="480" w:lineRule="auto"/>
        <w:jc w:val="right"/>
      </w:pPr>
      <w:r w:rsidRPr="00007D97">
        <w:t xml:space="preserve">KNEE KINEMATICS-MOBILE OR FIXED, </w:t>
      </w:r>
      <w:r>
        <w:t>PCR OR PS…............................  22</w:t>
      </w:r>
    </w:p>
    <w:p w:rsidR="001F4A25" w:rsidRPr="00E418A9" w:rsidRDefault="001F4A25" w:rsidP="001F4A25">
      <w:pPr>
        <w:numPr>
          <w:ilvl w:val="1"/>
          <w:numId w:val="13"/>
        </w:numPr>
        <w:spacing w:line="480" w:lineRule="auto"/>
        <w:jc w:val="right"/>
      </w:pPr>
      <w:r w:rsidRPr="00E418A9">
        <w:t>TECHNIQUES USED TO DETERMINE JOINT FORCES</w:t>
      </w:r>
      <w:r w:rsidRPr="00EC0050">
        <w:t xml:space="preserve"> ……………</w:t>
      </w:r>
      <w:r>
        <w:t>…….</w:t>
      </w:r>
      <w:r w:rsidRPr="00EC0050">
        <w:t xml:space="preserve">  </w:t>
      </w:r>
      <w:r>
        <w:t>28</w:t>
      </w:r>
    </w:p>
    <w:p w:rsidR="001F4A25" w:rsidRPr="00E418A9" w:rsidRDefault="001F4A25" w:rsidP="001F4A25">
      <w:pPr>
        <w:numPr>
          <w:ilvl w:val="1"/>
          <w:numId w:val="13"/>
        </w:numPr>
        <w:spacing w:line="480" w:lineRule="auto"/>
        <w:jc w:val="right"/>
      </w:pPr>
      <w:r w:rsidRPr="00E418A9">
        <w:t>CONTACT PRESSURE ANALYSIS ……</w:t>
      </w:r>
      <w:r>
        <w:t>…………….</w:t>
      </w:r>
      <w:r w:rsidRPr="00E418A9">
        <w:t>…………</w:t>
      </w:r>
      <w:r>
        <w:t>…………… 34</w:t>
      </w:r>
    </w:p>
    <w:p w:rsidR="001F4A25" w:rsidRPr="00EC0050" w:rsidRDefault="001F4A25" w:rsidP="001F4A25">
      <w:pPr>
        <w:spacing w:line="480" w:lineRule="auto"/>
        <w:rPr>
          <w:b/>
        </w:rPr>
      </w:pPr>
    </w:p>
    <w:p w:rsidR="001F4A25" w:rsidRPr="00EC0050" w:rsidRDefault="001F4A25" w:rsidP="001F4A25">
      <w:pPr>
        <w:numPr>
          <w:ilvl w:val="1"/>
          <w:numId w:val="13"/>
        </w:numPr>
        <w:spacing w:line="480" w:lineRule="auto"/>
        <w:jc w:val="right"/>
        <w:rPr>
          <w:b/>
        </w:rPr>
      </w:pPr>
      <w:r>
        <w:lastRenderedPageBreak/>
        <w:t>VIBROARTHOGRAPHY OF THE KNEE……......</w:t>
      </w:r>
      <w:r w:rsidRPr="00EC0050">
        <w:t>……………</w:t>
      </w:r>
      <w:r>
        <w:t>……………</w:t>
      </w:r>
      <w:r w:rsidRPr="00EC0050">
        <w:t xml:space="preserve">... </w:t>
      </w:r>
      <w:r>
        <w:t>37</w:t>
      </w:r>
    </w:p>
    <w:p w:rsidR="001F4A25" w:rsidRPr="00E418A9" w:rsidRDefault="001F4A25" w:rsidP="001F4A25">
      <w:pPr>
        <w:numPr>
          <w:ilvl w:val="2"/>
          <w:numId w:val="13"/>
        </w:numPr>
        <w:spacing w:line="480" w:lineRule="auto"/>
        <w:jc w:val="right"/>
      </w:pPr>
      <w:r w:rsidRPr="00E418A9">
        <w:rPr>
          <w:bCs/>
          <w:i/>
        </w:rPr>
        <w:t xml:space="preserve">Historical </w:t>
      </w:r>
      <w:r>
        <w:rPr>
          <w:bCs/>
          <w:i/>
        </w:rPr>
        <w:t>b</w:t>
      </w:r>
      <w:r w:rsidRPr="00E418A9">
        <w:rPr>
          <w:bCs/>
          <w:i/>
        </w:rPr>
        <w:t>ackground</w:t>
      </w:r>
      <w:r w:rsidRPr="00E418A9">
        <w:rPr>
          <w:i/>
        </w:rPr>
        <w:t xml:space="preserve"> …………</w:t>
      </w:r>
      <w:r>
        <w:rPr>
          <w:i/>
        </w:rPr>
        <w:t>..</w:t>
      </w:r>
      <w:r w:rsidRPr="00E418A9">
        <w:rPr>
          <w:i/>
        </w:rPr>
        <w:t xml:space="preserve">………………………………………...…. </w:t>
      </w:r>
      <w:r>
        <w:t>37</w:t>
      </w:r>
    </w:p>
    <w:p w:rsidR="001F4A25" w:rsidRPr="00E418A9" w:rsidRDefault="001F4A25" w:rsidP="001F4A25">
      <w:pPr>
        <w:numPr>
          <w:ilvl w:val="2"/>
          <w:numId w:val="13"/>
        </w:numPr>
        <w:spacing w:line="480" w:lineRule="auto"/>
        <w:jc w:val="right"/>
        <w:rPr>
          <w:bCs/>
          <w:i/>
        </w:rPr>
      </w:pPr>
      <w:r w:rsidRPr="00E418A9">
        <w:rPr>
          <w:bCs/>
          <w:i/>
        </w:rPr>
        <w:t>Current Research …………………………</w:t>
      </w:r>
      <w:r>
        <w:rPr>
          <w:bCs/>
          <w:i/>
        </w:rPr>
        <w:t>…………….</w:t>
      </w:r>
      <w:r w:rsidRPr="00E418A9">
        <w:rPr>
          <w:bCs/>
          <w:i/>
        </w:rPr>
        <w:t xml:space="preserve">…………………….. </w:t>
      </w:r>
      <w:r w:rsidRPr="00E418A9">
        <w:rPr>
          <w:bCs/>
        </w:rPr>
        <w:t>43</w:t>
      </w:r>
    </w:p>
    <w:p w:rsidR="001F4A25" w:rsidRPr="00EC0050" w:rsidRDefault="001F4A25" w:rsidP="001F4A25">
      <w:pPr>
        <w:spacing w:line="480" w:lineRule="auto"/>
        <w:jc w:val="right"/>
        <w:rPr>
          <w:b/>
        </w:rPr>
      </w:pPr>
    </w:p>
    <w:p w:rsidR="001F4A25" w:rsidRPr="00EC0050" w:rsidRDefault="001F4A25" w:rsidP="001F4A25">
      <w:pPr>
        <w:numPr>
          <w:ilvl w:val="0"/>
          <w:numId w:val="13"/>
        </w:numPr>
        <w:spacing w:line="480" w:lineRule="auto"/>
        <w:jc w:val="right"/>
        <w:rPr>
          <w:b/>
        </w:rPr>
      </w:pPr>
      <w:r>
        <w:rPr>
          <w:b/>
        </w:rPr>
        <w:t>MATERIALS AND METHODS</w:t>
      </w:r>
      <w:r w:rsidRPr="00EC0050">
        <w:rPr>
          <w:b/>
        </w:rPr>
        <w:t>……………………</w:t>
      </w:r>
      <w:r>
        <w:rPr>
          <w:b/>
        </w:rPr>
        <w:t>………...</w:t>
      </w:r>
      <w:r w:rsidRPr="00EC0050">
        <w:rPr>
          <w:b/>
        </w:rPr>
        <w:t xml:space="preserve"> </w:t>
      </w:r>
      <w:r>
        <w:rPr>
          <w:b/>
        </w:rPr>
        <w:t>46</w:t>
      </w:r>
    </w:p>
    <w:p w:rsidR="001F4A25" w:rsidRPr="00EC0050" w:rsidRDefault="001F4A25" w:rsidP="001F4A25">
      <w:pPr>
        <w:numPr>
          <w:ilvl w:val="1"/>
          <w:numId w:val="13"/>
        </w:numPr>
        <w:spacing w:line="480" w:lineRule="auto"/>
        <w:jc w:val="right"/>
        <w:rPr>
          <w:b/>
        </w:rPr>
      </w:pPr>
      <w:r>
        <w:t xml:space="preserve">PATIENT </w:t>
      </w:r>
      <w:r w:rsidRPr="00EC0050">
        <w:t>S</w:t>
      </w:r>
      <w:r>
        <w:t>ELECTION..</w:t>
      </w:r>
      <w:r w:rsidRPr="00EC0050">
        <w:t>…………………………………………</w:t>
      </w:r>
      <w:r>
        <w:t>……………</w:t>
      </w:r>
      <w:r w:rsidRPr="00EC0050">
        <w:t xml:space="preserve"> </w:t>
      </w:r>
      <w:r>
        <w:t xml:space="preserve"> 46</w:t>
      </w:r>
    </w:p>
    <w:p w:rsidR="001F4A25" w:rsidRPr="00EC0050" w:rsidRDefault="001F4A25" w:rsidP="001F4A25">
      <w:pPr>
        <w:numPr>
          <w:ilvl w:val="1"/>
          <w:numId w:val="13"/>
        </w:numPr>
        <w:spacing w:line="480" w:lineRule="auto"/>
        <w:jc w:val="right"/>
        <w:rPr>
          <w:b/>
        </w:rPr>
      </w:pPr>
      <w:r>
        <w:t>FLUOROSCOPY…..</w:t>
      </w:r>
      <w:r w:rsidRPr="00EC0050">
        <w:t xml:space="preserve"> ……………………………………………</w:t>
      </w:r>
      <w:r>
        <w:t>…………….</w:t>
      </w:r>
      <w:r w:rsidRPr="00EC0050">
        <w:t xml:space="preserve">. </w:t>
      </w:r>
      <w:r>
        <w:t>48</w:t>
      </w:r>
    </w:p>
    <w:p w:rsidR="001F4A25" w:rsidRPr="00E418A9" w:rsidRDefault="001F4A25" w:rsidP="001F4A25">
      <w:pPr>
        <w:numPr>
          <w:ilvl w:val="2"/>
          <w:numId w:val="13"/>
        </w:numPr>
        <w:spacing w:line="480" w:lineRule="auto"/>
        <w:jc w:val="right"/>
        <w:rPr>
          <w:bCs/>
          <w:i/>
        </w:rPr>
      </w:pPr>
      <w:r w:rsidRPr="00E418A9">
        <w:rPr>
          <w:bCs/>
          <w:i/>
        </w:rPr>
        <w:t>Image distortion removal ……</w:t>
      </w:r>
      <w:r>
        <w:rPr>
          <w:bCs/>
          <w:i/>
        </w:rPr>
        <w:t>…</w:t>
      </w:r>
      <w:r w:rsidRPr="00E418A9">
        <w:rPr>
          <w:bCs/>
          <w:i/>
        </w:rPr>
        <w:t xml:space="preserve">………………………………………..….. </w:t>
      </w:r>
      <w:r>
        <w:rPr>
          <w:bCs/>
          <w:i/>
        </w:rPr>
        <w:t>49</w:t>
      </w:r>
    </w:p>
    <w:p w:rsidR="001F4A25" w:rsidRPr="00135CA7" w:rsidRDefault="001F4A25" w:rsidP="001F4A25">
      <w:pPr>
        <w:numPr>
          <w:ilvl w:val="2"/>
          <w:numId w:val="13"/>
        </w:numPr>
        <w:tabs>
          <w:tab w:val="clear" w:pos="0"/>
          <w:tab w:val="num" w:pos="1440"/>
        </w:tabs>
        <w:spacing w:line="480" w:lineRule="auto"/>
        <w:jc w:val="right"/>
        <w:rPr>
          <w:b/>
        </w:rPr>
      </w:pPr>
      <w:r>
        <w:rPr>
          <w:i/>
        </w:rPr>
        <w:t>3D-to-2D Registration Algorithm</w:t>
      </w:r>
      <w:r w:rsidRPr="00EC0050">
        <w:rPr>
          <w:i/>
        </w:rPr>
        <w:t>……</w:t>
      </w:r>
      <w:r>
        <w:rPr>
          <w:i/>
        </w:rPr>
        <w:t>.</w:t>
      </w:r>
      <w:r w:rsidRPr="00EC0050">
        <w:rPr>
          <w:i/>
        </w:rPr>
        <w:t>……………………</w:t>
      </w:r>
      <w:r>
        <w:rPr>
          <w:i/>
        </w:rPr>
        <w:t>…………..</w:t>
      </w:r>
      <w:r w:rsidRPr="00EC0050">
        <w:rPr>
          <w:i/>
        </w:rPr>
        <w:t xml:space="preserve">……. </w:t>
      </w:r>
      <w:r>
        <w:t>51</w:t>
      </w:r>
    </w:p>
    <w:p w:rsidR="001F4A25" w:rsidRPr="00135CA7" w:rsidRDefault="001F4A25" w:rsidP="001F4A25">
      <w:pPr>
        <w:numPr>
          <w:ilvl w:val="2"/>
          <w:numId w:val="13"/>
        </w:numPr>
        <w:tabs>
          <w:tab w:val="clear" w:pos="0"/>
          <w:tab w:val="num" w:pos="1440"/>
        </w:tabs>
        <w:spacing w:line="480" w:lineRule="auto"/>
        <w:jc w:val="right"/>
        <w:rPr>
          <w:b/>
        </w:rPr>
      </w:pPr>
      <w:r w:rsidRPr="00135CA7">
        <w:rPr>
          <w:bCs/>
          <w:i/>
        </w:rPr>
        <w:t>Error Analysis</w:t>
      </w:r>
      <w:r w:rsidRPr="00EC0050">
        <w:rPr>
          <w:i/>
        </w:rPr>
        <w:t xml:space="preserve"> ……</w:t>
      </w:r>
      <w:r>
        <w:rPr>
          <w:i/>
        </w:rPr>
        <w:t>.</w:t>
      </w:r>
      <w:r w:rsidRPr="00EC0050">
        <w:rPr>
          <w:i/>
        </w:rPr>
        <w:t>……</w:t>
      </w:r>
      <w:r>
        <w:rPr>
          <w:i/>
        </w:rPr>
        <w:t>……….…………...</w:t>
      </w:r>
      <w:r w:rsidRPr="00EC0050">
        <w:rPr>
          <w:i/>
        </w:rPr>
        <w:t>………………</w:t>
      </w:r>
      <w:r>
        <w:rPr>
          <w:i/>
        </w:rPr>
        <w:t>…………..</w:t>
      </w:r>
      <w:r w:rsidRPr="00EC0050">
        <w:rPr>
          <w:i/>
        </w:rPr>
        <w:t xml:space="preserve">……. </w:t>
      </w:r>
      <w:r>
        <w:t>53</w:t>
      </w:r>
    </w:p>
    <w:p w:rsidR="001F4A25" w:rsidRDefault="001F4A25" w:rsidP="001F4A25">
      <w:pPr>
        <w:numPr>
          <w:ilvl w:val="2"/>
          <w:numId w:val="13"/>
        </w:numPr>
        <w:tabs>
          <w:tab w:val="clear" w:pos="0"/>
          <w:tab w:val="num" w:pos="1440"/>
        </w:tabs>
        <w:spacing w:line="480" w:lineRule="auto"/>
      </w:pPr>
      <w:r w:rsidRPr="00135CA7">
        <w:rPr>
          <w:bCs/>
          <w:i/>
        </w:rPr>
        <w:t>Determining 3D Orientation…</w:t>
      </w:r>
      <w:r w:rsidRPr="00135CA7">
        <w:t>…………………………………………</w:t>
      </w:r>
      <w:r>
        <w:t>..54</w:t>
      </w:r>
    </w:p>
    <w:p w:rsidR="001F4A25" w:rsidRDefault="001F4A25" w:rsidP="001F4A25">
      <w:pPr>
        <w:numPr>
          <w:ilvl w:val="2"/>
          <w:numId w:val="13"/>
        </w:numPr>
        <w:tabs>
          <w:tab w:val="clear" w:pos="0"/>
          <w:tab w:val="num" w:pos="1440"/>
        </w:tabs>
        <w:spacing w:line="480" w:lineRule="auto"/>
      </w:pPr>
      <w:r>
        <w:rPr>
          <w:i/>
        </w:rPr>
        <w:t>Generating Required Kinematics…………………………………………….</w:t>
      </w:r>
      <w:r>
        <w:t>59</w:t>
      </w:r>
    </w:p>
    <w:p w:rsidR="001F4A25" w:rsidRPr="00CD7E84" w:rsidRDefault="001F4A25" w:rsidP="001F4A25">
      <w:pPr>
        <w:numPr>
          <w:ilvl w:val="3"/>
          <w:numId w:val="13"/>
        </w:numPr>
        <w:spacing w:line="480" w:lineRule="auto"/>
        <w:rPr>
          <w:i/>
        </w:rPr>
      </w:pPr>
      <w:r w:rsidRPr="00CD7E84">
        <w:rPr>
          <w:i/>
        </w:rPr>
        <w:t>Tibio-femoral Kinematics</w:t>
      </w:r>
      <w:r>
        <w:rPr>
          <w:i/>
        </w:rPr>
        <w:t>…………………………………………….</w:t>
      </w:r>
      <w:r>
        <w:t>59</w:t>
      </w:r>
    </w:p>
    <w:p w:rsidR="001F4A25" w:rsidRPr="00CD7E84" w:rsidRDefault="001F4A25" w:rsidP="001F4A25">
      <w:pPr>
        <w:numPr>
          <w:ilvl w:val="3"/>
          <w:numId w:val="13"/>
        </w:numPr>
        <w:spacing w:line="480" w:lineRule="auto"/>
        <w:rPr>
          <w:i/>
        </w:rPr>
      </w:pPr>
      <w:r>
        <w:rPr>
          <w:i/>
        </w:rPr>
        <w:t>Cam-post Analysis……………………………………………………..</w:t>
      </w:r>
      <w:r>
        <w:t>59</w:t>
      </w:r>
    </w:p>
    <w:p w:rsidR="001F4A25" w:rsidRPr="00CD7E84" w:rsidRDefault="001F4A25" w:rsidP="001F4A25">
      <w:pPr>
        <w:numPr>
          <w:ilvl w:val="3"/>
          <w:numId w:val="13"/>
        </w:numPr>
        <w:spacing w:line="480" w:lineRule="auto"/>
        <w:rPr>
          <w:i/>
        </w:rPr>
      </w:pPr>
      <w:r>
        <w:rPr>
          <w:i/>
        </w:rPr>
        <w:t>Patellar Tilt……………………………………………………………..</w:t>
      </w:r>
      <w:r>
        <w:t>65</w:t>
      </w:r>
    </w:p>
    <w:p w:rsidR="001F4A25" w:rsidRDefault="001F4A25" w:rsidP="001F4A25">
      <w:pPr>
        <w:numPr>
          <w:ilvl w:val="1"/>
          <w:numId w:val="13"/>
        </w:numPr>
        <w:spacing w:line="480" w:lineRule="auto"/>
        <w:jc w:val="right"/>
      </w:pPr>
      <w:r w:rsidRPr="00CD7E84">
        <w:t>MATHEMATICAL MODELING</w:t>
      </w:r>
      <w:r>
        <w:t>……………………………………………….66</w:t>
      </w:r>
    </w:p>
    <w:p w:rsidR="001F4A25" w:rsidRDefault="001F4A25" w:rsidP="001F4A25">
      <w:pPr>
        <w:numPr>
          <w:ilvl w:val="2"/>
          <w:numId w:val="13"/>
        </w:numPr>
        <w:tabs>
          <w:tab w:val="left" w:pos="90"/>
          <w:tab w:val="left" w:pos="450"/>
        </w:tabs>
        <w:spacing w:line="480" w:lineRule="auto"/>
        <w:jc w:val="right"/>
        <w:rPr>
          <w:i/>
        </w:rPr>
      </w:pPr>
      <w:r w:rsidRPr="00CD7E84">
        <w:rPr>
          <w:i/>
        </w:rPr>
        <w:t>Inputs to the Model</w:t>
      </w:r>
      <w:r>
        <w:rPr>
          <w:i/>
        </w:rPr>
        <w:t>…………………………..…………………………………</w:t>
      </w:r>
      <w:r w:rsidRPr="00CD7E84">
        <w:t>66</w:t>
      </w:r>
    </w:p>
    <w:p w:rsidR="001F4A25" w:rsidRPr="00CD7E84" w:rsidRDefault="001F4A25" w:rsidP="001F4A25">
      <w:pPr>
        <w:numPr>
          <w:ilvl w:val="2"/>
          <w:numId w:val="13"/>
        </w:numPr>
        <w:tabs>
          <w:tab w:val="left" w:pos="90"/>
          <w:tab w:val="left" w:pos="450"/>
        </w:tabs>
        <w:spacing w:line="480" w:lineRule="auto"/>
        <w:jc w:val="right"/>
        <w:rPr>
          <w:i/>
        </w:rPr>
      </w:pPr>
      <w:r>
        <w:rPr>
          <w:i/>
        </w:rPr>
        <w:t>Description of the Model……………………………………………………….</w:t>
      </w:r>
      <w:r w:rsidRPr="00CD7E84">
        <w:t>68</w:t>
      </w:r>
    </w:p>
    <w:p w:rsidR="001F4A25" w:rsidRPr="00CD7E84" w:rsidRDefault="001F4A25" w:rsidP="001F4A25">
      <w:pPr>
        <w:numPr>
          <w:ilvl w:val="1"/>
          <w:numId w:val="13"/>
        </w:numPr>
        <w:spacing w:line="480" w:lineRule="auto"/>
        <w:jc w:val="right"/>
        <w:rPr>
          <w:b/>
        </w:rPr>
      </w:pPr>
      <w:r>
        <w:t>VIBROARTHOGRAPHY</w:t>
      </w:r>
      <w:r w:rsidRPr="00EC0050">
        <w:t>.………………</w:t>
      </w:r>
      <w:r>
        <w:t>.</w:t>
      </w:r>
      <w:r w:rsidRPr="00EC0050">
        <w:t>…………………………</w:t>
      </w:r>
      <w:r>
        <w:t>…………..73</w:t>
      </w:r>
    </w:p>
    <w:p w:rsidR="001F4A25" w:rsidRPr="00CD7E84" w:rsidRDefault="001F4A25" w:rsidP="001F4A25">
      <w:pPr>
        <w:numPr>
          <w:ilvl w:val="2"/>
          <w:numId w:val="13"/>
        </w:numPr>
        <w:spacing w:line="480" w:lineRule="auto"/>
        <w:jc w:val="right"/>
        <w:rPr>
          <w:b/>
        </w:rPr>
      </w:pPr>
      <w:r>
        <w:rPr>
          <w:i/>
        </w:rPr>
        <w:t>Data Capture…………………………………………………………………….</w:t>
      </w:r>
      <w:r w:rsidRPr="00CD7E84">
        <w:t>73</w:t>
      </w:r>
    </w:p>
    <w:p w:rsidR="001F4A25" w:rsidRPr="00CD7E84" w:rsidRDefault="001F4A25" w:rsidP="001F4A25">
      <w:pPr>
        <w:numPr>
          <w:ilvl w:val="2"/>
          <w:numId w:val="13"/>
        </w:numPr>
        <w:spacing w:line="480" w:lineRule="auto"/>
        <w:jc w:val="right"/>
        <w:rPr>
          <w:i/>
        </w:rPr>
      </w:pPr>
      <w:r>
        <w:rPr>
          <w:i/>
        </w:rPr>
        <w:t>Data Analysis.............................................................................................</w:t>
      </w:r>
      <w:r w:rsidRPr="00CD7E84">
        <w:rPr>
          <w:i/>
        </w:rPr>
        <w:t>76</w:t>
      </w:r>
    </w:p>
    <w:p w:rsidR="001F4A25" w:rsidRPr="00EC0050" w:rsidRDefault="001F4A25" w:rsidP="001F4A25">
      <w:pPr>
        <w:spacing w:line="480" w:lineRule="auto"/>
        <w:jc w:val="right"/>
        <w:rPr>
          <w:b/>
        </w:rPr>
      </w:pPr>
      <w:r w:rsidRPr="00EC0050">
        <w:rPr>
          <w:b/>
        </w:rPr>
        <w:lastRenderedPageBreak/>
        <w:t>REFERENCES ………………………………………………………...</w:t>
      </w:r>
      <w:r>
        <w:rPr>
          <w:b/>
        </w:rPr>
        <w:t>....................</w:t>
      </w:r>
      <w:r w:rsidRPr="00EC0050">
        <w:rPr>
          <w:b/>
        </w:rPr>
        <w:t xml:space="preserve">... </w:t>
      </w:r>
      <w:r>
        <w:rPr>
          <w:b/>
        </w:rPr>
        <w:t>79</w:t>
      </w:r>
    </w:p>
    <w:p w:rsidR="001F4A25" w:rsidRPr="00EC0050" w:rsidRDefault="001F4A25" w:rsidP="001F4A25">
      <w:pPr>
        <w:spacing w:line="480" w:lineRule="auto"/>
        <w:jc w:val="right"/>
        <w:rPr>
          <w:b/>
        </w:rPr>
      </w:pPr>
    </w:p>
    <w:p w:rsidR="001F4A25" w:rsidRDefault="001F4A25" w:rsidP="001F4A25">
      <w:pPr>
        <w:jc w:val="right"/>
        <w:sectPr w:rsidR="001F4A25" w:rsidSect="00531534">
          <w:headerReference w:type="default" r:id="rId11"/>
          <w:headerReference w:type="first" r:id="rId12"/>
          <w:footerReference w:type="first" r:id="rId13"/>
          <w:pgSz w:w="12240" w:h="15840" w:code="1"/>
          <w:pgMar w:top="1440" w:right="1440" w:bottom="1872" w:left="2160" w:header="1440" w:footer="1872" w:gutter="0"/>
          <w:pgNumType w:fmt="lowerRoman"/>
          <w:cols w:space="720"/>
          <w:titlePg/>
          <w:docGrid w:linePitch="360"/>
        </w:sectPr>
      </w:pPr>
    </w:p>
    <w:p w:rsidR="001F4A25" w:rsidRDefault="001F4A25" w:rsidP="001F4A25"/>
    <w:p w:rsidR="001F4A25" w:rsidRDefault="001F4A25" w:rsidP="001F4A25">
      <w:pPr>
        <w:spacing w:line="480" w:lineRule="auto"/>
      </w:pPr>
      <w:r>
        <w:t>Table 3-1</w:t>
      </w:r>
      <w:r>
        <w:tab/>
      </w:r>
      <w:r w:rsidRPr="00CD7E84">
        <w:t>Knee Contact Forces from Previous Studies</w:t>
      </w:r>
      <w:r>
        <w:t xml:space="preserve"> …………………………... 33</w:t>
      </w:r>
    </w:p>
    <w:p w:rsidR="001F4A25" w:rsidRDefault="001F4A25" w:rsidP="001F4A25">
      <w:pPr>
        <w:spacing w:line="480" w:lineRule="auto"/>
      </w:pPr>
    </w:p>
    <w:p w:rsidR="001F4A25" w:rsidRDefault="001F4A25" w:rsidP="001F4A25">
      <w:pPr>
        <w:spacing w:line="480" w:lineRule="auto"/>
      </w:pPr>
      <w:r w:rsidRPr="00EE09E4">
        <w:t>Table 3-2</w:t>
      </w:r>
      <w:r w:rsidRPr="00EE09E4">
        <w:tab/>
        <w:t>Summary of some Previous Contact Area and Contact Stress Studies</w:t>
      </w:r>
      <w:r>
        <w:t>...</w:t>
      </w:r>
      <w:r w:rsidRPr="00EE09E4">
        <w:t xml:space="preserve"> </w:t>
      </w:r>
      <w:r>
        <w:t xml:space="preserve"> 36</w:t>
      </w:r>
    </w:p>
    <w:p w:rsidR="001F4A25" w:rsidRDefault="001F4A25" w:rsidP="001F4A25">
      <w:pPr>
        <w:spacing w:line="480" w:lineRule="auto"/>
      </w:pPr>
    </w:p>
    <w:p w:rsidR="001F4A25" w:rsidRDefault="001F4A25" w:rsidP="001F4A25">
      <w:pPr>
        <w:spacing w:line="480" w:lineRule="auto"/>
      </w:pPr>
      <w:r w:rsidRPr="00EE09E4">
        <w:t>Table 4-1</w:t>
      </w:r>
      <w:r w:rsidRPr="00EE09E4">
        <w:tab/>
        <w:t>Demographic information for all patients</w:t>
      </w:r>
      <w:r>
        <w:t>………………………………..47</w:t>
      </w:r>
    </w:p>
    <w:p w:rsidR="001F4A25" w:rsidRDefault="001F4A25" w:rsidP="001F4A25">
      <w:pPr>
        <w:spacing w:line="480" w:lineRule="auto"/>
      </w:pPr>
    </w:p>
    <w:p w:rsidR="001F4A25" w:rsidRDefault="001F4A25" w:rsidP="001F4A25">
      <w:pPr>
        <w:spacing w:line="480" w:lineRule="auto"/>
        <w:rPr>
          <w:b/>
        </w:rPr>
      </w:pPr>
    </w:p>
    <w:p w:rsidR="001F4A25" w:rsidRPr="00F10A0E" w:rsidRDefault="001F4A25" w:rsidP="001F4A25">
      <w:pPr>
        <w:pStyle w:val="Header"/>
        <w:rPr>
          <w:rFonts w:ascii="Arial" w:hAnsi="Arial" w:cs="Arial"/>
          <w:b/>
          <w:sz w:val="32"/>
          <w:szCs w:val="32"/>
        </w:rPr>
      </w:pPr>
      <w:r>
        <w:rPr>
          <w:b/>
        </w:rPr>
        <w:br w:type="page"/>
      </w:r>
    </w:p>
    <w:p w:rsidR="001F4A25" w:rsidRPr="00160B49" w:rsidRDefault="001F4A25" w:rsidP="001F4A25">
      <w:pPr>
        <w:spacing w:line="480" w:lineRule="auto"/>
        <w:rPr>
          <w:b/>
        </w:rPr>
      </w:pPr>
    </w:p>
    <w:p w:rsidR="001F4A25" w:rsidRDefault="001F4A25" w:rsidP="001F4A25">
      <w:pPr>
        <w:spacing w:line="480" w:lineRule="auto"/>
        <w:ind w:left="1440" w:hanging="1440"/>
      </w:pPr>
      <w:r>
        <w:t>Figure 1-1</w:t>
      </w:r>
      <w:r>
        <w:tab/>
      </w:r>
      <w:r w:rsidRPr="00EE09E4">
        <w:t>Posterior Femoral rollback in the normal knee (cadaver) from full extension to full flexion</w:t>
      </w:r>
      <w:r>
        <w:t xml:space="preserve"> ………………………………………………....  4</w:t>
      </w:r>
    </w:p>
    <w:p w:rsidR="001F4A25" w:rsidRDefault="001F4A25" w:rsidP="001F4A25">
      <w:pPr>
        <w:spacing w:line="480" w:lineRule="auto"/>
      </w:pPr>
    </w:p>
    <w:p w:rsidR="001F4A25" w:rsidRDefault="001F4A25" w:rsidP="001F4A25">
      <w:pPr>
        <w:spacing w:line="480" w:lineRule="auto"/>
        <w:ind w:left="1440" w:hanging="1440"/>
      </w:pPr>
      <w:r>
        <w:t>Figure 1-2</w:t>
      </w:r>
      <w:r>
        <w:tab/>
      </w:r>
      <w:r w:rsidRPr="00EE09E4">
        <w:rPr>
          <w:color w:val="000000"/>
        </w:rPr>
        <w:t xml:space="preserve">Posterior Femoral rollback in the normal knee from full extension to full flexion </w:t>
      </w:r>
      <w:r w:rsidRPr="00EE09E4">
        <w:t>…</w:t>
      </w:r>
      <w:r>
        <w:t>………………………………………………………………...  4</w:t>
      </w:r>
    </w:p>
    <w:p w:rsidR="001F4A25" w:rsidRDefault="001F4A25" w:rsidP="001F4A25">
      <w:pPr>
        <w:spacing w:line="480" w:lineRule="auto"/>
      </w:pPr>
    </w:p>
    <w:p w:rsidR="001F4A25" w:rsidRDefault="001F4A25" w:rsidP="001F4A25">
      <w:pPr>
        <w:spacing w:line="480" w:lineRule="auto"/>
      </w:pPr>
      <w:r>
        <w:t>Figure 1-3</w:t>
      </w:r>
      <w:r>
        <w:tab/>
      </w:r>
      <w:r w:rsidRPr="00EE09E4">
        <w:rPr>
          <w:color w:val="000000"/>
        </w:rPr>
        <w:t>Basic components of a TKA</w:t>
      </w:r>
      <w:r>
        <w:t xml:space="preserve"> …………………………………..………..  8</w:t>
      </w:r>
    </w:p>
    <w:p w:rsidR="001F4A25" w:rsidRDefault="001F4A25" w:rsidP="001F4A25">
      <w:pPr>
        <w:spacing w:line="480" w:lineRule="auto"/>
      </w:pPr>
    </w:p>
    <w:p w:rsidR="001F4A25" w:rsidRPr="00EE09E4" w:rsidRDefault="001F4A25" w:rsidP="001F4A25">
      <w:pPr>
        <w:spacing w:line="480" w:lineRule="auto"/>
      </w:pPr>
      <w:r w:rsidRPr="00EE09E4">
        <w:t>Figure 1-4</w:t>
      </w:r>
      <w:r w:rsidRPr="00EE09E4">
        <w:tab/>
      </w:r>
      <w:r w:rsidRPr="00EE09E4">
        <w:rPr>
          <w:color w:val="000000"/>
        </w:rPr>
        <w:t>PS fixed bearing TKA</w:t>
      </w:r>
      <w:r>
        <w:rPr>
          <w:color w:val="000000"/>
        </w:rPr>
        <w:t xml:space="preserve">(left). </w:t>
      </w:r>
      <w:r w:rsidRPr="00EE09E4">
        <w:rPr>
          <w:color w:val="000000"/>
        </w:rPr>
        <w:t>Implanted TKA</w:t>
      </w:r>
      <w:r w:rsidRPr="00EE09E4">
        <w:t xml:space="preserve"> </w:t>
      </w:r>
      <w:r w:rsidRPr="00EE09E4">
        <w:rPr>
          <w:color w:val="000000"/>
        </w:rPr>
        <w:t xml:space="preserve">(right) </w:t>
      </w:r>
      <w:r>
        <w:rPr>
          <w:color w:val="000000"/>
        </w:rPr>
        <w:t>..</w:t>
      </w:r>
      <w:r w:rsidRPr="00EE09E4">
        <w:t>…………………</w:t>
      </w:r>
      <w:r>
        <w:t>.</w:t>
      </w:r>
      <w:r w:rsidRPr="00EE09E4">
        <w:t xml:space="preserve">. 9  </w:t>
      </w:r>
    </w:p>
    <w:p w:rsidR="001F4A25" w:rsidRDefault="001F4A25" w:rsidP="001F4A25">
      <w:pPr>
        <w:spacing w:line="480" w:lineRule="auto"/>
      </w:pPr>
    </w:p>
    <w:p w:rsidR="001F4A25" w:rsidRDefault="001F4A25" w:rsidP="001F4A25">
      <w:pPr>
        <w:spacing w:line="480" w:lineRule="auto"/>
      </w:pPr>
    </w:p>
    <w:p w:rsidR="001F4A25" w:rsidRDefault="001F4A25" w:rsidP="001F4A25">
      <w:pPr>
        <w:spacing w:line="480" w:lineRule="auto"/>
        <w:rPr>
          <w:b/>
        </w:rPr>
      </w:pPr>
      <w:r w:rsidRPr="00160B49">
        <w:rPr>
          <w:b/>
        </w:rPr>
        <w:t xml:space="preserve">CHAPTER </w:t>
      </w:r>
      <w:r>
        <w:rPr>
          <w:b/>
        </w:rPr>
        <w:t>3</w:t>
      </w:r>
      <w:r>
        <w:rPr>
          <w:b/>
        </w:rPr>
        <w:tab/>
      </w:r>
      <w:r>
        <w:rPr>
          <w:b/>
        </w:rPr>
        <w:tab/>
        <w:t>LITERATURE REVIEW AND MOTIVATION</w:t>
      </w:r>
    </w:p>
    <w:p w:rsidR="001F4A25" w:rsidRPr="00160B49" w:rsidRDefault="001F4A25" w:rsidP="001F4A25">
      <w:pPr>
        <w:spacing w:line="480" w:lineRule="auto"/>
        <w:rPr>
          <w:b/>
        </w:rPr>
      </w:pPr>
    </w:p>
    <w:p w:rsidR="001F4A25" w:rsidRPr="00EE09E4" w:rsidRDefault="001F4A25" w:rsidP="001F4A25">
      <w:pPr>
        <w:spacing w:line="480" w:lineRule="auto"/>
      </w:pPr>
      <w:r w:rsidRPr="00EE09E4">
        <w:t>Figure 3-1</w:t>
      </w:r>
      <w:r w:rsidRPr="00EE09E4">
        <w:tab/>
        <w:t>In-vivo cam-post contact as assessed by Suggs et al ……………</w:t>
      </w:r>
      <w:r>
        <w:t>……..</w:t>
      </w:r>
      <w:r w:rsidRPr="00EE09E4">
        <w:t xml:space="preserve">. </w:t>
      </w:r>
      <w:r>
        <w:t>26</w:t>
      </w:r>
    </w:p>
    <w:p w:rsidR="001F4A25" w:rsidRDefault="001F4A25" w:rsidP="001F4A25">
      <w:pPr>
        <w:spacing w:line="480" w:lineRule="auto"/>
      </w:pPr>
    </w:p>
    <w:p w:rsidR="001F4A25" w:rsidRDefault="001F4A25" w:rsidP="001F4A25">
      <w:pPr>
        <w:spacing w:line="480" w:lineRule="auto"/>
        <w:ind w:left="1440" w:hanging="1440"/>
      </w:pPr>
      <w:r>
        <w:t>Figure 3-2</w:t>
      </w:r>
      <w:r>
        <w:tab/>
      </w:r>
      <w:r w:rsidRPr="00EE09E4">
        <w:t>Axial view (left) and Sagital view (right) for the implant set-up by Nakayama et al</w:t>
      </w:r>
      <w:r>
        <w:t xml:space="preserve"> ……………………………………………………..….. 27</w:t>
      </w:r>
    </w:p>
    <w:p w:rsidR="001F4A25" w:rsidRDefault="001F4A25" w:rsidP="001F4A25">
      <w:pPr>
        <w:spacing w:line="480" w:lineRule="auto"/>
      </w:pPr>
    </w:p>
    <w:p w:rsidR="001F4A25" w:rsidRDefault="001F4A25" w:rsidP="001F4A25">
      <w:pPr>
        <w:spacing w:line="480" w:lineRule="auto"/>
      </w:pPr>
      <w:r>
        <w:t>Figure 3-3</w:t>
      </w:r>
      <w:r>
        <w:tab/>
      </w:r>
      <w:r w:rsidRPr="00EE09E4">
        <w:t>Walters 1929 experimentation on 1600 knees</w:t>
      </w:r>
      <w:r>
        <w:t xml:space="preserve"> …………………….…… 39</w:t>
      </w:r>
    </w:p>
    <w:p w:rsidR="001F4A25" w:rsidRDefault="001F4A25" w:rsidP="001F4A25">
      <w:pPr>
        <w:spacing w:line="480" w:lineRule="auto"/>
      </w:pPr>
    </w:p>
    <w:p w:rsidR="001F4A25" w:rsidRDefault="001F4A25" w:rsidP="001F4A25">
      <w:pPr>
        <w:spacing w:line="480" w:lineRule="auto"/>
        <w:ind w:left="1440" w:hanging="1440"/>
      </w:pPr>
      <w:r>
        <w:t>Figure 3-4</w:t>
      </w:r>
      <w:r>
        <w:tab/>
      </w:r>
      <w:r w:rsidRPr="00694E76">
        <w:t>Steinler experiment using cardiophone (top</w:t>
      </w:r>
      <w:fldSimple w:instr="REF BMfig_Steindler_1937_Cardiophone \* MERGEFORMAT "/>
      <w:r w:rsidRPr="00694E76">
        <w:t>) to minimize the friction noises of the skin</w:t>
      </w:r>
      <w:r>
        <w:t xml:space="preserve"> ………………………………………………………...40</w:t>
      </w:r>
    </w:p>
    <w:p w:rsidR="001F4A25" w:rsidRDefault="001F4A25" w:rsidP="001F4A25">
      <w:pPr>
        <w:spacing w:line="480" w:lineRule="auto"/>
      </w:pPr>
    </w:p>
    <w:p w:rsidR="001F4A25" w:rsidRDefault="001F4A25" w:rsidP="001F4A25">
      <w:pPr>
        <w:spacing w:line="480" w:lineRule="auto"/>
        <w:ind w:left="1440" w:hanging="1440"/>
      </w:pPr>
      <w:r>
        <w:t>Figure 3-5</w:t>
      </w:r>
      <w:r>
        <w:tab/>
      </w:r>
      <w:r w:rsidRPr="00694E76">
        <w:t>Chu’s experiments to classify the knee joint conditions based on the relative acoustic power</w:t>
      </w:r>
      <w:r>
        <w:t>………….……………………………………… 41</w:t>
      </w:r>
    </w:p>
    <w:p w:rsidR="001F4A25" w:rsidRDefault="001F4A25" w:rsidP="001F4A25">
      <w:pPr>
        <w:spacing w:line="480" w:lineRule="auto"/>
      </w:pPr>
    </w:p>
    <w:p w:rsidR="001F4A25" w:rsidRDefault="001F4A25" w:rsidP="001F4A25">
      <w:pPr>
        <w:spacing w:line="480" w:lineRule="auto"/>
        <w:ind w:left="1440" w:hanging="1440"/>
      </w:pPr>
    </w:p>
    <w:p w:rsidR="001F4A25" w:rsidRDefault="001F4A25" w:rsidP="001F4A25">
      <w:pPr>
        <w:spacing w:line="480" w:lineRule="auto"/>
        <w:ind w:left="1440" w:hanging="1440"/>
        <w:rPr>
          <w:b/>
        </w:rPr>
      </w:pPr>
      <w:r w:rsidRPr="001E34FB">
        <w:rPr>
          <w:b/>
        </w:rPr>
        <w:t xml:space="preserve">CHAPTER </w:t>
      </w:r>
      <w:r>
        <w:rPr>
          <w:b/>
        </w:rPr>
        <w:t xml:space="preserve">4 </w:t>
      </w:r>
      <w:r>
        <w:rPr>
          <w:b/>
        </w:rPr>
        <w:tab/>
      </w:r>
      <w:r>
        <w:rPr>
          <w:b/>
        </w:rPr>
        <w:tab/>
        <w:t>MATERIALS AND METHODS</w:t>
      </w:r>
    </w:p>
    <w:p w:rsidR="001F4A25" w:rsidRPr="001E34FB" w:rsidRDefault="001F4A25" w:rsidP="001F4A25">
      <w:pPr>
        <w:spacing w:line="480" w:lineRule="auto"/>
        <w:ind w:left="1440" w:hanging="1440"/>
        <w:rPr>
          <w:b/>
        </w:rPr>
      </w:pPr>
    </w:p>
    <w:p w:rsidR="001F4A25" w:rsidRDefault="001F4A25" w:rsidP="001F4A25">
      <w:pPr>
        <w:spacing w:line="480" w:lineRule="auto"/>
        <w:ind w:left="1440" w:hanging="1440"/>
      </w:pPr>
      <w:r>
        <w:t>Figure 4</w:t>
      </w:r>
      <w:r w:rsidRPr="00694E76">
        <w:t>-1</w:t>
      </w:r>
      <w:r w:rsidRPr="00694E76">
        <w:tab/>
        <w:t>Fluoroscoping the Deep Knee Bend Activity ………</w:t>
      </w:r>
      <w:r>
        <w:t>………………….. 49</w:t>
      </w:r>
    </w:p>
    <w:p w:rsidR="001F4A25" w:rsidRPr="00694E76" w:rsidRDefault="001F4A25" w:rsidP="001F4A25">
      <w:pPr>
        <w:spacing w:line="480" w:lineRule="auto"/>
        <w:ind w:left="1440" w:hanging="1440"/>
      </w:pPr>
    </w:p>
    <w:p w:rsidR="001F4A25" w:rsidRDefault="001F4A25" w:rsidP="001F4A25">
      <w:pPr>
        <w:spacing w:line="480" w:lineRule="auto"/>
        <w:ind w:left="1440" w:hanging="1440"/>
      </w:pPr>
      <w:r w:rsidRPr="00694E76">
        <w:t>Figure 4-2</w:t>
      </w:r>
      <w:r w:rsidRPr="00694E76">
        <w:tab/>
        <w:t>Image of distorted bead board (left) and correct image (right)……</w:t>
      </w:r>
      <w:r>
        <w:t>….… 51</w:t>
      </w:r>
    </w:p>
    <w:p w:rsidR="001F4A25" w:rsidRDefault="001F4A25" w:rsidP="001F4A25">
      <w:pPr>
        <w:spacing w:line="480" w:lineRule="auto"/>
      </w:pPr>
    </w:p>
    <w:p w:rsidR="001F4A25" w:rsidRDefault="001F4A25" w:rsidP="001F4A25">
      <w:pPr>
        <w:spacing w:line="480" w:lineRule="auto"/>
        <w:ind w:left="1440" w:hanging="1440"/>
      </w:pPr>
      <w:r>
        <w:t>Figure 4-3</w:t>
      </w:r>
      <w:r>
        <w:tab/>
      </w:r>
      <w:r w:rsidRPr="00694E76">
        <w:t>Original Image (left); Inverted Image (center); Region Image (Right top) and Edge Image (right bottom)</w:t>
      </w:r>
      <w:r>
        <w:t xml:space="preserve"> ………………………………...………. 53</w:t>
      </w:r>
    </w:p>
    <w:p w:rsidR="001F4A25" w:rsidRDefault="001F4A25" w:rsidP="001F4A25">
      <w:pPr>
        <w:spacing w:line="480" w:lineRule="auto"/>
        <w:ind w:left="1440" w:hanging="1440"/>
      </w:pPr>
    </w:p>
    <w:p w:rsidR="001F4A25" w:rsidRDefault="001F4A25" w:rsidP="001F4A25">
      <w:pPr>
        <w:spacing w:line="480" w:lineRule="auto"/>
        <w:ind w:left="1440" w:hanging="1440"/>
      </w:pPr>
      <w:r>
        <w:t>Figure 4-4</w:t>
      </w:r>
      <w:r>
        <w:tab/>
      </w:r>
      <w:r w:rsidRPr="00FC6BA9">
        <w:t>User interface of model fitting software</w:t>
      </w:r>
      <w:r>
        <w:t xml:space="preserve"> ………………………….……. 68</w:t>
      </w:r>
    </w:p>
    <w:p w:rsidR="001F4A25" w:rsidRDefault="001F4A25" w:rsidP="001F4A25">
      <w:pPr>
        <w:spacing w:line="480" w:lineRule="auto"/>
        <w:ind w:left="1440" w:hanging="1440"/>
      </w:pPr>
    </w:p>
    <w:p w:rsidR="001F4A25" w:rsidRDefault="001F4A25" w:rsidP="001F4A25">
      <w:pPr>
        <w:spacing w:line="480" w:lineRule="auto"/>
        <w:ind w:left="1440" w:hanging="1440"/>
      </w:pPr>
      <w:r>
        <w:lastRenderedPageBreak/>
        <w:t>Figure 4-5</w:t>
      </w:r>
      <w:r>
        <w:tab/>
      </w:r>
      <w:r w:rsidRPr="00694E76">
        <w:t>Fluoroscopy image with femoral and tibia CAD model of Sigma PS RP TKA and four visible bead silhouettes that allow for proper positioning</w:t>
      </w:r>
      <w:r>
        <w:t xml:space="preserve">  </w:t>
      </w:r>
      <w:r w:rsidRPr="00694E76">
        <w:t xml:space="preserve"> of PE bearing when silhouettes match.……………………</w:t>
      </w:r>
      <w:r>
        <w:t>……...</w:t>
      </w:r>
      <w:r w:rsidRPr="00694E76">
        <w:t>……..</w:t>
      </w:r>
      <w:r>
        <w:t xml:space="preserve"> 57</w:t>
      </w:r>
    </w:p>
    <w:p w:rsidR="001F4A25" w:rsidRDefault="001F4A25" w:rsidP="001F4A25">
      <w:pPr>
        <w:spacing w:line="480" w:lineRule="auto"/>
        <w:ind w:left="1440" w:hanging="1440"/>
      </w:pPr>
    </w:p>
    <w:p w:rsidR="001F4A25" w:rsidRDefault="001F4A25" w:rsidP="001F4A25">
      <w:pPr>
        <w:spacing w:line="480" w:lineRule="auto"/>
        <w:ind w:left="1440" w:hanging="1440"/>
      </w:pPr>
      <w:r>
        <w:t>Figure 4-6</w:t>
      </w:r>
      <w:r>
        <w:tab/>
      </w:r>
      <w:r w:rsidRPr="00606787">
        <w:t>Fluoroscopy image from Journey BCS patient at 90° with registered 3D CAD models of femoral and tibial components (left) and the same fluoroscopy image with tibial and polyethylene insert model combination in same orientation as the registered tibial component (right).…………</w:t>
      </w:r>
      <w:r>
        <w:t xml:space="preserve"> 58</w:t>
      </w:r>
    </w:p>
    <w:p w:rsidR="001F4A25" w:rsidRDefault="001F4A25" w:rsidP="001F4A25">
      <w:pPr>
        <w:spacing w:line="480" w:lineRule="auto"/>
        <w:ind w:left="1440" w:hanging="1440"/>
      </w:pPr>
    </w:p>
    <w:p w:rsidR="001F4A25" w:rsidRDefault="001F4A25" w:rsidP="001F4A25">
      <w:pPr>
        <w:spacing w:line="480" w:lineRule="auto"/>
        <w:ind w:left="1440" w:hanging="1440"/>
      </w:pPr>
      <w:r>
        <w:t>Figure 4-7</w:t>
      </w:r>
      <w:r>
        <w:tab/>
      </w:r>
      <w:r w:rsidRPr="00606787">
        <w:t xml:space="preserve">Series of digitized fluoroscopy images (top row) and corresponding fluoroscopy with CAD model overlay (bottom row) from a random </w:t>
      </w:r>
      <w:r>
        <w:t xml:space="preserve"> </w:t>
      </w:r>
      <w:r w:rsidRPr="00606787">
        <w:t>subject with a Sigma RP-PS TKA</w:t>
      </w:r>
      <w:r>
        <w:t xml:space="preserve"> …………………………………...… 58</w:t>
      </w:r>
      <w:r>
        <w:tab/>
      </w:r>
    </w:p>
    <w:p w:rsidR="001F4A25" w:rsidRDefault="001F4A25" w:rsidP="001F4A25">
      <w:pPr>
        <w:spacing w:line="480" w:lineRule="auto"/>
        <w:ind w:left="1440" w:hanging="1440"/>
      </w:pPr>
    </w:p>
    <w:p w:rsidR="001F4A25" w:rsidRDefault="001F4A25" w:rsidP="001F4A25">
      <w:pPr>
        <w:spacing w:line="480" w:lineRule="auto"/>
        <w:ind w:left="1440" w:hanging="1440"/>
      </w:pPr>
      <w:r>
        <w:t>Figure 4-8</w:t>
      </w:r>
      <w:r>
        <w:tab/>
      </w:r>
      <w:r w:rsidRPr="00606787">
        <w:t>Refined meshing of the cam-post interaction</w:t>
      </w:r>
      <w:r>
        <w:t xml:space="preserve"> ………………………….. 61 </w:t>
      </w:r>
    </w:p>
    <w:p w:rsidR="001F4A25" w:rsidRDefault="001F4A25" w:rsidP="001F4A25">
      <w:pPr>
        <w:spacing w:line="480" w:lineRule="auto"/>
        <w:ind w:left="1440" w:hanging="1440"/>
      </w:pPr>
    </w:p>
    <w:p w:rsidR="001F4A25" w:rsidRDefault="001F4A25" w:rsidP="001F4A25">
      <w:pPr>
        <w:spacing w:line="480" w:lineRule="auto"/>
        <w:ind w:left="1440" w:hanging="1440"/>
      </w:pPr>
      <w:r>
        <w:t>Figure 4-9</w:t>
      </w:r>
      <w:r>
        <w:tab/>
      </w:r>
      <w:r w:rsidRPr="00606787">
        <w:t>Cam-post contact determination in the Sigma PS-RP TKA</w:t>
      </w:r>
      <w:r>
        <w:t xml:space="preserve"> ...……..…... 62</w:t>
      </w:r>
    </w:p>
    <w:p w:rsidR="001F4A25" w:rsidRDefault="001F4A25" w:rsidP="001F4A25">
      <w:pPr>
        <w:spacing w:line="480" w:lineRule="auto"/>
        <w:ind w:left="1440" w:hanging="1440"/>
      </w:pPr>
    </w:p>
    <w:p w:rsidR="001F4A25" w:rsidRDefault="001F4A25" w:rsidP="001F4A25">
      <w:pPr>
        <w:spacing w:line="480" w:lineRule="auto"/>
        <w:ind w:left="1440" w:hanging="1440"/>
      </w:pPr>
      <w:r>
        <w:t>Figure 4-10</w:t>
      </w:r>
      <w:r>
        <w:tab/>
      </w:r>
      <w:r w:rsidRPr="00606787">
        <w:t>Cam-post contact determination in the Journey BCS TKA</w:t>
      </w:r>
      <w:r>
        <w:t xml:space="preserve"> ……………. 62</w:t>
      </w:r>
    </w:p>
    <w:p w:rsidR="001F4A25" w:rsidRDefault="001F4A25" w:rsidP="001F4A25">
      <w:pPr>
        <w:spacing w:line="480" w:lineRule="auto"/>
        <w:ind w:left="1440" w:hanging="1440"/>
      </w:pPr>
    </w:p>
    <w:p w:rsidR="001F4A25" w:rsidRDefault="001F4A25" w:rsidP="001F4A25">
      <w:pPr>
        <w:spacing w:line="480" w:lineRule="auto"/>
        <w:ind w:left="1440" w:hanging="1440"/>
      </w:pPr>
      <w:r>
        <w:t>Figure 4-11</w:t>
      </w:r>
      <w:r>
        <w:tab/>
      </w:r>
      <w:r w:rsidRPr="00606787">
        <w:t>Cam-post contact distance determination in the Sigma PS-RP TKA</w:t>
      </w:r>
      <w:r>
        <w:t>…... 63</w:t>
      </w:r>
    </w:p>
    <w:p w:rsidR="001F4A25" w:rsidRDefault="001F4A25" w:rsidP="001F4A25">
      <w:pPr>
        <w:spacing w:line="480" w:lineRule="auto"/>
        <w:ind w:left="1440" w:hanging="1440"/>
      </w:pPr>
    </w:p>
    <w:p w:rsidR="001F4A25" w:rsidRDefault="001F4A25" w:rsidP="001F4A25">
      <w:pPr>
        <w:spacing w:line="480" w:lineRule="auto"/>
        <w:ind w:left="1440" w:hanging="1440"/>
      </w:pPr>
      <w:r>
        <w:lastRenderedPageBreak/>
        <w:t>Figure 4-12</w:t>
      </w:r>
      <w:r>
        <w:tab/>
      </w:r>
      <w:r w:rsidRPr="00606787">
        <w:t>Cam-post height of contact determination in the Sigma PS-RP TKA</w:t>
      </w:r>
      <w:r>
        <w:t xml:space="preserve"> …. 63</w:t>
      </w:r>
    </w:p>
    <w:p w:rsidR="001F4A25" w:rsidRDefault="001F4A25" w:rsidP="001F4A25">
      <w:pPr>
        <w:spacing w:line="480" w:lineRule="auto"/>
        <w:ind w:left="1440" w:hanging="1440"/>
      </w:pPr>
    </w:p>
    <w:p w:rsidR="001F4A25" w:rsidRDefault="001F4A25" w:rsidP="001F4A25">
      <w:pPr>
        <w:spacing w:line="480" w:lineRule="auto"/>
        <w:ind w:left="1440" w:hanging="1440"/>
      </w:pPr>
      <w:r w:rsidRPr="00606787">
        <w:t>Figure 4-13</w:t>
      </w:r>
      <w:r w:rsidRPr="00606787">
        <w:tab/>
        <w:t>Method used to calculate the Patellar Tilt Angle from the Fluoroscopic Image ……………………………</w:t>
      </w:r>
      <w:r>
        <w:t>.</w:t>
      </w:r>
      <w:r w:rsidRPr="00606787">
        <w:t xml:space="preserve">…………………………………..…. </w:t>
      </w:r>
      <w:r>
        <w:t>64</w:t>
      </w:r>
    </w:p>
    <w:p w:rsidR="001F4A25" w:rsidRPr="00606787" w:rsidRDefault="001F4A25" w:rsidP="001F4A25">
      <w:pPr>
        <w:spacing w:line="480" w:lineRule="auto"/>
        <w:ind w:left="1440" w:hanging="1440"/>
      </w:pPr>
    </w:p>
    <w:p w:rsidR="001F4A25" w:rsidRDefault="001F4A25" w:rsidP="001F4A25">
      <w:pPr>
        <w:spacing w:line="480" w:lineRule="auto"/>
        <w:ind w:left="1440" w:hanging="1440"/>
      </w:pPr>
      <w:r>
        <w:t>Figure 4-14</w:t>
      </w:r>
      <w:r>
        <w:tab/>
      </w:r>
      <w:r w:rsidRPr="00606787">
        <w:t xml:space="preserve">Simplified Free Body Diagram for the Mathematical Model used in </w:t>
      </w:r>
      <w:r>
        <w:t xml:space="preserve">       </w:t>
      </w:r>
      <w:r w:rsidRPr="00606787">
        <w:t>the Study</w:t>
      </w:r>
      <w:r>
        <w:t>……………………………………………………………..…. 67</w:t>
      </w:r>
    </w:p>
    <w:p w:rsidR="001F4A25" w:rsidRDefault="001F4A25" w:rsidP="001F4A25">
      <w:pPr>
        <w:spacing w:line="480" w:lineRule="auto"/>
        <w:ind w:left="1440" w:hanging="1440"/>
      </w:pPr>
    </w:p>
    <w:p w:rsidR="001F4A25" w:rsidRDefault="001F4A25" w:rsidP="001F4A25">
      <w:pPr>
        <w:spacing w:line="480" w:lineRule="auto"/>
        <w:ind w:left="1440" w:hanging="1440"/>
      </w:pPr>
      <w:r>
        <w:t>Figure 4-15</w:t>
      </w:r>
      <w:r>
        <w:tab/>
      </w:r>
      <w:r w:rsidRPr="00606787">
        <w:t>Intra-surgery evaluation sheet for example patient distinguishing the area and level of damage to the tibio-femoral interface …</w:t>
      </w:r>
      <w:r>
        <w:t>…………………..</w:t>
      </w:r>
      <w:r w:rsidRPr="00606787">
        <w:t xml:space="preserve"> </w:t>
      </w:r>
      <w:r>
        <w:t>73</w:t>
      </w:r>
    </w:p>
    <w:p w:rsidR="001F4A25" w:rsidRPr="00606787" w:rsidRDefault="001F4A25" w:rsidP="001F4A25">
      <w:pPr>
        <w:spacing w:line="480" w:lineRule="auto"/>
        <w:ind w:left="1440" w:hanging="1440"/>
      </w:pPr>
    </w:p>
    <w:p w:rsidR="001F4A25" w:rsidRDefault="001F4A25" w:rsidP="001F4A25">
      <w:pPr>
        <w:spacing w:line="480" w:lineRule="auto"/>
        <w:ind w:left="1440" w:hanging="1440"/>
      </w:pPr>
      <w:r>
        <w:t>Figure 4-16</w:t>
      </w:r>
      <w:r>
        <w:tab/>
      </w:r>
      <w:r w:rsidRPr="00606787">
        <w:t>Location of attached of the tri-axial accelerometers at the knee joint</w:t>
      </w:r>
      <w:r>
        <w:t xml:space="preserve"> …. 74</w:t>
      </w:r>
    </w:p>
    <w:p w:rsidR="001F4A25" w:rsidRDefault="001F4A25" w:rsidP="001F4A25">
      <w:pPr>
        <w:spacing w:line="480" w:lineRule="auto"/>
        <w:ind w:left="1440" w:hanging="1440"/>
      </w:pPr>
    </w:p>
    <w:p w:rsidR="001F4A25" w:rsidRDefault="001F4A25" w:rsidP="001F4A25">
      <w:pPr>
        <w:spacing w:line="480" w:lineRule="auto"/>
        <w:ind w:left="1440" w:hanging="1440"/>
      </w:pPr>
      <w:r>
        <w:t>Figure 4-17</w:t>
      </w:r>
      <w:r>
        <w:tab/>
      </w:r>
      <w:r w:rsidRPr="00606787">
        <w:t>Data collection setup to collect vibroarthograhpy data …</w:t>
      </w:r>
      <w:r>
        <w:t>……………..</w:t>
      </w:r>
      <w:r w:rsidRPr="00606787">
        <w:t>. 74</w:t>
      </w:r>
    </w:p>
    <w:p w:rsidR="001F4A25" w:rsidRPr="00606787" w:rsidRDefault="001F4A25" w:rsidP="001F4A25">
      <w:pPr>
        <w:spacing w:line="480" w:lineRule="auto"/>
        <w:ind w:left="1440" w:hanging="1440"/>
      </w:pPr>
    </w:p>
    <w:p w:rsidR="001F4A25" w:rsidRDefault="001F4A25" w:rsidP="001F4A25">
      <w:pPr>
        <w:spacing w:line="480" w:lineRule="auto"/>
        <w:ind w:left="1440" w:hanging="1440"/>
      </w:pPr>
      <w:r>
        <w:t>Figure 4-18</w:t>
      </w:r>
      <w:r>
        <w:tab/>
      </w:r>
      <w:r w:rsidRPr="00606787">
        <w:t>Removal of motion component (noise) from the accelerometer signal to obtain the vibroarthogram</w:t>
      </w:r>
      <w:r>
        <w:t xml:space="preserve"> ……………………………………………… 75</w:t>
      </w:r>
    </w:p>
    <w:p w:rsidR="001F4A25" w:rsidRDefault="001F4A25" w:rsidP="001F4A25">
      <w:pPr>
        <w:spacing w:line="480" w:lineRule="auto"/>
        <w:ind w:left="1440" w:hanging="1440"/>
      </w:pPr>
    </w:p>
    <w:p w:rsidR="001F4A25" w:rsidRDefault="001F4A25" w:rsidP="001F4A25">
      <w:pPr>
        <w:spacing w:line="480" w:lineRule="auto"/>
        <w:ind w:left="1440" w:hanging="1440"/>
      </w:pPr>
      <w:r>
        <w:t>Figure 4-19</w:t>
      </w:r>
      <w:r>
        <w:tab/>
      </w:r>
      <w:r w:rsidRPr="00606787">
        <w:t>Correlated kinematics and vibroarthography signals</w:t>
      </w:r>
      <w:r>
        <w:t xml:space="preserve"> …………………... 76</w:t>
      </w:r>
    </w:p>
    <w:p w:rsidR="001F4A25" w:rsidRDefault="001F4A25" w:rsidP="001F4A25">
      <w:pPr>
        <w:spacing w:line="480" w:lineRule="auto"/>
        <w:ind w:left="1440" w:hanging="1440"/>
      </w:pPr>
      <w:r>
        <w:lastRenderedPageBreak/>
        <w:t>Figure 4-19</w:t>
      </w:r>
      <w:r>
        <w:tab/>
      </w:r>
      <w:r w:rsidRPr="00606787">
        <w:t>Filtered vibration signals from the medial (top) and lateral (bottom) femoral accelerometers, depicting the difference in vibration data for example patient in figure 4-14</w:t>
      </w:r>
      <w:r>
        <w:t>………………………………………….. 78</w:t>
      </w:r>
    </w:p>
    <w:p w:rsidR="001F4A25" w:rsidRDefault="001F4A25" w:rsidP="001F4A25">
      <w:pPr>
        <w:spacing w:line="480" w:lineRule="auto"/>
        <w:rPr>
          <w:b/>
        </w:rPr>
      </w:pPr>
    </w:p>
    <w:p w:rsidR="001F4A25" w:rsidRDefault="001F4A25" w:rsidP="001F4A25">
      <w:pPr>
        <w:spacing w:line="480" w:lineRule="auto"/>
        <w:rPr>
          <w:b/>
        </w:rPr>
      </w:pPr>
    </w:p>
    <w:p w:rsidR="001F4A25" w:rsidRDefault="001F4A25" w:rsidP="001F4A25">
      <w:pPr>
        <w:spacing w:line="480" w:lineRule="auto"/>
        <w:rPr>
          <w:b/>
        </w:rPr>
      </w:pPr>
    </w:p>
    <w:p w:rsidR="001F4A25" w:rsidRDefault="001F4A25" w:rsidP="001F4A25">
      <w:pPr>
        <w:spacing w:line="480" w:lineRule="auto"/>
        <w:rPr>
          <w:b/>
        </w:rPr>
      </w:pPr>
    </w:p>
    <w:p w:rsidR="001F4A25" w:rsidRDefault="001F4A25" w:rsidP="001F4A25">
      <w:pPr>
        <w:spacing w:line="480" w:lineRule="auto"/>
        <w:rPr>
          <w:b/>
        </w:rPr>
      </w:pPr>
    </w:p>
    <w:p w:rsidR="001F4A25" w:rsidRDefault="001F4A25" w:rsidP="001F4A25">
      <w:pPr>
        <w:spacing w:line="480" w:lineRule="auto"/>
        <w:rPr>
          <w:b/>
        </w:rPr>
      </w:pPr>
    </w:p>
    <w:p w:rsidR="001F4A25" w:rsidRDefault="001F4A25" w:rsidP="001F4A25">
      <w:pPr>
        <w:spacing w:line="480" w:lineRule="auto"/>
        <w:rPr>
          <w:b/>
        </w:rPr>
      </w:pPr>
    </w:p>
    <w:p w:rsidR="001F4A25" w:rsidRDefault="001F4A25" w:rsidP="001F4A25">
      <w:pPr>
        <w:spacing w:line="480" w:lineRule="auto"/>
        <w:rPr>
          <w:b/>
        </w:rPr>
        <w:sectPr w:rsidR="001F4A25" w:rsidSect="00531534">
          <w:headerReference w:type="default" r:id="rId14"/>
          <w:headerReference w:type="first" r:id="rId15"/>
          <w:pgSz w:w="12240" w:h="15840" w:code="1"/>
          <w:pgMar w:top="1440" w:right="1440" w:bottom="1872" w:left="2160" w:header="1440" w:footer="1872" w:gutter="0"/>
          <w:pgNumType w:fmt="lowerRoman"/>
          <w:cols w:space="720"/>
          <w:titlePg/>
          <w:docGrid w:linePitch="360"/>
        </w:sectPr>
      </w:pPr>
    </w:p>
    <w:p w:rsidR="001F4A25" w:rsidRPr="00606787" w:rsidRDefault="001F4A25" w:rsidP="001F4A25">
      <w:pPr>
        <w:spacing w:line="480" w:lineRule="auto"/>
        <w:ind w:left="1440" w:hanging="1440"/>
      </w:pPr>
    </w:p>
    <w:p w:rsidR="001D3E96" w:rsidRDefault="001D3E96" w:rsidP="001D3E96">
      <w:pPr>
        <w:spacing w:line="480" w:lineRule="auto"/>
        <w:jc w:val="both"/>
      </w:pPr>
      <w:r>
        <w:t xml:space="preserve">Knee joint injuries are one of the most commonly reported musculoskeletal problems. These injuries can occur due to various reasons. In young adults, sports are a major cause of injuries. In older subjects arthritic degeneration (such as rheumatoid or osteo arthritis) of knees is a well-known phenomenon, and </w:t>
      </w:r>
      <w:r>
        <w:rPr>
          <w:bCs/>
        </w:rPr>
        <w:t xml:space="preserve">is </w:t>
      </w:r>
      <w:r>
        <w:t xml:space="preserve">known to result from a variety of traumatic causes. </w:t>
      </w:r>
      <w:r w:rsidRPr="00102DFE">
        <w:rPr>
          <w:rFonts w:cs="GFBOHN+TimesNewRoman"/>
          <w:color w:val="000000"/>
        </w:rPr>
        <w:t>According to the Arthritis Foundation, arthritis-related problems are second only to heart disease as the leading cause of work disability. Mechanical loading, especially dynamic loading, is believed to play a major role in the dege</w:t>
      </w:r>
      <w:r>
        <w:rPr>
          <w:rFonts w:cs="GFBOHN+TimesNewRoman"/>
          <w:color w:val="000000"/>
        </w:rPr>
        <w:t>nerative process, where the cushioning layers are damaged and creates bone to bone contact.</w:t>
      </w:r>
      <w:r w:rsidRPr="00102DFE">
        <w:rPr>
          <w:rFonts w:cs="GFBOHN+TimesNewRoman"/>
          <w:color w:val="000000"/>
        </w:rPr>
        <w:t xml:space="preserve"> </w:t>
      </w:r>
      <w:r w:rsidRPr="00102DFE">
        <w:rPr>
          <w:color w:val="000000"/>
        </w:rPr>
        <w:t xml:space="preserve">Osteoarthritis can be </w:t>
      </w:r>
      <w:r w:rsidRPr="00102DFE">
        <w:rPr>
          <w:color w:val="000000"/>
        </w:rPr>
        <w:lastRenderedPageBreak/>
        <w:t>extremely disabling, leading to discomfort and often excruciating pain. The</w:t>
      </w:r>
      <w:r>
        <w:rPr>
          <w:color w:val="000000"/>
        </w:rPr>
        <w:t>refore</w:t>
      </w:r>
      <w:r w:rsidRPr="00102DFE">
        <w:rPr>
          <w:color w:val="000000"/>
        </w:rPr>
        <w:t xml:space="preserve"> artificial orthopedic implants are designed so as to </w:t>
      </w:r>
      <w:r>
        <w:rPr>
          <w:color w:val="000000"/>
        </w:rPr>
        <w:t xml:space="preserve">replace these damaged articulating surfaces and </w:t>
      </w:r>
      <w:r w:rsidRPr="00102DFE">
        <w:rPr>
          <w:color w:val="000000"/>
        </w:rPr>
        <w:t xml:space="preserve">provide pain relief and allow a subject with severe osteoarthritis to return to a normal daily life. </w:t>
      </w:r>
      <w:r>
        <w:t>This leads many patients to undergo Total Knee Arthroplasty (TKA) surgeries to correct such conditions.</w:t>
      </w:r>
    </w:p>
    <w:p w:rsidR="001D3E96" w:rsidRDefault="001D3E96" w:rsidP="001D3E96">
      <w:pPr>
        <w:spacing w:line="480" w:lineRule="auto"/>
        <w:jc w:val="both"/>
      </w:pPr>
    </w:p>
    <w:p w:rsidR="001D3E96" w:rsidRDefault="001D3E96" w:rsidP="001D3E96">
      <w:pPr>
        <w:spacing w:line="480" w:lineRule="auto"/>
        <w:jc w:val="both"/>
      </w:pPr>
      <w:r>
        <w:t>At least 150 TKA designs exist in the market today,</w:t>
      </w:r>
      <w:r>
        <w:rPr>
          <w:vertAlign w:val="superscript"/>
        </w:rPr>
        <w:t xml:space="preserve"> </w:t>
      </w:r>
      <w:r w:rsidRPr="00A96A48">
        <w:t>with advancements by physicians</w:t>
      </w:r>
      <w:r>
        <w:t xml:space="preserve"> </w:t>
      </w:r>
      <w:r w:rsidRPr="00A96A48">
        <w:t>and engineers that simulate the geometry and behavior of a healthy knee joint</w:t>
      </w:r>
      <w:r w:rsidR="00A70CB9">
        <w:t xml:space="preserve"> (Carr 2009)</w:t>
      </w:r>
      <w:r w:rsidRPr="00A96A48">
        <w:t xml:space="preserve">. </w:t>
      </w:r>
      <w:r>
        <w:t xml:space="preserve">The differences in these designs are based on factors such as condylar geometry, </w:t>
      </w:r>
      <w:r w:rsidRPr="000505F5">
        <w:t>bearing mobility, ligament preservation vs. substitution, and fixation</w:t>
      </w:r>
      <w:r>
        <w:t xml:space="preserve"> methods</w:t>
      </w:r>
      <w:r w:rsidR="00A70CB9">
        <w:t xml:space="preserve"> (Sharma 2007)</w:t>
      </w:r>
      <w:r>
        <w:t>. In order to better understand the motivation of design engineers to introduce different designs in the market, it first becomes important to understand the working of the normal knee.</w:t>
      </w:r>
    </w:p>
    <w:p w:rsidR="001D3E96" w:rsidRDefault="001D3E96" w:rsidP="001D3E96">
      <w:pPr>
        <w:autoSpaceDE w:val="0"/>
        <w:autoSpaceDN w:val="0"/>
        <w:adjustRightInd w:val="0"/>
        <w:spacing w:line="480" w:lineRule="auto"/>
        <w:jc w:val="both"/>
      </w:pPr>
    </w:p>
    <w:p w:rsidR="001D3E96" w:rsidRPr="00844A34" w:rsidRDefault="001D3E96" w:rsidP="001D3E96">
      <w:pPr>
        <w:autoSpaceDE w:val="0"/>
        <w:autoSpaceDN w:val="0"/>
        <w:adjustRightInd w:val="0"/>
        <w:spacing w:line="480" w:lineRule="auto"/>
        <w:jc w:val="both"/>
        <w:rPr>
          <w:b/>
          <w:bCs/>
          <w:color w:val="000000"/>
        </w:rPr>
      </w:pPr>
      <w:r>
        <w:rPr>
          <w:b/>
          <w:bCs/>
          <w:color w:val="000000"/>
        </w:rPr>
        <w:t>1</w:t>
      </w:r>
      <w:r w:rsidRPr="00844A34">
        <w:rPr>
          <w:b/>
          <w:bCs/>
          <w:color w:val="000000"/>
        </w:rPr>
        <w:t>.1 Kinematics of the Normal Knee in Flexion</w:t>
      </w:r>
    </w:p>
    <w:p w:rsidR="001D3E96" w:rsidRDefault="001D3E96" w:rsidP="001D3E96">
      <w:pPr>
        <w:autoSpaceDE w:val="0"/>
        <w:autoSpaceDN w:val="0"/>
        <w:adjustRightInd w:val="0"/>
        <w:spacing w:line="480" w:lineRule="auto"/>
        <w:jc w:val="both"/>
        <w:rPr>
          <w:color w:val="000000"/>
        </w:rPr>
      </w:pPr>
      <w:r w:rsidRPr="00844A34">
        <w:rPr>
          <w:color w:val="000000"/>
        </w:rPr>
        <w:t xml:space="preserve">In vivo fluoroscopic studies have shown that kinematics of the normal knee are determined by the integrity of the supporting soft tissue envelope (capsule, ligaments, myotendinous units, etc) and the condylar geometry of the articular surfaces. In the normal knee, there is a complicated pattern of motion that occurs between the femoral and tibial articular surfaces during flexion and extension. Due to the stabilizing nature of the relatively immobile medial meniscus and various complicated interactions between </w:t>
      </w:r>
      <w:r w:rsidRPr="00844A34">
        <w:rPr>
          <w:color w:val="000000"/>
        </w:rPr>
        <w:lastRenderedPageBreak/>
        <w:t xml:space="preserve">surrounding ligamentous structures, flexion of the intact knee produces a relatively predictable controlled posterior rollback of the lateral femoral condyle on the lateral tibial plateau. </w:t>
      </w:r>
    </w:p>
    <w:p w:rsidR="001D3E96" w:rsidRPr="00844A34" w:rsidRDefault="001D3E96" w:rsidP="001D3E96">
      <w:pPr>
        <w:autoSpaceDE w:val="0"/>
        <w:autoSpaceDN w:val="0"/>
        <w:adjustRightInd w:val="0"/>
        <w:spacing w:line="480" w:lineRule="auto"/>
        <w:jc w:val="both"/>
        <w:rPr>
          <w:color w:val="000000"/>
        </w:rPr>
      </w:pPr>
    </w:p>
    <w:p w:rsidR="001D3E96" w:rsidRDefault="001D3E96" w:rsidP="001D3E96">
      <w:pPr>
        <w:autoSpaceDE w:val="0"/>
        <w:autoSpaceDN w:val="0"/>
        <w:adjustRightInd w:val="0"/>
        <w:spacing w:line="480" w:lineRule="auto"/>
        <w:jc w:val="both"/>
      </w:pPr>
      <w:r w:rsidRPr="00844A34">
        <w:t xml:space="preserve">Previous studies on cadaveric knees have shown that the lateral femoral condyle rolls back an average of 18mm from full extension to full flexion while the medial femoral condyle rolls back only 1.5mm </w:t>
      </w:r>
      <w:r w:rsidR="00A70CB9">
        <w:t>(Freeman 2001)</w:t>
      </w:r>
      <w:r w:rsidRPr="00844A34">
        <w:t xml:space="preserve"> (Figure </w:t>
      </w:r>
      <w:r>
        <w:t>1</w:t>
      </w:r>
      <w:r w:rsidRPr="00844A34">
        <w:t>-1). In-vivo studies indicate a similar trend with the average lateral femoral condylar rollback for weight bearing flexion being 21mm and that for the medial</w:t>
      </w:r>
      <w:r w:rsidR="00A70CB9">
        <w:t xml:space="preserve"> femoral condyle being 1.9mm (Dennis 2005)</w:t>
      </w:r>
      <w:r w:rsidRPr="00844A34">
        <w:t xml:space="preserve"> (Figure </w:t>
      </w:r>
      <w:r>
        <w:t>1</w:t>
      </w:r>
      <w:r w:rsidRPr="00844A34">
        <w:t xml:space="preserve">-2). </w:t>
      </w:r>
    </w:p>
    <w:p w:rsidR="001D3E96" w:rsidRDefault="001D3E96" w:rsidP="001D3E96">
      <w:pPr>
        <w:autoSpaceDE w:val="0"/>
        <w:autoSpaceDN w:val="0"/>
        <w:adjustRightInd w:val="0"/>
        <w:spacing w:line="480" w:lineRule="auto"/>
        <w:jc w:val="both"/>
      </w:pPr>
    </w:p>
    <w:p w:rsidR="001D3E96" w:rsidRPr="00844A34" w:rsidRDefault="001D3E96" w:rsidP="001D3E96">
      <w:pPr>
        <w:autoSpaceDE w:val="0"/>
        <w:autoSpaceDN w:val="0"/>
        <w:adjustRightInd w:val="0"/>
        <w:spacing w:line="480" w:lineRule="auto"/>
        <w:jc w:val="both"/>
        <w:rPr>
          <w:color w:val="000000"/>
        </w:rPr>
      </w:pPr>
      <w:r w:rsidRPr="00844A34">
        <w:t>A majority of normal knees demonstrate a medial pivot axial rotational pattern in which the lateral femoral condyle rotates around a relatively stationary medial femoral condyle. Under weight-bearing conditions, an average of 21</w:t>
      </w:r>
      <w:r w:rsidRPr="00844A34">
        <w:rPr>
          <w:vertAlign w:val="superscript"/>
        </w:rPr>
        <w:t>0</w:t>
      </w:r>
      <w:r w:rsidRPr="00844A34">
        <w:t xml:space="preserve"> of axial femorotibial rotation occurs in the normal knee from full extension to flexion of 120</w:t>
      </w:r>
      <w:r w:rsidRPr="00844A34">
        <w:rPr>
          <w:vertAlign w:val="superscript"/>
        </w:rPr>
        <w:t>0</w:t>
      </w:r>
      <w:r w:rsidR="00A70CB9">
        <w:t xml:space="preserve"> (Freeman 2001)</w:t>
      </w:r>
      <w:r w:rsidRPr="00844A34">
        <w:t>. Therefore, with flexion of the normal knee, the tibia typically internally rotates relative to the femur, and conversely, externally rotates with knee extension (i.e., screw home mechanism)</w:t>
      </w:r>
    </w:p>
    <w:p w:rsidR="001D3E96" w:rsidRPr="00844A34" w:rsidRDefault="001D3E96" w:rsidP="001D3E96">
      <w:pPr>
        <w:autoSpaceDE w:val="0"/>
        <w:autoSpaceDN w:val="0"/>
        <w:adjustRightInd w:val="0"/>
        <w:jc w:val="both"/>
        <w:rPr>
          <w:color w:val="000000"/>
        </w:rPr>
      </w:pPr>
    </w:p>
    <w:p w:rsidR="001D3E96" w:rsidRPr="00844A34" w:rsidRDefault="001F4A25" w:rsidP="001D3E96">
      <w:pPr>
        <w:autoSpaceDE w:val="0"/>
        <w:autoSpaceDN w:val="0"/>
        <w:adjustRightInd w:val="0"/>
        <w:jc w:val="center"/>
        <w:rPr>
          <w:color w:val="000000"/>
        </w:rPr>
      </w:pPr>
      <w:r>
        <w:rPr>
          <w:noProof/>
          <w:color w:val="000000"/>
        </w:rPr>
        <w:lastRenderedPageBreak/>
        <w:drawing>
          <wp:inline distT="0" distB="0" distL="0" distR="0">
            <wp:extent cx="3162300" cy="2743200"/>
            <wp:effectExtent l="19050" t="19050" r="1905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3162300" cy="2743200"/>
                    </a:xfrm>
                    <a:prstGeom prst="rect">
                      <a:avLst/>
                    </a:prstGeom>
                    <a:noFill/>
                    <a:ln w="6350" cmpd="sng">
                      <a:solidFill>
                        <a:srgbClr val="000000"/>
                      </a:solidFill>
                      <a:miter lim="800000"/>
                      <a:headEnd/>
                      <a:tailEnd/>
                    </a:ln>
                    <a:effectLst/>
                  </pic:spPr>
                </pic:pic>
              </a:graphicData>
            </a:graphic>
          </wp:inline>
        </w:drawing>
      </w:r>
    </w:p>
    <w:p w:rsidR="001D3E96" w:rsidRPr="00844A34" w:rsidRDefault="001D3E96" w:rsidP="001D3E96">
      <w:pPr>
        <w:autoSpaceDE w:val="0"/>
        <w:autoSpaceDN w:val="0"/>
        <w:adjustRightInd w:val="0"/>
        <w:jc w:val="both"/>
        <w:rPr>
          <w:b/>
          <w:color w:val="000000"/>
        </w:rPr>
      </w:pPr>
      <w:r w:rsidRPr="00844A34">
        <w:rPr>
          <w:b/>
          <w:color w:val="000000"/>
        </w:rPr>
        <w:t xml:space="preserve">Figure </w:t>
      </w:r>
      <w:r>
        <w:rPr>
          <w:b/>
          <w:color w:val="000000"/>
        </w:rPr>
        <w:t>1</w:t>
      </w:r>
      <w:r w:rsidRPr="00844A34">
        <w:rPr>
          <w:b/>
          <w:color w:val="000000"/>
        </w:rPr>
        <w:t>-1: Posterior Femoral rollback in the normal knee (cadaver) from fu</w:t>
      </w:r>
      <w:r w:rsidR="00A70CB9">
        <w:rPr>
          <w:b/>
          <w:color w:val="000000"/>
        </w:rPr>
        <w:t>ll extension to full flexion (Freeman 2001)</w:t>
      </w:r>
      <w:r w:rsidRPr="00844A34">
        <w:rPr>
          <w:b/>
          <w:color w:val="000000"/>
        </w:rPr>
        <w:t>.</w:t>
      </w:r>
    </w:p>
    <w:p w:rsidR="001D3E96" w:rsidRPr="00844A34" w:rsidRDefault="001D3E96" w:rsidP="001D3E96">
      <w:pPr>
        <w:autoSpaceDE w:val="0"/>
        <w:autoSpaceDN w:val="0"/>
        <w:adjustRightInd w:val="0"/>
        <w:jc w:val="both"/>
        <w:rPr>
          <w:color w:val="000000"/>
        </w:rPr>
      </w:pPr>
    </w:p>
    <w:p w:rsidR="001D3E96" w:rsidRPr="00844A34" w:rsidRDefault="001D3E96" w:rsidP="001D3E96">
      <w:pPr>
        <w:autoSpaceDE w:val="0"/>
        <w:autoSpaceDN w:val="0"/>
        <w:adjustRightInd w:val="0"/>
        <w:jc w:val="center"/>
        <w:rPr>
          <w:color w:val="000000"/>
        </w:rPr>
      </w:pPr>
    </w:p>
    <w:p w:rsidR="001D3E96" w:rsidRPr="00844A34" w:rsidRDefault="001F4A25" w:rsidP="001D3E96">
      <w:pPr>
        <w:autoSpaceDE w:val="0"/>
        <w:autoSpaceDN w:val="0"/>
        <w:adjustRightInd w:val="0"/>
        <w:jc w:val="center"/>
        <w:rPr>
          <w:color w:val="000000"/>
        </w:rPr>
      </w:pPr>
      <w:r>
        <w:rPr>
          <w:noProof/>
          <w:color w:val="000000"/>
        </w:rPr>
        <w:drawing>
          <wp:inline distT="0" distB="0" distL="0" distR="0">
            <wp:extent cx="3931920" cy="2743200"/>
            <wp:effectExtent l="19050" t="19050" r="1143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3931920" cy="2743200"/>
                    </a:xfrm>
                    <a:prstGeom prst="rect">
                      <a:avLst/>
                    </a:prstGeom>
                    <a:noFill/>
                    <a:ln w="6350" cmpd="sng">
                      <a:solidFill>
                        <a:srgbClr val="000000"/>
                      </a:solidFill>
                      <a:miter lim="800000"/>
                      <a:headEnd/>
                      <a:tailEnd/>
                    </a:ln>
                    <a:effectLst/>
                  </pic:spPr>
                </pic:pic>
              </a:graphicData>
            </a:graphic>
          </wp:inline>
        </w:drawing>
      </w:r>
    </w:p>
    <w:p w:rsidR="001D3E96" w:rsidRPr="00844A34" w:rsidRDefault="001D3E96" w:rsidP="001D3E96">
      <w:pPr>
        <w:autoSpaceDE w:val="0"/>
        <w:autoSpaceDN w:val="0"/>
        <w:adjustRightInd w:val="0"/>
        <w:jc w:val="both"/>
        <w:rPr>
          <w:b/>
          <w:color w:val="000000"/>
        </w:rPr>
      </w:pPr>
      <w:r w:rsidRPr="00844A34">
        <w:rPr>
          <w:b/>
          <w:color w:val="000000"/>
        </w:rPr>
        <w:t xml:space="preserve">Figure </w:t>
      </w:r>
      <w:r>
        <w:rPr>
          <w:b/>
          <w:color w:val="000000"/>
        </w:rPr>
        <w:t>1</w:t>
      </w:r>
      <w:r w:rsidRPr="00844A34">
        <w:rPr>
          <w:b/>
          <w:color w:val="000000"/>
        </w:rPr>
        <w:t xml:space="preserve">-2: Posterior Femoral rollback in the normal knee from full extension to full flexion (Under weight bearing conditions) </w:t>
      </w:r>
      <w:r w:rsidR="00A70CB9">
        <w:rPr>
          <w:b/>
          <w:color w:val="000000"/>
        </w:rPr>
        <w:t>(Dennis 2005)</w:t>
      </w:r>
      <w:r w:rsidRPr="00844A34">
        <w:rPr>
          <w:b/>
          <w:color w:val="000000"/>
        </w:rPr>
        <w:t>.</w:t>
      </w:r>
    </w:p>
    <w:p w:rsidR="001D3E96" w:rsidRPr="00844A34" w:rsidRDefault="001D3E96" w:rsidP="001D3E96">
      <w:pPr>
        <w:autoSpaceDE w:val="0"/>
        <w:autoSpaceDN w:val="0"/>
        <w:adjustRightInd w:val="0"/>
        <w:jc w:val="both"/>
        <w:rPr>
          <w:color w:val="000000"/>
        </w:rPr>
      </w:pPr>
    </w:p>
    <w:p w:rsidR="001D3E96" w:rsidRDefault="001D3E96" w:rsidP="001D3E96">
      <w:pPr>
        <w:spacing w:line="480" w:lineRule="auto"/>
        <w:jc w:val="both"/>
      </w:pPr>
    </w:p>
    <w:p w:rsidR="001D3E96" w:rsidRPr="00844A34" w:rsidRDefault="001D3E96" w:rsidP="001D3E96">
      <w:pPr>
        <w:autoSpaceDE w:val="0"/>
        <w:autoSpaceDN w:val="0"/>
        <w:adjustRightInd w:val="0"/>
        <w:spacing w:line="480" w:lineRule="auto"/>
        <w:jc w:val="both"/>
        <w:rPr>
          <w:b/>
          <w:color w:val="000000"/>
        </w:rPr>
      </w:pPr>
      <w:r>
        <w:rPr>
          <w:b/>
          <w:color w:val="000000"/>
        </w:rPr>
        <w:lastRenderedPageBreak/>
        <w:t>1</w:t>
      </w:r>
      <w:r w:rsidRPr="00844A34">
        <w:rPr>
          <w:b/>
          <w:color w:val="000000"/>
        </w:rPr>
        <w:t>.</w:t>
      </w:r>
      <w:r>
        <w:rPr>
          <w:b/>
          <w:color w:val="000000"/>
        </w:rPr>
        <w:t>2</w:t>
      </w:r>
      <w:r w:rsidRPr="00844A34">
        <w:rPr>
          <w:b/>
          <w:color w:val="000000"/>
        </w:rPr>
        <w:t xml:space="preserve"> Total Knee Arthroplasty (TKA)</w:t>
      </w:r>
    </w:p>
    <w:p w:rsidR="001D3E96" w:rsidRDefault="001D3E96" w:rsidP="001D3E96">
      <w:pPr>
        <w:autoSpaceDE w:val="0"/>
        <w:autoSpaceDN w:val="0"/>
        <w:adjustRightInd w:val="0"/>
        <w:spacing w:line="480" w:lineRule="auto"/>
        <w:jc w:val="both"/>
      </w:pPr>
      <w:r w:rsidRPr="00844A34">
        <w:t xml:space="preserve">In a total knee arthroplasty (TKA), the diseased cartilage surfaces of the thighbone (femur), the shinbone (tibia) and the kneecap (patella) are replaced by prostheses made of metal alloys, high-grade plastics and polymeric materials. Most of the other structures of the knee, such as the connecting ligaments, remain intact. </w:t>
      </w:r>
    </w:p>
    <w:p w:rsidR="001D3E96" w:rsidRPr="00844A34" w:rsidRDefault="001D3E96" w:rsidP="001D3E96">
      <w:pPr>
        <w:autoSpaceDE w:val="0"/>
        <w:autoSpaceDN w:val="0"/>
        <w:adjustRightInd w:val="0"/>
        <w:spacing w:line="480" w:lineRule="auto"/>
        <w:jc w:val="both"/>
      </w:pPr>
    </w:p>
    <w:p w:rsidR="001D3E96" w:rsidRDefault="001D3E96" w:rsidP="001D3E96">
      <w:pPr>
        <w:spacing w:line="480" w:lineRule="auto"/>
        <w:jc w:val="both"/>
        <w:rPr>
          <w:sz w:val="23"/>
          <w:szCs w:val="23"/>
        </w:rPr>
      </w:pPr>
      <w:r>
        <w:rPr>
          <w:sz w:val="23"/>
          <w:szCs w:val="23"/>
        </w:rPr>
        <w:t>In the modern knee replacement or total knee arthroplasty (TKA), the articulating surfaces of the knee are replaced by four components (Figure 1-3):</w:t>
      </w:r>
    </w:p>
    <w:p w:rsidR="001D3E96" w:rsidRDefault="001D3E96" w:rsidP="001D3E96">
      <w:pPr>
        <w:numPr>
          <w:ilvl w:val="0"/>
          <w:numId w:val="5"/>
        </w:numPr>
        <w:spacing w:line="480" w:lineRule="auto"/>
        <w:jc w:val="both"/>
        <w:rPr>
          <w:sz w:val="23"/>
          <w:szCs w:val="23"/>
        </w:rPr>
      </w:pPr>
      <w:r>
        <w:rPr>
          <w:sz w:val="23"/>
          <w:szCs w:val="23"/>
        </w:rPr>
        <w:t>Femoral Component: To resurface the distal end of the femur.</w:t>
      </w:r>
    </w:p>
    <w:p w:rsidR="001D3E96" w:rsidRDefault="001D3E96" w:rsidP="001D3E96">
      <w:pPr>
        <w:numPr>
          <w:ilvl w:val="0"/>
          <w:numId w:val="5"/>
        </w:numPr>
        <w:spacing w:line="480" w:lineRule="auto"/>
        <w:jc w:val="both"/>
        <w:rPr>
          <w:sz w:val="23"/>
          <w:szCs w:val="23"/>
        </w:rPr>
      </w:pPr>
      <w:r>
        <w:rPr>
          <w:sz w:val="23"/>
          <w:szCs w:val="23"/>
        </w:rPr>
        <w:t>Tibial Component: Attached to the proximal end of the tibia.</w:t>
      </w:r>
    </w:p>
    <w:p w:rsidR="001D3E96" w:rsidRDefault="001D3E96" w:rsidP="001D3E96">
      <w:pPr>
        <w:numPr>
          <w:ilvl w:val="0"/>
          <w:numId w:val="5"/>
        </w:numPr>
        <w:spacing w:line="480" w:lineRule="auto"/>
        <w:jc w:val="both"/>
        <w:rPr>
          <w:sz w:val="23"/>
          <w:szCs w:val="23"/>
        </w:rPr>
      </w:pPr>
      <w:r>
        <w:rPr>
          <w:sz w:val="23"/>
          <w:szCs w:val="23"/>
        </w:rPr>
        <w:t>Polyethylene insert: Replicates the function of the meniscus and forms the articulation between the femoral and tibial components.</w:t>
      </w:r>
    </w:p>
    <w:p w:rsidR="001D3E96" w:rsidRDefault="001D3E96" w:rsidP="001D3E96">
      <w:pPr>
        <w:numPr>
          <w:ilvl w:val="0"/>
          <w:numId w:val="5"/>
        </w:numPr>
        <w:spacing w:line="480" w:lineRule="auto"/>
        <w:jc w:val="both"/>
        <w:rPr>
          <w:sz w:val="23"/>
          <w:szCs w:val="23"/>
        </w:rPr>
      </w:pPr>
      <w:r>
        <w:rPr>
          <w:sz w:val="23"/>
          <w:szCs w:val="23"/>
        </w:rPr>
        <w:t>Patellar Button: Attached to the articulating surface of the patella-femoral joint.</w:t>
      </w:r>
    </w:p>
    <w:p w:rsidR="001D3E96" w:rsidRDefault="001D3E96" w:rsidP="001D3E96">
      <w:pPr>
        <w:spacing w:line="480" w:lineRule="auto"/>
        <w:ind w:left="360"/>
        <w:jc w:val="both"/>
        <w:rPr>
          <w:sz w:val="23"/>
          <w:szCs w:val="23"/>
        </w:rPr>
      </w:pPr>
      <w:r>
        <w:rPr>
          <w:sz w:val="23"/>
          <w:szCs w:val="23"/>
        </w:rPr>
        <w:t xml:space="preserve"> </w:t>
      </w:r>
    </w:p>
    <w:p w:rsidR="001D3E96" w:rsidRDefault="001D3E96" w:rsidP="001D3E96">
      <w:pPr>
        <w:spacing w:line="480" w:lineRule="auto"/>
        <w:jc w:val="both"/>
        <w:rPr>
          <w:sz w:val="23"/>
          <w:szCs w:val="23"/>
        </w:rPr>
      </w:pPr>
      <w:r>
        <w:rPr>
          <w:sz w:val="23"/>
          <w:szCs w:val="23"/>
        </w:rPr>
        <w:t>The geometry of the femoral component varies between manufacturer’s designs and has evolved with increasing knowledge of the in vivo mechanics of TKA. Earlier components had a close to circular sagittal profile but lately the trend has been to more closely mimic the natural knee by reducing the radius of sagittal curvature of the articulating surface towards the posterior femur. Manufacturers also use different profiles for the medial and lateral condyles. All new designs have a rounded profile in the coronal plane on each condyle, although the radius of curvature varies between designs.</w:t>
      </w:r>
    </w:p>
    <w:p w:rsidR="001D3E96" w:rsidRDefault="001D3E96" w:rsidP="001D3E96">
      <w:pPr>
        <w:spacing w:line="480" w:lineRule="auto"/>
        <w:jc w:val="both"/>
        <w:rPr>
          <w:sz w:val="23"/>
          <w:szCs w:val="23"/>
        </w:rPr>
      </w:pPr>
      <w:r>
        <w:rPr>
          <w:sz w:val="23"/>
          <w:szCs w:val="23"/>
        </w:rPr>
        <w:lastRenderedPageBreak/>
        <w:t>The tibial component is typically a flat tray made of the same material as the femoral component and attaches to the boney architecture of the tibia. This tray holds a piece of plastic called the polyethylene insert, manufactured from wear resistant, cross-linked ultra-high molecular weight polyethylene (UHMWPE). The polyethylene insert acts as the bearing between the femur and tibia. The backside of the patella is resurfaced with a piece of plastic, sometimes referred to as a “patella button”. This button lies in a groove on the anterior surface of the femoral component and mimics the interaction between the normal patella and the trochlear groove on the non-implanted femur. This groove guides the motion of the patella which transfers force from the quadriceps to the tibia and acts as the extensor mechanism of the knee. The shape of the femur, the geometry of the insert and button, and the changes made to the soft tissue structures during the surgical procedure affect the mechanics (kinetics and kinematics) of the knee after replacement.</w:t>
      </w:r>
    </w:p>
    <w:p w:rsidR="001D3E96" w:rsidRDefault="001D3E96" w:rsidP="001D3E96">
      <w:pPr>
        <w:spacing w:line="480" w:lineRule="auto"/>
        <w:jc w:val="both"/>
        <w:rPr>
          <w:sz w:val="23"/>
          <w:szCs w:val="23"/>
        </w:rPr>
      </w:pPr>
    </w:p>
    <w:p w:rsidR="001D3E96" w:rsidRDefault="001D3E96" w:rsidP="001D3E96">
      <w:pPr>
        <w:spacing w:line="480" w:lineRule="auto"/>
        <w:jc w:val="both"/>
        <w:rPr>
          <w:color w:val="000000"/>
        </w:rPr>
      </w:pPr>
      <w:r>
        <w:rPr>
          <w:color w:val="000000"/>
        </w:rPr>
        <w:t xml:space="preserve">With the knowledge of the drawbacks of current designs and with the focus of attaining normal knee kinematics in TKAs, the design of knee implants have continuously evolved and there are various types of knee implants in the market. Modern TKA designs can be broadly classified into the following groups: </w:t>
      </w:r>
    </w:p>
    <w:p w:rsidR="001D3E96" w:rsidRPr="00844A34" w:rsidRDefault="001D3E96" w:rsidP="001D3E96">
      <w:pPr>
        <w:autoSpaceDE w:val="0"/>
        <w:autoSpaceDN w:val="0"/>
        <w:adjustRightInd w:val="0"/>
        <w:spacing w:line="480" w:lineRule="auto"/>
        <w:jc w:val="both"/>
        <w:rPr>
          <w:color w:val="000000"/>
        </w:rPr>
      </w:pPr>
      <w:r w:rsidRPr="00844A34">
        <w:rPr>
          <w:color w:val="000000"/>
        </w:rPr>
        <w:t xml:space="preserve">Based on the type of fixation to the bone TKAs can be broadly classified into two groups: </w:t>
      </w:r>
    </w:p>
    <w:p w:rsidR="001D3E96" w:rsidRPr="00844A34" w:rsidRDefault="001D3E96" w:rsidP="001D3E96">
      <w:pPr>
        <w:numPr>
          <w:ilvl w:val="0"/>
          <w:numId w:val="6"/>
        </w:numPr>
        <w:autoSpaceDE w:val="0"/>
        <w:autoSpaceDN w:val="0"/>
        <w:adjustRightInd w:val="0"/>
        <w:spacing w:line="480" w:lineRule="auto"/>
        <w:jc w:val="both"/>
        <w:rPr>
          <w:color w:val="000000"/>
        </w:rPr>
      </w:pPr>
      <w:r w:rsidRPr="00844A34">
        <w:rPr>
          <w:color w:val="000000"/>
        </w:rPr>
        <w:t xml:space="preserve">Cemented Prosthesis </w:t>
      </w:r>
    </w:p>
    <w:p w:rsidR="001D3E96" w:rsidRPr="00844A34" w:rsidRDefault="001D3E96" w:rsidP="001D3E96">
      <w:pPr>
        <w:numPr>
          <w:ilvl w:val="0"/>
          <w:numId w:val="6"/>
        </w:numPr>
        <w:autoSpaceDE w:val="0"/>
        <w:autoSpaceDN w:val="0"/>
        <w:adjustRightInd w:val="0"/>
        <w:spacing w:line="480" w:lineRule="auto"/>
        <w:jc w:val="both"/>
        <w:rPr>
          <w:color w:val="000000"/>
        </w:rPr>
      </w:pPr>
      <w:r w:rsidRPr="00844A34">
        <w:rPr>
          <w:color w:val="000000"/>
        </w:rPr>
        <w:t xml:space="preserve">Uncemented Prosthesis </w:t>
      </w:r>
    </w:p>
    <w:p w:rsidR="001D3E96" w:rsidRDefault="001D3E96" w:rsidP="001D3E96">
      <w:pPr>
        <w:spacing w:line="480" w:lineRule="auto"/>
        <w:jc w:val="both"/>
        <w:rPr>
          <w:color w:val="000000"/>
        </w:rPr>
      </w:pPr>
    </w:p>
    <w:p w:rsidR="001D3E96" w:rsidRPr="00844A34" w:rsidRDefault="001F4A25" w:rsidP="001D3E96">
      <w:pPr>
        <w:autoSpaceDE w:val="0"/>
        <w:autoSpaceDN w:val="0"/>
        <w:adjustRightInd w:val="0"/>
        <w:spacing w:line="480" w:lineRule="auto"/>
        <w:jc w:val="center"/>
        <w:rPr>
          <w:color w:val="000000"/>
        </w:rPr>
      </w:pPr>
      <w:r>
        <w:rPr>
          <w:noProof/>
          <w:color w:val="000000"/>
        </w:rPr>
        <w:lastRenderedPageBreak/>
        <w:drawing>
          <wp:inline distT="0" distB="0" distL="0" distR="0">
            <wp:extent cx="3238500" cy="3238500"/>
            <wp:effectExtent l="19050" t="19050" r="19050" b="19050"/>
            <wp:docPr id="3" name="Picture 3" descr="tkr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rparts"/>
                    <pic:cNvPicPr>
                      <a:picLocks noChangeAspect="1" noChangeArrowheads="1"/>
                    </pic:cNvPicPr>
                  </pic:nvPicPr>
                  <pic:blipFill>
                    <a:blip r:embed="rId18" cstate="print"/>
                    <a:srcRect/>
                    <a:stretch>
                      <a:fillRect/>
                    </a:stretch>
                  </pic:blipFill>
                  <pic:spPr bwMode="auto">
                    <a:xfrm>
                      <a:off x="0" y="0"/>
                      <a:ext cx="3238500" cy="3238500"/>
                    </a:xfrm>
                    <a:prstGeom prst="rect">
                      <a:avLst/>
                    </a:prstGeom>
                    <a:noFill/>
                    <a:ln w="6350" cmpd="sng">
                      <a:solidFill>
                        <a:srgbClr val="000000"/>
                      </a:solidFill>
                      <a:miter lim="800000"/>
                      <a:headEnd/>
                      <a:tailEnd/>
                    </a:ln>
                    <a:effectLst/>
                  </pic:spPr>
                </pic:pic>
              </a:graphicData>
            </a:graphic>
          </wp:inline>
        </w:drawing>
      </w:r>
    </w:p>
    <w:p w:rsidR="001D3E96" w:rsidRPr="00844A34" w:rsidRDefault="001D3E96" w:rsidP="001D3E96">
      <w:pPr>
        <w:autoSpaceDE w:val="0"/>
        <w:autoSpaceDN w:val="0"/>
        <w:adjustRightInd w:val="0"/>
        <w:spacing w:line="480" w:lineRule="auto"/>
        <w:rPr>
          <w:b/>
          <w:color w:val="000000"/>
        </w:rPr>
      </w:pPr>
      <w:r w:rsidRPr="00844A34">
        <w:rPr>
          <w:b/>
          <w:color w:val="000000"/>
        </w:rPr>
        <w:t xml:space="preserve">Figure </w:t>
      </w:r>
      <w:r>
        <w:rPr>
          <w:b/>
          <w:color w:val="000000"/>
        </w:rPr>
        <w:t>1-3</w:t>
      </w:r>
      <w:r w:rsidRPr="00844A34">
        <w:rPr>
          <w:b/>
          <w:color w:val="000000"/>
        </w:rPr>
        <w:t>: Basic components of a TKA.</w:t>
      </w:r>
    </w:p>
    <w:p w:rsidR="001D3E96" w:rsidRDefault="001D3E96" w:rsidP="001D3E96">
      <w:pPr>
        <w:autoSpaceDE w:val="0"/>
        <w:autoSpaceDN w:val="0"/>
        <w:adjustRightInd w:val="0"/>
        <w:spacing w:line="480" w:lineRule="auto"/>
        <w:jc w:val="both"/>
        <w:rPr>
          <w:color w:val="000000"/>
        </w:rPr>
      </w:pPr>
    </w:p>
    <w:p w:rsidR="001D3E96" w:rsidRDefault="001D3E96" w:rsidP="001D3E96">
      <w:pPr>
        <w:autoSpaceDE w:val="0"/>
        <w:autoSpaceDN w:val="0"/>
        <w:adjustRightInd w:val="0"/>
        <w:spacing w:line="480" w:lineRule="auto"/>
        <w:jc w:val="both"/>
        <w:rPr>
          <w:color w:val="000000"/>
        </w:rPr>
      </w:pPr>
      <w:r w:rsidRPr="00844A34">
        <w:rPr>
          <w:color w:val="000000"/>
        </w:rPr>
        <w:t xml:space="preserve">Both types are widely used. In many cases, a combination of the two types is used. The choice to use a cemented or uncemented prosthesis is usually made by the surgeon based on </w:t>
      </w:r>
      <w:r>
        <w:rPr>
          <w:color w:val="000000"/>
        </w:rPr>
        <w:t>the</w:t>
      </w:r>
      <w:r w:rsidRPr="00844A34">
        <w:rPr>
          <w:color w:val="000000"/>
        </w:rPr>
        <w:t xml:space="preserve"> age</w:t>
      </w:r>
      <w:r>
        <w:rPr>
          <w:color w:val="000000"/>
        </w:rPr>
        <w:t xml:space="preserve"> of the patient, their </w:t>
      </w:r>
      <w:r w:rsidRPr="00844A34">
        <w:rPr>
          <w:color w:val="000000"/>
        </w:rPr>
        <w:t xml:space="preserve">lifestyle, and </w:t>
      </w:r>
      <w:r>
        <w:rPr>
          <w:color w:val="000000"/>
        </w:rPr>
        <w:t>the</w:t>
      </w:r>
      <w:r w:rsidRPr="00844A34">
        <w:rPr>
          <w:color w:val="000000"/>
        </w:rPr>
        <w:t xml:space="preserve"> surgeon's experience. A cemented prosthesis is held in place using epoxy type cement that attaches the metal to the bone. An uncemented prosthesis has a fine mesh of holes on the surface that allows the bone to grow into the mesh and attaches the prosthesis to the bone. </w:t>
      </w:r>
    </w:p>
    <w:p w:rsidR="001D3E96" w:rsidRPr="00844A34" w:rsidRDefault="001D3E96" w:rsidP="001D3E96">
      <w:pPr>
        <w:autoSpaceDE w:val="0"/>
        <w:autoSpaceDN w:val="0"/>
        <w:adjustRightInd w:val="0"/>
        <w:spacing w:line="480" w:lineRule="auto"/>
        <w:jc w:val="both"/>
        <w:rPr>
          <w:color w:val="000000"/>
        </w:rPr>
      </w:pPr>
      <w:r w:rsidRPr="00844A34">
        <w:rPr>
          <w:color w:val="000000"/>
        </w:rPr>
        <w:t>Based on the type of implant TKAs can be classified into two groups:</w:t>
      </w:r>
    </w:p>
    <w:p w:rsidR="001D3E96" w:rsidRDefault="001D3E96" w:rsidP="001D3E96">
      <w:pPr>
        <w:numPr>
          <w:ilvl w:val="0"/>
          <w:numId w:val="7"/>
        </w:numPr>
        <w:autoSpaceDE w:val="0"/>
        <w:autoSpaceDN w:val="0"/>
        <w:adjustRightInd w:val="0"/>
        <w:spacing w:line="480" w:lineRule="auto"/>
        <w:jc w:val="both"/>
        <w:rPr>
          <w:color w:val="000000"/>
        </w:rPr>
      </w:pPr>
      <w:r w:rsidRPr="00844A34">
        <w:rPr>
          <w:color w:val="000000"/>
        </w:rPr>
        <w:t>Posterior Cruciate Retaining (PCR)</w:t>
      </w:r>
    </w:p>
    <w:p w:rsidR="001D3E96" w:rsidRPr="00844A34" w:rsidRDefault="001D3E96" w:rsidP="001D3E96">
      <w:pPr>
        <w:numPr>
          <w:ilvl w:val="0"/>
          <w:numId w:val="7"/>
        </w:numPr>
        <w:autoSpaceDE w:val="0"/>
        <w:autoSpaceDN w:val="0"/>
        <w:adjustRightInd w:val="0"/>
        <w:spacing w:line="480" w:lineRule="auto"/>
        <w:jc w:val="both"/>
        <w:rPr>
          <w:color w:val="000000"/>
        </w:rPr>
      </w:pPr>
      <w:r>
        <w:rPr>
          <w:color w:val="000000"/>
        </w:rPr>
        <w:t>Posterior Cruciate Sacrificing (PCS)</w:t>
      </w:r>
    </w:p>
    <w:p w:rsidR="001D3E96" w:rsidRDefault="001D3E96" w:rsidP="001D3E96">
      <w:pPr>
        <w:numPr>
          <w:ilvl w:val="0"/>
          <w:numId w:val="7"/>
        </w:numPr>
        <w:autoSpaceDE w:val="0"/>
        <w:autoSpaceDN w:val="0"/>
        <w:adjustRightInd w:val="0"/>
        <w:spacing w:line="480" w:lineRule="auto"/>
        <w:jc w:val="both"/>
        <w:rPr>
          <w:color w:val="000000"/>
        </w:rPr>
      </w:pPr>
      <w:r w:rsidRPr="00844A34">
        <w:rPr>
          <w:color w:val="000000"/>
        </w:rPr>
        <w:lastRenderedPageBreak/>
        <w:t>Posterior Cruciate Stabilizing (PS)</w:t>
      </w:r>
    </w:p>
    <w:p w:rsidR="001D3E96" w:rsidRPr="00844A34" w:rsidRDefault="001D3E96" w:rsidP="001D3E96">
      <w:pPr>
        <w:numPr>
          <w:ilvl w:val="0"/>
          <w:numId w:val="7"/>
        </w:numPr>
        <w:autoSpaceDE w:val="0"/>
        <w:autoSpaceDN w:val="0"/>
        <w:adjustRightInd w:val="0"/>
        <w:spacing w:line="480" w:lineRule="auto"/>
        <w:jc w:val="both"/>
        <w:rPr>
          <w:color w:val="000000"/>
        </w:rPr>
      </w:pPr>
      <w:r>
        <w:rPr>
          <w:color w:val="000000"/>
        </w:rPr>
        <w:t>Bi-cruciate Stabilizing (BCS)</w:t>
      </w:r>
    </w:p>
    <w:p w:rsidR="001D3E96" w:rsidRDefault="001D3E96" w:rsidP="001D3E96">
      <w:pPr>
        <w:spacing w:line="480" w:lineRule="auto"/>
        <w:jc w:val="both"/>
        <w:rPr>
          <w:color w:val="000000"/>
        </w:rPr>
      </w:pPr>
      <w:r>
        <w:rPr>
          <w:color w:val="000000"/>
        </w:rPr>
        <w:t>This distinction is basically based on the surgical procedure that is adopted during TKA for the cruciate ligaments (the main anterior-posterior stabilizers in the normal knee).  Though some TKAs are designed to retain the anterior cruciate ligament (ACL), in most designs the ACL is resected.  With respect to the posterior cruciate ligament (PCL), TKAs can be PCL retaining (PCR), PCL sacrificing (PCS) or PCL substituting, also known as posterior stabilized (PS).  PS designs differ from the PCR designs by having an additional post-cam mechanism between the femoral component and the polyethylene insert in order to initiate posterior femoral rollback, the primary role of the PCL. The post is located on the polyethylene insert and the cam is provided on the femoral component in between the two condyles. PCR designs do not have this mechanism as the PCL in these designs is not resected.  The PCS designs resect the PCL and do not provide for any substitution. In some cases the cam-post interaction is modified in such a way that it can substitute the function of both the ACL as well as the PCL. In such a TKA the anterior aspects of the femoral cam and the tibial post geometries are designed to engage at full extension of the knee joint (hence preventing posterior slide which is the function of the ACL). Since these designs substitute both the ACL and PCL they are called Bi-cruciate stabilizing or BCS type TKAs.</w:t>
      </w:r>
    </w:p>
    <w:p w:rsidR="001D3E96" w:rsidRDefault="001D3E96" w:rsidP="001D3E96">
      <w:pPr>
        <w:spacing w:line="480" w:lineRule="auto"/>
        <w:jc w:val="both"/>
        <w:rPr>
          <w:color w:val="000000"/>
        </w:rPr>
      </w:pPr>
    </w:p>
    <w:p w:rsidR="001D3E96" w:rsidRDefault="001D3E96" w:rsidP="001D3E96">
      <w:pPr>
        <w:spacing w:line="480" w:lineRule="auto"/>
        <w:jc w:val="both"/>
        <w:rPr>
          <w:color w:val="000000"/>
        </w:rPr>
      </w:pPr>
    </w:p>
    <w:p w:rsidR="001D3E96" w:rsidRPr="00844A34" w:rsidRDefault="001D3E96" w:rsidP="001D3E96">
      <w:pPr>
        <w:autoSpaceDE w:val="0"/>
        <w:autoSpaceDN w:val="0"/>
        <w:adjustRightInd w:val="0"/>
        <w:spacing w:line="480" w:lineRule="auto"/>
        <w:jc w:val="both"/>
        <w:rPr>
          <w:color w:val="000000"/>
        </w:rPr>
      </w:pPr>
      <w:r w:rsidRPr="00844A34">
        <w:rPr>
          <w:color w:val="000000"/>
        </w:rPr>
        <w:lastRenderedPageBreak/>
        <w:t>Based on the type of tibial component TKAs can be classified as:</w:t>
      </w:r>
    </w:p>
    <w:p w:rsidR="001D3E96" w:rsidRPr="00844A34" w:rsidRDefault="001D3E96" w:rsidP="001D3E96">
      <w:pPr>
        <w:numPr>
          <w:ilvl w:val="0"/>
          <w:numId w:val="8"/>
        </w:numPr>
        <w:autoSpaceDE w:val="0"/>
        <w:autoSpaceDN w:val="0"/>
        <w:adjustRightInd w:val="0"/>
        <w:spacing w:line="480" w:lineRule="auto"/>
        <w:jc w:val="both"/>
        <w:rPr>
          <w:color w:val="000000"/>
        </w:rPr>
      </w:pPr>
      <w:r w:rsidRPr="00844A34">
        <w:rPr>
          <w:color w:val="000000"/>
        </w:rPr>
        <w:t>Fixed Bearing (FP)</w:t>
      </w:r>
    </w:p>
    <w:p w:rsidR="001D3E96" w:rsidRPr="00844A34" w:rsidRDefault="001D3E96" w:rsidP="001D3E96">
      <w:pPr>
        <w:numPr>
          <w:ilvl w:val="0"/>
          <w:numId w:val="8"/>
        </w:numPr>
        <w:autoSpaceDE w:val="0"/>
        <w:autoSpaceDN w:val="0"/>
        <w:adjustRightInd w:val="0"/>
        <w:spacing w:line="480" w:lineRule="auto"/>
        <w:jc w:val="both"/>
        <w:rPr>
          <w:color w:val="000000"/>
        </w:rPr>
      </w:pPr>
      <w:r w:rsidRPr="00844A34">
        <w:rPr>
          <w:color w:val="000000"/>
        </w:rPr>
        <w:t>Mobile Bearing/ Rotating Platform (RP)</w:t>
      </w:r>
    </w:p>
    <w:p w:rsidR="001D3E96" w:rsidRDefault="001D3E96" w:rsidP="001D3E96">
      <w:pPr>
        <w:autoSpaceDE w:val="0"/>
        <w:autoSpaceDN w:val="0"/>
        <w:adjustRightInd w:val="0"/>
        <w:spacing w:line="480" w:lineRule="auto"/>
        <w:jc w:val="both"/>
      </w:pPr>
      <w:r w:rsidRPr="00844A34">
        <w:t>In the fixed bearing design the plastic component on the tibial component is fixed to the tibial tray. This means that there is no relative motion between the plastic and the tibial component. In the mobile bearing design the plastic component is so designed that it can be fitted inside the hollow stem of the tibial component. It is not fixed to the tibial component and hence is free to move (to a certain degree) on the tibial tray</w:t>
      </w:r>
      <w:r>
        <w:t xml:space="preserve"> (Figure 1-4)</w:t>
      </w:r>
      <w:r w:rsidRPr="00844A34">
        <w:t xml:space="preserve">. </w:t>
      </w:r>
    </w:p>
    <w:p w:rsidR="001D3E96" w:rsidRDefault="001D3E96" w:rsidP="001D3E96">
      <w:pPr>
        <w:autoSpaceDE w:val="0"/>
        <w:autoSpaceDN w:val="0"/>
        <w:adjustRightInd w:val="0"/>
        <w:spacing w:line="480" w:lineRule="auto"/>
        <w:jc w:val="both"/>
      </w:pPr>
    </w:p>
    <w:p w:rsidR="001D3E96" w:rsidRDefault="001D3E96" w:rsidP="001D3E96">
      <w:pPr>
        <w:autoSpaceDE w:val="0"/>
        <w:autoSpaceDN w:val="0"/>
        <w:adjustRightInd w:val="0"/>
        <w:spacing w:line="480" w:lineRule="auto"/>
        <w:jc w:val="both"/>
        <w:rPr>
          <w:color w:val="000000"/>
        </w:rPr>
      </w:pPr>
      <w:r>
        <w:t xml:space="preserve">   </w:t>
      </w:r>
      <w:r w:rsidR="001F4A25">
        <w:rPr>
          <w:noProof/>
          <w:color w:val="000000"/>
        </w:rPr>
        <w:drawing>
          <wp:inline distT="0" distB="0" distL="0" distR="0">
            <wp:extent cx="2743200" cy="2705100"/>
            <wp:effectExtent l="19050" t="19050" r="19050" b="19050"/>
            <wp:docPr id="4" name="Picture 4" descr="kne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nee3"/>
                    <pic:cNvPicPr>
                      <a:picLocks noChangeAspect="1" noChangeArrowheads="1"/>
                    </pic:cNvPicPr>
                  </pic:nvPicPr>
                  <pic:blipFill>
                    <a:blip r:embed="rId19" cstate="print"/>
                    <a:srcRect b="56708"/>
                    <a:stretch>
                      <a:fillRect/>
                    </a:stretch>
                  </pic:blipFill>
                  <pic:spPr bwMode="auto">
                    <a:xfrm>
                      <a:off x="0" y="0"/>
                      <a:ext cx="2743200" cy="2705100"/>
                    </a:xfrm>
                    <a:prstGeom prst="rect">
                      <a:avLst/>
                    </a:prstGeom>
                    <a:noFill/>
                    <a:ln w="6350" cmpd="sng">
                      <a:solidFill>
                        <a:srgbClr val="000000"/>
                      </a:solidFill>
                      <a:miter lim="800000"/>
                      <a:headEnd/>
                      <a:tailEnd/>
                    </a:ln>
                    <a:effectLst/>
                  </pic:spPr>
                </pic:pic>
              </a:graphicData>
            </a:graphic>
          </wp:inline>
        </w:drawing>
      </w:r>
      <w:r w:rsidR="001F4A25">
        <w:rPr>
          <w:noProof/>
          <w:color w:val="000000"/>
        </w:rPr>
        <w:drawing>
          <wp:inline distT="0" distB="0" distL="0" distR="0">
            <wp:extent cx="2522220" cy="2705100"/>
            <wp:effectExtent l="19050" t="19050" r="11430" b="19050"/>
            <wp:docPr id="5" name="Picture 5" descr="kne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nee3"/>
                    <pic:cNvPicPr>
                      <a:picLocks noChangeAspect="1" noChangeArrowheads="1"/>
                    </pic:cNvPicPr>
                  </pic:nvPicPr>
                  <pic:blipFill>
                    <a:blip r:embed="rId19" cstate="print"/>
                    <a:srcRect t="49390"/>
                    <a:stretch>
                      <a:fillRect/>
                    </a:stretch>
                  </pic:blipFill>
                  <pic:spPr bwMode="auto">
                    <a:xfrm>
                      <a:off x="0" y="0"/>
                      <a:ext cx="2522220" cy="2705100"/>
                    </a:xfrm>
                    <a:prstGeom prst="rect">
                      <a:avLst/>
                    </a:prstGeom>
                    <a:noFill/>
                    <a:ln w="6350" cmpd="sng">
                      <a:solidFill>
                        <a:srgbClr val="000000"/>
                      </a:solidFill>
                      <a:miter lim="800000"/>
                      <a:headEnd/>
                      <a:tailEnd/>
                    </a:ln>
                    <a:effectLst/>
                  </pic:spPr>
                </pic:pic>
              </a:graphicData>
            </a:graphic>
          </wp:inline>
        </w:drawing>
      </w:r>
    </w:p>
    <w:p w:rsidR="001D3E96" w:rsidRPr="00844A34" w:rsidRDefault="001D3E96" w:rsidP="001D3E96">
      <w:pPr>
        <w:autoSpaceDE w:val="0"/>
        <w:autoSpaceDN w:val="0"/>
        <w:adjustRightInd w:val="0"/>
        <w:spacing w:line="480" w:lineRule="auto"/>
        <w:jc w:val="both"/>
        <w:rPr>
          <w:b/>
          <w:color w:val="000000"/>
        </w:rPr>
      </w:pPr>
      <w:r w:rsidRPr="00844A34">
        <w:rPr>
          <w:b/>
          <w:color w:val="000000"/>
        </w:rPr>
        <w:t xml:space="preserve">Figure </w:t>
      </w:r>
      <w:r>
        <w:rPr>
          <w:b/>
          <w:color w:val="000000"/>
        </w:rPr>
        <w:t>1-4</w:t>
      </w:r>
      <w:r w:rsidRPr="00844A34">
        <w:rPr>
          <w:b/>
          <w:color w:val="000000"/>
        </w:rPr>
        <w:t>: (left) PS fixed bearing TKA. (right) Implanted TKA.</w:t>
      </w:r>
    </w:p>
    <w:p w:rsidR="001D3E96" w:rsidRDefault="001D3E96" w:rsidP="001D3E96">
      <w:pPr>
        <w:autoSpaceDE w:val="0"/>
        <w:autoSpaceDN w:val="0"/>
        <w:adjustRightInd w:val="0"/>
        <w:spacing w:line="480" w:lineRule="auto"/>
        <w:jc w:val="both"/>
        <w:rPr>
          <w:color w:val="000000"/>
        </w:rPr>
      </w:pPr>
    </w:p>
    <w:p w:rsidR="001D3E96" w:rsidRDefault="001D3E96" w:rsidP="001D3E96">
      <w:pPr>
        <w:autoSpaceDE w:val="0"/>
        <w:autoSpaceDN w:val="0"/>
        <w:adjustRightInd w:val="0"/>
        <w:spacing w:line="480" w:lineRule="auto"/>
        <w:jc w:val="both"/>
        <w:rPr>
          <w:b/>
        </w:rPr>
      </w:pPr>
    </w:p>
    <w:p w:rsidR="001D3E96" w:rsidRDefault="001D3E96" w:rsidP="001D3E96">
      <w:pPr>
        <w:autoSpaceDE w:val="0"/>
        <w:autoSpaceDN w:val="0"/>
        <w:adjustRightInd w:val="0"/>
        <w:spacing w:line="480" w:lineRule="auto"/>
        <w:jc w:val="both"/>
        <w:rPr>
          <w:b/>
        </w:rPr>
      </w:pPr>
      <w:r>
        <w:rPr>
          <w:b/>
        </w:rPr>
        <w:lastRenderedPageBreak/>
        <w:t>1.3 Concerns rising from TKAs</w:t>
      </w:r>
    </w:p>
    <w:p w:rsidR="001D3E96" w:rsidRDefault="001D3E96" w:rsidP="001D3E96">
      <w:pPr>
        <w:autoSpaceDE w:val="0"/>
        <w:autoSpaceDN w:val="0"/>
        <w:adjustRightInd w:val="0"/>
        <w:spacing w:line="480" w:lineRule="auto"/>
        <w:jc w:val="both"/>
      </w:pPr>
      <w:r>
        <w:rPr>
          <w:color w:val="000000"/>
        </w:rPr>
        <w:t xml:space="preserve">Determining the kinematics of the knee (normal and implanted) has been investigated using multiple techniques, both in-vitro as well as in-vivo. These include the invasive cortical pins, </w:t>
      </w:r>
      <w:r>
        <w:t xml:space="preserve">Roentgen Stereophotogrammetric Analysis (RSA), skin marker analysis and fluoroscopy based model reconstruction techniques. </w:t>
      </w:r>
      <w:r w:rsidRPr="00844A34">
        <w:t>Violation of the complex interactions between the natural stabilizing joint surface anatomy and surrounding ligamentous structures make it difficult to completely reproduce normal knee motions following TKA. Numerous kinematic variances from normal knee kinematic patterns have been demonstrated, including paradoxical anterior femoral translat</w:t>
      </w:r>
      <w:r w:rsidR="00A70CB9">
        <w:t>ion during deep knee flexion (Dennis 2003)</w:t>
      </w:r>
      <w:r w:rsidRPr="00844A34">
        <w:t>, reverse axial rotational patterns</w:t>
      </w:r>
      <w:r w:rsidR="00A70CB9">
        <w:t xml:space="preserve"> (Dennis 2004)</w:t>
      </w:r>
      <w:r>
        <w:t>, wear of the polytheylene contact surface, degeneration (and failure) of the tibial post in the PS type TKA,</w:t>
      </w:r>
      <w:r w:rsidRPr="00844A34">
        <w:t xml:space="preserve"> and femoral condylar lift-off </w:t>
      </w:r>
      <w:r w:rsidR="00A70CB9">
        <w:t>(Scuderi 2003)</w:t>
      </w:r>
      <w:r w:rsidRPr="00844A34">
        <w:t>.</w:t>
      </w:r>
    </w:p>
    <w:p w:rsidR="001D3E96" w:rsidRDefault="001D3E96" w:rsidP="001D3E96">
      <w:pPr>
        <w:autoSpaceDE w:val="0"/>
        <w:autoSpaceDN w:val="0"/>
        <w:adjustRightInd w:val="0"/>
        <w:spacing w:line="480" w:lineRule="auto"/>
        <w:jc w:val="both"/>
      </w:pPr>
    </w:p>
    <w:p w:rsidR="001D3E96" w:rsidRDefault="001D3E96" w:rsidP="001D3E96">
      <w:pPr>
        <w:autoSpaceDE w:val="0"/>
        <w:autoSpaceDN w:val="0"/>
        <w:adjustRightInd w:val="0"/>
        <w:spacing w:line="480" w:lineRule="auto"/>
        <w:jc w:val="both"/>
      </w:pPr>
      <w:r w:rsidRPr="00844A34">
        <w:t xml:space="preserve">Anterior femoral translation during deep knee flexion (femoral component sliding anteriorly during deep flexion rather than posterior femoral rollback) has numerous potential negative consequences. First, anterior femoral translation results in a more anterior axis of flexion, lessening maximum knee flexion </w:t>
      </w:r>
      <w:r w:rsidR="00A70CB9">
        <w:t>(Hass 2002)</w:t>
      </w:r>
      <w:r w:rsidRPr="00844A34">
        <w:t xml:space="preserve">. Second, the quadriceps moment arm is decreased, resulting in reduced quadriceps efficiency. Third, anterior </w:t>
      </w:r>
      <w:r w:rsidRPr="00844A34">
        <w:rPr>
          <w:iCs/>
        </w:rPr>
        <w:t>sliding</w:t>
      </w:r>
      <w:r w:rsidRPr="00844A34">
        <w:t xml:space="preserve"> of the femoral component on the tibial polyethylene surface risks a</w:t>
      </w:r>
      <w:r w:rsidR="00A70CB9">
        <w:t>ccelerated polyethylene wear (Bartel 1986)</w:t>
      </w:r>
      <w:r w:rsidRPr="00844A34">
        <w:t>.</w:t>
      </w:r>
    </w:p>
    <w:p w:rsidR="001D3E96" w:rsidRDefault="001D3E96" w:rsidP="001D3E96">
      <w:pPr>
        <w:autoSpaceDE w:val="0"/>
        <w:autoSpaceDN w:val="0"/>
        <w:adjustRightInd w:val="0"/>
        <w:spacing w:line="480" w:lineRule="auto"/>
        <w:jc w:val="both"/>
      </w:pPr>
    </w:p>
    <w:p w:rsidR="001D3E96" w:rsidRDefault="001D3E96" w:rsidP="001D3E96">
      <w:pPr>
        <w:autoSpaceDE w:val="0"/>
        <w:autoSpaceDN w:val="0"/>
        <w:adjustRightInd w:val="0"/>
        <w:spacing w:line="480" w:lineRule="auto"/>
        <w:jc w:val="both"/>
      </w:pPr>
      <w:r w:rsidRPr="00844A34">
        <w:lastRenderedPageBreak/>
        <w:t xml:space="preserve">Some TKAs have shown the tendency to produce undesirable reverse axial rotation which risks patellofemoral instability due to lateralization of the tibial tubercle and an associated increase in the Q-angle during deep flexion, as well as lessening maximum knee flexion due to reduced posterior femoral rollback </w:t>
      </w:r>
      <w:r>
        <w:t>of the lateral femoral condyle</w:t>
      </w:r>
      <w:r w:rsidR="00A45D12">
        <w:t xml:space="preserve"> (Dennis 2004)</w:t>
      </w:r>
      <w:r w:rsidRPr="00844A34">
        <w:t>.</w:t>
      </w:r>
      <w:r>
        <w:t xml:space="preserve"> </w:t>
      </w:r>
    </w:p>
    <w:p w:rsidR="001D3E96" w:rsidRDefault="001D3E96" w:rsidP="001D3E96">
      <w:pPr>
        <w:autoSpaceDE w:val="0"/>
        <w:autoSpaceDN w:val="0"/>
        <w:adjustRightInd w:val="0"/>
        <w:spacing w:line="480" w:lineRule="auto"/>
        <w:jc w:val="both"/>
      </w:pPr>
    </w:p>
    <w:p w:rsidR="001D3E96" w:rsidRDefault="001D3E96" w:rsidP="001D3E96">
      <w:pPr>
        <w:spacing w:line="480" w:lineRule="auto"/>
        <w:jc w:val="both"/>
      </w:pPr>
      <w:r>
        <w:t>Lift-off in the TKA implanted knees have been a focus of investigators since fluoroscopic analysis showed that it does occur</w:t>
      </w:r>
      <w:r w:rsidR="00A45D12">
        <w:t xml:space="preserve"> (Steihl 1999)</w:t>
      </w:r>
      <w:r>
        <w:t>. Femoral condylar lift-off creates excessive loads on the polyethylene bearing, risking premature polyethylene wear, and also causes increased load transmission to the underlying bone which increases the r</w:t>
      </w:r>
      <w:r w:rsidR="00A45D12">
        <w:t>isk of prosthetic loosening (Scuderi 2003)</w:t>
      </w:r>
      <w:r>
        <w:t>. These adverse effects are amplified in TKA designs which have flat-on-flat designs due to edge-loading of the prosthetic components.</w:t>
      </w:r>
    </w:p>
    <w:p w:rsidR="001D3E96" w:rsidRDefault="001D3E96" w:rsidP="001D3E96">
      <w:pPr>
        <w:spacing w:line="480" w:lineRule="auto"/>
        <w:jc w:val="both"/>
      </w:pPr>
    </w:p>
    <w:p w:rsidR="001D3E96" w:rsidRDefault="001D3E96" w:rsidP="001D3E96">
      <w:pPr>
        <w:autoSpaceDE w:val="0"/>
        <w:autoSpaceDN w:val="0"/>
        <w:adjustRightInd w:val="0"/>
        <w:spacing w:line="480" w:lineRule="auto"/>
        <w:jc w:val="both"/>
        <w:rPr>
          <w:b/>
        </w:rPr>
      </w:pPr>
      <w:r w:rsidRPr="006D58A2">
        <w:rPr>
          <w:b/>
        </w:rPr>
        <w:t>1.4 Knee Vibration Data- The future of diagnosis?</w:t>
      </w:r>
    </w:p>
    <w:p w:rsidR="001D3E96" w:rsidRDefault="001D3E96" w:rsidP="001D3E96">
      <w:pPr>
        <w:spacing w:line="480" w:lineRule="auto"/>
        <w:jc w:val="both"/>
      </w:pPr>
      <w:r>
        <w:t>Experimental studies in humans are difficult and often restrictive due to the exclusion of any measuring device that would require invasive techniques. Since cadaveric studies fail to simulate in-vivo conditions adequately</w:t>
      </w:r>
      <w:r w:rsidR="00A45D12">
        <w:rPr>
          <w:vertAlign w:val="superscript"/>
        </w:rPr>
        <w:t xml:space="preserve"> </w:t>
      </w:r>
      <w:r w:rsidR="00A45D12" w:rsidRPr="00A45D12">
        <w:t>(Komistek 2005)</w:t>
      </w:r>
      <w:r>
        <w:t xml:space="preserve">, biomechanical researches have strived for new and unique methods for indirect measurements. These have been used to analyze the normal knee joint as well as to asses and justify design protocols of TKAs. </w:t>
      </w:r>
    </w:p>
    <w:p w:rsidR="001D3E96" w:rsidRDefault="001D3E96" w:rsidP="001D3E96">
      <w:pPr>
        <w:spacing w:line="480" w:lineRule="auto"/>
        <w:jc w:val="both"/>
      </w:pPr>
    </w:p>
    <w:p w:rsidR="001D3E96" w:rsidRDefault="001D3E96" w:rsidP="001D3E96">
      <w:pPr>
        <w:spacing w:line="480" w:lineRule="auto"/>
        <w:jc w:val="both"/>
      </w:pPr>
      <w:r>
        <w:lastRenderedPageBreak/>
        <w:t xml:space="preserve">One of the major problems in discerning the progression of knee joint conditions is the inability to detect the cause of such conditions until it is too late. Use of X-rays, CT and MRI scans are limited to providing information on defects that are gross in nature. Arthroscopic procedures have become popular to overcome this deficiency; however, this procedure is semi-invasive. Hence, some research has dealt with early diagnosis of knee joint conditions by non-invasive means. Analysis of vibration signals from the knee joint has been found to be successful in determining these conditions at an early stage. Further development of such techniques may one day provide the care giver with options that are less-invasive compared to TKAs or at the very least prolong the time for the patient before they have to receive one. Hence, while discussing the mechanics of the knee joint a look at such innovative techniques becomes imperative. </w:t>
      </w:r>
    </w:p>
    <w:p w:rsidR="00D909F5" w:rsidRDefault="00D909F5" w:rsidP="001D3E96">
      <w:pPr>
        <w:spacing w:line="480" w:lineRule="auto"/>
        <w:jc w:val="both"/>
        <w:sectPr w:rsidR="00D909F5" w:rsidSect="00F10A0E">
          <w:headerReference w:type="default" r:id="rId20"/>
          <w:footerReference w:type="default" r:id="rId21"/>
          <w:headerReference w:type="first" r:id="rId22"/>
          <w:footerReference w:type="first" r:id="rId23"/>
          <w:pgSz w:w="12240" w:h="15840" w:code="1"/>
          <w:pgMar w:top="1440" w:right="1440" w:bottom="1872" w:left="2160" w:header="1440" w:footer="1872" w:gutter="0"/>
          <w:cols w:space="720"/>
          <w:titlePg/>
          <w:docGrid w:linePitch="360"/>
        </w:sectPr>
      </w:pPr>
    </w:p>
    <w:p w:rsidR="00D909F5" w:rsidRDefault="00D909F5" w:rsidP="00D909F5">
      <w:pPr>
        <w:spacing w:line="480" w:lineRule="auto"/>
        <w:jc w:val="both"/>
        <w:rPr>
          <w:b/>
        </w:rPr>
      </w:pPr>
      <w:r>
        <w:rPr>
          <w:b/>
        </w:rPr>
        <w:lastRenderedPageBreak/>
        <w:t>2.1 Research Aims</w:t>
      </w:r>
    </w:p>
    <w:p w:rsidR="00D909F5" w:rsidRDefault="00D909F5" w:rsidP="00D909F5">
      <w:pPr>
        <w:spacing w:line="480" w:lineRule="auto"/>
        <w:jc w:val="both"/>
      </w:pPr>
      <w:r>
        <w:t xml:space="preserve">While the TKA procedure is found to be very successful in treating severe osteoarthritis, failure, especially in the form of polyethylene wear limits its longevity (Howling, 2001; Currier, 2005). </w:t>
      </w:r>
    </w:p>
    <w:p w:rsidR="00D909F5" w:rsidRDefault="00D909F5" w:rsidP="00D909F5">
      <w:pPr>
        <w:spacing w:line="480" w:lineRule="auto"/>
        <w:jc w:val="both"/>
      </w:pPr>
      <w:r>
        <w:t xml:space="preserve">Wear is ideally a function of kinematics, kinetics and the material properties (Wimmer, 1997). Interestingly enough, all the various types of TKA available today use similar kind of materials but have wide differences in the design and the dimension of the components. This suggests that the correlation of kinetics, kinematics and wear hasn’t been developed (Sathasivam, 2001; Fregly, 2005).  With modern TKA designs aiming at </w:t>
      </w:r>
      <w:r>
        <w:lastRenderedPageBreak/>
        <w:t xml:space="preserve">higher degree of flexion, which generates higher forces (Komistek, 2005), and also TKAs being implanted in younger and more active patients a perfecting understanding of the relation of kinematics, kinetics and wear has become increasingly important (Walker, 1999). </w:t>
      </w:r>
    </w:p>
    <w:p w:rsidR="00D909F5" w:rsidRDefault="00D909F5" w:rsidP="00D909F5">
      <w:pPr>
        <w:spacing w:line="480" w:lineRule="auto"/>
        <w:jc w:val="both"/>
      </w:pPr>
    </w:p>
    <w:p w:rsidR="00D909F5" w:rsidRDefault="00D909F5" w:rsidP="00D909F5">
      <w:pPr>
        <w:spacing w:line="480" w:lineRule="auto"/>
        <w:jc w:val="both"/>
      </w:pPr>
      <w:r>
        <w:t xml:space="preserve">Methods to study wear behavior in UHMWPE have been limited to the use of simulators or retrieval studies. The greatest drawback with using simulators is the fact that it works on in-vitro conditions. Comparison between wear generated by simulators and that obtained from retrieval studies, for the same bearing designs and for similar cycles, have indicated greater amount of wear in the retrieved inserts (Harman, 2001). On the other hand retrieval studies involve a backward approach and can only give us an idea about what ‘might have caused’ such wear rather can pinpointing as to ‘this is the cause’. Thus the correct approach would be to go in the forward direction and predict wear from the in-vivo kinematics and kinetics. At present there has been just one study attempting to do this (Fregly, 2005). However, this study is limited due to the fact that it assumes a linear material model, does not incorporate friction and assumes an axial force distribution. </w:t>
      </w:r>
    </w:p>
    <w:p w:rsidR="00D909F5" w:rsidRDefault="00D909F5" w:rsidP="00D909F5">
      <w:pPr>
        <w:spacing w:line="480" w:lineRule="auto"/>
        <w:jc w:val="both"/>
      </w:pPr>
      <w:r>
        <w:t xml:space="preserve">Previously, fluoroscopy has been successfully used in our lab to determine the in-vivo kinematics of TKA of the tibio-femoral and patella femoral joint interactions, allowing for the determination of antero-posterior translation, axial rotation, femoral condylar lift-off and weight-bearing range-of-motion </w:t>
      </w:r>
      <w:r w:rsidRPr="00FD4175">
        <w:t>(Komistek, 2000, 2004; Dennis, 2003).</w:t>
      </w:r>
      <w:r>
        <w:t xml:space="preserve"> The objective of this research is to devise a new computational methodology which would </w:t>
      </w:r>
      <w:r>
        <w:lastRenderedPageBreak/>
        <w:t>extend this capability to the calculation of kinematic properties of the cam-post interaction, in-vivo contact forces and torques, contact stresses at the cam-post interface and ultimately serve as reliable predictor for potential polyethylene wear.</w:t>
      </w:r>
    </w:p>
    <w:p w:rsidR="00D909F5" w:rsidRDefault="00D909F5" w:rsidP="00D909F5">
      <w:pPr>
        <w:spacing w:line="480" w:lineRule="auto"/>
        <w:jc w:val="both"/>
      </w:pPr>
    </w:p>
    <w:p w:rsidR="00D909F5" w:rsidRDefault="00D909F5" w:rsidP="00D909F5">
      <w:pPr>
        <w:spacing w:line="480" w:lineRule="auto"/>
        <w:jc w:val="both"/>
        <w:rPr>
          <w:b/>
        </w:rPr>
      </w:pPr>
      <w:r>
        <w:t>This dissertation describes the initial process that has been derived for the comprehensive analysis of the cam-post mechanism in 10 fixed bearing bi-cruciate stabilized TKA and 9 mobile bearing PS TKA. The study entails the determination of the contact kinematics of the cam-post mechanism, the resulting contact forces occurring during a deep knee bend (DKB) activity, the determination of contact areas obtained by two different TKA designs and the resulting contact pressures.  The effect of posterior femoral rollback (PFR) on the moments generated on the cam-post and the effect of contact location as well as contact height on cam-post fracture will also be analyzed.</w:t>
      </w:r>
    </w:p>
    <w:p w:rsidR="00D909F5" w:rsidRDefault="00D909F5" w:rsidP="00D909F5">
      <w:pPr>
        <w:spacing w:line="480" w:lineRule="auto"/>
        <w:jc w:val="both"/>
      </w:pPr>
    </w:p>
    <w:p w:rsidR="00D909F5" w:rsidRDefault="00D909F5" w:rsidP="00D909F5">
      <w:pPr>
        <w:spacing w:line="480" w:lineRule="auto"/>
        <w:jc w:val="both"/>
      </w:pPr>
      <w:r w:rsidRPr="006A31A0">
        <w:t xml:space="preserve">Additionally, it is hypothesized that the magnitude of the vibration of the </w:t>
      </w:r>
      <w:r>
        <w:t>tibiofemoral</w:t>
      </w:r>
      <w:r w:rsidRPr="006A31A0">
        <w:t xml:space="preserve"> joint increases with articular cartilage degeneration (i.e. increasing roughness of the articulating surfaces). </w:t>
      </w:r>
      <w:r>
        <w:t xml:space="preserve"> </w:t>
      </w:r>
      <w:r w:rsidRPr="006A31A0">
        <w:t xml:space="preserve">Although this hypothesis is plausible from the mechanical point of view, it is not clear whether the vibration can be studied non-invasively. Therefore, this work will also assess the feasibility of using miniature accelerometers to study the vibration of the articulating surfaces (hence the name </w:t>
      </w:r>
      <w:r w:rsidRPr="006A31A0">
        <w:rPr>
          <w:i/>
          <w:iCs/>
        </w:rPr>
        <w:t>vibroarthrography</w:t>
      </w:r>
      <w:r w:rsidRPr="006A31A0">
        <w:t xml:space="preserve">) of the </w:t>
      </w:r>
      <w:r>
        <w:t>tibio-femoral</w:t>
      </w:r>
      <w:r w:rsidRPr="006A31A0">
        <w:t xml:space="preserve"> joint</w:t>
      </w:r>
      <w:r>
        <w:t xml:space="preserve"> (including the cam-post interaction)</w:t>
      </w:r>
      <w:r w:rsidRPr="006A31A0">
        <w:t xml:space="preserve">. </w:t>
      </w:r>
    </w:p>
    <w:p w:rsidR="00D909F5" w:rsidRPr="006A31A0" w:rsidRDefault="00D909F5" w:rsidP="00D909F5">
      <w:pPr>
        <w:spacing w:line="480" w:lineRule="auto"/>
        <w:jc w:val="both"/>
      </w:pPr>
    </w:p>
    <w:p w:rsidR="00D909F5" w:rsidRDefault="00D909F5" w:rsidP="00D909F5">
      <w:pPr>
        <w:spacing w:line="480" w:lineRule="auto"/>
        <w:jc w:val="both"/>
      </w:pPr>
      <w:r w:rsidRPr="006A31A0">
        <w:lastRenderedPageBreak/>
        <w:t xml:space="preserve">To this end, additional </w:t>
      </w:r>
      <w:r>
        <w:t xml:space="preserve">76 normal, degenerative and implanted knees, </w:t>
      </w:r>
      <w:r w:rsidRPr="006A31A0">
        <w:t>will be recruited</w:t>
      </w:r>
      <w:r>
        <w:t xml:space="preserve"> to investigate the possibility of the co-relation between in-vivo kinematics and vibroarthography signals. The goal will be to assess if it is possible to distinguish, just based on vibration data, the occurrence of uni-compartmental degeneration and the difference between normal and degenerative knee joint signals. Patients with normal and well functioning TKA will </w:t>
      </w:r>
      <w:r w:rsidR="0031455B">
        <w:t xml:space="preserve">be </w:t>
      </w:r>
      <w:r w:rsidR="0031455B" w:rsidRPr="00022BD9">
        <w:t>analyzed</w:t>
      </w:r>
      <w:r w:rsidRPr="00022BD9">
        <w:t xml:space="preserve"> under in vivo, conditions using video fluoroscopy and vibration sensors while performing various normal day </w:t>
      </w:r>
      <w:r>
        <w:t>activities</w:t>
      </w:r>
      <w:r w:rsidRPr="00022BD9">
        <w:t xml:space="preserve">. </w:t>
      </w:r>
      <w:r w:rsidRPr="006A31A0">
        <w:t>This will make it possible to record and compare the vibration signals recorded for patients that have intact cartilage with those whose cartilage has been considerably worn</w:t>
      </w:r>
      <w:r>
        <w:t xml:space="preserve"> (for native knees) as well as to confirm the co-relation of the signals to different condition occurring in the TKA joint</w:t>
      </w:r>
      <w:r w:rsidRPr="006A31A0">
        <w:t>.</w:t>
      </w:r>
    </w:p>
    <w:p w:rsidR="00D909F5" w:rsidRDefault="00D909F5" w:rsidP="00D909F5">
      <w:pPr>
        <w:spacing w:line="480" w:lineRule="auto"/>
        <w:jc w:val="both"/>
      </w:pPr>
    </w:p>
    <w:p w:rsidR="00D909F5" w:rsidRDefault="00D909F5" w:rsidP="00D909F5">
      <w:pPr>
        <w:spacing w:line="480" w:lineRule="auto"/>
        <w:jc w:val="both"/>
        <w:rPr>
          <w:b/>
        </w:rPr>
      </w:pPr>
      <w:r>
        <w:rPr>
          <w:b/>
        </w:rPr>
        <w:t>2.2 Fundamental Contributions</w:t>
      </w:r>
    </w:p>
    <w:p w:rsidR="00D909F5" w:rsidRDefault="00D909F5" w:rsidP="00D909F5">
      <w:pPr>
        <w:autoSpaceDE w:val="0"/>
        <w:autoSpaceDN w:val="0"/>
        <w:adjustRightInd w:val="0"/>
        <w:spacing w:line="480" w:lineRule="auto"/>
        <w:jc w:val="both"/>
        <w:rPr>
          <w:color w:val="000000"/>
        </w:rPr>
      </w:pPr>
      <w:r w:rsidRPr="00600357">
        <w:rPr>
          <w:color w:val="000000"/>
        </w:rPr>
        <w:t xml:space="preserve">Most of the previous in-vivo kinematic studies pertaining to the knee joint </w:t>
      </w:r>
      <w:r>
        <w:rPr>
          <w:color w:val="000000"/>
        </w:rPr>
        <w:t>have reported</w:t>
      </w:r>
      <w:r w:rsidRPr="00600357">
        <w:rPr>
          <w:color w:val="000000"/>
        </w:rPr>
        <w:t xml:space="preserve"> data only </w:t>
      </w:r>
      <w:r>
        <w:rPr>
          <w:color w:val="000000"/>
        </w:rPr>
        <w:t>pertaining to the tibio-femoral or patella-femoral joint</w:t>
      </w:r>
      <w:r w:rsidR="0031455B">
        <w:rPr>
          <w:color w:val="000000"/>
        </w:rPr>
        <w:t xml:space="preserve"> (</w:t>
      </w:r>
      <w:r w:rsidR="0031455B" w:rsidRPr="0031455B">
        <w:t>Kellis 2005</w:t>
      </w:r>
      <w:r w:rsidRPr="0031455B">
        <w:t xml:space="preserve">, </w:t>
      </w:r>
      <w:r w:rsidR="0031455B">
        <w:t>Fellows 2005</w:t>
      </w:r>
      <w:r w:rsidRPr="0031455B">
        <w:t xml:space="preserve">, </w:t>
      </w:r>
      <w:r w:rsidR="0031455B">
        <w:t>Baker 2003</w:t>
      </w:r>
      <w:r w:rsidRPr="0031455B">
        <w:t xml:space="preserve">, </w:t>
      </w:r>
      <w:r w:rsidR="0031455B">
        <w:t>Sylvester 2009)</w:t>
      </w:r>
      <w:r w:rsidRPr="00600357">
        <w:rPr>
          <w:color w:val="000000"/>
        </w:rPr>
        <w:t xml:space="preserve"> However, </w:t>
      </w:r>
      <w:r>
        <w:rPr>
          <w:color w:val="000000"/>
        </w:rPr>
        <w:t>the kinematic analysis of the cam-post interaction under in-vivo conditions has been largely ignored</w:t>
      </w:r>
      <w:r w:rsidRPr="00600357">
        <w:rPr>
          <w:color w:val="000000"/>
        </w:rPr>
        <w:t>.</w:t>
      </w:r>
      <w:r>
        <w:rPr>
          <w:color w:val="000000"/>
        </w:rPr>
        <w:t xml:space="preserve"> </w:t>
      </w:r>
      <w:r w:rsidRPr="00600357">
        <w:rPr>
          <w:color w:val="000000"/>
        </w:rPr>
        <w:t xml:space="preserve"> Therefore, determining the </w:t>
      </w:r>
      <w:r>
        <w:rPr>
          <w:color w:val="000000"/>
        </w:rPr>
        <w:t>cam-post contact</w:t>
      </w:r>
      <w:r w:rsidRPr="00600357">
        <w:rPr>
          <w:color w:val="000000"/>
        </w:rPr>
        <w:t xml:space="preserve"> kinematics will contribute to better understanding of the i</w:t>
      </w:r>
      <w:r>
        <w:rPr>
          <w:color w:val="000000"/>
        </w:rPr>
        <w:t>n-vivo interaction conditions in a PS type TKA</w:t>
      </w:r>
      <w:r w:rsidRPr="00600357">
        <w:rPr>
          <w:color w:val="000000"/>
        </w:rPr>
        <w:t xml:space="preserve">. </w:t>
      </w:r>
      <w:r>
        <w:rPr>
          <w:color w:val="000000"/>
        </w:rPr>
        <w:t>The effect of the nature of contact, location of contact, contact areas and the resulting effects on the tibial post wear</w:t>
      </w:r>
      <w:r w:rsidRPr="00600357">
        <w:rPr>
          <w:color w:val="000000"/>
        </w:rPr>
        <w:t xml:space="preserve">, which to the best of the author's knowledge, has never been done under in-vivo, dynamic, weight-beating </w:t>
      </w:r>
      <w:r w:rsidRPr="00600357">
        <w:rPr>
          <w:color w:val="000000"/>
        </w:rPr>
        <w:lastRenderedPageBreak/>
        <w:t xml:space="preserve">conditions. </w:t>
      </w:r>
      <w:r>
        <w:rPr>
          <w:color w:val="000000"/>
        </w:rPr>
        <w:t xml:space="preserve">Utilizing a 3D-to-2D registration technique and an in-house developed analysis software based in MATLAB, it is possible to undertake this analysis, which be the first of its kind. </w:t>
      </w:r>
    </w:p>
    <w:p w:rsidR="00D909F5" w:rsidRDefault="00D909F5" w:rsidP="00D909F5">
      <w:pPr>
        <w:autoSpaceDE w:val="0"/>
        <w:autoSpaceDN w:val="0"/>
        <w:adjustRightInd w:val="0"/>
        <w:spacing w:line="480" w:lineRule="auto"/>
        <w:jc w:val="both"/>
        <w:rPr>
          <w:color w:val="000000"/>
        </w:rPr>
      </w:pPr>
    </w:p>
    <w:p w:rsidR="00D909F5" w:rsidRDefault="00D909F5" w:rsidP="00D909F5">
      <w:pPr>
        <w:autoSpaceDE w:val="0"/>
        <w:autoSpaceDN w:val="0"/>
        <w:adjustRightInd w:val="0"/>
        <w:spacing w:line="480" w:lineRule="auto"/>
        <w:jc w:val="both"/>
        <w:rPr>
          <w:color w:val="000000"/>
        </w:rPr>
      </w:pPr>
      <w:r w:rsidRPr="00600357">
        <w:rPr>
          <w:color w:val="000000"/>
        </w:rPr>
        <w:t xml:space="preserve">The present work will also provide important contribution to better understanding </w:t>
      </w:r>
      <w:r>
        <w:rPr>
          <w:color w:val="000000"/>
        </w:rPr>
        <w:t>the forces, contact pressures in the cam-post interaction</w:t>
      </w:r>
      <w:r w:rsidRPr="00600357">
        <w:rPr>
          <w:color w:val="000000"/>
        </w:rPr>
        <w:t>. The proposed methodology utilizes</w:t>
      </w:r>
      <w:r>
        <w:rPr>
          <w:color w:val="000000"/>
        </w:rPr>
        <w:t xml:space="preserve"> the use of a 3D </w:t>
      </w:r>
      <w:r w:rsidRPr="00600357">
        <w:rPr>
          <w:color w:val="000000"/>
        </w:rPr>
        <w:t xml:space="preserve">inverse dynamics </w:t>
      </w:r>
      <w:r>
        <w:rPr>
          <w:color w:val="000000"/>
        </w:rPr>
        <w:t>mathematical model of the lower limb, based on Kane’s dynamics. The mathematical model will make it possible to simultaneously solve for all the interaction forces in the PS TKA. Previous models have been utilized to determine the lateral and medial condyle contact force as well as the patello-femoral contact force in a variety of TKA designs. However, in the PS type TKA the interaction of the cam with the post and the resulting forces generated have been neglected. This will be the first attempt in providing all the contact forces simultaneously.  Also, with the contact areas generated through the 3D-to-2D registration technique, the cam-post interaction forces can be utilized to determine, mathematically, the contact pressures that occur in-vivo during a DKB activity, which, to the best of the author’s knowledge has not been attempted previously.</w:t>
      </w:r>
    </w:p>
    <w:p w:rsidR="00D909F5" w:rsidRPr="00600357" w:rsidRDefault="00D909F5" w:rsidP="00D909F5">
      <w:pPr>
        <w:autoSpaceDE w:val="0"/>
        <w:autoSpaceDN w:val="0"/>
        <w:adjustRightInd w:val="0"/>
        <w:spacing w:line="480" w:lineRule="auto"/>
        <w:jc w:val="both"/>
        <w:rPr>
          <w:color w:val="000000"/>
        </w:rPr>
      </w:pPr>
    </w:p>
    <w:p w:rsidR="00D909F5" w:rsidRDefault="00D909F5" w:rsidP="00D909F5">
      <w:pPr>
        <w:autoSpaceDE w:val="0"/>
        <w:autoSpaceDN w:val="0"/>
        <w:adjustRightInd w:val="0"/>
        <w:spacing w:line="480" w:lineRule="auto"/>
        <w:jc w:val="both"/>
      </w:pPr>
      <w:r>
        <w:rPr>
          <w:color w:val="000000"/>
        </w:rPr>
        <w:t xml:space="preserve">Finally, </w:t>
      </w:r>
      <w:r w:rsidRPr="00600357">
        <w:rPr>
          <w:color w:val="000000"/>
        </w:rPr>
        <w:t xml:space="preserve">vibroarthrography </w:t>
      </w:r>
      <w:r>
        <w:rPr>
          <w:color w:val="000000"/>
        </w:rPr>
        <w:t xml:space="preserve">data </w:t>
      </w:r>
      <w:r w:rsidRPr="00600357">
        <w:rPr>
          <w:color w:val="000000"/>
        </w:rPr>
        <w:t>will be evaluated for its potential use of detecting the articular cartilage condition</w:t>
      </w:r>
      <w:r>
        <w:rPr>
          <w:color w:val="000000"/>
        </w:rPr>
        <w:t xml:space="preserve"> in native knees and the occurrence of cam-post interaction and condylar lift-off in PS TKA</w:t>
      </w:r>
      <w:r w:rsidRPr="00600357">
        <w:rPr>
          <w:color w:val="000000"/>
        </w:rPr>
        <w:t xml:space="preserve">. Although this methodology has been used by a few </w:t>
      </w:r>
      <w:r w:rsidRPr="00600357">
        <w:rPr>
          <w:color w:val="000000"/>
        </w:rPr>
        <w:lastRenderedPageBreak/>
        <w:t xml:space="preserve">other researchers, the current work will be the </w:t>
      </w:r>
      <w:r>
        <w:rPr>
          <w:color w:val="000000"/>
        </w:rPr>
        <w:t>first</w:t>
      </w:r>
      <w:r w:rsidRPr="00600357">
        <w:rPr>
          <w:color w:val="000000"/>
        </w:rPr>
        <w:t xml:space="preserve"> to correlate the vibration signals with the 3D, in-vivo kinematics. This may allow </w:t>
      </w:r>
      <w:r>
        <w:rPr>
          <w:color w:val="000000"/>
        </w:rPr>
        <w:t>in the determination of</w:t>
      </w:r>
      <w:r w:rsidRPr="00600357">
        <w:rPr>
          <w:color w:val="000000"/>
        </w:rPr>
        <w:t xml:space="preserve"> not only the severity but also the location of the articular cartilage degeneratio</w:t>
      </w:r>
      <w:r>
        <w:rPr>
          <w:color w:val="000000"/>
        </w:rPr>
        <w:t>n</w:t>
      </w:r>
      <w:r w:rsidRPr="00600357">
        <w:rPr>
          <w:color w:val="000000"/>
        </w:rPr>
        <w:t>. This information may be very helpful for surgeons planning TKA procedure and may eliminate the need for imaging modalities involving harmful radiation.</w:t>
      </w:r>
      <w:r w:rsidRPr="00600357">
        <w:t xml:space="preserve"> </w:t>
      </w:r>
    </w:p>
    <w:p w:rsidR="00D909F5" w:rsidRPr="00600357" w:rsidRDefault="00D909F5" w:rsidP="00D909F5">
      <w:pPr>
        <w:autoSpaceDE w:val="0"/>
        <w:autoSpaceDN w:val="0"/>
        <w:adjustRightInd w:val="0"/>
        <w:spacing w:line="480" w:lineRule="auto"/>
        <w:jc w:val="both"/>
      </w:pPr>
    </w:p>
    <w:p w:rsidR="00D909F5" w:rsidRDefault="00D909F5" w:rsidP="00D909F5">
      <w:pPr>
        <w:autoSpaceDE w:val="0"/>
        <w:autoSpaceDN w:val="0"/>
        <w:adjustRightInd w:val="0"/>
        <w:spacing w:line="480" w:lineRule="auto"/>
        <w:jc w:val="both"/>
        <w:sectPr w:rsidR="00D909F5" w:rsidSect="00F10A0E">
          <w:headerReference w:type="default" r:id="rId24"/>
          <w:footerReference w:type="default" r:id="rId25"/>
          <w:headerReference w:type="first" r:id="rId26"/>
          <w:footerReference w:type="first" r:id="rId27"/>
          <w:pgSz w:w="12240" w:h="15840" w:code="1"/>
          <w:pgMar w:top="1440" w:right="1440" w:bottom="1872" w:left="2160" w:header="1440" w:footer="1872" w:gutter="0"/>
          <w:cols w:space="720"/>
          <w:titlePg/>
          <w:docGrid w:linePitch="360"/>
        </w:sectPr>
      </w:pPr>
      <w:r>
        <w:t xml:space="preserve">One of the fundamental contributions of this study is also to construct a user-friendly graphical user interface that can make it possible to simultaneously analyze kinematic and vibroarthography data in a single user interface. This GUI will be the first of its kind to enable the user to determine the co-relation of vibroarthography signals and their corresponding kinematics. </w:t>
      </w:r>
      <w:r w:rsidRPr="00600357">
        <w:t xml:space="preserve">The methodologies investigated in the current study may be combined in the future to develop a non-invasive screening tool for diagnosing </w:t>
      </w:r>
      <w:r>
        <w:t xml:space="preserve">knee </w:t>
      </w:r>
      <w:r w:rsidRPr="00600357">
        <w:t xml:space="preserve">joint disorders. </w:t>
      </w:r>
    </w:p>
    <w:p w:rsidR="00D909F5" w:rsidRPr="007244C2" w:rsidRDefault="00D909F5" w:rsidP="00D909F5">
      <w:pPr>
        <w:spacing w:line="480" w:lineRule="auto"/>
        <w:jc w:val="both"/>
      </w:pPr>
      <w:r w:rsidRPr="007244C2">
        <w:lastRenderedPageBreak/>
        <w:t>With new designs being created and modern TKA designs aiming at higher degree of flexion, which generates higher forces (Komistek 2005), and TKAs being implanted in younger and more active patients, analyses of their kinematics and contact mechanics quickly and efficiently become increasingly important (Walker 1999). The objective of this study is to provide an initial computational methodology to determine the mechanics of the cam-post interaction in PS type TKA. This involves three main areas of consideration:</w:t>
      </w:r>
    </w:p>
    <w:p w:rsidR="00D909F5" w:rsidRPr="007244C2" w:rsidRDefault="00D909F5" w:rsidP="00D909F5">
      <w:pPr>
        <w:pStyle w:val="ListParagraph"/>
        <w:numPr>
          <w:ilvl w:val="0"/>
          <w:numId w:val="9"/>
        </w:numPr>
        <w:spacing w:line="480" w:lineRule="auto"/>
        <w:rPr>
          <w:rFonts w:ascii="Times New Roman" w:hAnsi="Times New Roman"/>
          <w:sz w:val="24"/>
          <w:szCs w:val="24"/>
        </w:rPr>
      </w:pPr>
      <w:r w:rsidRPr="007244C2">
        <w:rPr>
          <w:rFonts w:ascii="Times New Roman" w:hAnsi="Times New Roman"/>
          <w:sz w:val="24"/>
          <w:szCs w:val="24"/>
        </w:rPr>
        <w:t>Kinematics</w:t>
      </w:r>
    </w:p>
    <w:p w:rsidR="00D909F5" w:rsidRPr="007244C2" w:rsidRDefault="00D909F5" w:rsidP="00D909F5">
      <w:pPr>
        <w:pStyle w:val="ListParagraph"/>
        <w:numPr>
          <w:ilvl w:val="1"/>
          <w:numId w:val="9"/>
        </w:numPr>
        <w:spacing w:line="480" w:lineRule="auto"/>
        <w:rPr>
          <w:rFonts w:ascii="Times New Roman" w:hAnsi="Times New Roman"/>
          <w:sz w:val="24"/>
          <w:szCs w:val="24"/>
        </w:rPr>
      </w:pPr>
      <w:r w:rsidRPr="007244C2">
        <w:rPr>
          <w:rFonts w:ascii="Times New Roman" w:hAnsi="Times New Roman"/>
          <w:sz w:val="24"/>
          <w:szCs w:val="24"/>
        </w:rPr>
        <w:t>Contact angle and location</w:t>
      </w:r>
    </w:p>
    <w:p w:rsidR="00D909F5" w:rsidRPr="007244C2" w:rsidRDefault="00D909F5" w:rsidP="00D909F5">
      <w:pPr>
        <w:pStyle w:val="ListParagraph"/>
        <w:numPr>
          <w:ilvl w:val="1"/>
          <w:numId w:val="9"/>
        </w:numPr>
        <w:spacing w:line="480" w:lineRule="auto"/>
        <w:rPr>
          <w:rFonts w:ascii="Times New Roman" w:hAnsi="Times New Roman"/>
          <w:sz w:val="24"/>
          <w:szCs w:val="24"/>
        </w:rPr>
      </w:pPr>
      <w:r w:rsidRPr="007244C2">
        <w:rPr>
          <w:rFonts w:ascii="Times New Roman" w:hAnsi="Times New Roman"/>
          <w:sz w:val="24"/>
          <w:szCs w:val="24"/>
        </w:rPr>
        <w:lastRenderedPageBreak/>
        <w:t>Contact Area</w:t>
      </w:r>
    </w:p>
    <w:p w:rsidR="00D909F5" w:rsidRPr="007244C2" w:rsidRDefault="00D909F5" w:rsidP="00D909F5">
      <w:pPr>
        <w:pStyle w:val="ListParagraph"/>
        <w:numPr>
          <w:ilvl w:val="0"/>
          <w:numId w:val="9"/>
        </w:numPr>
        <w:spacing w:line="480" w:lineRule="auto"/>
        <w:rPr>
          <w:rFonts w:ascii="Times New Roman" w:hAnsi="Times New Roman"/>
          <w:sz w:val="24"/>
          <w:szCs w:val="24"/>
        </w:rPr>
      </w:pPr>
      <w:r w:rsidRPr="007244C2">
        <w:rPr>
          <w:rFonts w:ascii="Times New Roman" w:hAnsi="Times New Roman"/>
          <w:sz w:val="24"/>
          <w:szCs w:val="24"/>
        </w:rPr>
        <w:t>Kinetics</w:t>
      </w:r>
    </w:p>
    <w:p w:rsidR="00D909F5" w:rsidRPr="007244C2" w:rsidRDefault="00D909F5" w:rsidP="00D909F5">
      <w:pPr>
        <w:pStyle w:val="ListParagraph"/>
        <w:numPr>
          <w:ilvl w:val="1"/>
          <w:numId w:val="9"/>
        </w:numPr>
        <w:spacing w:line="480" w:lineRule="auto"/>
        <w:rPr>
          <w:rFonts w:ascii="Times New Roman" w:hAnsi="Times New Roman"/>
          <w:sz w:val="24"/>
          <w:szCs w:val="24"/>
        </w:rPr>
      </w:pPr>
      <w:r w:rsidRPr="007244C2">
        <w:rPr>
          <w:rFonts w:ascii="Times New Roman" w:hAnsi="Times New Roman"/>
          <w:sz w:val="24"/>
          <w:szCs w:val="24"/>
        </w:rPr>
        <w:t xml:space="preserve">Forces </w:t>
      </w:r>
    </w:p>
    <w:p w:rsidR="00D909F5" w:rsidRPr="007244C2" w:rsidRDefault="00D909F5" w:rsidP="00D909F5">
      <w:pPr>
        <w:pStyle w:val="ListParagraph"/>
        <w:numPr>
          <w:ilvl w:val="1"/>
          <w:numId w:val="9"/>
        </w:numPr>
        <w:spacing w:line="480" w:lineRule="auto"/>
        <w:rPr>
          <w:rFonts w:ascii="Times New Roman" w:hAnsi="Times New Roman"/>
          <w:sz w:val="24"/>
          <w:szCs w:val="24"/>
        </w:rPr>
      </w:pPr>
      <w:r w:rsidRPr="007244C2">
        <w:rPr>
          <w:rFonts w:ascii="Times New Roman" w:hAnsi="Times New Roman"/>
          <w:sz w:val="24"/>
          <w:szCs w:val="24"/>
        </w:rPr>
        <w:t>Contact stresses</w:t>
      </w:r>
    </w:p>
    <w:p w:rsidR="00D909F5" w:rsidRPr="007244C2" w:rsidRDefault="00D909F5" w:rsidP="00D909F5">
      <w:pPr>
        <w:pStyle w:val="ListParagraph"/>
        <w:numPr>
          <w:ilvl w:val="0"/>
          <w:numId w:val="9"/>
        </w:numPr>
        <w:spacing w:line="480" w:lineRule="auto"/>
        <w:rPr>
          <w:rFonts w:ascii="Times New Roman" w:hAnsi="Times New Roman"/>
          <w:sz w:val="24"/>
          <w:szCs w:val="24"/>
        </w:rPr>
      </w:pPr>
      <w:r w:rsidRPr="007244C2">
        <w:rPr>
          <w:rFonts w:ascii="Times New Roman" w:hAnsi="Times New Roman"/>
          <w:sz w:val="24"/>
          <w:szCs w:val="24"/>
        </w:rPr>
        <w:t>Vibrtoarthography</w:t>
      </w:r>
    </w:p>
    <w:p w:rsidR="00D909F5" w:rsidRPr="007244C2" w:rsidRDefault="00D909F5" w:rsidP="00D909F5">
      <w:pPr>
        <w:spacing w:line="480" w:lineRule="auto"/>
        <w:jc w:val="both"/>
      </w:pPr>
    </w:p>
    <w:p w:rsidR="00D909F5" w:rsidRPr="007244C2" w:rsidRDefault="00D909F5" w:rsidP="00D909F5">
      <w:pPr>
        <w:spacing w:line="480" w:lineRule="auto"/>
        <w:jc w:val="both"/>
      </w:pPr>
      <w:r w:rsidRPr="007244C2">
        <w:t>There are numerous studies that deal with the determination of kinematics, kinetics and wear of the knee joint (native as well as TKA). However, data pertaining to similar studies that specifically deal with the cam-post interaction are limited at best, in some areas (wear), and nearly nonexistent in others (contact kinematics and forces). Hence, when trying to establish a protocol for a computational methodology for the cam-post interaction, the first steps involve the understanding of the various different techniques used to assess the kinematics, kinetics and wear in the knee joint as a whole and then determine the most suitable combination of techniques which can be successfully applied to the cam-post interaction analysis. The most crucial aspect of developing this methodology is to understand the scope of these technologies in bridging the knowledge gap between current data available on the mechanics of the cam-post interaction to that of the more in depth understanding already available for the knee joint as a whole.</w:t>
      </w:r>
    </w:p>
    <w:p w:rsidR="00D909F5" w:rsidRPr="007244C2" w:rsidRDefault="00D909F5" w:rsidP="00D909F5">
      <w:pPr>
        <w:spacing w:line="480" w:lineRule="auto"/>
        <w:jc w:val="both"/>
      </w:pPr>
    </w:p>
    <w:p w:rsidR="00D909F5" w:rsidRPr="007244C2" w:rsidRDefault="00D909F5" w:rsidP="00D909F5">
      <w:pPr>
        <w:spacing w:line="480" w:lineRule="auto"/>
        <w:jc w:val="both"/>
      </w:pPr>
    </w:p>
    <w:p w:rsidR="00D909F5" w:rsidRPr="007244C2" w:rsidRDefault="00D909F5" w:rsidP="00D909F5">
      <w:pPr>
        <w:spacing w:line="480" w:lineRule="auto"/>
        <w:jc w:val="both"/>
        <w:rPr>
          <w:b/>
        </w:rPr>
      </w:pPr>
      <w:r w:rsidRPr="007244C2">
        <w:rPr>
          <w:b/>
        </w:rPr>
        <w:lastRenderedPageBreak/>
        <w:t>3.1 Techniques used to determine knee joint kinematics</w:t>
      </w:r>
    </w:p>
    <w:p w:rsidR="00D909F5" w:rsidRPr="007244C2" w:rsidRDefault="00D909F5" w:rsidP="00D909F5">
      <w:pPr>
        <w:autoSpaceDE w:val="0"/>
        <w:autoSpaceDN w:val="0"/>
        <w:adjustRightInd w:val="0"/>
        <w:spacing w:line="480" w:lineRule="auto"/>
        <w:jc w:val="both"/>
      </w:pPr>
      <w:r w:rsidRPr="007244C2">
        <w:t xml:space="preserve">Many different methods have been used to determine TKA and native knee kinematics. Researchers have used in vitro cadaveric studies, non invasive skin markers </w:t>
      </w:r>
      <w:r w:rsidR="0031455B">
        <w:t>(Kostuik 1975, Steihl 1998, Antonsson, 1989)</w:t>
      </w:r>
      <w:r w:rsidRPr="007244C2">
        <w:t xml:space="preserve"> and external fixation devices</w:t>
      </w:r>
      <w:r w:rsidR="0031455B">
        <w:t xml:space="preserve"> (Scuderi 2003, Insall 2004, Wasielewski 2005, Cappozzo 1993)</w:t>
      </w:r>
      <w:r w:rsidRPr="007244C2">
        <w:t xml:space="preserve">, invasive bone pins </w:t>
      </w:r>
      <w:r w:rsidR="0031455B">
        <w:t>(LaFortune, 1992)</w:t>
      </w:r>
      <w:r w:rsidRPr="007244C2">
        <w:t xml:space="preserve">, in vivo roentgen stereophotogrammetric analyses (RSA) </w:t>
      </w:r>
      <w:r w:rsidR="0031455B">
        <w:t>(Karrholm 1989; Nilsson, 1995)</w:t>
      </w:r>
      <w:r w:rsidRPr="007244C2">
        <w:t>, externally worn goniometric devices (Chao, 1980), single plane and biplanar fluoroscopic tech</w:t>
      </w:r>
      <w:r w:rsidR="0031455B">
        <w:t>niques (Banks, 1996; Hoff, 1998)</w:t>
      </w:r>
      <w:r w:rsidRPr="007244C2">
        <w:t>.</w:t>
      </w:r>
    </w:p>
    <w:p w:rsidR="00D909F5" w:rsidRPr="007244C2" w:rsidRDefault="00D909F5" w:rsidP="00D909F5">
      <w:pPr>
        <w:autoSpaceDE w:val="0"/>
        <w:autoSpaceDN w:val="0"/>
        <w:adjustRightInd w:val="0"/>
        <w:spacing w:line="480" w:lineRule="auto"/>
        <w:jc w:val="both"/>
      </w:pPr>
    </w:p>
    <w:p w:rsidR="00D909F5" w:rsidRPr="007244C2" w:rsidRDefault="00D909F5" w:rsidP="00D909F5">
      <w:pPr>
        <w:autoSpaceDE w:val="0"/>
        <w:autoSpaceDN w:val="0"/>
        <w:adjustRightInd w:val="0"/>
        <w:spacing w:line="480" w:lineRule="auto"/>
        <w:jc w:val="both"/>
      </w:pPr>
      <w:r w:rsidRPr="007244C2">
        <w:t>Use of tools such as use of cadavers is often ineffective since they fail to simulate in</w:t>
      </w:r>
      <w:r w:rsidR="0065709D">
        <w:t xml:space="preserve"> vivo conditions adequately</w:t>
      </w:r>
      <w:r w:rsidRPr="007244C2">
        <w:t xml:space="preserve">. Skin markers are non-invasive and involve no radiation exposure, but have been shown to induce measurement errors of up to 18 degrees for internal/external rotation </w:t>
      </w:r>
      <w:r w:rsidR="0065709D">
        <w:t>(Murphy, 1990; Sati, 1996; Holden 1997)</w:t>
      </w:r>
      <w:r w:rsidRPr="007244C2">
        <w:t>. Another study found that skin markers produced errors of 21% for flexion/extension, 63% for internal/external rotation, and 70% for abdu</w:t>
      </w:r>
      <w:r w:rsidR="0065709D">
        <w:t>ction/adduction during gait</w:t>
      </w:r>
      <w:r w:rsidRPr="007244C2">
        <w:t xml:space="preserve">. Modifications have been made to reduce the errors associated with it. Some of these methods include artifact assessment (Lucchetti, 1998), Point Cluster Technique (Andriacchi, 1998; Alexander, 2001) and optimization using minimization techniques (Spoor, 1988; Lu 1999). </w:t>
      </w:r>
    </w:p>
    <w:p w:rsidR="00D909F5" w:rsidRPr="007244C2" w:rsidRDefault="00D909F5" w:rsidP="00D909F5">
      <w:pPr>
        <w:autoSpaceDE w:val="0"/>
        <w:autoSpaceDN w:val="0"/>
        <w:adjustRightInd w:val="0"/>
        <w:spacing w:line="480" w:lineRule="auto"/>
        <w:jc w:val="both"/>
      </w:pPr>
    </w:p>
    <w:p w:rsidR="00D909F5" w:rsidRPr="007244C2" w:rsidRDefault="00D909F5" w:rsidP="00D909F5">
      <w:pPr>
        <w:autoSpaceDE w:val="0"/>
        <w:autoSpaceDN w:val="0"/>
        <w:adjustRightInd w:val="0"/>
        <w:spacing w:line="480" w:lineRule="auto"/>
        <w:jc w:val="both"/>
      </w:pPr>
      <w:r w:rsidRPr="007244C2">
        <w:t>Intra-cortical bone pins have been found to yield highly accurate measurements (wi</w:t>
      </w:r>
      <w:r w:rsidR="0065709D">
        <w:t>th errors less than 0.4 mm)</w:t>
      </w:r>
      <w:r w:rsidRPr="007244C2">
        <w:t xml:space="preserve">, but the insertion process is invasive and stressful, limiting the </w:t>
      </w:r>
      <w:r w:rsidRPr="007244C2">
        <w:lastRenderedPageBreak/>
        <w:t>application of this process to small sample sizes. External linkages attached to the limbs offer a non-invasive approach to bone pins, but assume that there is negligible mobility between the external apparatus and the underlying bone. RSA yields highly accurate results, but it is often non-weight bearing, and can only be performed when specially designed replacements were implanted at the time of TKA. Video fluoroscopy has proved to be a highly accurate and non-invasive procedure that exposes patients to minimal radiation. Mahfou</w:t>
      </w:r>
      <w:r w:rsidR="0065709D">
        <w:t>z et al (Mahfouz 2003)</w:t>
      </w:r>
      <w:r w:rsidRPr="007244C2">
        <w:t xml:space="preserve"> employs a novel, semi-automated algorithm to register three-dimensional (3-D) computer automated design (CAD) models to two dimensional (2-D) fluoroscopy images. This procedure yields </w:t>
      </w:r>
      <w:r w:rsidRPr="007244C2">
        <w:rPr>
          <w:iCs/>
        </w:rPr>
        <w:t>in vivo</w:t>
      </w:r>
      <w:r w:rsidRPr="007244C2">
        <w:rPr>
          <w:i/>
          <w:iCs/>
        </w:rPr>
        <w:t xml:space="preserve"> </w:t>
      </w:r>
      <w:r w:rsidRPr="007244C2">
        <w:t xml:space="preserve">3-D kinematics, susceptible to errors of less than 0.5 mm for in-plane translations and less than 0.5º for in-plane rotations. It is believed that this technology offers the most practical and reliable method for determining knee kinematics. </w:t>
      </w:r>
    </w:p>
    <w:p w:rsidR="00D909F5" w:rsidRPr="007244C2" w:rsidRDefault="00D909F5" w:rsidP="00D909F5">
      <w:pPr>
        <w:autoSpaceDE w:val="0"/>
        <w:autoSpaceDN w:val="0"/>
        <w:adjustRightInd w:val="0"/>
        <w:spacing w:line="480" w:lineRule="auto"/>
        <w:jc w:val="both"/>
      </w:pPr>
    </w:p>
    <w:p w:rsidR="00D909F5" w:rsidRPr="007244C2" w:rsidRDefault="00D909F5" w:rsidP="00D909F5">
      <w:pPr>
        <w:autoSpaceDE w:val="0"/>
        <w:autoSpaceDN w:val="0"/>
        <w:adjustRightInd w:val="0"/>
        <w:spacing w:after="200" w:line="480" w:lineRule="auto"/>
        <w:jc w:val="both"/>
        <w:rPr>
          <w:b/>
        </w:rPr>
      </w:pPr>
      <w:r w:rsidRPr="007244C2">
        <w:rPr>
          <w:b/>
        </w:rPr>
        <w:t xml:space="preserve">3.2 Knee Kinematics-Mobile or Fixed, </w:t>
      </w:r>
      <w:r w:rsidR="000231E3">
        <w:rPr>
          <w:b/>
        </w:rPr>
        <w:t>PCR</w:t>
      </w:r>
      <w:r w:rsidRPr="007244C2">
        <w:rPr>
          <w:b/>
        </w:rPr>
        <w:t xml:space="preserve"> or </w:t>
      </w:r>
      <w:r w:rsidR="000231E3">
        <w:rPr>
          <w:b/>
        </w:rPr>
        <w:t>P</w:t>
      </w:r>
      <w:r w:rsidRPr="007244C2">
        <w:rPr>
          <w:b/>
        </w:rPr>
        <w:t>S?</w:t>
      </w:r>
    </w:p>
    <w:p w:rsidR="00D909F5" w:rsidRPr="007244C2" w:rsidRDefault="00D909F5" w:rsidP="00D909F5">
      <w:pPr>
        <w:autoSpaceDE w:val="0"/>
        <w:autoSpaceDN w:val="0"/>
        <w:adjustRightInd w:val="0"/>
        <w:spacing w:after="200" w:line="480" w:lineRule="auto"/>
        <w:jc w:val="both"/>
      </w:pPr>
      <w:r w:rsidRPr="007244C2">
        <w:t>Numerous other kinematic evaluations have found a larger magnitude of femoral rollback in native knees when compared to TKAs, during deep flexion activities</w:t>
      </w:r>
      <w:r w:rsidR="0065709D">
        <w:t xml:space="preserve"> (Dennis 2005, D’Lima 2006)</w:t>
      </w:r>
      <w:r w:rsidRPr="007244C2">
        <w:t xml:space="preserve">.  The magnitudes of posterior femoral rollback during deep flexion in TKA designs are less than in the normal knee.  This contributes to the decreased knee flexion following TKA compared to the normal knee as well as abnormal kinematic patterns leading to joint pain and, in some cases, failure of the TKA.  In spite of these </w:t>
      </w:r>
      <w:r w:rsidRPr="007244C2">
        <w:lastRenderedPageBreak/>
        <w:t xml:space="preserve">limitations, TKAs in general have provided good mid to long term survivability. However, the question on which type of implant configuration provides the best post-surgery outcomes is still a cause for debate. One area of contention is bearing mobility. The mobile bearing implant was designed to reduce contact stress, thereby reducing wear, and recreate more “normal like” knee kinematics. In vitro studies have shown reduced wear with the use of a mobile bearing implant </w:t>
      </w:r>
      <w:r w:rsidR="0065709D" w:rsidRPr="0065709D">
        <w:t>(Fisher 2004,</w:t>
      </w:r>
      <w:r w:rsidR="0065709D">
        <w:rPr>
          <w:vertAlign w:val="superscript"/>
        </w:rPr>
        <w:t xml:space="preserve"> </w:t>
      </w:r>
      <w:r w:rsidR="0065709D">
        <w:t>2006)</w:t>
      </w:r>
      <w:r w:rsidRPr="007244C2">
        <w:t>. However, kinematics, clinical outcomes and survivability between fixed and mobile bearing implants have produced similar results. A review study conducted by Post et al</w:t>
      </w:r>
      <w:r w:rsidR="0065709D">
        <w:t xml:space="preserve"> (Post 2009)</w:t>
      </w:r>
      <w:r w:rsidRPr="007244C2">
        <w:t>, could not find any basis to justify one design over the other. Clinical success and long-term survivorship were found to be mainly dependant on the accuracy with which the components are implanted. They concluded that the best design is the one with which the surgeon is most comfortable and most able to reproducibly implant</w:t>
      </w:r>
      <w:r w:rsidR="0065709D">
        <w:t xml:space="preserve"> (Post 2009)</w:t>
      </w:r>
      <w:r w:rsidRPr="007244C2">
        <w:t>. Studies that have compared the performance of the mobile and fixed configurations in the same patient have also concluded that the patient does not demonstrate any difference in terms of range of motion, knee scores and survivorship</w:t>
      </w:r>
      <w:r w:rsidRPr="007244C2">
        <w:rPr>
          <w:vertAlign w:val="superscript"/>
        </w:rPr>
        <w:t xml:space="preserve"> </w:t>
      </w:r>
      <w:r w:rsidR="0065709D">
        <w:t>(Ranawat 2004, Kim 2007, Sharma 2007)</w:t>
      </w:r>
      <w:r w:rsidRPr="007244C2">
        <w:t>. Pagano et al</w:t>
      </w:r>
      <w:r w:rsidR="0065709D">
        <w:t xml:space="preserve"> (Pagano 2004)</w:t>
      </w:r>
      <w:r w:rsidRPr="007244C2">
        <w:t xml:space="preserve"> conducted a study on 240 rotating platform TKAs and found that it did not improve patellar tracking. A multicenter study conducted by Wasielewski et al</w:t>
      </w:r>
      <w:r w:rsidR="0065709D">
        <w:t xml:space="preserve"> (Wasielewski 2008)</w:t>
      </w:r>
      <w:r w:rsidRPr="007244C2">
        <w:t xml:space="preserve"> on 527 mobile bearing TKAs found that only 12% of the knees exhibited greater than 10</w:t>
      </w:r>
      <w:r w:rsidRPr="007244C2">
        <w:rPr>
          <w:vertAlign w:val="superscript"/>
        </w:rPr>
        <w:t xml:space="preserve"> </w:t>
      </w:r>
      <w:r w:rsidRPr="007244C2">
        <w:t xml:space="preserve">degrees of axial rotation during a Deep Knee Bend (DKB) activity. Also, nearly half the knees analyzed experienced less than 3 degrees of </w:t>
      </w:r>
      <w:r w:rsidRPr="007244C2">
        <w:lastRenderedPageBreak/>
        <w:t>axial rotation. They also found that the rotational parameters were comparable with results reported for fixed bearing TKA by Dennis et al</w:t>
      </w:r>
      <w:r w:rsidR="0065709D">
        <w:t xml:space="preserve"> (Dennis 2004)</w:t>
      </w:r>
      <w:r w:rsidRPr="007244C2">
        <w:t xml:space="preserve">. </w:t>
      </w:r>
    </w:p>
    <w:p w:rsidR="00D909F5" w:rsidRPr="007244C2" w:rsidRDefault="00D909F5" w:rsidP="00D909F5">
      <w:pPr>
        <w:autoSpaceDE w:val="0"/>
        <w:autoSpaceDN w:val="0"/>
        <w:adjustRightInd w:val="0"/>
        <w:spacing w:line="480" w:lineRule="auto"/>
        <w:jc w:val="both"/>
      </w:pPr>
      <w:r w:rsidRPr="007244C2">
        <w:t xml:space="preserve">Another area of contention is whether the posterior cruciate ligament should be retained or substituted. During gait, fixed and mobile-bearing posterior stabilized TKA designs have experienced similar kinematic patterns as those designs that lacked a cam and post mechanism.  This has been attributed to the fact that the cam and post mechanism of most posterior stabilized TKA designs do not engage during lesser flexion activities such as gait.  During a deep knee bend, however, posterior stabilized TKA designs typically shows greater posterior femoral rollback than designs without a cam and post mechanism.  </w:t>
      </w:r>
    </w:p>
    <w:p w:rsidR="00D909F5" w:rsidRPr="007244C2" w:rsidRDefault="00D909F5" w:rsidP="00D909F5">
      <w:pPr>
        <w:autoSpaceDE w:val="0"/>
        <w:autoSpaceDN w:val="0"/>
        <w:adjustRightInd w:val="0"/>
        <w:spacing w:line="480" w:lineRule="auto"/>
        <w:jc w:val="both"/>
      </w:pPr>
    </w:p>
    <w:p w:rsidR="00D909F5" w:rsidRPr="007244C2" w:rsidRDefault="00D909F5" w:rsidP="00D909F5">
      <w:pPr>
        <w:autoSpaceDE w:val="0"/>
        <w:autoSpaceDN w:val="0"/>
        <w:adjustRightInd w:val="0"/>
        <w:spacing w:line="480" w:lineRule="auto"/>
        <w:jc w:val="both"/>
      </w:pPr>
      <w:r w:rsidRPr="007244C2">
        <w:t>Numerous studies have shown that certain cruciate retaining (CR) total knee designs exhibited paradoxical femoral sliding, decreasing clinical weight-bearing flexion</w:t>
      </w:r>
      <w:r w:rsidR="002C4157">
        <w:t xml:space="preserve"> (Cates 2008)</w:t>
      </w:r>
      <w:r w:rsidRPr="007244C2">
        <w:t>. This paradoxical femoral rollback (PFR) has not been seen in posterior stabilized (PS) TKAs. However, a study comparing PS TKAs to CR TKAs with asymmetrical condyles found that, while the CR design did exhibit lesser medial PFR, both designs achieved similar amounts of lateral PFR. Proponents of the CR design have suggested that the PFR seen in PS TKAs is due to the “guided motion” provided by the cam-post engaging, which leads to higher rates of implant failure due to cam-post wear. In their chapter on failure of the cam-post mechanism, Bourne et al</w:t>
      </w:r>
      <w:r w:rsidR="002C4157">
        <w:t xml:space="preserve"> (Bourne 2005)</w:t>
      </w:r>
      <w:r w:rsidRPr="007244C2">
        <w:t xml:space="preserve"> found that all </w:t>
      </w:r>
      <w:r w:rsidRPr="007244C2">
        <w:lastRenderedPageBreak/>
        <w:t xml:space="preserve">post-cam mechanisms are not the same and that substantial differences exist from one implant type to another. They also suggest that the cam-post mechanism does not always engage as designed. Though they did find evidence that cam-post mechanism may result in increased wear, this was limited to implants with varus/valgus constraints. </w:t>
      </w:r>
    </w:p>
    <w:p w:rsidR="00D909F5" w:rsidRPr="007244C2" w:rsidRDefault="00D909F5" w:rsidP="00D909F5">
      <w:pPr>
        <w:autoSpaceDE w:val="0"/>
        <w:autoSpaceDN w:val="0"/>
        <w:adjustRightInd w:val="0"/>
        <w:spacing w:line="480" w:lineRule="auto"/>
        <w:jc w:val="both"/>
      </w:pPr>
    </w:p>
    <w:p w:rsidR="00D909F5" w:rsidRPr="007244C2" w:rsidRDefault="00D909F5" w:rsidP="00D909F5">
      <w:pPr>
        <w:autoSpaceDE w:val="0"/>
        <w:autoSpaceDN w:val="0"/>
        <w:adjustRightInd w:val="0"/>
        <w:spacing w:line="480" w:lineRule="auto"/>
        <w:jc w:val="both"/>
      </w:pPr>
      <w:r w:rsidRPr="007244C2">
        <w:t>Few studies have been conducted that accurately report the function of the cam-post engagement mechanism in PS TKAs. Two-dimensional computerized models have been used to investigate the effect of position and height of the tibial post on the tibiofemoral translation of the knee</w:t>
      </w:r>
      <w:r w:rsidR="002C4157">
        <w:t xml:space="preserve"> (Piazza 1998, Delp 1995)</w:t>
      </w:r>
      <w:r w:rsidRPr="007244C2">
        <w:t xml:space="preserve">. However, these studies have not incorporated the three-dimensional effect of knee rotation, which can significantly alter the data. Also, these studies were not conducted on live TKA subjects, but rather, used non physiological kinematics inputs to run their models. Banks et al, reported the minimum distance between the cam and post as a function of flexion in five knees with a primary posterior stabilized knee </w:t>
      </w:r>
      <w:r w:rsidR="002C4157">
        <w:t>(Banks 1997)</w:t>
      </w:r>
      <w:r w:rsidRPr="007244C2">
        <w:t>. That study estimated cam–post engagement to occur at 40</w:t>
      </w:r>
      <w:r w:rsidRPr="007244C2">
        <w:rPr>
          <w:vertAlign w:val="superscript"/>
        </w:rPr>
        <w:t>o</w:t>
      </w:r>
      <w:r w:rsidRPr="007244C2">
        <w:t xml:space="preserve"> of flexion during a step-up maneuver assuming the cam and post engaged when the minimum distance between them was less than 1 mm. Suggs et al in their paper, investigated the flexion range at which cam-post engagement occurred, during a lunge activity for 24 TKA subjects in-vivo. They analyzed fluoroscopy images using an image registration technique at 15</w:t>
      </w:r>
      <w:r w:rsidRPr="007244C2">
        <w:rPr>
          <w:vertAlign w:val="superscript"/>
        </w:rPr>
        <w:t>o</w:t>
      </w:r>
      <w:r w:rsidRPr="007244C2">
        <w:rPr>
          <w:vertAlign w:val="subscript"/>
        </w:rPr>
        <w:t xml:space="preserve"> </w:t>
      </w:r>
      <w:r w:rsidRPr="007244C2">
        <w:t>degree intervals from full extension to maximum knee flexion. The exact contact angle was estimated between the flexion intervals where cam</w:t>
      </w:r>
      <w:r w:rsidR="002C4157">
        <w:t>-</w:t>
      </w:r>
      <w:r w:rsidRPr="007244C2">
        <w:t xml:space="preserve">post contact first occurred (Figure 3-1). They reported average </w:t>
      </w:r>
      <w:r w:rsidRPr="007244C2">
        <w:lastRenderedPageBreak/>
        <w:t>contact angle of 91.1</w:t>
      </w:r>
      <w:r w:rsidRPr="007244C2">
        <w:rPr>
          <w:vertAlign w:val="superscript"/>
        </w:rPr>
        <w:t>o</w:t>
      </w:r>
      <w:r w:rsidRPr="007244C2">
        <w:t xml:space="preserve"> with a range from 69</w:t>
      </w:r>
      <w:r w:rsidRPr="007244C2">
        <w:rPr>
          <w:vertAlign w:val="superscript"/>
        </w:rPr>
        <w:t>o</w:t>
      </w:r>
      <w:r w:rsidRPr="007244C2">
        <w:t xml:space="preserve"> to 114</w:t>
      </w:r>
      <w:r w:rsidRPr="007244C2">
        <w:rPr>
          <w:vertAlign w:val="superscript"/>
        </w:rPr>
        <w:t>o</w:t>
      </w:r>
      <w:r w:rsidRPr="007244C2">
        <w:t xml:space="preserve">. Though this is the first study to investigate the cam-post interaction in-vivo, it does not incorporate the necessary level of accuracy that would be desirable for a thorough understanding of the interaction mechanism. </w:t>
      </w:r>
    </w:p>
    <w:p w:rsidR="00D909F5" w:rsidRPr="007244C2" w:rsidRDefault="00D909F5" w:rsidP="00D909F5">
      <w:pPr>
        <w:autoSpaceDE w:val="0"/>
        <w:autoSpaceDN w:val="0"/>
        <w:adjustRightInd w:val="0"/>
        <w:spacing w:line="480" w:lineRule="auto"/>
        <w:jc w:val="both"/>
      </w:pPr>
    </w:p>
    <w:p w:rsidR="00D909F5" w:rsidRPr="007244C2" w:rsidRDefault="001F4A25" w:rsidP="00D909F5">
      <w:pPr>
        <w:autoSpaceDE w:val="0"/>
        <w:autoSpaceDN w:val="0"/>
        <w:adjustRightInd w:val="0"/>
        <w:spacing w:line="480" w:lineRule="auto"/>
        <w:jc w:val="center"/>
      </w:pPr>
      <w:r>
        <w:rPr>
          <w:noProof/>
        </w:rPr>
        <w:drawing>
          <wp:inline distT="0" distB="0" distL="0" distR="0">
            <wp:extent cx="4892040" cy="3322320"/>
            <wp:effectExtent l="1905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4892040" cy="3322320"/>
                    </a:xfrm>
                    <a:prstGeom prst="rect">
                      <a:avLst/>
                    </a:prstGeom>
                    <a:noFill/>
                    <a:ln w="9525">
                      <a:noFill/>
                      <a:miter lim="800000"/>
                      <a:headEnd/>
                      <a:tailEnd/>
                    </a:ln>
                  </pic:spPr>
                </pic:pic>
              </a:graphicData>
            </a:graphic>
          </wp:inline>
        </w:drawing>
      </w:r>
    </w:p>
    <w:p w:rsidR="00D909F5" w:rsidRPr="007244C2" w:rsidRDefault="00D909F5" w:rsidP="00D909F5">
      <w:pPr>
        <w:autoSpaceDE w:val="0"/>
        <w:autoSpaceDN w:val="0"/>
        <w:adjustRightInd w:val="0"/>
        <w:spacing w:line="480" w:lineRule="auto"/>
        <w:jc w:val="center"/>
        <w:rPr>
          <w:b/>
        </w:rPr>
      </w:pPr>
      <w:r w:rsidRPr="007244C2">
        <w:rPr>
          <w:b/>
        </w:rPr>
        <w:t>Figure 3-1. In-vivo cam-post contact as assessed by Suggs et al.</w:t>
      </w:r>
    </w:p>
    <w:p w:rsidR="00D909F5" w:rsidRPr="007244C2" w:rsidRDefault="00D909F5" w:rsidP="00D909F5">
      <w:pPr>
        <w:autoSpaceDE w:val="0"/>
        <w:autoSpaceDN w:val="0"/>
        <w:adjustRightInd w:val="0"/>
        <w:spacing w:line="480" w:lineRule="auto"/>
        <w:jc w:val="center"/>
        <w:rPr>
          <w:b/>
        </w:rPr>
      </w:pPr>
    </w:p>
    <w:p w:rsidR="00D909F5" w:rsidRPr="007244C2" w:rsidRDefault="00D909F5" w:rsidP="00D909F5">
      <w:pPr>
        <w:autoSpaceDE w:val="0"/>
        <w:autoSpaceDN w:val="0"/>
        <w:adjustRightInd w:val="0"/>
        <w:spacing w:line="480" w:lineRule="auto"/>
        <w:jc w:val="both"/>
      </w:pPr>
      <w:r w:rsidRPr="007244C2">
        <w:t>Cam-post contact area is another area in which data is not available. The only notable paper to effectively quantify cam-post contact area, utilized the use of knee simulators to investigate three different TKA designs at three static flexion angles (90, 120 and 150 degrees) Nakayama</w:t>
      </w:r>
      <w:r w:rsidR="002C4157">
        <w:t xml:space="preserve"> (Nakayama 2005)</w:t>
      </w:r>
      <w:r w:rsidRPr="007244C2">
        <w:t xml:space="preserve">. A relatively small force of 500N was assumed to </w:t>
      </w:r>
      <w:r w:rsidRPr="007244C2">
        <w:lastRenderedPageBreak/>
        <w:t>be applied by the femoral cam on the tibial post. This paper reported that at the assessed angles the cam-post contact area varied for the three different designs investigated, varying from 40mm</w:t>
      </w:r>
      <w:r w:rsidRPr="007244C2">
        <w:rPr>
          <w:vertAlign w:val="superscript"/>
        </w:rPr>
        <w:t>2</w:t>
      </w:r>
      <w:r w:rsidRPr="007244C2">
        <w:t xml:space="preserve">  to 65mm</w:t>
      </w:r>
      <w:r w:rsidRPr="007244C2">
        <w:rPr>
          <w:vertAlign w:val="superscript"/>
        </w:rPr>
        <w:t>2</w:t>
      </w:r>
      <w:r w:rsidRPr="007244C2">
        <w:t xml:space="preserve">. The study also reported that contact area reduced with increasing flexion. One of the major drawbacks of this study was that they assumed the knee to be in neutral position during flexion, with no effect of femoral rollback of either the medial or lateral condyle and no axial rotation (Figure 3-2). Also, the forces applied on the cam-post interaction were merely assumed and were not derived using any computational or experimental modality. The paper itself mentions this as their major limitation and attributed it to the lack of research data on this topic. </w:t>
      </w:r>
    </w:p>
    <w:p w:rsidR="00D909F5" w:rsidRPr="007244C2" w:rsidRDefault="001F4A25" w:rsidP="00D909F5">
      <w:pPr>
        <w:autoSpaceDE w:val="0"/>
        <w:autoSpaceDN w:val="0"/>
        <w:adjustRightInd w:val="0"/>
        <w:spacing w:line="480" w:lineRule="auto"/>
        <w:jc w:val="both"/>
      </w:pPr>
      <w:r>
        <w:rPr>
          <w:noProof/>
        </w:rPr>
        <w:drawing>
          <wp:inline distT="0" distB="0" distL="0" distR="0">
            <wp:extent cx="5943600" cy="34290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srcRect b="9457"/>
                    <a:stretch>
                      <a:fillRect/>
                    </a:stretch>
                  </pic:blipFill>
                  <pic:spPr bwMode="auto">
                    <a:xfrm>
                      <a:off x="0" y="0"/>
                      <a:ext cx="5943600" cy="3429000"/>
                    </a:xfrm>
                    <a:prstGeom prst="rect">
                      <a:avLst/>
                    </a:prstGeom>
                    <a:noFill/>
                    <a:ln w="9525">
                      <a:noFill/>
                      <a:miter lim="800000"/>
                      <a:headEnd/>
                      <a:tailEnd/>
                    </a:ln>
                  </pic:spPr>
                </pic:pic>
              </a:graphicData>
            </a:graphic>
          </wp:inline>
        </w:drawing>
      </w:r>
    </w:p>
    <w:p w:rsidR="00D909F5" w:rsidRPr="007244C2" w:rsidRDefault="00D909F5" w:rsidP="00D909F5">
      <w:pPr>
        <w:autoSpaceDE w:val="0"/>
        <w:autoSpaceDN w:val="0"/>
        <w:adjustRightInd w:val="0"/>
        <w:rPr>
          <w:b/>
        </w:rPr>
      </w:pPr>
      <w:r w:rsidRPr="007244C2">
        <w:rPr>
          <w:b/>
        </w:rPr>
        <w:t>Figure 3-2: Axial view (left) and Sagital view (right) for the implant set-up by Nakayama et al.</w:t>
      </w:r>
    </w:p>
    <w:p w:rsidR="00D909F5" w:rsidRDefault="00D909F5" w:rsidP="002C4157">
      <w:pPr>
        <w:autoSpaceDE w:val="0"/>
        <w:autoSpaceDN w:val="0"/>
        <w:adjustRightInd w:val="0"/>
        <w:rPr>
          <w:b/>
        </w:rPr>
      </w:pPr>
      <w:r w:rsidRPr="007244C2">
        <w:lastRenderedPageBreak/>
        <w:t xml:space="preserve"> </w:t>
      </w:r>
      <w:r w:rsidRPr="007244C2">
        <w:rPr>
          <w:b/>
        </w:rPr>
        <w:t>3.3 Te</w:t>
      </w:r>
      <w:r w:rsidR="000231E3">
        <w:rPr>
          <w:b/>
        </w:rPr>
        <w:t xml:space="preserve">chniques used to determine </w:t>
      </w:r>
      <w:r w:rsidRPr="007244C2">
        <w:rPr>
          <w:b/>
        </w:rPr>
        <w:t>joint forces</w:t>
      </w:r>
    </w:p>
    <w:p w:rsidR="002C4157" w:rsidRPr="007244C2" w:rsidRDefault="002C4157" w:rsidP="002C4157">
      <w:pPr>
        <w:autoSpaceDE w:val="0"/>
        <w:autoSpaceDN w:val="0"/>
        <w:adjustRightInd w:val="0"/>
        <w:rPr>
          <w:b/>
        </w:rPr>
      </w:pPr>
    </w:p>
    <w:p w:rsidR="00D909F5" w:rsidRPr="007244C2" w:rsidRDefault="00D909F5" w:rsidP="00D909F5">
      <w:pPr>
        <w:spacing w:line="480" w:lineRule="auto"/>
        <w:jc w:val="both"/>
      </w:pPr>
      <w:r w:rsidRPr="007244C2">
        <w:rPr>
          <w:bCs/>
        </w:rPr>
        <w:t>The value of determining in vivo forces and torques could lead to three important factors: (1) prediction of how new designs will perform, (2) simulation of orthopedic surgery procedures and prediction/optimization of clinical outcome based on surgical parameters under consideration, and (3) investigation of loading mechanisms that contribute to degenerative joint disease, as well as movement modifications or clinical interventions to reduce these effects</w:t>
      </w:r>
      <w:r w:rsidR="002C4157">
        <w:rPr>
          <w:bCs/>
        </w:rPr>
        <w:t xml:space="preserve"> (Komistek 2005)</w:t>
      </w:r>
      <w:r w:rsidRPr="007244C2">
        <w:rPr>
          <w:bCs/>
        </w:rPr>
        <w:t xml:space="preserve">. </w:t>
      </w:r>
      <w:r w:rsidRPr="007244C2">
        <w:t>The in-vivo force studies related to the knee joint can be divided into two broad categories – telemetry and mathematical modeling.</w:t>
      </w:r>
    </w:p>
    <w:p w:rsidR="00D909F5" w:rsidRPr="007244C2" w:rsidRDefault="00D909F5" w:rsidP="00D909F5">
      <w:pPr>
        <w:spacing w:after="200" w:line="480" w:lineRule="auto"/>
        <w:jc w:val="both"/>
      </w:pPr>
    </w:p>
    <w:p w:rsidR="00D909F5" w:rsidRPr="007244C2" w:rsidRDefault="00D909F5" w:rsidP="00D909F5">
      <w:pPr>
        <w:spacing w:line="480" w:lineRule="auto"/>
        <w:jc w:val="both"/>
      </w:pPr>
      <w:r w:rsidRPr="007244C2">
        <w:t>Telemetry has gained wide scale approval in the research community since it has the capability of reporting very accurate, real-time data. D’Lima et al.</w:t>
      </w:r>
      <w:r w:rsidR="002C4157">
        <w:t xml:space="preserve"> (D’Lima 2005)</w:t>
      </w:r>
      <w:r w:rsidRPr="007244C2">
        <w:t xml:space="preserve"> have reported the first in vivo measurement of tibiofemoral forces via an instrumented implant in a TKA patient in 2006. This technique is capable of measuring resultant knee forces in six degrees of freedom</w:t>
      </w:r>
      <w:r w:rsidR="002C4157">
        <w:t xml:space="preserve"> (D’Lima 2007, </w:t>
      </w:r>
      <w:r w:rsidR="002C4157" w:rsidRPr="00B32031">
        <w:rPr>
          <w:color w:val="231F20"/>
        </w:rPr>
        <w:t>Varadarajana</w:t>
      </w:r>
      <w:r w:rsidR="002C4157">
        <w:rPr>
          <w:color w:val="231F20"/>
        </w:rPr>
        <w:t xml:space="preserve"> 2008)</w:t>
      </w:r>
      <w:r w:rsidRPr="007244C2">
        <w:t xml:space="preserve">. This study consisted of three patients, each implanted with a custom made telemetric implant (Zimmer Warsaw, IN). Forces at the tibiofemoral interface were assessed for the lunge and chair rise activities. All three patients experienced higher forces during the lunge activity. Forces during the lunge activity ranged between 1.7 and 2.77 times body weight (BW), with the peak force occurring between 27% and 82% of the cycle. For chair rising–sitting, all patients showed two peaks in net force. One peak (average 1.83*BW) was found at early part of </w:t>
      </w:r>
      <w:r w:rsidRPr="007244C2">
        <w:lastRenderedPageBreak/>
        <w:t>chair rising (between 11-20% of cycle), while another peak (average 1.61*BW) was found at late part of the cycle (78-83%).  Patient specific force distribution on the two condyles was nearly equal for the lunge activity, with both condyles experiencing nearly equal forces. For the chair rising activity, it was seen, that the lateral condyle experienced higher force ratios (between 61.7-74.2% of total force) when compared to the medial condyle. Another study conducted by the same authors</w:t>
      </w:r>
      <w:r w:rsidR="00083F3A">
        <w:t xml:space="preserve"> (D’Lima 2008)</w:t>
      </w:r>
      <w:r w:rsidRPr="007244C2">
        <w:t xml:space="preserve"> assessed tibiofemoral forces for the same patient group while performing daily activities like walking, bicycling and exercising on an elliptical trainer. They found that during level walking the knee experienced forces between 1.8-2.5 times BW. These forces were similar to those experienced by subjects comfortably walking on a treadmill. During the bicycling activity the forces peaked at 1.03 times BW. Patients experienced higher forces while exercising on the elliptical trainer with the mean peak tibial force being 2.24 times BW.</w:t>
      </w:r>
    </w:p>
    <w:p w:rsidR="00D909F5" w:rsidRPr="007244C2" w:rsidRDefault="00D909F5" w:rsidP="00D909F5">
      <w:pPr>
        <w:spacing w:after="200" w:line="480" w:lineRule="auto"/>
        <w:jc w:val="both"/>
      </w:pPr>
    </w:p>
    <w:p w:rsidR="00D909F5" w:rsidRPr="007244C2" w:rsidRDefault="00D909F5" w:rsidP="00D909F5">
      <w:pPr>
        <w:spacing w:line="480" w:lineRule="auto"/>
        <w:jc w:val="both"/>
      </w:pPr>
      <w:r w:rsidRPr="007244C2">
        <w:t xml:space="preserve">One restriction with telemetry is the fact that implantation of such devices is not feasible across different TKA designs that are available today. Also, data reported so far is restricted to a few patients and expanding that to a large patient population will take a long time. Another disadvantage of telemetry is the fact that it can only be used to observe forces in implanted knee joints. Hence, mathematical modeling techniques have been utilized as an alternative theoretical methodology to calculate knee joint forces. </w:t>
      </w:r>
      <w:r w:rsidRPr="007244C2">
        <w:lastRenderedPageBreak/>
        <w:t>Mathematical modeling approaches can be categorized two ways; those that use optimization techniques to solve an indeterminate muscle force system</w:t>
      </w:r>
      <w:r w:rsidR="00083F3A">
        <w:t xml:space="preserve"> </w:t>
      </w:r>
      <w:r w:rsidR="00083F3A" w:rsidRPr="00083F3A">
        <w:t>(Taylor 2004)</w:t>
      </w:r>
      <w:r w:rsidR="00083F3A">
        <w:t xml:space="preserve"> </w:t>
      </w:r>
      <w:r w:rsidRPr="007244C2">
        <w:t xml:space="preserve">and those that utilize a reduction method that minimizes the number of muscle force unknowns, keeping the system solvable as the number of equations of motion are equal to the number of unknown quantities </w:t>
      </w:r>
      <w:r w:rsidR="00083F3A" w:rsidRPr="00083F3A">
        <w:t>(Komistek 2005, Sharma 2007, 2007)</w:t>
      </w:r>
      <w:r w:rsidRPr="00083F3A">
        <w:t>.</w:t>
      </w:r>
      <w:r w:rsidRPr="007244C2">
        <w:t xml:space="preserve"> </w:t>
      </w:r>
    </w:p>
    <w:p w:rsidR="00D909F5" w:rsidRPr="007244C2" w:rsidRDefault="00D909F5" w:rsidP="00D909F5">
      <w:pPr>
        <w:spacing w:after="200" w:line="480" w:lineRule="auto"/>
        <w:jc w:val="both"/>
      </w:pPr>
    </w:p>
    <w:p w:rsidR="00D909F5" w:rsidRPr="007244C2" w:rsidRDefault="00D909F5" w:rsidP="00D909F5">
      <w:pPr>
        <w:spacing w:line="480" w:lineRule="auto"/>
        <w:jc w:val="both"/>
      </w:pPr>
      <w:r w:rsidRPr="007244C2">
        <w:t>A study conducted by Lundberg et al</w:t>
      </w:r>
      <w:r w:rsidR="00083F3A">
        <w:t xml:space="preserve"> (Lundberg 2009)</w:t>
      </w:r>
      <w:r w:rsidRPr="007244C2">
        <w:t xml:space="preserve">, developed a parametric model to determine tibiofemoral contact forces for TKA patients during level walking. The peak force reported was 3.3 times BW with a range of 0.5 times BW for normal forces and a range of 0.82 times BW for resultant forces. These results compared well with previously published literature pertaining to optimization techniques to determine knee joint forces. The medio-lateral force distribution was also found to correlate with other studies </w:t>
      </w:r>
      <w:r w:rsidR="00083F3A">
        <w:t>(Andriacchi 1997, Hsu 1990, Johnson 1980, Shelburne 2006)</w:t>
      </w:r>
      <w:r w:rsidRPr="007244C2">
        <w:t xml:space="preserve">. However, these forces were higher when compared to those reported for a similar activity using telemetry. </w:t>
      </w:r>
    </w:p>
    <w:p w:rsidR="00D909F5" w:rsidRPr="007244C2" w:rsidRDefault="00D909F5" w:rsidP="00D909F5">
      <w:pPr>
        <w:spacing w:line="480" w:lineRule="auto"/>
        <w:jc w:val="both"/>
      </w:pPr>
    </w:p>
    <w:p w:rsidR="00D909F5" w:rsidRPr="007244C2" w:rsidRDefault="00D909F5" w:rsidP="00D909F5">
      <w:pPr>
        <w:spacing w:line="480" w:lineRule="auto"/>
        <w:jc w:val="both"/>
      </w:pPr>
      <w:r w:rsidRPr="007244C2">
        <w:t xml:space="preserve">Another computational route to solve biomechanical problems has been the use of  optimization techniques, where the number of unknowns is greater than the number of equations that can be generated for the solution (Komistek, 2005). Therefore, the process deals with the solution generated by the minimization of a suitably chosen objective function (Seireg 1973, Brand 1982, Anderson 2001, Piazza 2001). However, there still </w:t>
      </w:r>
      <w:r w:rsidRPr="007244C2">
        <w:lastRenderedPageBreak/>
        <w:t>lacks a consensus as to which objective function is physiologically most suitable (Komistek 2005).</w:t>
      </w:r>
    </w:p>
    <w:p w:rsidR="00D909F5" w:rsidRPr="007244C2" w:rsidRDefault="00D909F5" w:rsidP="00D909F5">
      <w:pPr>
        <w:spacing w:after="200" w:line="480" w:lineRule="auto"/>
        <w:jc w:val="both"/>
      </w:pPr>
    </w:p>
    <w:p w:rsidR="00D909F5" w:rsidRPr="007244C2" w:rsidRDefault="00D909F5" w:rsidP="00D909F5">
      <w:pPr>
        <w:spacing w:line="480" w:lineRule="auto"/>
        <w:jc w:val="both"/>
      </w:pPr>
      <w:r w:rsidRPr="007244C2">
        <w:t>Komistek et al used the reduction technique and utilized a fluoroscopy driven inverse model based on Kane’s method of dynamics. They reported that the maximum force acting between the femur and the tibia for a healthy female subject having a normal knee was 1.7–2.3 BW, depending mainly on walking speed. Using a similar approach Sharma et al</w:t>
      </w:r>
      <w:r w:rsidR="00083F3A">
        <w:t xml:space="preserve"> (Sharma 2007)</w:t>
      </w:r>
      <w:r w:rsidRPr="007244C2">
        <w:t xml:space="preserve"> assessed tibiofemoral forces for subject with either a PS or a CR high flexion TKA while performing DKB. They found that forces for each type of implant increased with increasing flexion. Also, medial condyle force was always higher than the lateral condyle force. To check for the amount of error the model was also compared to data obtained from a fixed bearing telemetric implant. The results showed that, for the telemetric implant the maximum force on the medial side was 1.9BW experienced at 90 degrees of flexion and 2.2BW at 105 degrees for the lateral side. The model predicted 1.89BW (at 89 degrees) and 2.05 (at 101 degrees) for the medial and lateral condyles respectively. Another study</w:t>
      </w:r>
      <w:r w:rsidR="00083F3A">
        <w:t xml:space="preserve"> (Sharma 2007)</w:t>
      </w:r>
      <w:r w:rsidRPr="007244C2">
        <w:t xml:space="preserve"> by the same group analyzed 5 patients with a fixed bearing TKA and 5 patients with a mobile bearing TKA during the DKB activity. They found that tibiofemoral force for both the types of implants was similar in nature and magnitude. Also, as in the previous study, they found that the force distribution was unevenly distributed between the medial and lateral condyles, with the medial condyle </w:t>
      </w:r>
      <w:r w:rsidRPr="007244C2">
        <w:lastRenderedPageBreak/>
        <w:t xml:space="preserve">always having higher forces than the lateral condyle. The average medial tibiofemoral force varied from 0.5BW at full extension to 2.72BW at full flexion for the mobile bearing subjects, while for the fixed bearing subject the medial force varied between 1.04BW at full extension to 2.73BW at full flexion. On the lateral condyle the medial force varied between 0.34BW to 0.91BW for mobile bearing subjects, and between 0.43BW to 0.92BW for the fixed bearing subjects. These results are in accordance to reported data from telemetric devices under similar conditions.  </w:t>
      </w:r>
    </w:p>
    <w:p w:rsidR="00D909F5" w:rsidRPr="007244C2" w:rsidRDefault="00D909F5" w:rsidP="00D909F5">
      <w:pPr>
        <w:spacing w:line="480" w:lineRule="auto"/>
        <w:jc w:val="both"/>
      </w:pPr>
    </w:p>
    <w:p w:rsidR="00D909F5" w:rsidRPr="007244C2" w:rsidRDefault="00D909F5" w:rsidP="00D909F5">
      <w:pPr>
        <w:spacing w:line="480" w:lineRule="auto"/>
        <w:jc w:val="both"/>
      </w:pPr>
      <w:r w:rsidRPr="007244C2">
        <w:t xml:space="preserve">Despite these comprehensive analysis conducted by various research groups there still exist variances in the force data generated by the studies (Table 3-1). This is because data collected by telemetry and the data input to the mathematical models for the same type of activity are collected at different speeds. The interactive forces increase as the speed of the activity is increased. However, it is now a well accepted fact that the contact forces increase with the increase in the angle of flexion (Komistek, 2005). </w:t>
      </w:r>
    </w:p>
    <w:p w:rsidR="00D909F5" w:rsidRPr="007244C2" w:rsidRDefault="00D909F5" w:rsidP="00D909F5">
      <w:pPr>
        <w:spacing w:line="480" w:lineRule="auto"/>
        <w:jc w:val="both"/>
      </w:pPr>
    </w:p>
    <w:p w:rsidR="00D909F5" w:rsidRPr="007244C2" w:rsidRDefault="00D909F5" w:rsidP="00D909F5">
      <w:pPr>
        <w:spacing w:line="480" w:lineRule="auto"/>
        <w:jc w:val="both"/>
      </w:pPr>
    </w:p>
    <w:p w:rsidR="00D909F5" w:rsidRPr="007244C2" w:rsidRDefault="00D909F5" w:rsidP="00D909F5">
      <w:pPr>
        <w:spacing w:line="480" w:lineRule="auto"/>
        <w:jc w:val="both"/>
      </w:pPr>
    </w:p>
    <w:p w:rsidR="00D909F5" w:rsidRPr="007244C2" w:rsidRDefault="00D909F5" w:rsidP="00D909F5">
      <w:pPr>
        <w:spacing w:line="480" w:lineRule="auto"/>
        <w:jc w:val="both"/>
      </w:pPr>
    </w:p>
    <w:p w:rsidR="00D909F5" w:rsidRPr="007244C2" w:rsidRDefault="00D909F5" w:rsidP="00D909F5">
      <w:pPr>
        <w:spacing w:line="480" w:lineRule="auto"/>
        <w:jc w:val="both"/>
      </w:pPr>
    </w:p>
    <w:p w:rsidR="00D909F5" w:rsidRPr="007244C2" w:rsidRDefault="00D909F5" w:rsidP="00D909F5">
      <w:pPr>
        <w:spacing w:line="480" w:lineRule="auto"/>
        <w:jc w:val="both"/>
      </w:pPr>
    </w:p>
    <w:p w:rsidR="00D909F5" w:rsidRPr="007244C2" w:rsidRDefault="00D909F5" w:rsidP="00D909F5">
      <w:pPr>
        <w:rPr>
          <w:b/>
        </w:rPr>
      </w:pPr>
      <w:r w:rsidRPr="007244C2">
        <w:rPr>
          <w:b/>
        </w:rPr>
        <w:lastRenderedPageBreak/>
        <w:t>Table 3-1: Knee Contact Forces from Previous Studies (Modified from Komistek, 2005).</w:t>
      </w:r>
    </w:p>
    <w:p w:rsidR="00D909F5" w:rsidRPr="007244C2" w:rsidRDefault="00D909F5" w:rsidP="00D909F5">
      <w:pPr>
        <w:rPr>
          <w:b/>
          <w:sz w:val="22"/>
          <w:szCs w:val="22"/>
        </w:rPr>
      </w:pPr>
    </w:p>
    <w:tbl>
      <w:tblPr>
        <w:tblW w:w="0" w:type="auto"/>
        <w:tblBorders>
          <w:top w:val="single" w:sz="4" w:space="0" w:color="auto"/>
          <w:bottom w:val="single" w:sz="4" w:space="0" w:color="auto"/>
          <w:insideH w:val="single" w:sz="4" w:space="0" w:color="auto"/>
        </w:tblBorders>
        <w:tblLook w:val="01E0"/>
      </w:tblPr>
      <w:tblGrid>
        <w:gridCol w:w="2214"/>
        <w:gridCol w:w="2214"/>
        <w:gridCol w:w="2214"/>
        <w:gridCol w:w="2214"/>
      </w:tblGrid>
      <w:tr w:rsidR="00D909F5" w:rsidRPr="007244C2" w:rsidTr="00A70CB9">
        <w:trPr>
          <w:trHeight w:val="720"/>
        </w:trPr>
        <w:tc>
          <w:tcPr>
            <w:tcW w:w="2214" w:type="dxa"/>
            <w:tcBorders>
              <w:bottom w:val="single" w:sz="4" w:space="0" w:color="auto"/>
            </w:tcBorders>
            <w:vAlign w:val="center"/>
          </w:tcPr>
          <w:p w:rsidR="00D909F5" w:rsidRPr="007244C2" w:rsidRDefault="00D909F5" w:rsidP="00A70CB9">
            <w:pPr>
              <w:jc w:val="center"/>
              <w:rPr>
                <w:b/>
                <w:i/>
              </w:rPr>
            </w:pPr>
            <w:r w:rsidRPr="007244C2">
              <w:rPr>
                <w:b/>
                <w:i/>
              </w:rPr>
              <w:t>Authors</w:t>
            </w:r>
          </w:p>
        </w:tc>
        <w:tc>
          <w:tcPr>
            <w:tcW w:w="2214" w:type="dxa"/>
            <w:tcBorders>
              <w:bottom w:val="single" w:sz="4" w:space="0" w:color="auto"/>
            </w:tcBorders>
            <w:vAlign w:val="center"/>
          </w:tcPr>
          <w:p w:rsidR="00D909F5" w:rsidRPr="007244C2" w:rsidRDefault="00D909F5" w:rsidP="00A70CB9">
            <w:pPr>
              <w:jc w:val="center"/>
              <w:rPr>
                <w:b/>
                <w:i/>
              </w:rPr>
            </w:pPr>
            <w:r w:rsidRPr="007244C2">
              <w:rPr>
                <w:b/>
                <w:i/>
              </w:rPr>
              <w:t>Technique</w:t>
            </w:r>
          </w:p>
        </w:tc>
        <w:tc>
          <w:tcPr>
            <w:tcW w:w="2214" w:type="dxa"/>
            <w:tcBorders>
              <w:bottom w:val="single" w:sz="4" w:space="0" w:color="auto"/>
            </w:tcBorders>
            <w:vAlign w:val="center"/>
          </w:tcPr>
          <w:p w:rsidR="00D909F5" w:rsidRPr="007244C2" w:rsidRDefault="00D909F5" w:rsidP="00A70CB9">
            <w:pPr>
              <w:jc w:val="center"/>
              <w:rPr>
                <w:b/>
                <w:i/>
              </w:rPr>
            </w:pPr>
            <w:r w:rsidRPr="007244C2">
              <w:rPr>
                <w:b/>
                <w:i/>
              </w:rPr>
              <w:t>Activity</w:t>
            </w:r>
          </w:p>
        </w:tc>
        <w:tc>
          <w:tcPr>
            <w:tcW w:w="2214" w:type="dxa"/>
            <w:tcBorders>
              <w:bottom w:val="single" w:sz="4" w:space="0" w:color="auto"/>
            </w:tcBorders>
            <w:vAlign w:val="center"/>
          </w:tcPr>
          <w:p w:rsidR="00D909F5" w:rsidRPr="007244C2" w:rsidRDefault="00D909F5" w:rsidP="00A70CB9">
            <w:pPr>
              <w:jc w:val="center"/>
              <w:rPr>
                <w:b/>
                <w:i/>
              </w:rPr>
            </w:pPr>
            <w:r w:rsidRPr="007244C2">
              <w:rPr>
                <w:b/>
                <w:i/>
              </w:rPr>
              <w:t>Knee Force</w:t>
            </w:r>
          </w:p>
        </w:tc>
      </w:tr>
      <w:tr w:rsidR="00D909F5" w:rsidRPr="007244C2" w:rsidTr="00A70CB9">
        <w:trPr>
          <w:trHeight w:val="576"/>
        </w:trPr>
        <w:tc>
          <w:tcPr>
            <w:tcW w:w="2214" w:type="dxa"/>
            <w:tcBorders>
              <w:bottom w:val="nil"/>
            </w:tcBorders>
            <w:vAlign w:val="center"/>
          </w:tcPr>
          <w:p w:rsidR="00D909F5" w:rsidRPr="007244C2" w:rsidRDefault="00D909F5" w:rsidP="00A70CB9">
            <w:pPr>
              <w:jc w:val="center"/>
            </w:pPr>
            <w:smartTag w:uri="urn:schemas-microsoft-com:office:smarttags" w:element="place">
              <w:smartTag w:uri="urn:schemas-microsoft-com:office:smarttags" w:element="City">
                <w:r w:rsidRPr="007244C2">
                  <w:t>Taylor</w:t>
                </w:r>
              </w:smartTag>
            </w:smartTag>
            <w:r w:rsidRPr="007244C2">
              <w:t xml:space="preserve"> et. al.</w:t>
            </w:r>
          </w:p>
        </w:tc>
        <w:tc>
          <w:tcPr>
            <w:tcW w:w="2214" w:type="dxa"/>
            <w:tcBorders>
              <w:bottom w:val="nil"/>
            </w:tcBorders>
            <w:vAlign w:val="center"/>
          </w:tcPr>
          <w:p w:rsidR="00D909F5" w:rsidRPr="007244C2" w:rsidRDefault="00D909F5" w:rsidP="00A70CB9">
            <w:pPr>
              <w:jc w:val="center"/>
            </w:pPr>
            <w:r w:rsidRPr="007244C2">
              <w:t>Telemetry</w:t>
            </w:r>
          </w:p>
        </w:tc>
        <w:tc>
          <w:tcPr>
            <w:tcW w:w="2214" w:type="dxa"/>
            <w:tcBorders>
              <w:bottom w:val="nil"/>
            </w:tcBorders>
            <w:vAlign w:val="center"/>
          </w:tcPr>
          <w:p w:rsidR="00D909F5" w:rsidRPr="007244C2" w:rsidRDefault="00D909F5" w:rsidP="00A70CB9">
            <w:pPr>
              <w:jc w:val="center"/>
            </w:pPr>
            <w:r w:rsidRPr="007244C2">
              <w:t>Normal gait</w:t>
            </w:r>
          </w:p>
        </w:tc>
        <w:tc>
          <w:tcPr>
            <w:tcW w:w="2214" w:type="dxa"/>
            <w:tcBorders>
              <w:bottom w:val="nil"/>
            </w:tcBorders>
            <w:vAlign w:val="center"/>
          </w:tcPr>
          <w:p w:rsidR="00D909F5" w:rsidRPr="007244C2" w:rsidRDefault="00D909F5" w:rsidP="00A70CB9">
            <w:pPr>
              <w:jc w:val="center"/>
            </w:pPr>
            <w:r w:rsidRPr="007244C2">
              <w:t>2.2 – 2.8 BW</w:t>
            </w:r>
          </w:p>
        </w:tc>
      </w:tr>
      <w:tr w:rsidR="00D909F5" w:rsidRPr="007244C2" w:rsidTr="00A70CB9">
        <w:trPr>
          <w:trHeight w:val="576"/>
        </w:trPr>
        <w:tc>
          <w:tcPr>
            <w:tcW w:w="2214" w:type="dxa"/>
            <w:tcBorders>
              <w:top w:val="nil"/>
              <w:bottom w:val="nil"/>
            </w:tcBorders>
            <w:vAlign w:val="center"/>
          </w:tcPr>
          <w:p w:rsidR="00D909F5" w:rsidRPr="007244C2" w:rsidRDefault="00D909F5" w:rsidP="00A70CB9">
            <w:pPr>
              <w:jc w:val="center"/>
            </w:pPr>
          </w:p>
        </w:tc>
        <w:tc>
          <w:tcPr>
            <w:tcW w:w="2214" w:type="dxa"/>
            <w:tcBorders>
              <w:top w:val="nil"/>
              <w:bottom w:val="nil"/>
            </w:tcBorders>
            <w:vAlign w:val="center"/>
          </w:tcPr>
          <w:p w:rsidR="00D909F5" w:rsidRPr="007244C2" w:rsidRDefault="00D909F5" w:rsidP="00A70CB9">
            <w:pPr>
              <w:jc w:val="center"/>
            </w:pPr>
          </w:p>
        </w:tc>
        <w:tc>
          <w:tcPr>
            <w:tcW w:w="2214" w:type="dxa"/>
            <w:tcBorders>
              <w:top w:val="nil"/>
              <w:bottom w:val="nil"/>
            </w:tcBorders>
            <w:vAlign w:val="center"/>
          </w:tcPr>
          <w:p w:rsidR="00D909F5" w:rsidRPr="007244C2" w:rsidRDefault="00D909F5" w:rsidP="00A70CB9">
            <w:pPr>
              <w:jc w:val="center"/>
            </w:pPr>
            <w:r w:rsidRPr="007244C2">
              <w:t>Treadmill gait</w:t>
            </w:r>
          </w:p>
        </w:tc>
        <w:tc>
          <w:tcPr>
            <w:tcW w:w="2214" w:type="dxa"/>
            <w:tcBorders>
              <w:top w:val="nil"/>
              <w:bottom w:val="nil"/>
            </w:tcBorders>
            <w:vAlign w:val="center"/>
          </w:tcPr>
          <w:p w:rsidR="00D909F5" w:rsidRPr="007244C2" w:rsidRDefault="00D909F5" w:rsidP="00A70CB9">
            <w:pPr>
              <w:jc w:val="center"/>
            </w:pPr>
            <w:r w:rsidRPr="007244C2">
              <w:t>2.75 BW</w:t>
            </w:r>
          </w:p>
        </w:tc>
      </w:tr>
      <w:tr w:rsidR="00D909F5" w:rsidRPr="007244C2" w:rsidTr="00A70CB9">
        <w:trPr>
          <w:trHeight w:val="576"/>
        </w:trPr>
        <w:tc>
          <w:tcPr>
            <w:tcW w:w="2214" w:type="dxa"/>
            <w:tcBorders>
              <w:top w:val="nil"/>
              <w:bottom w:val="nil"/>
            </w:tcBorders>
            <w:vAlign w:val="center"/>
          </w:tcPr>
          <w:p w:rsidR="00D909F5" w:rsidRPr="007244C2" w:rsidRDefault="00D909F5" w:rsidP="00A70CB9">
            <w:pPr>
              <w:jc w:val="center"/>
            </w:pPr>
          </w:p>
        </w:tc>
        <w:tc>
          <w:tcPr>
            <w:tcW w:w="2214" w:type="dxa"/>
            <w:tcBorders>
              <w:top w:val="nil"/>
              <w:bottom w:val="nil"/>
            </w:tcBorders>
            <w:vAlign w:val="center"/>
          </w:tcPr>
          <w:p w:rsidR="00D909F5" w:rsidRPr="007244C2" w:rsidRDefault="00D909F5" w:rsidP="00A70CB9">
            <w:pPr>
              <w:jc w:val="center"/>
            </w:pPr>
          </w:p>
        </w:tc>
        <w:tc>
          <w:tcPr>
            <w:tcW w:w="2214" w:type="dxa"/>
            <w:tcBorders>
              <w:top w:val="nil"/>
              <w:bottom w:val="nil"/>
            </w:tcBorders>
            <w:vAlign w:val="center"/>
          </w:tcPr>
          <w:p w:rsidR="00D909F5" w:rsidRPr="007244C2" w:rsidRDefault="00D909F5" w:rsidP="00A70CB9">
            <w:pPr>
              <w:jc w:val="center"/>
            </w:pPr>
            <w:r w:rsidRPr="007244C2">
              <w:t>Stair descent</w:t>
            </w:r>
          </w:p>
        </w:tc>
        <w:tc>
          <w:tcPr>
            <w:tcW w:w="2214" w:type="dxa"/>
            <w:tcBorders>
              <w:top w:val="nil"/>
              <w:bottom w:val="nil"/>
            </w:tcBorders>
            <w:vAlign w:val="center"/>
          </w:tcPr>
          <w:p w:rsidR="00D909F5" w:rsidRPr="007244C2" w:rsidRDefault="00D909F5" w:rsidP="00A70CB9">
            <w:pPr>
              <w:jc w:val="center"/>
            </w:pPr>
            <w:r w:rsidRPr="007244C2">
              <w:t>3.1 BW</w:t>
            </w:r>
          </w:p>
        </w:tc>
      </w:tr>
      <w:tr w:rsidR="00D909F5" w:rsidRPr="007244C2" w:rsidTr="00A70CB9">
        <w:trPr>
          <w:trHeight w:val="576"/>
        </w:trPr>
        <w:tc>
          <w:tcPr>
            <w:tcW w:w="2214" w:type="dxa"/>
            <w:tcBorders>
              <w:top w:val="nil"/>
              <w:bottom w:val="nil"/>
            </w:tcBorders>
            <w:vAlign w:val="center"/>
          </w:tcPr>
          <w:p w:rsidR="00D909F5" w:rsidRPr="007244C2" w:rsidRDefault="00D909F5" w:rsidP="00A70CB9">
            <w:pPr>
              <w:jc w:val="center"/>
            </w:pPr>
          </w:p>
        </w:tc>
        <w:tc>
          <w:tcPr>
            <w:tcW w:w="2214" w:type="dxa"/>
            <w:tcBorders>
              <w:top w:val="nil"/>
              <w:bottom w:val="nil"/>
            </w:tcBorders>
            <w:vAlign w:val="center"/>
          </w:tcPr>
          <w:p w:rsidR="00D909F5" w:rsidRPr="007244C2" w:rsidRDefault="00D909F5" w:rsidP="00A70CB9">
            <w:pPr>
              <w:jc w:val="center"/>
            </w:pPr>
          </w:p>
        </w:tc>
        <w:tc>
          <w:tcPr>
            <w:tcW w:w="2214" w:type="dxa"/>
            <w:tcBorders>
              <w:top w:val="nil"/>
              <w:bottom w:val="nil"/>
            </w:tcBorders>
            <w:vAlign w:val="center"/>
          </w:tcPr>
          <w:p w:rsidR="00D909F5" w:rsidRPr="007244C2" w:rsidRDefault="00D909F5" w:rsidP="00A70CB9">
            <w:pPr>
              <w:jc w:val="center"/>
            </w:pPr>
            <w:r w:rsidRPr="007244C2">
              <w:t>Stair ascent</w:t>
            </w:r>
          </w:p>
        </w:tc>
        <w:tc>
          <w:tcPr>
            <w:tcW w:w="2214" w:type="dxa"/>
            <w:tcBorders>
              <w:top w:val="nil"/>
              <w:bottom w:val="nil"/>
            </w:tcBorders>
            <w:vAlign w:val="center"/>
          </w:tcPr>
          <w:p w:rsidR="00D909F5" w:rsidRPr="007244C2" w:rsidRDefault="00D909F5" w:rsidP="00A70CB9">
            <w:pPr>
              <w:jc w:val="center"/>
            </w:pPr>
            <w:r w:rsidRPr="007244C2">
              <w:t>3.8 BW</w:t>
            </w:r>
          </w:p>
        </w:tc>
      </w:tr>
      <w:tr w:rsidR="00D909F5" w:rsidRPr="007244C2" w:rsidTr="00A70CB9">
        <w:trPr>
          <w:trHeight w:val="576"/>
        </w:trPr>
        <w:tc>
          <w:tcPr>
            <w:tcW w:w="2214" w:type="dxa"/>
            <w:tcBorders>
              <w:top w:val="nil"/>
              <w:bottom w:val="nil"/>
            </w:tcBorders>
            <w:vAlign w:val="center"/>
          </w:tcPr>
          <w:p w:rsidR="00D909F5" w:rsidRPr="007244C2" w:rsidRDefault="00D909F5" w:rsidP="00A70CB9">
            <w:pPr>
              <w:jc w:val="center"/>
            </w:pPr>
          </w:p>
        </w:tc>
        <w:tc>
          <w:tcPr>
            <w:tcW w:w="2214" w:type="dxa"/>
            <w:tcBorders>
              <w:top w:val="nil"/>
              <w:bottom w:val="nil"/>
            </w:tcBorders>
            <w:vAlign w:val="center"/>
          </w:tcPr>
          <w:p w:rsidR="00D909F5" w:rsidRPr="007244C2" w:rsidRDefault="00D909F5" w:rsidP="00A70CB9">
            <w:pPr>
              <w:jc w:val="center"/>
            </w:pPr>
          </w:p>
        </w:tc>
        <w:tc>
          <w:tcPr>
            <w:tcW w:w="2214" w:type="dxa"/>
            <w:tcBorders>
              <w:top w:val="nil"/>
              <w:bottom w:val="nil"/>
            </w:tcBorders>
            <w:vAlign w:val="center"/>
          </w:tcPr>
          <w:p w:rsidR="00D909F5" w:rsidRPr="007244C2" w:rsidRDefault="00D909F5" w:rsidP="00A70CB9">
            <w:pPr>
              <w:jc w:val="center"/>
            </w:pPr>
            <w:r w:rsidRPr="007244C2">
              <w:t>Jogging</w:t>
            </w:r>
          </w:p>
        </w:tc>
        <w:tc>
          <w:tcPr>
            <w:tcW w:w="2214" w:type="dxa"/>
            <w:tcBorders>
              <w:top w:val="nil"/>
              <w:bottom w:val="nil"/>
            </w:tcBorders>
            <w:vAlign w:val="center"/>
          </w:tcPr>
          <w:p w:rsidR="00D909F5" w:rsidRPr="007244C2" w:rsidRDefault="00D909F5" w:rsidP="00A70CB9">
            <w:pPr>
              <w:jc w:val="center"/>
            </w:pPr>
            <w:r w:rsidRPr="007244C2">
              <w:t>3.6 BW</w:t>
            </w:r>
          </w:p>
        </w:tc>
      </w:tr>
      <w:tr w:rsidR="00D909F5" w:rsidRPr="007244C2" w:rsidTr="00A70CB9">
        <w:trPr>
          <w:trHeight w:val="576"/>
        </w:trPr>
        <w:tc>
          <w:tcPr>
            <w:tcW w:w="2214" w:type="dxa"/>
            <w:tcBorders>
              <w:top w:val="nil"/>
              <w:bottom w:val="nil"/>
            </w:tcBorders>
            <w:vAlign w:val="center"/>
          </w:tcPr>
          <w:p w:rsidR="00D909F5" w:rsidRPr="007244C2" w:rsidRDefault="00D909F5" w:rsidP="00A70CB9">
            <w:pPr>
              <w:jc w:val="center"/>
            </w:pPr>
            <w:r w:rsidRPr="007244C2">
              <w:t>Colwell et. al.</w:t>
            </w:r>
          </w:p>
        </w:tc>
        <w:tc>
          <w:tcPr>
            <w:tcW w:w="2214" w:type="dxa"/>
            <w:tcBorders>
              <w:top w:val="nil"/>
              <w:bottom w:val="nil"/>
            </w:tcBorders>
            <w:vAlign w:val="center"/>
          </w:tcPr>
          <w:p w:rsidR="00D909F5" w:rsidRPr="007244C2" w:rsidRDefault="00D909F5" w:rsidP="00A70CB9">
            <w:pPr>
              <w:jc w:val="center"/>
            </w:pPr>
            <w:r w:rsidRPr="007244C2">
              <w:t>Telemetry</w:t>
            </w:r>
          </w:p>
        </w:tc>
        <w:tc>
          <w:tcPr>
            <w:tcW w:w="2214" w:type="dxa"/>
            <w:tcBorders>
              <w:top w:val="nil"/>
              <w:bottom w:val="nil"/>
            </w:tcBorders>
            <w:vAlign w:val="center"/>
          </w:tcPr>
          <w:p w:rsidR="00D909F5" w:rsidRPr="007244C2" w:rsidRDefault="00D909F5" w:rsidP="00A70CB9">
            <w:pPr>
              <w:jc w:val="center"/>
            </w:pPr>
            <w:r w:rsidRPr="007244C2">
              <w:t>Walking</w:t>
            </w:r>
          </w:p>
        </w:tc>
        <w:tc>
          <w:tcPr>
            <w:tcW w:w="2214" w:type="dxa"/>
            <w:tcBorders>
              <w:top w:val="nil"/>
              <w:bottom w:val="nil"/>
            </w:tcBorders>
            <w:vAlign w:val="center"/>
          </w:tcPr>
          <w:p w:rsidR="00D909F5" w:rsidRPr="007244C2" w:rsidRDefault="00D909F5" w:rsidP="00A70CB9">
            <w:pPr>
              <w:jc w:val="center"/>
            </w:pPr>
            <w:r w:rsidRPr="007244C2">
              <w:t>2.4 BW</w:t>
            </w:r>
          </w:p>
        </w:tc>
      </w:tr>
      <w:tr w:rsidR="00D909F5" w:rsidRPr="007244C2" w:rsidTr="00A70CB9">
        <w:trPr>
          <w:trHeight w:val="576"/>
        </w:trPr>
        <w:tc>
          <w:tcPr>
            <w:tcW w:w="2214" w:type="dxa"/>
            <w:tcBorders>
              <w:top w:val="nil"/>
              <w:bottom w:val="nil"/>
            </w:tcBorders>
            <w:vAlign w:val="center"/>
          </w:tcPr>
          <w:p w:rsidR="00D909F5" w:rsidRPr="007244C2" w:rsidRDefault="00D909F5" w:rsidP="00A70CB9">
            <w:pPr>
              <w:jc w:val="center"/>
            </w:pPr>
          </w:p>
        </w:tc>
        <w:tc>
          <w:tcPr>
            <w:tcW w:w="2214" w:type="dxa"/>
            <w:tcBorders>
              <w:top w:val="nil"/>
              <w:bottom w:val="nil"/>
            </w:tcBorders>
            <w:vAlign w:val="center"/>
          </w:tcPr>
          <w:p w:rsidR="00D909F5" w:rsidRPr="007244C2" w:rsidRDefault="00D909F5" w:rsidP="00A70CB9">
            <w:pPr>
              <w:jc w:val="center"/>
            </w:pPr>
          </w:p>
        </w:tc>
        <w:tc>
          <w:tcPr>
            <w:tcW w:w="2214" w:type="dxa"/>
            <w:tcBorders>
              <w:top w:val="nil"/>
              <w:bottom w:val="nil"/>
            </w:tcBorders>
            <w:vAlign w:val="center"/>
          </w:tcPr>
          <w:p w:rsidR="00D909F5" w:rsidRPr="007244C2" w:rsidRDefault="00D909F5" w:rsidP="00A70CB9">
            <w:pPr>
              <w:jc w:val="center"/>
            </w:pPr>
            <w:r w:rsidRPr="007244C2">
              <w:t>Stair ascent</w:t>
            </w:r>
          </w:p>
        </w:tc>
        <w:tc>
          <w:tcPr>
            <w:tcW w:w="2214" w:type="dxa"/>
            <w:tcBorders>
              <w:top w:val="nil"/>
              <w:bottom w:val="nil"/>
            </w:tcBorders>
            <w:vAlign w:val="center"/>
          </w:tcPr>
          <w:p w:rsidR="00D909F5" w:rsidRPr="007244C2" w:rsidRDefault="00D909F5" w:rsidP="00A70CB9">
            <w:pPr>
              <w:jc w:val="center"/>
            </w:pPr>
            <w:r w:rsidRPr="007244C2">
              <w:t>3.3 BW</w:t>
            </w:r>
          </w:p>
        </w:tc>
      </w:tr>
      <w:tr w:rsidR="00D909F5" w:rsidRPr="007244C2" w:rsidTr="00A70CB9">
        <w:trPr>
          <w:trHeight w:val="576"/>
        </w:trPr>
        <w:tc>
          <w:tcPr>
            <w:tcW w:w="2214" w:type="dxa"/>
            <w:tcBorders>
              <w:top w:val="nil"/>
              <w:bottom w:val="nil"/>
            </w:tcBorders>
            <w:vAlign w:val="center"/>
          </w:tcPr>
          <w:p w:rsidR="00D909F5" w:rsidRPr="007244C2" w:rsidRDefault="00D909F5" w:rsidP="00A70CB9">
            <w:pPr>
              <w:jc w:val="center"/>
            </w:pPr>
            <w:r w:rsidRPr="007244C2">
              <w:t>Seireg et. al.</w:t>
            </w:r>
          </w:p>
        </w:tc>
        <w:tc>
          <w:tcPr>
            <w:tcW w:w="2214" w:type="dxa"/>
            <w:tcBorders>
              <w:top w:val="nil"/>
              <w:bottom w:val="nil"/>
            </w:tcBorders>
            <w:vAlign w:val="center"/>
          </w:tcPr>
          <w:p w:rsidR="00D909F5" w:rsidRPr="007244C2" w:rsidRDefault="00D909F5" w:rsidP="00A70CB9">
            <w:pPr>
              <w:jc w:val="center"/>
            </w:pPr>
            <w:r w:rsidRPr="007244C2">
              <w:t>Optimization</w:t>
            </w:r>
          </w:p>
        </w:tc>
        <w:tc>
          <w:tcPr>
            <w:tcW w:w="2214" w:type="dxa"/>
            <w:tcBorders>
              <w:top w:val="nil"/>
              <w:bottom w:val="nil"/>
            </w:tcBorders>
            <w:vAlign w:val="center"/>
          </w:tcPr>
          <w:p w:rsidR="00D909F5" w:rsidRPr="007244C2" w:rsidRDefault="00D909F5" w:rsidP="00A70CB9">
            <w:pPr>
              <w:jc w:val="center"/>
            </w:pPr>
            <w:r w:rsidRPr="007244C2">
              <w:t>Walking</w:t>
            </w:r>
          </w:p>
        </w:tc>
        <w:tc>
          <w:tcPr>
            <w:tcW w:w="2214" w:type="dxa"/>
            <w:tcBorders>
              <w:top w:val="nil"/>
              <w:bottom w:val="nil"/>
            </w:tcBorders>
            <w:vAlign w:val="center"/>
          </w:tcPr>
          <w:p w:rsidR="00D909F5" w:rsidRPr="007244C2" w:rsidRDefault="00D909F5" w:rsidP="00A70CB9">
            <w:pPr>
              <w:jc w:val="center"/>
            </w:pPr>
            <w:r w:rsidRPr="007244C2">
              <w:t>7.1 BW</w:t>
            </w:r>
          </w:p>
        </w:tc>
      </w:tr>
      <w:tr w:rsidR="00D909F5" w:rsidRPr="007244C2" w:rsidTr="00A70CB9">
        <w:trPr>
          <w:trHeight w:val="576"/>
        </w:trPr>
        <w:tc>
          <w:tcPr>
            <w:tcW w:w="2214" w:type="dxa"/>
            <w:tcBorders>
              <w:top w:val="nil"/>
              <w:bottom w:val="nil"/>
            </w:tcBorders>
            <w:vAlign w:val="center"/>
          </w:tcPr>
          <w:p w:rsidR="00D909F5" w:rsidRPr="007244C2" w:rsidRDefault="00D909F5" w:rsidP="00A70CB9">
            <w:pPr>
              <w:jc w:val="center"/>
            </w:pPr>
            <w:r w:rsidRPr="007244C2">
              <w:t>Paul</w:t>
            </w:r>
          </w:p>
        </w:tc>
        <w:tc>
          <w:tcPr>
            <w:tcW w:w="2214" w:type="dxa"/>
            <w:tcBorders>
              <w:top w:val="nil"/>
              <w:bottom w:val="nil"/>
            </w:tcBorders>
            <w:vAlign w:val="center"/>
          </w:tcPr>
          <w:p w:rsidR="00D909F5" w:rsidRPr="007244C2" w:rsidRDefault="00D909F5" w:rsidP="00A70CB9">
            <w:pPr>
              <w:jc w:val="center"/>
            </w:pPr>
            <w:r w:rsidRPr="007244C2">
              <w:t>Reduction</w:t>
            </w:r>
          </w:p>
        </w:tc>
        <w:tc>
          <w:tcPr>
            <w:tcW w:w="2214" w:type="dxa"/>
            <w:tcBorders>
              <w:top w:val="nil"/>
              <w:bottom w:val="nil"/>
            </w:tcBorders>
            <w:vAlign w:val="center"/>
          </w:tcPr>
          <w:p w:rsidR="00D909F5" w:rsidRPr="007244C2" w:rsidRDefault="00D909F5" w:rsidP="00A70CB9">
            <w:pPr>
              <w:jc w:val="center"/>
            </w:pPr>
            <w:r w:rsidRPr="007244C2">
              <w:t>Walking</w:t>
            </w:r>
          </w:p>
        </w:tc>
        <w:tc>
          <w:tcPr>
            <w:tcW w:w="2214" w:type="dxa"/>
            <w:tcBorders>
              <w:top w:val="nil"/>
              <w:bottom w:val="nil"/>
            </w:tcBorders>
            <w:vAlign w:val="center"/>
          </w:tcPr>
          <w:p w:rsidR="00D909F5" w:rsidRPr="007244C2" w:rsidRDefault="00D909F5" w:rsidP="00A70CB9">
            <w:pPr>
              <w:jc w:val="center"/>
            </w:pPr>
            <w:r w:rsidRPr="007244C2">
              <w:t>2.7 – 4.3 BW</w:t>
            </w:r>
          </w:p>
        </w:tc>
      </w:tr>
      <w:tr w:rsidR="00D909F5" w:rsidRPr="007244C2" w:rsidTr="00A70CB9">
        <w:trPr>
          <w:trHeight w:val="576"/>
        </w:trPr>
        <w:tc>
          <w:tcPr>
            <w:tcW w:w="2214" w:type="dxa"/>
            <w:tcBorders>
              <w:top w:val="nil"/>
              <w:bottom w:val="nil"/>
            </w:tcBorders>
            <w:vAlign w:val="center"/>
          </w:tcPr>
          <w:p w:rsidR="00D909F5" w:rsidRPr="007244C2" w:rsidRDefault="00D909F5" w:rsidP="00A70CB9">
            <w:pPr>
              <w:jc w:val="center"/>
            </w:pPr>
          </w:p>
        </w:tc>
        <w:tc>
          <w:tcPr>
            <w:tcW w:w="2214" w:type="dxa"/>
            <w:tcBorders>
              <w:top w:val="nil"/>
              <w:bottom w:val="nil"/>
            </w:tcBorders>
            <w:vAlign w:val="center"/>
          </w:tcPr>
          <w:p w:rsidR="00D909F5" w:rsidRPr="007244C2" w:rsidRDefault="00D909F5" w:rsidP="00A70CB9">
            <w:pPr>
              <w:jc w:val="center"/>
            </w:pPr>
          </w:p>
        </w:tc>
        <w:tc>
          <w:tcPr>
            <w:tcW w:w="2214" w:type="dxa"/>
            <w:tcBorders>
              <w:top w:val="nil"/>
              <w:bottom w:val="nil"/>
            </w:tcBorders>
            <w:vAlign w:val="center"/>
          </w:tcPr>
          <w:p w:rsidR="00D909F5" w:rsidRPr="007244C2" w:rsidRDefault="00D909F5" w:rsidP="00A70CB9">
            <w:pPr>
              <w:jc w:val="center"/>
            </w:pPr>
            <w:r w:rsidRPr="007244C2">
              <w:t>Stair descent</w:t>
            </w:r>
          </w:p>
        </w:tc>
        <w:tc>
          <w:tcPr>
            <w:tcW w:w="2214" w:type="dxa"/>
            <w:tcBorders>
              <w:top w:val="nil"/>
              <w:bottom w:val="nil"/>
            </w:tcBorders>
            <w:vAlign w:val="center"/>
          </w:tcPr>
          <w:p w:rsidR="00D909F5" w:rsidRPr="007244C2" w:rsidRDefault="00D909F5" w:rsidP="00A70CB9">
            <w:pPr>
              <w:jc w:val="center"/>
            </w:pPr>
            <w:r w:rsidRPr="007244C2">
              <w:t>4.9 BW</w:t>
            </w:r>
          </w:p>
        </w:tc>
      </w:tr>
      <w:tr w:rsidR="00D909F5" w:rsidRPr="007244C2" w:rsidTr="00A70CB9">
        <w:trPr>
          <w:trHeight w:val="576"/>
        </w:trPr>
        <w:tc>
          <w:tcPr>
            <w:tcW w:w="2214" w:type="dxa"/>
            <w:tcBorders>
              <w:top w:val="nil"/>
              <w:bottom w:val="nil"/>
            </w:tcBorders>
            <w:vAlign w:val="center"/>
          </w:tcPr>
          <w:p w:rsidR="00D909F5" w:rsidRPr="007244C2" w:rsidRDefault="00D909F5" w:rsidP="00A70CB9">
            <w:pPr>
              <w:jc w:val="center"/>
            </w:pPr>
          </w:p>
        </w:tc>
        <w:tc>
          <w:tcPr>
            <w:tcW w:w="2214" w:type="dxa"/>
            <w:tcBorders>
              <w:top w:val="nil"/>
              <w:bottom w:val="nil"/>
            </w:tcBorders>
            <w:vAlign w:val="center"/>
          </w:tcPr>
          <w:p w:rsidR="00D909F5" w:rsidRPr="007244C2" w:rsidRDefault="00D909F5" w:rsidP="00A70CB9">
            <w:pPr>
              <w:jc w:val="center"/>
            </w:pPr>
          </w:p>
        </w:tc>
        <w:tc>
          <w:tcPr>
            <w:tcW w:w="2214" w:type="dxa"/>
            <w:tcBorders>
              <w:top w:val="nil"/>
              <w:bottom w:val="nil"/>
            </w:tcBorders>
            <w:vAlign w:val="center"/>
          </w:tcPr>
          <w:p w:rsidR="00D909F5" w:rsidRPr="007244C2" w:rsidRDefault="00D909F5" w:rsidP="00A70CB9">
            <w:pPr>
              <w:jc w:val="center"/>
            </w:pPr>
            <w:r w:rsidRPr="007244C2">
              <w:t>Stair ascent</w:t>
            </w:r>
          </w:p>
        </w:tc>
        <w:tc>
          <w:tcPr>
            <w:tcW w:w="2214" w:type="dxa"/>
            <w:tcBorders>
              <w:top w:val="nil"/>
              <w:bottom w:val="nil"/>
            </w:tcBorders>
            <w:vAlign w:val="center"/>
          </w:tcPr>
          <w:p w:rsidR="00D909F5" w:rsidRPr="007244C2" w:rsidRDefault="00D909F5" w:rsidP="00A70CB9">
            <w:pPr>
              <w:jc w:val="center"/>
            </w:pPr>
            <w:r w:rsidRPr="007244C2">
              <w:t>4.4 BW</w:t>
            </w:r>
          </w:p>
        </w:tc>
      </w:tr>
      <w:tr w:rsidR="00D909F5" w:rsidRPr="007244C2" w:rsidTr="00A70CB9">
        <w:trPr>
          <w:trHeight w:val="576"/>
        </w:trPr>
        <w:tc>
          <w:tcPr>
            <w:tcW w:w="2214" w:type="dxa"/>
            <w:tcBorders>
              <w:top w:val="nil"/>
              <w:bottom w:val="nil"/>
            </w:tcBorders>
            <w:vAlign w:val="center"/>
          </w:tcPr>
          <w:p w:rsidR="00D909F5" w:rsidRPr="007244C2" w:rsidRDefault="00D909F5" w:rsidP="00A70CB9">
            <w:pPr>
              <w:jc w:val="center"/>
            </w:pPr>
          </w:p>
        </w:tc>
        <w:tc>
          <w:tcPr>
            <w:tcW w:w="2214" w:type="dxa"/>
            <w:tcBorders>
              <w:top w:val="nil"/>
              <w:bottom w:val="nil"/>
            </w:tcBorders>
            <w:vAlign w:val="center"/>
          </w:tcPr>
          <w:p w:rsidR="00D909F5" w:rsidRPr="007244C2" w:rsidRDefault="00D909F5" w:rsidP="00A70CB9">
            <w:pPr>
              <w:jc w:val="center"/>
            </w:pPr>
          </w:p>
        </w:tc>
        <w:tc>
          <w:tcPr>
            <w:tcW w:w="2214" w:type="dxa"/>
            <w:tcBorders>
              <w:top w:val="nil"/>
              <w:bottom w:val="nil"/>
            </w:tcBorders>
            <w:vAlign w:val="center"/>
          </w:tcPr>
          <w:p w:rsidR="00D909F5" w:rsidRPr="007244C2" w:rsidRDefault="00D909F5" w:rsidP="00A70CB9">
            <w:pPr>
              <w:jc w:val="center"/>
            </w:pPr>
            <w:r w:rsidRPr="007244C2">
              <w:t>Up ramp</w:t>
            </w:r>
          </w:p>
        </w:tc>
        <w:tc>
          <w:tcPr>
            <w:tcW w:w="2214" w:type="dxa"/>
            <w:tcBorders>
              <w:top w:val="nil"/>
              <w:bottom w:val="nil"/>
            </w:tcBorders>
            <w:vAlign w:val="center"/>
          </w:tcPr>
          <w:p w:rsidR="00D909F5" w:rsidRPr="007244C2" w:rsidRDefault="00D909F5" w:rsidP="00A70CB9">
            <w:pPr>
              <w:jc w:val="center"/>
            </w:pPr>
            <w:r w:rsidRPr="007244C2">
              <w:t>3.7 BW</w:t>
            </w:r>
          </w:p>
        </w:tc>
      </w:tr>
      <w:tr w:rsidR="00D909F5" w:rsidRPr="007244C2" w:rsidTr="00A70CB9">
        <w:trPr>
          <w:trHeight w:val="576"/>
        </w:trPr>
        <w:tc>
          <w:tcPr>
            <w:tcW w:w="2214" w:type="dxa"/>
            <w:tcBorders>
              <w:top w:val="nil"/>
              <w:bottom w:val="nil"/>
            </w:tcBorders>
            <w:vAlign w:val="center"/>
          </w:tcPr>
          <w:p w:rsidR="00D909F5" w:rsidRPr="007244C2" w:rsidRDefault="00D909F5" w:rsidP="00A70CB9">
            <w:pPr>
              <w:jc w:val="center"/>
            </w:pPr>
          </w:p>
        </w:tc>
        <w:tc>
          <w:tcPr>
            <w:tcW w:w="2214" w:type="dxa"/>
            <w:tcBorders>
              <w:top w:val="nil"/>
              <w:bottom w:val="nil"/>
            </w:tcBorders>
            <w:vAlign w:val="center"/>
          </w:tcPr>
          <w:p w:rsidR="00D909F5" w:rsidRPr="007244C2" w:rsidRDefault="00D909F5" w:rsidP="00A70CB9">
            <w:pPr>
              <w:jc w:val="center"/>
            </w:pPr>
          </w:p>
        </w:tc>
        <w:tc>
          <w:tcPr>
            <w:tcW w:w="2214" w:type="dxa"/>
            <w:tcBorders>
              <w:top w:val="nil"/>
              <w:bottom w:val="nil"/>
            </w:tcBorders>
            <w:vAlign w:val="center"/>
          </w:tcPr>
          <w:p w:rsidR="00D909F5" w:rsidRPr="007244C2" w:rsidRDefault="00D909F5" w:rsidP="00A70CB9">
            <w:pPr>
              <w:jc w:val="center"/>
            </w:pPr>
            <w:r w:rsidRPr="007244C2">
              <w:t>Down ramp</w:t>
            </w:r>
          </w:p>
        </w:tc>
        <w:tc>
          <w:tcPr>
            <w:tcW w:w="2214" w:type="dxa"/>
            <w:tcBorders>
              <w:top w:val="nil"/>
              <w:bottom w:val="nil"/>
            </w:tcBorders>
            <w:vAlign w:val="center"/>
          </w:tcPr>
          <w:p w:rsidR="00D909F5" w:rsidRPr="007244C2" w:rsidRDefault="00D909F5" w:rsidP="00A70CB9">
            <w:pPr>
              <w:jc w:val="center"/>
            </w:pPr>
            <w:r w:rsidRPr="007244C2">
              <w:t>4.4 BW</w:t>
            </w:r>
          </w:p>
        </w:tc>
      </w:tr>
      <w:tr w:rsidR="00D909F5" w:rsidRPr="007244C2" w:rsidTr="00A70CB9">
        <w:trPr>
          <w:trHeight w:val="576"/>
        </w:trPr>
        <w:tc>
          <w:tcPr>
            <w:tcW w:w="2214" w:type="dxa"/>
            <w:tcBorders>
              <w:top w:val="nil"/>
              <w:bottom w:val="nil"/>
            </w:tcBorders>
            <w:vAlign w:val="center"/>
          </w:tcPr>
          <w:p w:rsidR="00D909F5" w:rsidRPr="007244C2" w:rsidRDefault="00D909F5" w:rsidP="00A70CB9">
            <w:pPr>
              <w:jc w:val="center"/>
            </w:pPr>
            <w:r w:rsidRPr="007244C2">
              <w:t>Wimmer et. al.</w:t>
            </w:r>
          </w:p>
        </w:tc>
        <w:tc>
          <w:tcPr>
            <w:tcW w:w="2214" w:type="dxa"/>
            <w:tcBorders>
              <w:top w:val="nil"/>
              <w:bottom w:val="nil"/>
            </w:tcBorders>
            <w:vAlign w:val="center"/>
          </w:tcPr>
          <w:p w:rsidR="00D909F5" w:rsidRPr="007244C2" w:rsidRDefault="00D909F5" w:rsidP="00A70CB9">
            <w:pPr>
              <w:jc w:val="center"/>
            </w:pPr>
            <w:r w:rsidRPr="007244C2">
              <w:t>Reduction</w:t>
            </w:r>
          </w:p>
        </w:tc>
        <w:tc>
          <w:tcPr>
            <w:tcW w:w="2214" w:type="dxa"/>
            <w:tcBorders>
              <w:top w:val="nil"/>
              <w:bottom w:val="nil"/>
            </w:tcBorders>
            <w:vAlign w:val="center"/>
          </w:tcPr>
          <w:p w:rsidR="00D909F5" w:rsidRPr="007244C2" w:rsidRDefault="00D909F5" w:rsidP="00A70CB9">
            <w:pPr>
              <w:jc w:val="center"/>
            </w:pPr>
            <w:r w:rsidRPr="007244C2">
              <w:t>Walking</w:t>
            </w:r>
          </w:p>
        </w:tc>
        <w:tc>
          <w:tcPr>
            <w:tcW w:w="2214" w:type="dxa"/>
            <w:tcBorders>
              <w:top w:val="nil"/>
              <w:bottom w:val="nil"/>
            </w:tcBorders>
            <w:vAlign w:val="center"/>
          </w:tcPr>
          <w:p w:rsidR="00D909F5" w:rsidRPr="007244C2" w:rsidRDefault="00D909F5" w:rsidP="00A70CB9">
            <w:pPr>
              <w:jc w:val="center"/>
            </w:pPr>
            <w:r w:rsidRPr="007244C2">
              <w:t>3.3 BW</w:t>
            </w:r>
          </w:p>
        </w:tc>
      </w:tr>
      <w:tr w:rsidR="00D909F5" w:rsidRPr="007244C2" w:rsidTr="00A70CB9">
        <w:trPr>
          <w:trHeight w:val="576"/>
        </w:trPr>
        <w:tc>
          <w:tcPr>
            <w:tcW w:w="2214" w:type="dxa"/>
            <w:tcBorders>
              <w:top w:val="nil"/>
              <w:bottom w:val="nil"/>
            </w:tcBorders>
            <w:vAlign w:val="center"/>
          </w:tcPr>
          <w:p w:rsidR="00D909F5" w:rsidRPr="007244C2" w:rsidRDefault="00D909F5" w:rsidP="00A70CB9">
            <w:pPr>
              <w:jc w:val="center"/>
            </w:pPr>
            <w:r w:rsidRPr="007244C2">
              <w:t>Komistek et. al.</w:t>
            </w:r>
          </w:p>
        </w:tc>
        <w:tc>
          <w:tcPr>
            <w:tcW w:w="2214" w:type="dxa"/>
            <w:tcBorders>
              <w:top w:val="nil"/>
              <w:bottom w:val="nil"/>
            </w:tcBorders>
            <w:vAlign w:val="center"/>
          </w:tcPr>
          <w:p w:rsidR="00D909F5" w:rsidRPr="007244C2" w:rsidRDefault="00D909F5" w:rsidP="00A70CB9">
            <w:pPr>
              <w:jc w:val="center"/>
            </w:pPr>
            <w:r w:rsidRPr="007244C2">
              <w:t>Reduction</w:t>
            </w:r>
          </w:p>
        </w:tc>
        <w:tc>
          <w:tcPr>
            <w:tcW w:w="2214" w:type="dxa"/>
            <w:tcBorders>
              <w:top w:val="nil"/>
              <w:bottom w:val="nil"/>
            </w:tcBorders>
            <w:vAlign w:val="center"/>
          </w:tcPr>
          <w:p w:rsidR="00D909F5" w:rsidRPr="007244C2" w:rsidRDefault="00D909F5" w:rsidP="00A70CB9">
            <w:pPr>
              <w:jc w:val="center"/>
            </w:pPr>
            <w:r w:rsidRPr="007244C2">
              <w:t>Walking</w:t>
            </w:r>
          </w:p>
        </w:tc>
        <w:tc>
          <w:tcPr>
            <w:tcW w:w="2214" w:type="dxa"/>
            <w:tcBorders>
              <w:top w:val="nil"/>
              <w:bottom w:val="nil"/>
            </w:tcBorders>
            <w:vAlign w:val="center"/>
          </w:tcPr>
          <w:p w:rsidR="00D909F5" w:rsidRPr="007244C2" w:rsidRDefault="00D909F5" w:rsidP="00A70CB9">
            <w:pPr>
              <w:jc w:val="center"/>
            </w:pPr>
            <w:r w:rsidRPr="007244C2">
              <w:t>2.1 – 3.4 BW</w:t>
            </w:r>
          </w:p>
        </w:tc>
      </w:tr>
      <w:tr w:rsidR="00D909F5" w:rsidRPr="007244C2" w:rsidTr="00A70CB9">
        <w:trPr>
          <w:trHeight w:val="576"/>
        </w:trPr>
        <w:tc>
          <w:tcPr>
            <w:tcW w:w="2214" w:type="dxa"/>
            <w:tcBorders>
              <w:top w:val="nil"/>
            </w:tcBorders>
            <w:vAlign w:val="center"/>
          </w:tcPr>
          <w:p w:rsidR="00D909F5" w:rsidRPr="007244C2" w:rsidRDefault="00D909F5" w:rsidP="00A70CB9">
            <w:pPr>
              <w:jc w:val="center"/>
            </w:pPr>
          </w:p>
        </w:tc>
        <w:tc>
          <w:tcPr>
            <w:tcW w:w="2214" w:type="dxa"/>
            <w:tcBorders>
              <w:top w:val="nil"/>
            </w:tcBorders>
            <w:vAlign w:val="center"/>
          </w:tcPr>
          <w:p w:rsidR="00D909F5" w:rsidRPr="007244C2" w:rsidRDefault="00D909F5" w:rsidP="00A70CB9">
            <w:pPr>
              <w:jc w:val="center"/>
            </w:pPr>
          </w:p>
        </w:tc>
        <w:tc>
          <w:tcPr>
            <w:tcW w:w="2214" w:type="dxa"/>
            <w:tcBorders>
              <w:top w:val="nil"/>
            </w:tcBorders>
            <w:vAlign w:val="center"/>
          </w:tcPr>
          <w:p w:rsidR="00D909F5" w:rsidRPr="007244C2" w:rsidRDefault="00D909F5" w:rsidP="00A70CB9">
            <w:pPr>
              <w:jc w:val="center"/>
            </w:pPr>
            <w:r w:rsidRPr="007244C2">
              <w:t>Deep knee bend</w:t>
            </w:r>
          </w:p>
        </w:tc>
        <w:tc>
          <w:tcPr>
            <w:tcW w:w="2214" w:type="dxa"/>
            <w:tcBorders>
              <w:top w:val="nil"/>
            </w:tcBorders>
            <w:vAlign w:val="center"/>
          </w:tcPr>
          <w:p w:rsidR="00D909F5" w:rsidRPr="007244C2" w:rsidRDefault="00D909F5" w:rsidP="00A70CB9">
            <w:pPr>
              <w:jc w:val="center"/>
            </w:pPr>
            <w:r w:rsidRPr="007244C2">
              <w:t>1.8 – 3.0 BW</w:t>
            </w:r>
          </w:p>
        </w:tc>
      </w:tr>
    </w:tbl>
    <w:p w:rsidR="00D909F5" w:rsidRPr="007244C2" w:rsidRDefault="00D909F5" w:rsidP="00D909F5">
      <w:pPr>
        <w:rPr>
          <w:b/>
          <w:sz w:val="22"/>
          <w:szCs w:val="22"/>
        </w:rPr>
      </w:pPr>
    </w:p>
    <w:p w:rsidR="00D909F5" w:rsidRPr="007244C2" w:rsidRDefault="00D909F5" w:rsidP="00D909F5">
      <w:pPr>
        <w:spacing w:line="480" w:lineRule="auto"/>
        <w:jc w:val="both"/>
        <w:rPr>
          <w:b/>
        </w:rPr>
      </w:pPr>
    </w:p>
    <w:p w:rsidR="00D909F5" w:rsidRPr="007244C2" w:rsidRDefault="000231E3" w:rsidP="00D909F5">
      <w:pPr>
        <w:spacing w:line="480" w:lineRule="auto"/>
        <w:jc w:val="both"/>
        <w:rPr>
          <w:b/>
        </w:rPr>
      </w:pPr>
      <w:r>
        <w:rPr>
          <w:b/>
        </w:rPr>
        <w:lastRenderedPageBreak/>
        <w:t>3.4</w:t>
      </w:r>
      <w:r w:rsidR="00D909F5" w:rsidRPr="007244C2">
        <w:rPr>
          <w:b/>
        </w:rPr>
        <w:t xml:space="preserve"> Contact pressure analysis</w:t>
      </w:r>
    </w:p>
    <w:p w:rsidR="00D909F5" w:rsidRPr="007244C2" w:rsidRDefault="00D909F5" w:rsidP="00D909F5">
      <w:pPr>
        <w:spacing w:after="200" w:line="480" w:lineRule="auto"/>
        <w:jc w:val="both"/>
      </w:pPr>
      <w:r w:rsidRPr="007244C2">
        <w:t>To estimate contact pressures, in-vitro experimental methods are extensively used mainly due to their ability to generate data fast. Some experimental techniques used previously include stereophotogrammetric methods (Ateshian 1994), dye injection methods (Greenwald 1971, Black 1981), silicone rubber methods (Kurosawa 1980), 3S technique (Yao 1991), Fuji pressure sensitive film (Stewart 1995), resistive ink sensors (K-Scan</w:t>
      </w:r>
      <w:r w:rsidRPr="007244C2">
        <w:rPr>
          <w:vertAlign w:val="superscript"/>
        </w:rPr>
        <w:t>TM</w:t>
      </w:r>
      <w:r w:rsidRPr="007244C2">
        <w:t xml:space="preserve">) (Ochoa 1993), ultrasound (Zdero 2001), piezoelectric transducers (Mikosz 1988, Buechel 1991) and micro-indentation transducers (Ahmed 1983). All of these experimental methods, however, are in vitro techniques that either assumes the contact forces and/or the orientation of the implanted components. Also, the differences between these various techniques and loading conditions make direct data comparisons difficult. </w:t>
      </w:r>
    </w:p>
    <w:p w:rsidR="00D909F5" w:rsidRPr="007244C2" w:rsidRDefault="00D909F5" w:rsidP="00D909F5">
      <w:pPr>
        <w:spacing w:after="200" w:line="480" w:lineRule="auto"/>
        <w:jc w:val="both"/>
      </w:pPr>
    </w:p>
    <w:p w:rsidR="00D909F5" w:rsidRPr="007244C2" w:rsidRDefault="00D909F5" w:rsidP="00D909F5">
      <w:pPr>
        <w:spacing w:line="480" w:lineRule="auto"/>
        <w:jc w:val="both"/>
      </w:pPr>
      <w:r w:rsidRPr="007244C2">
        <w:t xml:space="preserve">Rigid body contact analyses using multibody simulation methods have been successfully used to predict knee motion and contact forces (Godest 2000, Piazza 2001, Komistek, 2005, Sharma 2007, 2008) build on subject-specific models. Other studies have used a deformable polyethylene model based on the use of Hertzian contact analysis to calculate the stresses in polyethylene insert (Bartel, 1985; Walker, 1988). However, the accuracy of this method is limited due to the simplifying assumptions on which the theory is based (Lewis, 1998). The most resorted to and an accurate method used today is finite element analysis (FEA) (Lewis 1998). FEA has been used to study knee joint contact mechanics </w:t>
      </w:r>
      <w:r w:rsidRPr="007244C2">
        <w:lastRenderedPageBreak/>
        <w:t xml:space="preserve">under static loading conditions (Bartel 1986, 1995, D’Lima 2001, Machan 2004, Périé 1998, Otto 2001, Rawlinson 2002, Sathasivam 1998, 1999). Dynamic FEA has recently been applied to simulations of knee implant components under well-defined loading conditions (Giddings 2001, Godest 2002, Halloran 2005). Apart from a significant amount of preprocessing required, one major drawback of these analyses is their intensive use of CPU time. This makes them impractical for incorporation into larger multi-dynamic musculoskeletal models.  Furthermore, detailed stress analyses carried out by FEA are unimportant in gross movement simulations. Though FEA provides the best capability to model the polyethylene accurately and calculate stresses in it, however, the greatest disadvantage of this method lies in the high amount of effort, time and computational infrastructure required for the analysis. Thus most studies, using FEA have used simplifying assumptions to reduce the complexity of the method. </w:t>
      </w:r>
    </w:p>
    <w:p w:rsidR="00D909F5" w:rsidRPr="007244C2" w:rsidRDefault="00D909F5" w:rsidP="00D909F5">
      <w:pPr>
        <w:spacing w:line="480" w:lineRule="auto"/>
        <w:jc w:val="both"/>
      </w:pPr>
    </w:p>
    <w:p w:rsidR="00D909F5" w:rsidRPr="007244C2" w:rsidRDefault="00D909F5" w:rsidP="00D909F5">
      <w:pPr>
        <w:spacing w:line="480" w:lineRule="auto"/>
        <w:jc w:val="both"/>
      </w:pPr>
      <w:r w:rsidRPr="007244C2">
        <w:t>One key point to note is that apart from the FEA analysis all other analysis schemes have been utilized to calculate the tibio-femoral contact pressures/stresses. Also, as with most types of studies in this field, the stress and contact area data generated by the various methods have a lot of variability in them (Table 3-2).</w:t>
      </w:r>
    </w:p>
    <w:p w:rsidR="00D909F5" w:rsidRPr="007244C2" w:rsidRDefault="00D909F5" w:rsidP="00D909F5">
      <w:pPr>
        <w:spacing w:line="480" w:lineRule="auto"/>
        <w:jc w:val="both"/>
      </w:pPr>
    </w:p>
    <w:p w:rsidR="00D909F5" w:rsidRPr="007244C2" w:rsidRDefault="00D909F5" w:rsidP="00D909F5">
      <w:pPr>
        <w:spacing w:line="480" w:lineRule="auto"/>
        <w:jc w:val="both"/>
      </w:pPr>
    </w:p>
    <w:p w:rsidR="003C3F8F" w:rsidRDefault="003C3F8F" w:rsidP="00D909F5">
      <w:pPr>
        <w:spacing w:line="480" w:lineRule="auto"/>
        <w:jc w:val="both"/>
        <w:rPr>
          <w:b/>
        </w:rPr>
      </w:pPr>
    </w:p>
    <w:p w:rsidR="00D909F5" w:rsidRPr="007244C2" w:rsidRDefault="00D909F5" w:rsidP="00D909F5">
      <w:pPr>
        <w:spacing w:line="480" w:lineRule="auto"/>
        <w:jc w:val="both"/>
        <w:rPr>
          <w:b/>
        </w:rPr>
      </w:pPr>
      <w:r w:rsidRPr="007244C2">
        <w:rPr>
          <w:b/>
        </w:rPr>
        <w:lastRenderedPageBreak/>
        <w:t>Table 3-2: Summary of some Previous Contact Area and Contact Stress Studies (Thompson, 2001).</w:t>
      </w:r>
    </w:p>
    <w:tbl>
      <w:tblPr>
        <w:tblW w:w="0" w:type="auto"/>
        <w:tblBorders>
          <w:top w:val="single" w:sz="4" w:space="0" w:color="auto"/>
          <w:bottom w:val="single" w:sz="4" w:space="0" w:color="auto"/>
          <w:insideH w:val="single" w:sz="4" w:space="0" w:color="auto"/>
        </w:tblBorders>
        <w:tblLook w:val="01E0"/>
      </w:tblPr>
      <w:tblGrid>
        <w:gridCol w:w="1771"/>
        <w:gridCol w:w="1771"/>
        <w:gridCol w:w="1771"/>
        <w:gridCol w:w="1771"/>
        <w:gridCol w:w="1772"/>
      </w:tblGrid>
      <w:tr w:rsidR="00D909F5" w:rsidRPr="007244C2" w:rsidTr="00A70CB9">
        <w:trPr>
          <w:trHeight w:val="1008"/>
        </w:trPr>
        <w:tc>
          <w:tcPr>
            <w:tcW w:w="1771" w:type="dxa"/>
            <w:tcBorders>
              <w:bottom w:val="single" w:sz="4" w:space="0" w:color="auto"/>
            </w:tcBorders>
            <w:vAlign w:val="center"/>
          </w:tcPr>
          <w:p w:rsidR="00D909F5" w:rsidRPr="007244C2" w:rsidRDefault="00D909F5" w:rsidP="00A70CB9">
            <w:pPr>
              <w:jc w:val="center"/>
              <w:rPr>
                <w:b/>
              </w:rPr>
            </w:pPr>
            <w:r w:rsidRPr="007244C2">
              <w:rPr>
                <w:b/>
              </w:rPr>
              <w:t>Method</w:t>
            </w:r>
          </w:p>
        </w:tc>
        <w:tc>
          <w:tcPr>
            <w:tcW w:w="1771" w:type="dxa"/>
            <w:tcBorders>
              <w:bottom w:val="single" w:sz="4" w:space="0" w:color="auto"/>
            </w:tcBorders>
            <w:vAlign w:val="center"/>
          </w:tcPr>
          <w:p w:rsidR="00D909F5" w:rsidRPr="007244C2" w:rsidRDefault="00D909F5" w:rsidP="00A70CB9">
            <w:pPr>
              <w:jc w:val="center"/>
              <w:rPr>
                <w:b/>
              </w:rPr>
            </w:pPr>
            <w:r w:rsidRPr="007244C2">
              <w:rPr>
                <w:b/>
              </w:rPr>
              <w:t>Reference</w:t>
            </w:r>
          </w:p>
        </w:tc>
        <w:tc>
          <w:tcPr>
            <w:tcW w:w="1771" w:type="dxa"/>
            <w:tcBorders>
              <w:bottom w:val="single" w:sz="4" w:space="0" w:color="auto"/>
            </w:tcBorders>
            <w:vAlign w:val="center"/>
          </w:tcPr>
          <w:p w:rsidR="00D909F5" w:rsidRPr="007244C2" w:rsidRDefault="00D909F5" w:rsidP="00A70CB9">
            <w:pPr>
              <w:jc w:val="center"/>
              <w:rPr>
                <w:b/>
              </w:rPr>
            </w:pPr>
            <w:r w:rsidRPr="007244C2">
              <w:rPr>
                <w:b/>
              </w:rPr>
              <w:t>Load</w:t>
            </w:r>
          </w:p>
        </w:tc>
        <w:tc>
          <w:tcPr>
            <w:tcW w:w="1771" w:type="dxa"/>
            <w:tcBorders>
              <w:bottom w:val="single" w:sz="4" w:space="0" w:color="auto"/>
            </w:tcBorders>
            <w:vAlign w:val="center"/>
          </w:tcPr>
          <w:p w:rsidR="00D909F5" w:rsidRPr="007244C2" w:rsidRDefault="00D909F5" w:rsidP="00A70CB9">
            <w:pPr>
              <w:jc w:val="center"/>
              <w:rPr>
                <w:b/>
              </w:rPr>
            </w:pPr>
            <w:r w:rsidRPr="007244C2">
              <w:rPr>
                <w:b/>
              </w:rPr>
              <w:t>Average Contact Area</w:t>
            </w:r>
          </w:p>
        </w:tc>
        <w:tc>
          <w:tcPr>
            <w:tcW w:w="1772" w:type="dxa"/>
            <w:tcBorders>
              <w:bottom w:val="single" w:sz="4" w:space="0" w:color="auto"/>
            </w:tcBorders>
            <w:vAlign w:val="center"/>
          </w:tcPr>
          <w:p w:rsidR="00D909F5" w:rsidRPr="007244C2" w:rsidRDefault="00D909F5" w:rsidP="00A70CB9">
            <w:pPr>
              <w:jc w:val="center"/>
              <w:rPr>
                <w:b/>
              </w:rPr>
            </w:pPr>
            <w:r w:rsidRPr="007244C2">
              <w:rPr>
                <w:b/>
              </w:rPr>
              <w:t>Maximum Contact Stress</w:t>
            </w:r>
          </w:p>
        </w:tc>
      </w:tr>
      <w:tr w:rsidR="00D909F5" w:rsidRPr="007244C2" w:rsidTr="00A70CB9">
        <w:trPr>
          <w:trHeight w:val="576"/>
        </w:trPr>
        <w:tc>
          <w:tcPr>
            <w:tcW w:w="1771" w:type="dxa"/>
            <w:tcBorders>
              <w:bottom w:val="nil"/>
            </w:tcBorders>
            <w:vAlign w:val="center"/>
          </w:tcPr>
          <w:p w:rsidR="00D909F5" w:rsidRPr="007244C2" w:rsidRDefault="00D909F5" w:rsidP="00A70CB9">
            <w:pPr>
              <w:jc w:val="center"/>
            </w:pPr>
            <w:r w:rsidRPr="007244C2">
              <w:t>Elasticity</w:t>
            </w:r>
          </w:p>
        </w:tc>
        <w:tc>
          <w:tcPr>
            <w:tcW w:w="1771" w:type="dxa"/>
            <w:tcBorders>
              <w:bottom w:val="nil"/>
            </w:tcBorders>
            <w:vAlign w:val="center"/>
          </w:tcPr>
          <w:p w:rsidR="00D909F5" w:rsidRPr="007244C2" w:rsidRDefault="00D909F5" w:rsidP="00A70CB9">
            <w:pPr>
              <w:jc w:val="center"/>
            </w:pPr>
            <w:r w:rsidRPr="007244C2">
              <w:t>Bartel et. al.</w:t>
            </w:r>
          </w:p>
        </w:tc>
        <w:tc>
          <w:tcPr>
            <w:tcW w:w="1771" w:type="dxa"/>
            <w:tcBorders>
              <w:bottom w:val="nil"/>
            </w:tcBorders>
            <w:vAlign w:val="center"/>
          </w:tcPr>
          <w:p w:rsidR="00D909F5" w:rsidRPr="007244C2" w:rsidRDefault="00D909F5" w:rsidP="00A70CB9">
            <w:pPr>
              <w:jc w:val="center"/>
            </w:pPr>
            <w:r w:rsidRPr="007244C2">
              <w:t>1.5 KN</w:t>
            </w:r>
          </w:p>
        </w:tc>
        <w:tc>
          <w:tcPr>
            <w:tcW w:w="1771" w:type="dxa"/>
            <w:tcBorders>
              <w:bottom w:val="nil"/>
            </w:tcBorders>
            <w:vAlign w:val="center"/>
          </w:tcPr>
          <w:p w:rsidR="00D909F5" w:rsidRPr="007244C2" w:rsidRDefault="00D909F5" w:rsidP="00A70CB9">
            <w:pPr>
              <w:jc w:val="center"/>
            </w:pPr>
            <w:r w:rsidRPr="007244C2">
              <w:t>N/A</w:t>
            </w:r>
          </w:p>
        </w:tc>
        <w:tc>
          <w:tcPr>
            <w:tcW w:w="1772" w:type="dxa"/>
            <w:tcBorders>
              <w:bottom w:val="nil"/>
            </w:tcBorders>
            <w:vAlign w:val="center"/>
          </w:tcPr>
          <w:p w:rsidR="00D909F5" w:rsidRPr="007244C2" w:rsidRDefault="00D909F5" w:rsidP="00A70CB9">
            <w:pPr>
              <w:jc w:val="center"/>
            </w:pPr>
            <w:r w:rsidRPr="007244C2">
              <w:t>18.0 MPa</w:t>
            </w:r>
          </w:p>
        </w:tc>
      </w:tr>
      <w:tr w:rsidR="00D909F5" w:rsidRPr="007244C2" w:rsidTr="00A70CB9">
        <w:trPr>
          <w:trHeight w:val="576"/>
        </w:trPr>
        <w:tc>
          <w:tcPr>
            <w:tcW w:w="1771" w:type="dxa"/>
            <w:tcBorders>
              <w:top w:val="nil"/>
              <w:bottom w:val="nil"/>
            </w:tcBorders>
            <w:vAlign w:val="center"/>
          </w:tcPr>
          <w:p w:rsidR="00D909F5" w:rsidRPr="007244C2" w:rsidRDefault="00D909F5" w:rsidP="00A70CB9">
            <w:pPr>
              <w:jc w:val="center"/>
            </w:pPr>
            <w:r w:rsidRPr="007244C2">
              <w:t>FEA</w:t>
            </w:r>
          </w:p>
        </w:tc>
        <w:tc>
          <w:tcPr>
            <w:tcW w:w="1771" w:type="dxa"/>
            <w:tcBorders>
              <w:top w:val="nil"/>
              <w:bottom w:val="nil"/>
            </w:tcBorders>
            <w:vAlign w:val="center"/>
          </w:tcPr>
          <w:p w:rsidR="00D909F5" w:rsidRPr="007244C2" w:rsidRDefault="00D909F5" w:rsidP="00A70CB9">
            <w:pPr>
              <w:jc w:val="center"/>
            </w:pPr>
            <w:r w:rsidRPr="007244C2">
              <w:t>Bartel et. al.</w:t>
            </w:r>
          </w:p>
        </w:tc>
        <w:tc>
          <w:tcPr>
            <w:tcW w:w="1771" w:type="dxa"/>
            <w:tcBorders>
              <w:top w:val="nil"/>
              <w:bottom w:val="nil"/>
            </w:tcBorders>
            <w:vAlign w:val="center"/>
          </w:tcPr>
          <w:p w:rsidR="00D909F5" w:rsidRPr="007244C2" w:rsidRDefault="00D909F5" w:rsidP="00A70CB9">
            <w:pPr>
              <w:jc w:val="center"/>
            </w:pPr>
            <w:r w:rsidRPr="007244C2">
              <w:t>1.5 KN</w:t>
            </w:r>
          </w:p>
        </w:tc>
        <w:tc>
          <w:tcPr>
            <w:tcW w:w="1771" w:type="dxa"/>
            <w:tcBorders>
              <w:top w:val="nil"/>
              <w:bottom w:val="nil"/>
            </w:tcBorders>
            <w:vAlign w:val="center"/>
          </w:tcPr>
          <w:p w:rsidR="00D909F5" w:rsidRPr="007244C2" w:rsidRDefault="00D909F5" w:rsidP="00A70CB9">
            <w:pPr>
              <w:jc w:val="center"/>
            </w:pPr>
            <w:r w:rsidRPr="007244C2">
              <w:t>N/A</w:t>
            </w:r>
          </w:p>
        </w:tc>
        <w:tc>
          <w:tcPr>
            <w:tcW w:w="1772" w:type="dxa"/>
            <w:tcBorders>
              <w:top w:val="nil"/>
              <w:bottom w:val="nil"/>
            </w:tcBorders>
            <w:vAlign w:val="center"/>
          </w:tcPr>
          <w:p w:rsidR="00D909F5" w:rsidRPr="007244C2" w:rsidRDefault="00D909F5" w:rsidP="00A70CB9">
            <w:pPr>
              <w:jc w:val="center"/>
            </w:pPr>
            <w:r w:rsidRPr="007244C2">
              <w:t>20.0 MPa</w:t>
            </w:r>
          </w:p>
        </w:tc>
      </w:tr>
      <w:tr w:rsidR="00D909F5" w:rsidRPr="007244C2" w:rsidTr="00A70CB9">
        <w:trPr>
          <w:trHeight w:val="576"/>
        </w:trPr>
        <w:tc>
          <w:tcPr>
            <w:tcW w:w="1771" w:type="dxa"/>
            <w:tcBorders>
              <w:top w:val="nil"/>
              <w:bottom w:val="nil"/>
            </w:tcBorders>
            <w:vAlign w:val="center"/>
          </w:tcPr>
          <w:p w:rsidR="00D909F5" w:rsidRPr="007244C2" w:rsidRDefault="00D909F5" w:rsidP="00A70CB9">
            <w:pPr>
              <w:jc w:val="center"/>
            </w:pPr>
            <w:smartTag w:uri="urn:schemas-microsoft-com:office:smarttags" w:element="place">
              <w:smartTag w:uri="urn:schemas-microsoft-com:office:smarttags" w:element="City">
                <w:r w:rsidRPr="007244C2">
                  <w:t>Fuji</w:t>
                </w:r>
              </w:smartTag>
            </w:smartTag>
            <w:r w:rsidRPr="007244C2">
              <w:t xml:space="preserve"> film</w:t>
            </w:r>
          </w:p>
        </w:tc>
        <w:tc>
          <w:tcPr>
            <w:tcW w:w="1771" w:type="dxa"/>
            <w:tcBorders>
              <w:top w:val="nil"/>
              <w:bottom w:val="nil"/>
            </w:tcBorders>
            <w:vAlign w:val="center"/>
          </w:tcPr>
          <w:p w:rsidR="00D909F5" w:rsidRPr="007244C2" w:rsidRDefault="00D909F5" w:rsidP="00A70CB9">
            <w:pPr>
              <w:jc w:val="center"/>
            </w:pPr>
            <w:r w:rsidRPr="007244C2">
              <w:t>Collier et. al.</w:t>
            </w:r>
          </w:p>
        </w:tc>
        <w:tc>
          <w:tcPr>
            <w:tcW w:w="1771" w:type="dxa"/>
            <w:tcBorders>
              <w:top w:val="nil"/>
              <w:bottom w:val="nil"/>
            </w:tcBorders>
            <w:vAlign w:val="center"/>
          </w:tcPr>
          <w:p w:rsidR="00D909F5" w:rsidRPr="007244C2" w:rsidRDefault="00D909F5" w:rsidP="00A70CB9">
            <w:pPr>
              <w:jc w:val="center"/>
            </w:pPr>
            <w:r w:rsidRPr="007244C2">
              <w:t>2.8 KN</w:t>
            </w:r>
          </w:p>
        </w:tc>
        <w:tc>
          <w:tcPr>
            <w:tcW w:w="1771" w:type="dxa"/>
            <w:tcBorders>
              <w:top w:val="nil"/>
              <w:bottom w:val="nil"/>
            </w:tcBorders>
            <w:vAlign w:val="center"/>
          </w:tcPr>
          <w:p w:rsidR="00D909F5" w:rsidRPr="007244C2" w:rsidRDefault="00D909F5" w:rsidP="00A70CB9">
            <w:pPr>
              <w:jc w:val="center"/>
            </w:pPr>
            <w:r w:rsidRPr="007244C2">
              <w:t>N/A</w:t>
            </w:r>
          </w:p>
        </w:tc>
        <w:tc>
          <w:tcPr>
            <w:tcW w:w="1772" w:type="dxa"/>
            <w:tcBorders>
              <w:top w:val="nil"/>
              <w:bottom w:val="nil"/>
            </w:tcBorders>
            <w:vAlign w:val="center"/>
          </w:tcPr>
          <w:p w:rsidR="00D909F5" w:rsidRPr="007244C2" w:rsidRDefault="00D909F5" w:rsidP="00A70CB9">
            <w:pPr>
              <w:jc w:val="center"/>
            </w:pPr>
            <w:r w:rsidRPr="007244C2">
              <w:t>23.5 MPa</w:t>
            </w:r>
          </w:p>
        </w:tc>
      </w:tr>
      <w:tr w:rsidR="00D909F5" w:rsidRPr="007244C2" w:rsidTr="00A70CB9">
        <w:trPr>
          <w:trHeight w:val="576"/>
        </w:trPr>
        <w:tc>
          <w:tcPr>
            <w:tcW w:w="1771" w:type="dxa"/>
            <w:tcBorders>
              <w:top w:val="nil"/>
              <w:bottom w:val="nil"/>
            </w:tcBorders>
            <w:vAlign w:val="center"/>
          </w:tcPr>
          <w:p w:rsidR="00D909F5" w:rsidRPr="007244C2" w:rsidRDefault="00D909F5" w:rsidP="00A70CB9">
            <w:pPr>
              <w:jc w:val="center"/>
            </w:pPr>
            <w:smartTag w:uri="urn:schemas-microsoft-com:office:smarttags" w:element="place">
              <w:smartTag w:uri="urn:schemas-microsoft-com:office:smarttags" w:element="City">
                <w:r w:rsidRPr="007244C2">
                  <w:t>Fuji</w:t>
                </w:r>
              </w:smartTag>
            </w:smartTag>
            <w:r w:rsidRPr="007244C2">
              <w:t xml:space="preserve"> film</w:t>
            </w:r>
          </w:p>
        </w:tc>
        <w:tc>
          <w:tcPr>
            <w:tcW w:w="1771" w:type="dxa"/>
            <w:tcBorders>
              <w:top w:val="nil"/>
              <w:bottom w:val="nil"/>
            </w:tcBorders>
            <w:vAlign w:val="center"/>
          </w:tcPr>
          <w:p w:rsidR="00D909F5" w:rsidRPr="007244C2" w:rsidRDefault="00D909F5" w:rsidP="00A70CB9">
            <w:pPr>
              <w:jc w:val="center"/>
            </w:pPr>
            <w:r w:rsidRPr="007244C2">
              <w:t>Collier et. al.</w:t>
            </w:r>
          </w:p>
        </w:tc>
        <w:tc>
          <w:tcPr>
            <w:tcW w:w="1771" w:type="dxa"/>
            <w:tcBorders>
              <w:top w:val="nil"/>
              <w:bottom w:val="nil"/>
            </w:tcBorders>
            <w:vAlign w:val="center"/>
          </w:tcPr>
          <w:p w:rsidR="00D909F5" w:rsidRPr="007244C2" w:rsidRDefault="00D909F5" w:rsidP="00A70CB9">
            <w:pPr>
              <w:jc w:val="center"/>
            </w:pPr>
            <w:r w:rsidRPr="007244C2">
              <w:t>0.7 KN</w:t>
            </w:r>
          </w:p>
        </w:tc>
        <w:tc>
          <w:tcPr>
            <w:tcW w:w="1771" w:type="dxa"/>
            <w:tcBorders>
              <w:top w:val="nil"/>
              <w:bottom w:val="nil"/>
            </w:tcBorders>
            <w:vAlign w:val="center"/>
          </w:tcPr>
          <w:p w:rsidR="00D909F5" w:rsidRPr="007244C2" w:rsidRDefault="00D909F5" w:rsidP="00A70CB9">
            <w:pPr>
              <w:jc w:val="center"/>
              <w:rPr>
                <w:vertAlign w:val="superscript"/>
              </w:rPr>
            </w:pPr>
            <w:r w:rsidRPr="007244C2">
              <w:t>0.3 cm</w:t>
            </w:r>
            <w:r w:rsidRPr="007244C2">
              <w:rPr>
                <w:vertAlign w:val="superscript"/>
              </w:rPr>
              <w:t>2</w:t>
            </w:r>
          </w:p>
        </w:tc>
        <w:tc>
          <w:tcPr>
            <w:tcW w:w="1772" w:type="dxa"/>
            <w:tcBorders>
              <w:top w:val="nil"/>
              <w:bottom w:val="nil"/>
            </w:tcBorders>
            <w:vAlign w:val="center"/>
          </w:tcPr>
          <w:p w:rsidR="00D909F5" w:rsidRPr="007244C2" w:rsidRDefault="00D909F5" w:rsidP="00A70CB9">
            <w:pPr>
              <w:jc w:val="center"/>
            </w:pPr>
            <w:r w:rsidRPr="007244C2">
              <w:t>N/A</w:t>
            </w:r>
          </w:p>
        </w:tc>
      </w:tr>
      <w:tr w:rsidR="00D909F5" w:rsidRPr="007244C2" w:rsidTr="00A70CB9">
        <w:trPr>
          <w:trHeight w:val="576"/>
        </w:trPr>
        <w:tc>
          <w:tcPr>
            <w:tcW w:w="1771" w:type="dxa"/>
            <w:tcBorders>
              <w:top w:val="nil"/>
              <w:bottom w:val="nil"/>
            </w:tcBorders>
            <w:vAlign w:val="center"/>
          </w:tcPr>
          <w:p w:rsidR="00D909F5" w:rsidRPr="007244C2" w:rsidRDefault="00D909F5" w:rsidP="00A70CB9">
            <w:pPr>
              <w:jc w:val="center"/>
            </w:pPr>
            <w:r w:rsidRPr="007244C2">
              <w:t>K-scan sensor</w:t>
            </w:r>
          </w:p>
        </w:tc>
        <w:tc>
          <w:tcPr>
            <w:tcW w:w="1771" w:type="dxa"/>
            <w:tcBorders>
              <w:top w:val="nil"/>
              <w:bottom w:val="nil"/>
            </w:tcBorders>
            <w:vAlign w:val="center"/>
          </w:tcPr>
          <w:p w:rsidR="00D909F5" w:rsidRPr="007244C2" w:rsidRDefault="00D909F5" w:rsidP="00A70CB9">
            <w:pPr>
              <w:jc w:val="center"/>
            </w:pPr>
            <w:r w:rsidRPr="007244C2">
              <w:t>Harris et. al.</w:t>
            </w:r>
          </w:p>
        </w:tc>
        <w:tc>
          <w:tcPr>
            <w:tcW w:w="1771" w:type="dxa"/>
            <w:tcBorders>
              <w:top w:val="nil"/>
              <w:bottom w:val="nil"/>
            </w:tcBorders>
            <w:vAlign w:val="center"/>
          </w:tcPr>
          <w:p w:rsidR="00D909F5" w:rsidRPr="007244C2" w:rsidRDefault="00D909F5" w:rsidP="00A70CB9">
            <w:pPr>
              <w:jc w:val="center"/>
            </w:pPr>
            <w:r w:rsidRPr="007244C2">
              <w:t>3.6 KN</w:t>
            </w:r>
          </w:p>
        </w:tc>
        <w:tc>
          <w:tcPr>
            <w:tcW w:w="1771" w:type="dxa"/>
            <w:tcBorders>
              <w:top w:val="nil"/>
              <w:bottom w:val="nil"/>
            </w:tcBorders>
            <w:vAlign w:val="center"/>
          </w:tcPr>
          <w:p w:rsidR="00D909F5" w:rsidRPr="007244C2" w:rsidRDefault="00D909F5" w:rsidP="00A70CB9">
            <w:pPr>
              <w:jc w:val="center"/>
              <w:rPr>
                <w:vertAlign w:val="superscript"/>
              </w:rPr>
            </w:pPr>
            <w:r w:rsidRPr="007244C2">
              <w:t>3.5 cm</w:t>
            </w:r>
            <w:r w:rsidRPr="007244C2">
              <w:rPr>
                <w:vertAlign w:val="superscript"/>
              </w:rPr>
              <w:t>2</w:t>
            </w:r>
          </w:p>
        </w:tc>
        <w:tc>
          <w:tcPr>
            <w:tcW w:w="1772" w:type="dxa"/>
            <w:tcBorders>
              <w:top w:val="nil"/>
              <w:bottom w:val="nil"/>
            </w:tcBorders>
            <w:vAlign w:val="center"/>
          </w:tcPr>
          <w:p w:rsidR="00D909F5" w:rsidRPr="007244C2" w:rsidRDefault="00D909F5" w:rsidP="00A70CB9">
            <w:pPr>
              <w:jc w:val="center"/>
            </w:pPr>
            <w:r w:rsidRPr="007244C2">
              <w:t>N/A</w:t>
            </w:r>
          </w:p>
        </w:tc>
      </w:tr>
      <w:tr w:rsidR="00D909F5" w:rsidRPr="007244C2" w:rsidTr="00A70CB9">
        <w:trPr>
          <w:trHeight w:val="576"/>
        </w:trPr>
        <w:tc>
          <w:tcPr>
            <w:tcW w:w="1771" w:type="dxa"/>
            <w:tcBorders>
              <w:top w:val="nil"/>
            </w:tcBorders>
            <w:vAlign w:val="center"/>
          </w:tcPr>
          <w:p w:rsidR="00D909F5" w:rsidRPr="007244C2" w:rsidRDefault="00D909F5" w:rsidP="00A70CB9">
            <w:pPr>
              <w:jc w:val="center"/>
            </w:pPr>
            <w:smartTag w:uri="urn:schemas-microsoft-com:office:smarttags" w:element="place">
              <w:smartTag w:uri="urn:schemas-microsoft-com:office:smarttags" w:element="City">
                <w:r w:rsidRPr="007244C2">
                  <w:t>Fuji</w:t>
                </w:r>
              </w:smartTag>
            </w:smartTag>
            <w:r w:rsidRPr="007244C2">
              <w:t xml:space="preserve"> film</w:t>
            </w:r>
          </w:p>
        </w:tc>
        <w:tc>
          <w:tcPr>
            <w:tcW w:w="1771" w:type="dxa"/>
            <w:tcBorders>
              <w:top w:val="nil"/>
            </w:tcBorders>
            <w:vAlign w:val="center"/>
          </w:tcPr>
          <w:p w:rsidR="00D909F5" w:rsidRPr="007244C2" w:rsidRDefault="00D909F5" w:rsidP="00A70CB9">
            <w:pPr>
              <w:jc w:val="center"/>
            </w:pPr>
            <w:r w:rsidRPr="007244C2">
              <w:t>Harris et. al.</w:t>
            </w:r>
          </w:p>
        </w:tc>
        <w:tc>
          <w:tcPr>
            <w:tcW w:w="1771" w:type="dxa"/>
            <w:tcBorders>
              <w:top w:val="nil"/>
            </w:tcBorders>
            <w:vAlign w:val="center"/>
          </w:tcPr>
          <w:p w:rsidR="00D909F5" w:rsidRPr="007244C2" w:rsidRDefault="00D909F5" w:rsidP="00A70CB9">
            <w:pPr>
              <w:jc w:val="center"/>
            </w:pPr>
            <w:r w:rsidRPr="007244C2">
              <w:t>3.6 KN</w:t>
            </w:r>
          </w:p>
        </w:tc>
        <w:tc>
          <w:tcPr>
            <w:tcW w:w="1771" w:type="dxa"/>
            <w:tcBorders>
              <w:top w:val="nil"/>
            </w:tcBorders>
            <w:vAlign w:val="center"/>
          </w:tcPr>
          <w:p w:rsidR="00D909F5" w:rsidRPr="007244C2" w:rsidRDefault="00D909F5" w:rsidP="00A70CB9">
            <w:pPr>
              <w:jc w:val="center"/>
              <w:rPr>
                <w:vertAlign w:val="superscript"/>
              </w:rPr>
            </w:pPr>
            <w:r w:rsidRPr="007244C2">
              <w:t>2.3 cm</w:t>
            </w:r>
            <w:r w:rsidRPr="007244C2">
              <w:rPr>
                <w:vertAlign w:val="superscript"/>
              </w:rPr>
              <w:t>2</w:t>
            </w:r>
          </w:p>
        </w:tc>
        <w:tc>
          <w:tcPr>
            <w:tcW w:w="1772" w:type="dxa"/>
            <w:tcBorders>
              <w:top w:val="nil"/>
            </w:tcBorders>
            <w:vAlign w:val="center"/>
          </w:tcPr>
          <w:p w:rsidR="00D909F5" w:rsidRPr="007244C2" w:rsidRDefault="00D909F5" w:rsidP="00A70CB9">
            <w:pPr>
              <w:jc w:val="center"/>
            </w:pPr>
            <w:r w:rsidRPr="007244C2">
              <w:t>N/A</w:t>
            </w:r>
          </w:p>
        </w:tc>
      </w:tr>
    </w:tbl>
    <w:p w:rsidR="00D909F5" w:rsidRPr="007244C2" w:rsidRDefault="00D909F5" w:rsidP="00D909F5">
      <w:pPr>
        <w:spacing w:line="480" w:lineRule="auto"/>
        <w:jc w:val="both"/>
      </w:pPr>
    </w:p>
    <w:p w:rsidR="00D909F5" w:rsidRPr="007244C2" w:rsidRDefault="00D909F5" w:rsidP="00D909F5">
      <w:pPr>
        <w:spacing w:line="480" w:lineRule="auto"/>
        <w:jc w:val="both"/>
      </w:pPr>
    </w:p>
    <w:p w:rsidR="00D909F5" w:rsidRPr="007244C2" w:rsidRDefault="00D909F5" w:rsidP="00D909F5">
      <w:pPr>
        <w:autoSpaceDE w:val="0"/>
        <w:autoSpaceDN w:val="0"/>
        <w:adjustRightInd w:val="0"/>
        <w:spacing w:line="480" w:lineRule="auto"/>
        <w:jc w:val="both"/>
      </w:pPr>
      <w:r w:rsidRPr="007244C2">
        <w:t xml:space="preserve">In-vitro testing has been employed to determine cam-post forces. In vitro robotic tests using cadaveric knees measured cam–post contact forces during knee flexion under </w:t>
      </w:r>
      <w:r w:rsidR="003C3F8F">
        <w:t>simulated muscle loads (Suggs 2008)</w:t>
      </w:r>
      <w:r w:rsidRPr="007244C2">
        <w:t>). The in vitro data showed that a sharp increase in cam–post contact force was measured at around 90</w:t>
      </w:r>
      <w:r w:rsidRPr="007244C2">
        <w:rPr>
          <w:vertAlign w:val="superscript"/>
        </w:rPr>
        <w:t>o</w:t>
      </w:r>
      <w:r w:rsidRPr="007244C2">
        <w:t xml:space="preserve">, accompanied with an increase in posterior femoral translation. Knee simulators have also formed a useful tool in determining contact stresses at the cam-post interaction. In their paper on contact area and contact stress at the cam-post interaction, Nakayama et al utilized the use of knee simulators to investigate three different TKA designs at three static flexion angles (90, </w:t>
      </w:r>
      <w:r w:rsidRPr="007244C2">
        <w:lastRenderedPageBreak/>
        <w:t xml:space="preserve">120 and 150 degrees). They found that the peak contact stress varied between 22.1 to 34.1 MPa. However, as mentioned above (see section 3.2), this study did not reproduce any of the physiological conditions that would be routinely encountered by a patient having a TKA. </w:t>
      </w:r>
    </w:p>
    <w:p w:rsidR="00D909F5" w:rsidRPr="007244C2" w:rsidRDefault="00D909F5" w:rsidP="00D909F5">
      <w:pPr>
        <w:autoSpaceDE w:val="0"/>
        <w:autoSpaceDN w:val="0"/>
        <w:adjustRightInd w:val="0"/>
        <w:spacing w:line="480" w:lineRule="auto"/>
        <w:jc w:val="both"/>
      </w:pPr>
    </w:p>
    <w:p w:rsidR="00D909F5" w:rsidRPr="007244C2" w:rsidRDefault="00D909F5" w:rsidP="00D909F5">
      <w:pPr>
        <w:autoSpaceDE w:val="0"/>
        <w:autoSpaceDN w:val="0"/>
        <w:adjustRightInd w:val="0"/>
        <w:spacing w:line="480" w:lineRule="auto"/>
        <w:jc w:val="both"/>
      </w:pPr>
      <w:r w:rsidRPr="007244C2">
        <w:t xml:space="preserve">Hence, an in depth study of mechanics (kinematics, kinetics and stresses) of the cam-post interaction in fixed and mobile bearing TKA devices is necessary to provide a better understanding of such a long standing dispute. </w:t>
      </w:r>
    </w:p>
    <w:p w:rsidR="00D909F5" w:rsidRPr="007244C2" w:rsidRDefault="00D909F5" w:rsidP="00D909F5">
      <w:pPr>
        <w:autoSpaceDE w:val="0"/>
        <w:autoSpaceDN w:val="0"/>
        <w:adjustRightInd w:val="0"/>
        <w:spacing w:line="480" w:lineRule="auto"/>
        <w:jc w:val="both"/>
      </w:pPr>
    </w:p>
    <w:p w:rsidR="00D909F5" w:rsidRPr="007244C2" w:rsidRDefault="000231E3" w:rsidP="00D909F5">
      <w:pPr>
        <w:autoSpaceDE w:val="0"/>
        <w:autoSpaceDN w:val="0"/>
        <w:adjustRightInd w:val="0"/>
        <w:spacing w:line="480" w:lineRule="auto"/>
        <w:jc w:val="both"/>
        <w:rPr>
          <w:b/>
        </w:rPr>
      </w:pPr>
      <w:r>
        <w:rPr>
          <w:b/>
        </w:rPr>
        <w:t>3.5</w:t>
      </w:r>
      <w:r w:rsidR="00D909F5" w:rsidRPr="007244C2">
        <w:rPr>
          <w:b/>
        </w:rPr>
        <w:t xml:space="preserve"> Vibroarthography of the Knee</w:t>
      </w:r>
    </w:p>
    <w:p w:rsidR="00D909F5" w:rsidRPr="007244C2" w:rsidRDefault="00D909F5" w:rsidP="00D909F5">
      <w:pPr>
        <w:autoSpaceDE w:val="0"/>
        <w:autoSpaceDN w:val="0"/>
        <w:adjustRightInd w:val="0"/>
        <w:spacing w:line="480" w:lineRule="auto"/>
        <w:jc w:val="both"/>
        <w:rPr>
          <w:b/>
        </w:rPr>
      </w:pPr>
      <w:r w:rsidRPr="007244C2">
        <w:rPr>
          <w:b/>
        </w:rPr>
        <w:t>3.</w:t>
      </w:r>
      <w:r w:rsidR="000231E3">
        <w:rPr>
          <w:b/>
        </w:rPr>
        <w:t>5</w:t>
      </w:r>
      <w:r w:rsidRPr="007244C2">
        <w:rPr>
          <w:b/>
        </w:rPr>
        <w:t xml:space="preserve">.1 </w:t>
      </w:r>
      <w:r w:rsidRPr="007244C2">
        <w:rPr>
          <w:b/>
          <w:bCs/>
        </w:rPr>
        <w:t>Historical background</w:t>
      </w:r>
    </w:p>
    <w:p w:rsidR="00D909F5" w:rsidRPr="007244C2" w:rsidRDefault="00D909F5" w:rsidP="00D909F5">
      <w:pPr>
        <w:spacing w:before="60" w:line="480" w:lineRule="auto"/>
        <w:jc w:val="both"/>
      </w:pPr>
      <w:r w:rsidRPr="007244C2">
        <w:t xml:space="preserve">Knee joint pain is one of the most frequently reported musculoskeletal complaints in all age groups. Most often the patient’s complains are nonspecific and the correct diagnosis may be difficult. The diagnosis is often limited to detailed interview with the patient, careful physical examination (palpitation) and x-ray imaging. X-ray screening may reveal bone degeneration, but does not carry sufficient information of the soft tissues’ conditions. More advanced imaging tools such as MRI or CT are available, but expensive, time consuming and are suitable only for detection of advanced arthritis. The arthroscopy is often the only reliable option, however due to its semi-invasive nature, it cannot be considered as a practical diagnostic tool. </w:t>
      </w:r>
    </w:p>
    <w:p w:rsidR="00D909F5" w:rsidRPr="007244C2" w:rsidRDefault="00D909F5" w:rsidP="00D909F5">
      <w:pPr>
        <w:spacing w:line="480" w:lineRule="auto"/>
        <w:jc w:val="both"/>
      </w:pPr>
      <w:r w:rsidRPr="007244C2">
        <w:lastRenderedPageBreak/>
        <w:t>Early physicians examining knees noticed that the joints often make certain noises while being put into functional test, or even during everyday locomotion. This is because, when the bones are in motion the interaction between articulating surfaces induces vibrations of the bones, that may reach audible level. In a healthy joint the articulating surfaces are smooth and the vibration is minimal, but as the cartilage degenerates, the articular surfaces become rougher and vibrations increase, and may become audible. Therefore the auscultation of the knee joint has been considered an interesting and promising alternative to the abovementioned techniques.</w:t>
      </w:r>
    </w:p>
    <w:p w:rsidR="00D909F5" w:rsidRPr="007244C2" w:rsidRDefault="00D909F5" w:rsidP="00D909F5">
      <w:pPr>
        <w:spacing w:line="480" w:lineRule="auto"/>
        <w:jc w:val="both"/>
      </w:pPr>
    </w:p>
    <w:p w:rsidR="00D909F5" w:rsidRPr="007244C2" w:rsidRDefault="00D909F5" w:rsidP="00D909F5">
      <w:pPr>
        <w:spacing w:line="480" w:lineRule="auto"/>
        <w:jc w:val="both"/>
      </w:pPr>
      <w:r w:rsidRPr="007244C2">
        <w:t>The first attempts to use auscultatory tools to the diagnosis of the pathological changes were used in the 19</w:t>
      </w:r>
      <w:r w:rsidRPr="007244C2">
        <w:rPr>
          <w:vertAlign w:val="superscript"/>
        </w:rPr>
        <w:t>th</w:t>
      </w:r>
      <w:r w:rsidRPr="007244C2">
        <w:t xml:space="preserve"> century. Heuter</w:t>
      </w:r>
      <w:r w:rsidR="003C3F8F">
        <w:t xml:space="preserve"> (Heuter 1885)</w:t>
      </w:r>
      <w:r w:rsidRPr="007244C2">
        <w:t>, in 1885 was the first to use myo-dermato-ostetoscope to localize the joint bodies. In 1902, Blodgett</w:t>
      </w:r>
      <w:r w:rsidR="003C3F8F">
        <w:t xml:space="preserve"> (Blodgett 1902) </w:t>
      </w:r>
      <w:r w:rsidR="003C3F8F" w:rsidRPr="007244C2">
        <w:t>used</w:t>
      </w:r>
      <w:r w:rsidRPr="007244C2">
        <w:t xml:space="preserve"> a stethoscope to auscultate the knee joints and noted that the sound increased with the age of the subjects. He reported creaking, gratting and cracking sounds present in chronic arthritic joints. In order to determine if the auscultation offers any practical value in distinguishing between different forms of joint affections, in 1929, Walters examined nearly 1600 knee joints</w:t>
      </w:r>
      <w:r w:rsidR="003C3F8F">
        <w:t xml:space="preserve"> (Walters 1929)</w:t>
      </w:r>
      <w:r w:rsidRPr="007244C2">
        <w:t xml:space="preserve">. He categorized the joints into 5 goups: </w:t>
      </w:r>
      <w:r w:rsidRPr="007244C2">
        <w:rPr>
          <w:i/>
          <w:iCs/>
        </w:rPr>
        <w:t>smooth</w:t>
      </w:r>
      <w:r w:rsidRPr="007244C2">
        <w:t xml:space="preserve">, </w:t>
      </w:r>
      <w:r w:rsidRPr="007244C2">
        <w:rPr>
          <w:i/>
          <w:iCs/>
        </w:rPr>
        <w:t>rough</w:t>
      </w:r>
      <w:r w:rsidRPr="007244C2">
        <w:t xml:space="preserve">, </w:t>
      </w:r>
      <w:r w:rsidRPr="007244C2">
        <w:rPr>
          <w:i/>
          <w:iCs/>
        </w:rPr>
        <w:t>grating I</w:t>
      </w:r>
      <w:r w:rsidRPr="007244C2">
        <w:t xml:space="preserve">, </w:t>
      </w:r>
      <w:r w:rsidRPr="007244C2">
        <w:rPr>
          <w:i/>
          <w:iCs/>
        </w:rPr>
        <w:t>grating II</w:t>
      </w:r>
      <w:r w:rsidRPr="007244C2">
        <w:t xml:space="preserve"> and </w:t>
      </w:r>
      <w:r w:rsidRPr="007244C2">
        <w:rPr>
          <w:i/>
          <w:iCs/>
        </w:rPr>
        <w:t>grating III</w:t>
      </w:r>
      <w:r w:rsidRPr="007244C2">
        <w:t>, and found, similar to Blodgett, that joints became more rough with age. The joints appeared smooth in the first decade of life but the rough and grating noise increased with increasing age and 81.5% of subjects in their 80s were audible (Figure 3-3).</w:t>
      </w:r>
    </w:p>
    <w:p w:rsidR="00D909F5" w:rsidRPr="007244C2" w:rsidRDefault="00D909F5" w:rsidP="00D909F5">
      <w:pPr>
        <w:spacing w:line="480" w:lineRule="auto"/>
        <w:jc w:val="both"/>
      </w:pPr>
      <w:r w:rsidRPr="007244C2">
        <w:lastRenderedPageBreak/>
        <w:t>Later, joint sounds were studied to investigate the patella chondromalacia, different types of arthritis and meniscus lesions</w:t>
      </w:r>
      <w:r w:rsidR="003C3F8F">
        <w:t xml:space="preserve"> (Steindler, 1937, Peylan 1953, Erb 1933)</w:t>
      </w:r>
      <w:r w:rsidRPr="007244C2">
        <w:t xml:space="preserve">. Fisher and Johnson </w:t>
      </w:r>
      <w:r w:rsidR="003C3F8F">
        <w:t xml:space="preserve">(Fisher 1961) </w:t>
      </w:r>
      <w:r w:rsidRPr="007244C2">
        <w:t>found that the rheumatoid arthritis could be recognized in the early stage, before the changes could be observed in x-ray images. However, these evaluations of the knee joint sounds were subjective and lacked a more precise, repetitive methodology.</w:t>
      </w:r>
    </w:p>
    <w:p w:rsidR="00D909F5" w:rsidRPr="007244C2" w:rsidRDefault="00D909F5" w:rsidP="00D909F5">
      <w:pPr>
        <w:pStyle w:val="Figure"/>
        <w:spacing w:before="240"/>
        <w:ind w:firstLine="360"/>
      </w:pPr>
      <w:r w:rsidRPr="007244C2">
        <w:t xml:space="preserve"> </w:t>
      </w:r>
    </w:p>
    <w:p w:rsidR="00D909F5" w:rsidRPr="007244C2" w:rsidRDefault="001F4A25" w:rsidP="00D909F5">
      <w:pPr>
        <w:pStyle w:val="centerpar"/>
      </w:pPr>
      <w:r>
        <w:drawing>
          <wp:inline distT="0" distB="0" distL="0" distR="0">
            <wp:extent cx="3040380" cy="1943100"/>
            <wp:effectExtent l="1905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srcRect/>
                    <a:stretch>
                      <a:fillRect/>
                    </a:stretch>
                  </pic:blipFill>
                  <pic:spPr bwMode="auto">
                    <a:xfrm>
                      <a:off x="0" y="0"/>
                      <a:ext cx="3040380" cy="1943100"/>
                    </a:xfrm>
                    <a:prstGeom prst="rect">
                      <a:avLst/>
                    </a:prstGeom>
                    <a:noFill/>
                    <a:ln w="9525">
                      <a:noFill/>
                      <a:miter lim="800000"/>
                      <a:headEnd/>
                      <a:tailEnd/>
                    </a:ln>
                  </pic:spPr>
                </pic:pic>
              </a:graphicData>
            </a:graphic>
          </wp:inline>
        </w:drawing>
      </w:r>
      <w:r w:rsidR="00D909F5" w:rsidRPr="007244C2">
        <w:t xml:space="preserve"> </w:t>
      </w:r>
    </w:p>
    <w:p w:rsidR="00D909F5" w:rsidRPr="007244C2" w:rsidRDefault="00D909F5" w:rsidP="00D909F5">
      <w:pPr>
        <w:pStyle w:val="Caption"/>
        <w:jc w:val="both"/>
        <w:rPr>
          <w:b/>
        </w:rPr>
      </w:pPr>
      <w:r w:rsidRPr="007244C2">
        <w:rPr>
          <w:b/>
        </w:rPr>
        <w:t xml:space="preserve">Figure 3-3: </w:t>
      </w:r>
      <w:r w:rsidR="00A43FDA">
        <w:rPr>
          <w:b/>
        </w:rPr>
        <w:t>Walters 1929 experimentation on 1600 knees</w:t>
      </w:r>
      <w:r w:rsidRPr="007244C2">
        <w:rPr>
          <w:b/>
        </w:rPr>
        <w:t xml:space="preserve">. </w:t>
      </w:r>
      <w:r w:rsidRPr="007244C2">
        <w:rPr>
          <w:b/>
          <w:i/>
          <w:iCs/>
        </w:rPr>
        <w:t>Source: [</w:t>
      </w:r>
      <w:fldSimple w:instr="REF BIB_Walters_1929 \* MERGEFORMAT ">
        <w:r w:rsidRPr="007244C2">
          <w:rPr>
            <w:b/>
            <w:i/>
            <w:iCs/>
          </w:rPr>
          <w:t>195</w:t>
        </w:r>
      </w:fldSimple>
      <w:r w:rsidRPr="007244C2">
        <w:rPr>
          <w:b/>
          <w:i/>
          <w:iCs/>
        </w:rPr>
        <w:t>]</w:t>
      </w:r>
      <w:r w:rsidRPr="007244C2">
        <w:rPr>
          <w:b/>
        </w:rPr>
        <w:t>.</w:t>
      </w:r>
    </w:p>
    <w:p w:rsidR="00D909F5" w:rsidRPr="007244C2" w:rsidRDefault="00D909F5" w:rsidP="00D909F5">
      <w:pPr>
        <w:pStyle w:val="Caption"/>
        <w:rPr>
          <w:b/>
        </w:rPr>
      </w:pPr>
    </w:p>
    <w:p w:rsidR="00D909F5" w:rsidRPr="007244C2" w:rsidRDefault="009937B6" w:rsidP="00D909F5">
      <w:pPr>
        <w:pStyle w:val="Caption"/>
        <w:rPr>
          <w:b/>
        </w:rPr>
      </w:pPr>
      <w:r w:rsidRPr="007244C2">
        <w:rPr>
          <w:b/>
        </w:rPr>
        <w:fldChar w:fldCharType="begin"/>
      </w:r>
      <w:r w:rsidR="00D909F5" w:rsidRPr="007244C2">
        <w:rPr>
          <w:b/>
        </w:rPr>
        <w:instrText xml:space="preserve">tc "14 In 1929, Walters examined 1600 knee joints and found steadily ascending ratio of all forms of audibility with increasing age. Vertical axis presents percentage of subjects with rough, grating I, II or III noise. </w:instrText>
      </w:r>
      <w:r w:rsidR="00D909F5" w:rsidRPr="007244C2">
        <w:rPr>
          <w:b/>
          <w:i/>
          <w:iCs/>
        </w:rPr>
        <w:instrText>Source: [</w:instrText>
      </w:r>
      <w:fldSimple w:instr="REF BIB_Walters_1929 \* MERGEFORMAT ">
        <w:r w:rsidR="00D909F5" w:rsidRPr="007244C2">
          <w:rPr>
            <w:b/>
            <w:i/>
            <w:iCs/>
          </w:rPr>
          <w:instrText>195</w:instrText>
        </w:r>
      </w:fldSimple>
      <w:r w:rsidR="00D909F5" w:rsidRPr="007244C2">
        <w:rPr>
          <w:b/>
          <w:i/>
          <w:iCs/>
        </w:rPr>
        <w:instrText>]</w:instrText>
      </w:r>
      <w:r w:rsidR="00D909F5" w:rsidRPr="007244C2">
        <w:rPr>
          <w:b/>
        </w:rPr>
        <w:instrText>." \f f</w:instrText>
      </w:r>
      <w:r w:rsidRPr="007244C2">
        <w:rPr>
          <w:b/>
        </w:rPr>
        <w:fldChar w:fldCharType="end"/>
      </w:r>
    </w:p>
    <w:p w:rsidR="00D909F5" w:rsidRPr="007244C2" w:rsidRDefault="00D909F5" w:rsidP="00D909F5">
      <w:pPr>
        <w:autoSpaceDE w:val="0"/>
        <w:autoSpaceDN w:val="0"/>
        <w:adjustRightInd w:val="0"/>
        <w:spacing w:line="480" w:lineRule="auto"/>
        <w:jc w:val="both"/>
      </w:pPr>
      <w:r w:rsidRPr="007244C2">
        <w:t xml:space="preserve">Therefore the auscultation of the knee joint has been considered an interesting and promising alternative to the abovementioned techniques. </w:t>
      </w:r>
    </w:p>
    <w:p w:rsidR="00D909F5" w:rsidRPr="007244C2" w:rsidRDefault="00D909F5" w:rsidP="00D909F5">
      <w:pPr>
        <w:autoSpaceDE w:val="0"/>
        <w:autoSpaceDN w:val="0"/>
        <w:adjustRightInd w:val="0"/>
        <w:spacing w:line="480" w:lineRule="auto"/>
        <w:jc w:val="both"/>
      </w:pPr>
      <w:r w:rsidRPr="007244C2">
        <w:t>The first graphical presentation of the joint sounds was presented by Erb in 1933. The author investigated chondromalacia of the patella, arthritis and meniscus lesions, and reported low frequency of meniscus sounds. Later, Steindler</w:t>
      </w:r>
      <w:r w:rsidR="003C3F8F">
        <w:t xml:space="preserve"> </w:t>
      </w:r>
      <w:r w:rsidRPr="007244C2">
        <w:t xml:space="preserve">practiced ausultation of </w:t>
      </w:r>
      <w:r w:rsidRPr="007244C2">
        <w:lastRenderedPageBreak/>
        <w:t>joints, particularly knee and used cardiophone (Figure 3-4) because its soft-rubber attachment helped to eliminate the friction noises of the skin.</w:t>
      </w:r>
    </w:p>
    <w:p w:rsidR="00D909F5" w:rsidRPr="007244C2" w:rsidRDefault="00D909F5" w:rsidP="00D909F5">
      <w:pPr>
        <w:pStyle w:val="Figure"/>
        <w:spacing w:before="240"/>
        <w:ind w:firstLine="360"/>
      </w:pPr>
      <w:r w:rsidRPr="007244C2">
        <w:t xml:space="preserve"> </w:t>
      </w:r>
    </w:p>
    <w:p w:rsidR="00D909F5" w:rsidRPr="007244C2" w:rsidRDefault="00D909F5" w:rsidP="00D909F5">
      <w:pPr>
        <w:pStyle w:val="centerpar"/>
      </w:pPr>
      <w:r w:rsidRPr="007244C2">
        <w:t>[A cardiophone used to study of the auscultation of the knee joint.]</w:t>
      </w:r>
    </w:p>
    <w:p w:rsidR="00D909F5" w:rsidRPr="007244C2" w:rsidRDefault="001F4A25" w:rsidP="00D909F5">
      <w:pPr>
        <w:pStyle w:val="centerpar"/>
      </w:pPr>
      <w:r>
        <w:drawing>
          <wp:inline distT="0" distB="0" distL="0" distR="0">
            <wp:extent cx="1737360" cy="123444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srcRect/>
                    <a:stretch>
                      <a:fillRect/>
                    </a:stretch>
                  </pic:blipFill>
                  <pic:spPr bwMode="auto">
                    <a:xfrm>
                      <a:off x="0" y="0"/>
                      <a:ext cx="1737360" cy="1234440"/>
                    </a:xfrm>
                    <a:prstGeom prst="rect">
                      <a:avLst/>
                    </a:prstGeom>
                    <a:noFill/>
                    <a:ln w="9525">
                      <a:noFill/>
                      <a:miter lim="800000"/>
                      <a:headEnd/>
                      <a:tailEnd/>
                    </a:ln>
                  </pic:spPr>
                </pic:pic>
              </a:graphicData>
            </a:graphic>
          </wp:inline>
        </w:drawing>
      </w:r>
      <w:r w:rsidR="00D909F5" w:rsidRPr="007244C2">
        <w:t xml:space="preserve"> </w:t>
      </w:r>
    </w:p>
    <w:p w:rsidR="00D909F5" w:rsidRPr="007244C2" w:rsidRDefault="00D909F5" w:rsidP="00D909F5">
      <w:pPr>
        <w:pStyle w:val="centerpar"/>
      </w:pPr>
      <w:r w:rsidRPr="007244C2">
        <w:t xml:space="preserve"> [Experimantal set-up used by Steinler in 1933.]</w:t>
      </w:r>
    </w:p>
    <w:p w:rsidR="00D909F5" w:rsidRPr="007244C2" w:rsidRDefault="001F4A25" w:rsidP="00D909F5">
      <w:pPr>
        <w:pStyle w:val="centerpar"/>
      </w:pPr>
      <w:r>
        <w:drawing>
          <wp:inline distT="0" distB="0" distL="0" distR="0">
            <wp:extent cx="1744980" cy="1226820"/>
            <wp:effectExtent l="1905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a:stretch>
                      <a:fillRect/>
                    </a:stretch>
                  </pic:blipFill>
                  <pic:spPr bwMode="auto">
                    <a:xfrm>
                      <a:off x="0" y="0"/>
                      <a:ext cx="1744980" cy="1226820"/>
                    </a:xfrm>
                    <a:prstGeom prst="rect">
                      <a:avLst/>
                    </a:prstGeom>
                    <a:noFill/>
                    <a:ln w="9525">
                      <a:noFill/>
                      <a:miter lim="800000"/>
                      <a:headEnd/>
                      <a:tailEnd/>
                    </a:ln>
                  </pic:spPr>
                </pic:pic>
              </a:graphicData>
            </a:graphic>
          </wp:inline>
        </w:drawing>
      </w:r>
      <w:r w:rsidR="00D909F5" w:rsidRPr="007244C2">
        <w:t xml:space="preserve"> </w:t>
      </w:r>
    </w:p>
    <w:p w:rsidR="00D909F5" w:rsidRPr="007244C2" w:rsidRDefault="00D909F5" w:rsidP="00D909F5">
      <w:pPr>
        <w:pStyle w:val="Caption"/>
        <w:rPr>
          <w:b/>
        </w:rPr>
      </w:pPr>
      <w:r w:rsidRPr="007244C2">
        <w:rPr>
          <w:b/>
        </w:rPr>
        <w:t>Figure 3-4: Steinler</w:t>
      </w:r>
      <w:r w:rsidR="00A43FDA">
        <w:rPr>
          <w:b/>
        </w:rPr>
        <w:t xml:space="preserve"> experiment using</w:t>
      </w:r>
      <w:r w:rsidRPr="007244C2">
        <w:rPr>
          <w:b/>
        </w:rPr>
        <w:t xml:space="preserve"> cardiophone (top</w:t>
      </w:r>
      <w:fldSimple w:instr="REF BMfig_Steindler_1937_Cardiophone \* MERGEFORMAT "/>
      <w:r w:rsidRPr="007244C2">
        <w:rPr>
          <w:b/>
        </w:rPr>
        <w:t xml:space="preserve">) to minimize the friction noises of the skin. </w:t>
      </w:r>
      <w:r w:rsidRPr="007244C2">
        <w:rPr>
          <w:b/>
          <w:i/>
          <w:iCs/>
        </w:rPr>
        <w:t>Source:</w:t>
      </w:r>
      <w:r w:rsidR="003C3F8F" w:rsidRPr="003C3F8F">
        <w:t xml:space="preserve"> </w:t>
      </w:r>
      <w:r w:rsidR="003C3F8F" w:rsidRPr="003C3F8F">
        <w:rPr>
          <w:b/>
          <w:i/>
        </w:rPr>
        <w:t>Steindler</w:t>
      </w:r>
      <w:r w:rsidRPr="007244C2">
        <w:rPr>
          <w:b/>
        </w:rPr>
        <w:t>.</w:t>
      </w:r>
    </w:p>
    <w:p w:rsidR="00D909F5" w:rsidRPr="007244C2" w:rsidRDefault="009937B6" w:rsidP="00D909F5">
      <w:pPr>
        <w:pStyle w:val="Caption"/>
      </w:pPr>
      <w:r w:rsidRPr="007244C2">
        <w:fldChar w:fldCharType="begin"/>
      </w:r>
      <w:r w:rsidR="00D909F5" w:rsidRPr="007244C2">
        <w:instrText>tc "15 In 1937, Steinler used cardiophone (</w:instrText>
      </w:r>
      <w:fldSimple w:instr="REF BMfig_Steindler_1937_Cardiophone \* MERGEFORMAT ">
        <w:r w:rsidR="00D909F5" w:rsidRPr="007244C2">
          <w:instrText>2.15a</w:instrText>
        </w:r>
      </w:fldSimple>
      <w:r w:rsidR="00D909F5" w:rsidRPr="007244C2">
        <w:instrText xml:space="preserve">)to minimize the friction noises of the skin. </w:instrText>
      </w:r>
      <w:r w:rsidR="00D909F5" w:rsidRPr="007244C2">
        <w:rPr>
          <w:i/>
          <w:iCs/>
        </w:rPr>
        <w:instrText>Source: [</w:instrText>
      </w:r>
      <w:fldSimple w:instr="REF BIB_Steindler_1937 \* MERGEFORMAT ">
        <w:r w:rsidR="00D909F5" w:rsidRPr="007244C2">
          <w:rPr>
            <w:i/>
            <w:iCs/>
          </w:rPr>
          <w:instrText>182</w:instrText>
        </w:r>
      </w:fldSimple>
      <w:r w:rsidR="00D909F5" w:rsidRPr="007244C2">
        <w:rPr>
          <w:i/>
          <w:iCs/>
        </w:rPr>
        <w:instrText>]</w:instrText>
      </w:r>
      <w:r w:rsidR="00D909F5" w:rsidRPr="007244C2">
        <w:instrText>." \f f</w:instrText>
      </w:r>
      <w:r w:rsidRPr="007244C2">
        <w:fldChar w:fldCharType="end"/>
      </w:r>
    </w:p>
    <w:p w:rsidR="00D909F5" w:rsidRPr="007244C2" w:rsidRDefault="00D909F5" w:rsidP="00D909F5">
      <w:pPr>
        <w:autoSpaceDE w:val="0"/>
        <w:autoSpaceDN w:val="0"/>
        <w:adjustRightInd w:val="0"/>
        <w:spacing w:line="480" w:lineRule="auto"/>
        <w:jc w:val="both"/>
      </w:pPr>
      <w:r w:rsidRPr="007244C2">
        <w:t>Peylan, in 1953, investigated 214 patients with different types of arthritis by the means of a regular and an electronic stethoscope</w:t>
      </w:r>
      <w:r w:rsidR="003C3F8F">
        <w:t xml:space="preserve"> (Peylan 1957). </w:t>
      </w:r>
      <w:r w:rsidRPr="007244C2">
        <w:t xml:space="preserve">Fisher and Johnson </w:t>
      </w:r>
      <w:r w:rsidR="003C3F8F">
        <w:t xml:space="preserve">(Fisher 1961) </w:t>
      </w:r>
      <w:r w:rsidRPr="007244C2">
        <w:t>found that rheumatoid arthritis could be recognized in the early stage, before the changes could be observed in x-ray images. However, these evaluations of the knee joint sounds were subjective and lacked the more precise, repetitive methodology. The first objective methods, based on statistical parameters of the signals were proposed by Chu et al. in late 1970s</w:t>
      </w:r>
      <w:r w:rsidR="003C3F8F">
        <w:t xml:space="preserve"> (Chus 1976, 1978)</w:t>
      </w:r>
      <w:r w:rsidRPr="007244C2">
        <w:t xml:space="preserve">. The authors used a double-microphone differential-amplifier </w:t>
      </w:r>
      <w:r w:rsidRPr="007244C2">
        <w:lastRenderedPageBreak/>
        <w:t>sound-retrieval setup to record the knee joint sounds. They found that the normal knees had very low acoustic power output (ranging from 0-0.02 W/cycle), while the pathological knees revealed significantly higher power outputs (Figure 3-5). They noted that on average the acoustic power varied logarithmically with the surface roughness.</w:t>
      </w:r>
    </w:p>
    <w:p w:rsidR="00D909F5" w:rsidRPr="007244C2" w:rsidRDefault="00D909F5" w:rsidP="00D909F5">
      <w:pPr>
        <w:pStyle w:val="Figure"/>
        <w:spacing w:before="240"/>
        <w:ind w:firstLine="360"/>
      </w:pPr>
      <w:r w:rsidRPr="007244C2">
        <w:t xml:space="preserve"> </w:t>
      </w:r>
    </w:p>
    <w:p w:rsidR="00D909F5" w:rsidRPr="007244C2" w:rsidRDefault="001F4A25" w:rsidP="00D909F5">
      <w:pPr>
        <w:pStyle w:val="centerpar"/>
      </w:pPr>
      <w:r>
        <w:drawing>
          <wp:inline distT="0" distB="0" distL="0" distR="0">
            <wp:extent cx="1775460" cy="257556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srcRect/>
                    <a:stretch>
                      <a:fillRect/>
                    </a:stretch>
                  </pic:blipFill>
                  <pic:spPr bwMode="auto">
                    <a:xfrm>
                      <a:off x="0" y="0"/>
                      <a:ext cx="1775460" cy="2575560"/>
                    </a:xfrm>
                    <a:prstGeom prst="rect">
                      <a:avLst/>
                    </a:prstGeom>
                    <a:noFill/>
                    <a:ln w="9525">
                      <a:noFill/>
                      <a:miter lim="800000"/>
                      <a:headEnd/>
                      <a:tailEnd/>
                    </a:ln>
                  </pic:spPr>
                </pic:pic>
              </a:graphicData>
            </a:graphic>
          </wp:inline>
        </w:drawing>
      </w:r>
      <w:r w:rsidR="00D909F5" w:rsidRPr="007244C2">
        <w:t xml:space="preserve"> </w:t>
      </w:r>
    </w:p>
    <w:p w:rsidR="00D909F5" w:rsidRPr="007244C2" w:rsidRDefault="00D909F5" w:rsidP="00D909F5">
      <w:pPr>
        <w:pStyle w:val="Caption"/>
        <w:rPr>
          <w:b/>
        </w:rPr>
      </w:pPr>
      <w:r w:rsidRPr="007244C2">
        <w:rPr>
          <w:b/>
        </w:rPr>
        <w:t xml:space="preserve">Figure 3-5: </w:t>
      </w:r>
      <w:r w:rsidR="00A43FDA">
        <w:rPr>
          <w:b/>
        </w:rPr>
        <w:t>Chu’s experiments</w:t>
      </w:r>
      <w:r w:rsidRPr="007244C2">
        <w:rPr>
          <w:b/>
        </w:rPr>
        <w:t xml:space="preserve"> to classify the knee joint conditions based on the relative acoustic power. </w:t>
      </w:r>
      <w:r w:rsidRPr="007244C2">
        <w:rPr>
          <w:b/>
          <w:i/>
          <w:iCs/>
        </w:rPr>
        <w:t>Source:</w:t>
      </w:r>
      <w:r w:rsidR="005652B5">
        <w:rPr>
          <w:b/>
          <w:i/>
          <w:iCs/>
        </w:rPr>
        <w:t>Chu 1976</w:t>
      </w:r>
      <w:r w:rsidRPr="007244C2">
        <w:rPr>
          <w:b/>
        </w:rPr>
        <w:t>.</w:t>
      </w:r>
    </w:p>
    <w:p w:rsidR="00D909F5" w:rsidRPr="007244C2" w:rsidRDefault="009937B6" w:rsidP="00D909F5">
      <w:pPr>
        <w:pStyle w:val="Caption"/>
      </w:pPr>
      <w:r w:rsidRPr="007244C2">
        <w:fldChar w:fldCharType="begin"/>
      </w:r>
      <w:r w:rsidR="00D909F5" w:rsidRPr="007244C2">
        <w:instrText xml:space="preserve">tc "16 In 1978, Chu et al. attempted to classify the knee joint conditions based on the relative acoustic power. </w:instrText>
      </w:r>
      <w:r w:rsidR="00D909F5" w:rsidRPr="007244C2">
        <w:rPr>
          <w:i/>
          <w:iCs/>
        </w:rPr>
        <w:instrText>Source: [</w:instrText>
      </w:r>
      <w:fldSimple w:instr="REF BIB_Chu_1978 \* MERGEFORMAT ">
        <w:r w:rsidR="00D909F5" w:rsidRPr="007244C2">
          <w:rPr>
            <w:i/>
            <w:iCs/>
          </w:rPr>
          <w:instrText>36</w:instrText>
        </w:r>
      </w:fldSimple>
      <w:r w:rsidR="00D909F5" w:rsidRPr="007244C2">
        <w:rPr>
          <w:i/>
          <w:iCs/>
        </w:rPr>
        <w:instrText>]</w:instrText>
      </w:r>
      <w:r w:rsidR="00D909F5" w:rsidRPr="007244C2">
        <w:instrText>." \f f</w:instrText>
      </w:r>
      <w:r w:rsidRPr="007244C2">
        <w:fldChar w:fldCharType="end"/>
      </w:r>
    </w:p>
    <w:p w:rsidR="00D909F5" w:rsidRPr="007244C2" w:rsidRDefault="00D909F5" w:rsidP="00D909F5">
      <w:pPr>
        <w:autoSpaceDE w:val="0"/>
        <w:autoSpaceDN w:val="0"/>
        <w:adjustRightInd w:val="0"/>
        <w:spacing w:line="480" w:lineRule="auto"/>
        <w:jc w:val="both"/>
      </w:pPr>
      <w:r w:rsidRPr="007244C2">
        <w:t>Further improvements were done by Mollan et al. who compared the joint vibration detected using microphones and accelerometers and concluded that the microphone was a poor transducer in terms of frequency and dynamic sensitivities for use with human joint emission [</w:t>
      </w:r>
      <w:fldSimple w:instr="REF BIB_Mollan_1982 \* MERGEFORMAT ">
        <w:r w:rsidRPr="007244C2">
          <w:t>143</w:t>
        </w:r>
      </w:fldSimple>
      <w:r w:rsidRPr="007244C2">
        <w:t xml:space="preserve">]. Particularly limiting the use of microphones, were the skin friction noise and the ambient room noise. Therefore, they replaced the microphone with three tiny accelerometers taped around the knee </w:t>
      </w:r>
      <w:r w:rsidR="005652B5">
        <w:t xml:space="preserve">(Molan 1982, 1983, Kernohan 1982, 1986, McCoy </w:t>
      </w:r>
      <w:r w:rsidR="005652B5">
        <w:lastRenderedPageBreak/>
        <w:t xml:space="preserve">1987). </w:t>
      </w:r>
      <w:r w:rsidRPr="007244C2">
        <w:t xml:space="preserve">The authors also used a goniometer to simultaneously record joint angle so that any episode of emission might be referred to a flexion angle. They extensive works gave good understanding of the nature of the knee joint signals, they diagnostic potentials and possible practical problems with vibration arthrography. </w:t>
      </w:r>
    </w:p>
    <w:p w:rsidR="00D909F5" w:rsidRPr="007244C2" w:rsidRDefault="00D909F5" w:rsidP="00D909F5">
      <w:pPr>
        <w:autoSpaceDE w:val="0"/>
        <w:autoSpaceDN w:val="0"/>
        <w:adjustRightInd w:val="0"/>
        <w:spacing w:line="480" w:lineRule="auto"/>
        <w:jc w:val="both"/>
      </w:pPr>
      <w:r w:rsidRPr="007244C2">
        <w:t xml:space="preserve">The decision made by Molland et al. to replace microphones with accelerometers was later proven to be right, by scientists studying sounds emitted by temporomandibular joint (TMJ) </w:t>
      </w:r>
      <w:r w:rsidR="005652B5">
        <w:t>(Gay 1988, 1987, Christensen 1992 (i), 1992 (ii), 1992 (iii)</w:t>
      </w:r>
      <w:r w:rsidRPr="007244C2">
        <w:t>,</w:t>
      </w:r>
      <w:r w:rsidR="005652B5">
        <w:t xml:space="preserve"> Ishigaki 1993)</w:t>
      </w:r>
      <w:r w:rsidRPr="007244C2">
        <w:t xml:space="preserve">. Christiansen et al. </w:t>
      </w:r>
      <w:r w:rsidR="005652B5">
        <w:t xml:space="preserve">(Christensen 1992 (i)) </w:t>
      </w:r>
      <w:r w:rsidRPr="007244C2">
        <w:t>reported that the condenser microphone is highly sensitive to ’irrelevant’ sound fields leading to artifactual registration of any airborne wave. They recommended that in general microphones should not be used for recording TMJ sounds - only accelerometers could be advocated for recording of solid borne TMJ vibrations. In the next study, Christiansen further noted that errors were found in sound frequency measurements recorded with microphones, while comparable measurements made with skin-contact vibration transducers were accurate</w:t>
      </w:r>
      <w:r w:rsidR="005652B5">
        <w:t xml:space="preserve"> (Christensen 1992 (i)). </w:t>
      </w:r>
      <w:r w:rsidRPr="007244C2">
        <w:t>Similar conclusions were described by Kernohan et al. in an article reviewing the development of various techniques to evaluate sounds from human joints</w:t>
      </w:r>
      <w:r w:rsidR="005652B5">
        <w:t xml:space="preserve"> (Kernohan 1982)</w:t>
      </w:r>
      <w:r w:rsidRPr="007244C2">
        <w:t xml:space="preserve">. </w:t>
      </w:r>
    </w:p>
    <w:p w:rsidR="00D909F5" w:rsidRPr="007244C2" w:rsidRDefault="00D909F5" w:rsidP="00D909F5">
      <w:pPr>
        <w:autoSpaceDE w:val="0"/>
        <w:autoSpaceDN w:val="0"/>
        <w:adjustRightInd w:val="0"/>
        <w:spacing w:line="480" w:lineRule="auto"/>
        <w:jc w:val="both"/>
      </w:pPr>
    </w:p>
    <w:p w:rsidR="00D909F5" w:rsidRPr="007244C2" w:rsidRDefault="00D909F5" w:rsidP="00D909F5">
      <w:pPr>
        <w:autoSpaceDE w:val="0"/>
        <w:autoSpaceDN w:val="0"/>
        <w:adjustRightInd w:val="0"/>
        <w:spacing w:line="480" w:lineRule="auto"/>
        <w:jc w:val="both"/>
      </w:pPr>
      <w:r w:rsidRPr="007244C2">
        <w:t xml:space="preserve">Parallel to the technological developments of the recording devices, new mathematical methods were also proposed. Since the vibroarthrogaphic signals are inherently nonstationary, the Fast Fourier Transform (FFT) could not be accurately used to localize </w:t>
      </w:r>
      <w:r w:rsidRPr="007244C2">
        <w:lastRenderedPageBreak/>
        <w:t xml:space="preserve">the frequency content in time and therefore to correlate the abnormal signals with the joint kinematics. The Windowed Fourier Transform (WFT, also called Short-Time Fourier Transform, STFT) offered some help in localizing the frequency content in the time domain, but the breakthrough came with the introduction of the wavelet transform. Using the continuous wavelet transform, signals can be locally characterized in both the time and frequency domains simultaineusly and self-adaptively. The pattern recognition techniques have also undergone significant development and nowadays advanced signal classifiers are built as neural networks. The wavelet theory and pattern classification techniques have found countless applications and are among the fastest developing methods at present. The use of the new sensors and analytical tools accelerated the development of the vibroarthrography and resulted in a number of clinical trials, publications and patents </w:t>
      </w:r>
      <w:r w:rsidR="005652B5">
        <w:t>(Gay 1989, Radke 1995, 1996, Rangayan 2003, Russell 1989)</w:t>
      </w:r>
      <w:r w:rsidRPr="007244C2">
        <w:t xml:space="preserve"> and has a great potential of becoming a reliable diagnostic tool for early diagnosis of patellofemoral disorders.</w:t>
      </w:r>
    </w:p>
    <w:p w:rsidR="00D909F5" w:rsidRPr="007244C2" w:rsidRDefault="00D909F5" w:rsidP="00D909F5">
      <w:pPr>
        <w:autoSpaceDE w:val="0"/>
        <w:autoSpaceDN w:val="0"/>
        <w:adjustRightInd w:val="0"/>
        <w:spacing w:line="480" w:lineRule="auto"/>
        <w:jc w:val="both"/>
      </w:pPr>
    </w:p>
    <w:p w:rsidR="00D909F5" w:rsidRPr="007244C2" w:rsidRDefault="000231E3" w:rsidP="00D909F5">
      <w:pPr>
        <w:autoSpaceDE w:val="0"/>
        <w:autoSpaceDN w:val="0"/>
        <w:adjustRightInd w:val="0"/>
        <w:spacing w:line="480" w:lineRule="auto"/>
        <w:jc w:val="both"/>
        <w:rPr>
          <w:b/>
        </w:rPr>
      </w:pPr>
      <w:r>
        <w:rPr>
          <w:b/>
        </w:rPr>
        <w:t>3.5.</w:t>
      </w:r>
      <w:r w:rsidR="00D909F5" w:rsidRPr="007244C2">
        <w:rPr>
          <w:b/>
        </w:rPr>
        <w:t>2 Current research</w:t>
      </w:r>
    </w:p>
    <w:p w:rsidR="00D909F5" w:rsidRPr="007244C2" w:rsidRDefault="00D909F5" w:rsidP="00D909F5">
      <w:pPr>
        <w:autoSpaceDE w:val="0"/>
        <w:autoSpaceDN w:val="0"/>
        <w:adjustRightInd w:val="0"/>
        <w:spacing w:line="480" w:lineRule="auto"/>
        <w:jc w:val="both"/>
      </w:pPr>
      <w:r w:rsidRPr="007244C2">
        <w:t xml:space="preserve">Currently, the vibration signals are most frequently collected by means of highly sensitive, miniature accelerometers attached externally to the skin by an adhesive or elastic wrapping tape. The vibrations are recorded while the subject is asked to perform various activities, such as flexion-extension of the knee, gait, squat etc. Since during these activities the entire knee is moving, the sensors record the changes in acceleration </w:t>
      </w:r>
      <w:r w:rsidRPr="007244C2">
        <w:lastRenderedPageBreak/>
        <w:t>resulting from both, the motion and the vibration. Generally, the bones move less rapidly than they vibrate, therefore it is possible to decompose a raw vibroarthrogram into the motion and vibration components by using a low-pass filter. Next, the signal-to-noise ratio of the vibration signals is often increased by using adaptive TF decomposition methods</w:t>
      </w:r>
      <w:r w:rsidR="005652B5">
        <w:t xml:space="preserve"> (Krishnan 2000)</w:t>
      </w:r>
      <w:r w:rsidR="005652B5" w:rsidRPr="007244C2">
        <w:t xml:space="preserve"> </w:t>
      </w:r>
    </w:p>
    <w:p w:rsidR="00D909F5" w:rsidRPr="007244C2" w:rsidRDefault="00D909F5" w:rsidP="00D909F5">
      <w:pPr>
        <w:autoSpaceDE w:val="0"/>
        <w:autoSpaceDN w:val="0"/>
        <w:adjustRightInd w:val="0"/>
        <w:spacing w:line="480" w:lineRule="auto"/>
        <w:jc w:val="both"/>
      </w:pPr>
    </w:p>
    <w:p w:rsidR="00D909F5" w:rsidRPr="007244C2" w:rsidRDefault="00D909F5" w:rsidP="00D909F5">
      <w:pPr>
        <w:autoSpaceDE w:val="0"/>
        <w:autoSpaceDN w:val="0"/>
        <w:adjustRightInd w:val="0"/>
        <w:spacing w:line="480" w:lineRule="auto"/>
        <w:jc w:val="both"/>
      </w:pPr>
      <w:r w:rsidRPr="007244C2">
        <w:t xml:space="preserve">Then statistical parameters of these signals are extracted and processed by pattern recognition algorithms. Usually a database containing a larger number of training datasets is build so that the pattern of a new signal can be compared to datasets of known conditions and classified as indicating a pathology or a lack of it, similarly to the existing techniques employed in ECG or EEG. </w:t>
      </w:r>
    </w:p>
    <w:p w:rsidR="00D909F5" w:rsidRPr="007244C2" w:rsidRDefault="00D909F5" w:rsidP="00D909F5">
      <w:pPr>
        <w:autoSpaceDE w:val="0"/>
        <w:autoSpaceDN w:val="0"/>
        <w:adjustRightInd w:val="0"/>
        <w:spacing w:line="480" w:lineRule="auto"/>
        <w:jc w:val="both"/>
      </w:pPr>
    </w:p>
    <w:p w:rsidR="00D909F5" w:rsidRPr="007244C2" w:rsidRDefault="00D909F5" w:rsidP="00D909F5">
      <w:pPr>
        <w:autoSpaceDE w:val="0"/>
        <w:autoSpaceDN w:val="0"/>
        <w:adjustRightInd w:val="0"/>
        <w:spacing w:line="480" w:lineRule="auto"/>
        <w:jc w:val="both"/>
      </w:pPr>
      <w:r w:rsidRPr="007244C2">
        <w:t>Krishnan et al</w:t>
      </w:r>
      <w:r w:rsidR="005652B5">
        <w:t>. (</w:t>
      </w:r>
      <w:r w:rsidR="009D3CE3">
        <w:t>Krishnan 2000</w:t>
      </w:r>
      <w:r w:rsidR="005652B5" w:rsidRPr="007244C2">
        <w:t xml:space="preserve"> </w:t>
      </w:r>
      <w:r w:rsidR="009D3CE3">
        <w:t>(ii))</w:t>
      </w:r>
      <w:r w:rsidRPr="007244C2">
        <w:t xml:space="preserve"> used an adaptive time-frequency distribution to calculate entropy, energy spread, frequency and frequency spread of the VAG signals and was able to discrimante the normal vs. abnormal conditions with up to 77.5% accuracy. Umapathy and Krishnan</w:t>
      </w:r>
      <w:r w:rsidR="009D3CE3">
        <w:t xml:space="preserve"> (Umapathy 2006) </w:t>
      </w:r>
      <w:r w:rsidRPr="007244C2">
        <w:t>used wavelet packet decompositions and modified local discriminant bases algorithm and obtained accuracy as high as 80% on a set consisting of 51 normal and 38 abnormal samples. More, recently Rangayyan and Wu</w:t>
      </w:r>
      <w:r w:rsidR="009D3CE3">
        <w:t xml:space="preserve"> (Wu 2008) </w:t>
      </w:r>
      <w:r w:rsidRPr="007244C2">
        <w:t xml:space="preserve">used simpler statistical parameters, such as form factors, skewness, kurtosis and entropy and were able to obtain comparable accuracies to the aforementioned, more </w:t>
      </w:r>
      <w:r w:rsidRPr="007244C2">
        <w:lastRenderedPageBreak/>
        <w:t xml:space="preserve">sophisticated methods. Application of simpler statistical features, however, required application of a more sophisticated algortihm based on radial basis functions network. </w:t>
      </w:r>
    </w:p>
    <w:p w:rsidR="00D909F5" w:rsidRPr="007244C2" w:rsidRDefault="00D909F5" w:rsidP="00D909F5">
      <w:pPr>
        <w:autoSpaceDE w:val="0"/>
        <w:autoSpaceDN w:val="0"/>
        <w:adjustRightInd w:val="0"/>
        <w:spacing w:line="480" w:lineRule="auto"/>
        <w:jc w:val="both"/>
      </w:pPr>
      <w:r w:rsidRPr="007244C2">
        <w:t>Jiang et al.</w:t>
      </w:r>
      <w:r w:rsidR="009D3CE3">
        <w:t xml:space="preserve"> (Jiang 2000)</w:t>
      </w:r>
      <w:r w:rsidRPr="007244C2">
        <w:t xml:space="preserve"> applied vibration arthrometry to study patients with total knee replacement. They found that VAG signals in rapid knee motion can be used to detect early stage of polyethylene wear of the patellar component. They were also able to detect prostehtic metal wear in the late stage, when the knee was being swing slowly, at 2</w:t>
      </w:r>
      <w:r w:rsidR="009937B6" w:rsidRPr="007244C2">
        <w:fldChar w:fldCharType="begin"/>
      </w:r>
      <w:r w:rsidRPr="007244C2">
        <w:instrText xml:space="preserve"> EQ \s\up6(o)</w:instrText>
      </w:r>
      <w:r w:rsidR="009937B6" w:rsidRPr="007244C2">
        <w:fldChar w:fldCharType="end"/>
      </w:r>
      <w:r w:rsidRPr="007244C2">
        <w:t>/s speed.</w:t>
      </w:r>
    </w:p>
    <w:p w:rsidR="00D909F5" w:rsidRPr="007244C2" w:rsidRDefault="00D909F5" w:rsidP="00D909F5">
      <w:pPr>
        <w:autoSpaceDE w:val="0"/>
        <w:autoSpaceDN w:val="0"/>
        <w:adjustRightInd w:val="0"/>
        <w:spacing w:line="480" w:lineRule="auto"/>
        <w:jc w:val="both"/>
      </w:pPr>
    </w:p>
    <w:p w:rsidR="00D909F5" w:rsidRPr="00A20C7B" w:rsidRDefault="00D909F5" w:rsidP="00D909F5">
      <w:pPr>
        <w:autoSpaceDE w:val="0"/>
        <w:autoSpaceDN w:val="0"/>
        <w:adjustRightInd w:val="0"/>
        <w:spacing w:line="480" w:lineRule="auto"/>
        <w:jc w:val="both"/>
      </w:pPr>
      <w:r w:rsidRPr="007244C2">
        <w:t>Analysis of vibration signals from the knee joint has been found to be successful in determining knee joint conditions at an early stage. Further development of such techniques may one day provide the care giver with options that are less-invasive compared to TKAs or at the very least prolong the time for the patient before they have to receive one. Extending the capability of vibration analysis to be able to directly co-relate with in vivo kinematics is the next step in the evolution of vibroarthography. It will provide for comparison of specific vibration patterns with knee joint motion as well as knee joint condition, and will make it possible to determine a more direct cause-and-effect relationship between the two. Hence, while discussing the mechanics of the knee joint a look at such innovative techniques becomes imperative.</w:t>
      </w:r>
      <w:r>
        <w:t xml:space="preserve"> </w:t>
      </w:r>
    </w:p>
    <w:p w:rsidR="00D909F5" w:rsidRDefault="00D909F5" w:rsidP="00D909F5">
      <w:pPr>
        <w:sectPr w:rsidR="00D909F5" w:rsidSect="00F10A0E">
          <w:headerReference w:type="default" r:id="rId34"/>
          <w:headerReference w:type="first" r:id="rId35"/>
          <w:pgSz w:w="12240" w:h="15840" w:code="1"/>
          <w:pgMar w:top="1440" w:right="1440" w:bottom="1872" w:left="2160" w:header="1440" w:footer="1872" w:gutter="0"/>
          <w:cols w:space="720"/>
          <w:titlePg/>
          <w:docGrid w:linePitch="360"/>
        </w:sectPr>
      </w:pPr>
    </w:p>
    <w:p w:rsidR="00D909F5" w:rsidRPr="008F4C6E" w:rsidRDefault="00D909F5" w:rsidP="00D909F5">
      <w:pPr>
        <w:spacing w:line="480" w:lineRule="auto"/>
        <w:rPr>
          <w:b/>
        </w:rPr>
      </w:pPr>
      <w:r w:rsidRPr="008F4C6E">
        <w:rPr>
          <w:b/>
        </w:rPr>
        <w:lastRenderedPageBreak/>
        <w:t>4.1 Patient Selection</w:t>
      </w:r>
    </w:p>
    <w:p w:rsidR="00D909F5" w:rsidRDefault="00D909F5" w:rsidP="00D909F5">
      <w:pPr>
        <w:spacing w:line="480" w:lineRule="auto"/>
        <w:jc w:val="both"/>
      </w:pPr>
      <w:r w:rsidRPr="00D26F95">
        <w:t xml:space="preserve">The patients selected for this study were part of two different kinematic studies conducted at the center for Musculoskeletal Research. Eight subjects (9 TKA) implanted with a PFC Sigma RP-PS TKA (DePuy Inc) and nine subjects (10 TKA) implanted with the Journey BCS TKA were selected (Smith &amp; Nephew Inc). Each set of TKAs was implanted by the same surgeon. The knee side of the implantation, age of the patients and post-op time was kept as close to equal as possible (Table 4-1). This was done in order to create a more controlled data set during analysis. Each subject was asked to perform a series of successive weight-bearing deep knee bends cycles on the implanted knee.  </w:t>
      </w:r>
      <w:r w:rsidRPr="00D26F95">
        <w:lastRenderedPageBreak/>
        <w:t>Patients were examined while performing these activities using a C-Arm type fluoroscopic unit.  The fluoroscopic images were stored on videotape for subsequent re-digitization and analysis using a frame grabber.</w:t>
      </w:r>
    </w:p>
    <w:p w:rsidR="00D909F5" w:rsidRPr="00D26F95" w:rsidRDefault="00D909F5" w:rsidP="00D909F5">
      <w:pPr>
        <w:spacing w:line="480" w:lineRule="auto"/>
      </w:pPr>
    </w:p>
    <w:p w:rsidR="00D909F5" w:rsidRPr="002415FB" w:rsidRDefault="00D909F5" w:rsidP="00D909F5">
      <w:pPr>
        <w:pStyle w:val="Caption"/>
        <w:keepNext/>
        <w:spacing w:line="480" w:lineRule="auto"/>
        <w:rPr>
          <w:b/>
        </w:rPr>
      </w:pPr>
      <w:bookmarkStart w:id="0" w:name="_Ref185782657"/>
      <w:bookmarkStart w:id="1" w:name="_Toc185782675"/>
      <w:r w:rsidRPr="002415FB">
        <w:rPr>
          <w:b/>
        </w:rPr>
        <w:t xml:space="preserve">Table </w:t>
      </w:r>
      <w:bookmarkEnd w:id="0"/>
      <w:r w:rsidRPr="002415FB">
        <w:rPr>
          <w:b/>
        </w:rPr>
        <w:t>4-1: Demographic information for all patients.</w:t>
      </w:r>
      <w:bookmarkEnd w:id="1"/>
    </w:p>
    <w:tbl>
      <w:tblPr>
        <w:tblW w:w="10188" w:type="dxa"/>
        <w:tblInd w:w="-6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tblPr>
      <w:tblGrid>
        <w:gridCol w:w="2088"/>
        <w:gridCol w:w="1530"/>
        <w:gridCol w:w="1260"/>
        <w:gridCol w:w="2430"/>
        <w:gridCol w:w="990"/>
        <w:gridCol w:w="1890"/>
      </w:tblGrid>
      <w:tr w:rsidR="00D909F5" w:rsidRPr="00D26F95" w:rsidTr="00A70CB9">
        <w:tc>
          <w:tcPr>
            <w:tcW w:w="2088" w:type="dxa"/>
            <w:shd w:val="clear" w:color="auto" w:fill="auto"/>
            <w:vAlign w:val="center"/>
          </w:tcPr>
          <w:p w:rsidR="00D909F5" w:rsidRPr="00D26F95" w:rsidRDefault="00D909F5" w:rsidP="00A70CB9">
            <w:pPr>
              <w:tabs>
                <w:tab w:val="left" w:pos="1710"/>
              </w:tabs>
              <w:ind w:right="-18"/>
              <w:jc w:val="center"/>
              <w:rPr>
                <w:b/>
                <w:bCs/>
                <w:caps/>
              </w:rPr>
            </w:pPr>
            <w:r w:rsidRPr="00D26F95">
              <w:rPr>
                <w:b/>
                <w:bCs/>
                <w:caps/>
              </w:rPr>
              <w:t>Group</w:t>
            </w:r>
          </w:p>
        </w:tc>
        <w:tc>
          <w:tcPr>
            <w:tcW w:w="1530" w:type="dxa"/>
            <w:shd w:val="clear" w:color="auto" w:fill="auto"/>
            <w:vAlign w:val="center"/>
          </w:tcPr>
          <w:p w:rsidR="00D909F5" w:rsidRPr="00D26F95" w:rsidRDefault="00D909F5" w:rsidP="00A70CB9">
            <w:pPr>
              <w:tabs>
                <w:tab w:val="left" w:pos="1710"/>
              </w:tabs>
              <w:ind w:right="-18"/>
              <w:jc w:val="center"/>
              <w:rPr>
                <w:b/>
                <w:bCs/>
                <w:caps/>
              </w:rPr>
            </w:pPr>
            <w:r w:rsidRPr="00D26F95">
              <w:rPr>
                <w:b/>
                <w:bCs/>
                <w:caps/>
              </w:rPr>
              <w:t># of</w:t>
            </w:r>
          </w:p>
          <w:p w:rsidR="00D909F5" w:rsidRPr="00D26F95" w:rsidRDefault="00D909F5" w:rsidP="00A70CB9">
            <w:pPr>
              <w:tabs>
                <w:tab w:val="left" w:pos="1710"/>
              </w:tabs>
              <w:ind w:right="-18"/>
              <w:jc w:val="center"/>
              <w:rPr>
                <w:b/>
                <w:bCs/>
                <w:caps/>
              </w:rPr>
            </w:pPr>
            <w:r w:rsidRPr="00D26F95">
              <w:rPr>
                <w:b/>
                <w:bCs/>
                <w:caps/>
              </w:rPr>
              <w:t>Subjects</w:t>
            </w:r>
          </w:p>
        </w:tc>
        <w:tc>
          <w:tcPr>
            <w:tcW w:w="1260" w:type="dxa"/>
            <w:shd w:val="clear" w:color="auto" w:fill="auto"/>
            <w:vAlign w:val="center"/>
          </w:tcPr>
          <w:p w:rsidR="00D909F5" w:rsidRPr="00D26F95" w:rsidRDefault="00D909F5" w:rsidP="00A70CB9">
            <w:pPr>
              <w:tabs>
                <w:tab w:val="left" w:pos="1710"/>
              </w:tabs>
              <w:ind w:right="-18"/>
              <w:jc w:val="center"/>
              <w:rPr>
                <w:b/>
                <w:bCs/>
                <w:caps/>
              </w:rPr>
            </w:pPr>
            <w:r w:rsidRPr="00D26F95">
              <w:rPr>
                <w:b/>
                <w:bCs/>
                <w:caps/>
              </w:rPr>
              <w:t># of TKA</w:t>
            </w:r>
          </w:p>
        </w:tc>
        <w:tc>
          <w:tcPr>
            <w:tcW w:w="2430" w:type="dxa"/>
            <w:shd w:val="clear" w:color="auto" w:fill="auto"/>
            <w:vAlign w:val="center"/>
          </w:tcPr>
          <w:p w:rsidR="00D909F5" w:rsidRPr="00D26F95" w:rsidRDefault="00D909F5" w:rsidP="00A70CB9">
            <w:pPr>
              <w:tabs>
                <w:tab w:val="left" w:pos="1710"/>
              </w:tabs>
              <w:ind w:right="-18"/>
              <w:jc w:val="center"/>
              <w:rPr>
                <w:b/>
                <w:bCs/>
                <w:caps/>
              </w:rPr>
            </w:pPr>
            <w:r w:rsidRPr="00D26F95">
              <w:rPr>
                <w:b/>
                <w:bCs/>
                <w:caps/>
              </w:rPr>
              <w:t>Age (Years)</w:t>
            </w:r>
          </w:p>
        </w:tc>
        <w:tc>
          <w:tcPr>
            <w:tcW w:w="990" w:type="dxa"/>
            <w:shd w:val="clear" w:color="auto" w:fill="auto"/>
            <w:vAlign w:val="center"/>
          </w:tcPr>
          <w:p w:rsidR="00D909F5" w:rsidRPr="00D26F95" w:rsidRDefault="00D909F5" w:rsidP="00A70CB9">
            <w:pPr>
              <w:tabs>
                <w:tab w:val="left" w:pos="1710"/>
              </w:tabs>
              <w:ind w:right="-18"/>
              <w:jc w:val="center"/>
              <w:rPr>
                <w:b/>
                <w:bCs/>
                <w:caps/>
              </w:rPr>
            </w:pPr>
            <w:r w:rsidRPr="00D26F95">
              <w:rPr>
                <w:b/>
                <w:bCs/>
                <w:caps/>
              </w:rPr>
              <w:t>Side</w:t>
            </w:r>
          </w:p>
        </w:tc>
        <w:tc>
          <w:tcPr>
            <w:tcW w:w="1890" w:type="dxa"/>
            <w:shd w:val="clear" w:color="auto" w:fill="auto"/>
            <w:vAlign w:val="center"/>
          </w:tcPr>
          <w:p w:rsidR="00D909F5" w:rsidRPr="00D26F95" w:rsidRDefault="00D909F5" w:rsidP="00A70CB9">
            <w:pPr>
              <w:tabs>
                <w:tab w:val="left" w:pos="1710"/>
              </w:tabs>
              <w:ind w:right="-18"/>
              <w:jc w:val="center"/>
              <w:rPr>
                <w:b/>
                <w:bCs/>
                <w:caps/>
              </w:rPr>
            </w:pPr>
          </w:p>
          <w:p w:rsidR="00D909F5" w:rsidRPr="00D26F95" w:rsidRDefault="00D909F5" w:rsidP="00A70CB9">
            <w:pPr>
              <w:tabs>
                <w:tab w:val="left" w:pos="1710"/>
              </w:tabs>
              <w:ind w:right="-18"/>
              <w:jc w:val="center"/>
              <w:rPr>
                <w:b/>
                <w:bCs/>
                <w:caps/>
              </w:rPr>
            </w:pPr>
            <w:r w:rsidRPr="00D26F95">
              <w:rPr>
                <w:b/>
                <w:bCs/>
                <w:caps/>
              </w:rPr>
              <w:t>Post-op time</w:t>
            </w:r>
          </w:p>
          <w:p w:rsidR="00D909F5" w:rsidRPr="00D26F95" w:rsidRDefault="00D909F5" w:rsidP="00A70CB9">
            <w:pPr>
              <w:tabs>
                <w:tab w:val="left" w:pos="1710"/>
              </w:tabs>
              <w:ind w:right="-18"/>
              <w:jc w:val="center"/>
              <w:rPr>
                <w:b/>
                <w:bCs/>
                <w:caps/>
              </w:rPr>
            </w:pPr>
            <w:r w:rsidRPr="00D26F95">
              <w:rPr>
                <w:b/>
                <w:bCs/>
                <w:caps/>
              </w:rPr>
              <w:t>(years)</w:t>
            </w:r>
          </w:p>
          <w:p w:rsidR="00D909F5" w:rsidRPr="00D26F95" w:rsidRDefault="00D909F5" w:rsidP="00A70CB9">
            <w:pPr>
              <w:tabs>
                <w:tab w:val="left" w:pos="1710"/>
              </w:tabs>
              <w:ind w:right="-18"/>
              <w:jc w:val="center"/>
              <w:rPr>
                <w:b/>
                <w:bCs/>
                <w:caps/>
              </w:rPr>
            </w:pPr>
          </w:p>
        </w:tc>
      </w:tr>
      <w:tr w:rsidR="00D909F5" w:rsidRPr="00D26F95" w:rsidTr="00A70CB9">
        <w:tc>
          <w:tcPr>
            <w:tcW w:w="2088" w:type="dxa"/>
            <w:shd w:val="clear" w:color="auto" w:fill="auto"/>
            <w:vAlign w:val="center"/>
          </w:tcPr>
          <w:p w:rsidR="00D909F5" w:rsidRPr="00D26F95" w:rsidRDefault="00D909F5" w:rsidP="00A70CB9">
            <w:pPr>
              <w:tabs>
                <w:tab w:val="left" w:pos="1710"/>
              </w:tabs>
              <w:ind w:right="-18"/>
              <w:jc w:val="center"/>
              <w:rPr>
                <w:bCs/>
              </w:rPr>
            </w:pPr>
            <w:r w:rsidRPr="00D26F95">
              <w:rPr>
                <w:bCs/>
              </w:rPr>
              <w:t>Sigma RP-PS TKA</w:t>
            </w:r>
          </w:p>
        </w:tc>
        <w:tc>
          <w:tcPr>
            <w:tcW w:w="1530" w:type="dxa"/>
            <w:shd w:val="clear" w:color="auto" w:fill="auto"/>
            <w:vAlign w:val="center"/>
          </w:tcPr>
          <w:p w:rsidR="00D909F5" w:rsidRPr="00D26F95" w:rsidRDefault="00D909F5" w:rsidP="00A70CB9">
            <w:pPr>
              <w:tabs>
                <w:tab w:val="left" w:pos="1710"/>
              </w:tabs>
              <w:ind w:right="-18"/>
              <w:jc w:val="center"/>
              <w:rPr>
                <w:bCs/>
              </w:rPr>
            </w:pPr>
            <w:r w:rsidRPr="00D26F95">
              <w:rPr>
                <w:bCs/>
              </w:rPr>
              <w:t>8</w:t>
            </w:r>
          </w:p>
        </w:tc>
        <w:tc>
          <w:tcPr>
            <w:tcW w:w="1260" w:type="dxa"/>
            <w:shd w:val="clear" w:color="auto" w:fill="auto"/>
            <w:vAlign w:val="center"/>
          </w:tcPr>
          <w:p w:rsidR="00D909F5" w:rsidRPr="00D26F95" w:rsidRDefault="00D909F5" w:rsidP="00A70CB9">
            <w:pPr>
              <w:tabs>
                <w:tab w:val="left" w:pos="1710"/>
              </w:tabs>
              <w:ind w:right="-18"/>
              <w:jc w:val="center"/>
              <w:rPr>
                <w:bCs/>
              </w:rPr>
            </w:pPr>
            <w:r w:rsidRPr="00D26F95">
              <w:rPr>
                <w:bCs/>
              </w:rPr>
              <w:t>9</w:t>
            </w:r>
          </w:p>
        </w:tc>
        <w:tc>
          <w:tcPr>
            <w:tcW w:w="2430" w:type="dxa"/>
            <w:shd w:val="clear" w:color="auto" w:fill="auto"/>
            <w:vAlign w:val="center"/>
          </w:tcPr>
          <w:p w:rsidR="00D909F5" w:rsidRPr="00D26F95" w:rsidRDefault="00D909F5" w:rsidP="00A70CB9">
            <w:pPr>
              <w:tabs>
                <w:tab w:val="left" w:pos="1710"/>
              </w:tabs>
              <w:ind w:right="-18"/>
              <w:jc w:val="center"/>
              <w:rPr>
                <w:bCs/>
              </w:rPr>
            </w:pPr>
            <w:r w:rsidRPr="00D26F95">
              <w:rPr>
                <w:bCs/>
              </w:rPr>
              <w:t>68</w:t>
            </w:r>
          </w:p>
          <w:p w:rsidR="00D909F5" w:rsidRPr="00D26F95" w:rsidRDefault="00D909F5" w:rsidP="00A70CB9">
            <w:pPr>
              <w:tabs>
                <w:tab w:val="left" w:pos="1710"/>
              </w:tabs>
              <w:ind w:right="-18"/>
              <w:jc w:val="center"/>
              <w:rPr>
                <w:bCs/>
              </w:rPr>
            </w:pPr>
            <w:r w:rsidRPr="00D26F95">
              <w:rPr>
                <w:bCs/>
              </w:rPr>
              <w:t>(50-77, SD=6.9)</w:t>
            </w:r>
          </w:p>
        </w:tc>
        <w:tc>
          <w:tcPr>
            <w:tcW w:w="990" w:type="dxa"/>
            <w:shd w:val="clear" w:color="auto" w:fill="auto"/>
            <w:vAlign w:val="center"/>
          </w:tcPr>
          <w:p w:rsidR="00D909F5" w:rsidRPr="00D26F95" w:rsidRDefault="00D909F5" w:rsidP="00A70CB9">
            <w:pPr>
              <w:tabs>
                <w:tab w:val="left" w:pos="1710"/>
              </w:tabs>
              <w:ind w:right="-18"/>
              <w:jc w:val="center"/>
              <w:rPr>
                <w:bCs/>
              </w:rPr>
            </w:pPr>
            <w:r w:rsidRPr="00D26F95">
              <w:rPr>
                <w:bCs/>
              </w:rPr>
              <w:t>4 Left, 5 Right</w:t>
            </w:r>
          </w:p>
        </w:tc>
        <w:tc>
          <w:tcPr>
            <w:tcW w:w="1890" w:type="dxa"/>
            <w:shd w:val="clear" w:color="auto" w:fill="auto"/>
            <w:vAlign w:val="center"/>
          </w:tcPr>
          <w:p w:rsidR="00D909F5" w:rsidRPr="00D26F95" w:rsidRDefault="00D909F5" w:rsidP="00A70CB9">
            <w:pPr>
              <w:tabs>
                <w:tab w:val="left" w:pos="1710"/>
              </w:tabs>
              <w:ind w:right="-18"/>
              <w:jc w:val="center"/>
              <w:rPr>
                <w:bCs/>
              </w:rPr>
            </w:pPr>
            <w:r w:rsidRPr="00D26F95">
              <w:rPr>
                <w:bCs/>
              </w:rPr>
              <w:t>4.9 (4.7-5.1)</w:t>
            </w:r>
          </w:p>
        </w:tc>
      </w:tr>
      <w:tr w:rsidR="00D909F5" w:rsidRPr="00D26F95" w:rsidTr="00A70CB9">
        <w:tc>
          <w:tcPr>
            <w:tcW w:w="2088" w:type="dxa"/>
            <w:shd w:val="clear" w:color="auto" w:fill="auto"/>
            <w:vAlign w:val="center"/>
          </w:tcPr>
          <w:p w:rsidR="00D909F5" w:rsidRPr="00D26F95" w:rsidRDefault="00D909F5" w:rsidP="00A70CB9">
            <w:pPr>
              <w:tabs>
                <w:tab w:val="left" w:pos="1710"/>
              </w:tabs>
              <w:ind w:right="-18"/>
              <w:jc w:val="center"/>
              <w:rPr>
                <w:bCs/>
              </w:rPr>
            </w:pPr>
            <w:r w:rsidRPr="00D26F95">
              <w:rPr>
                <w:bCs/>
              </w:rPr>
              <w:t>Journey BCS TKA</w:t>
            </w:r>
          </w:p>
        </w:tc>
        <w:tc>
          <w:tcPr>
            <w:tcW w:w="1530" w:type="dxa"/>
            <w:shd w:val="clear" w:color="auto" w:fill="auto"/>
            <w:vAlign w:val="center"/>
          </w:tcPr>
          <w:p w:rsidR="00D909F5" w:rsidRPr="00D26F95" w:rsidRDefault="00D909F5" w:rsidP="00A70CB9">
            <w:pPr>
              <w:tabs>
                <w:tab w:val="left" w:pos="1710"/>
              </w:tabs>
              <w:ind w:right="-18"/>
              <w:jc w:val="center"/>
              <w:rPr>
                <w:bCs/>
              </w:rPr>
            </w:pPr>
            <w:r w:rsidRPr="00D26F95">
              <w:rPr>
                <w:bCs/>
              </w:rPr>
              <w:t>9</w:t>
            </w:r>
          </w:p>
        </w:tc>
        <w:tc>
          <w:tcPr>
            <w:tcW w:w="1260" w:type="dxa"/>
            <w:shd w:val="clear" w:color="auto" w:fill="auto"/>
            <w:vAlign w:val="center"/>
          </w:tcPr>
          <w:p w:rsidR="00D909F5" w:rsidRPr="00D26F95" w:rsidRDefault="00D909F5" w:rsidP="00A70CB9">
            <w:pPr>
              <w:tabs>
                <w:tab w:val="left" w:pos="1710"/>
              </w:tabs>
              <w:ind w:right="-18"/>
              <w:jc w:val="center"/>
              <w:rPr>
                <w:bCs/>
              </w:rPr>
            </w:pPr>
            <w:r w:rsidRPr="00D26F95">
              <w:rPr>
                <w:bCs/>
              </w:rPr>
              <w:t>10</w:t>
            </w:r>
          </w:p>
        </w:tc>
        <w:tc>
          <w:tcPr>
            <w:tcW w:w="2430" w:type="dxa"/>
            <w:shd w:val="clear" w:color="auto" w:fill="auto"/>
            <w:vAlign w:val="center"/>
          </w:tcPr>
          <w:p w:rsidR="00D909F5" w:rsidRPr="00D26F95" w:rsidRDefault="00D909F5" w:rsidP="00A70CB9">
            <w:pPr>
              <w:tabs>
                <w:tab w:val="left" w:pos="1710"/>
              </w:tabs>
              <w:ind w:right="-18"/>
              <w:jc w:val="center"/>
            </w:pPr>
            <w:r w:rsidRPr="00D26F95">
              <w:t>67.1</w:t>
            </w:r>
          </w:p>
          <w:p w:rsidR="00D909F5" w:rsidRPr="00D26F95" w:rsidRDefault="00D909F5" w:rsidP="00A70CB9">
            <w:pPr>
              <w:tabs>
                <w:tab w:val="left" w:pos="1710"/>
              </w:tabs>
              <w:ind w:right="-18"/>
              <w:jc w:val="center"/>
              <w:rPr>
                <w:bCs/>
              </w:rPr>
            </w:pPr>
            <w:r w:rsidRPr="00D26F95">
              <w:t>(40 to 82, SD=8.9)</w:t>
            </w:r>
          </w:p>
        </w:tc>
        <w:tc>
          <w:tcPr>
            <w:tcW w:w="990" w:type="dxa"/>
            <w:shd w:val="clear" w:color="auto" w:fill="auto"/>
            <w:vAlign w:val="center"/>
          </w:tcPr>
          <w:p w:rsidR="00D909F5" w:rsidRPr="00D26F95" w:rsidRDefault="00D909F5" w:rsidP="00A70CB9">
            <w:pPr>
              <w:tabs>
                <w:tab w:val="left" w:pos="1710"/>
              </w:tabs>
              <w:ind w:right="-18"/>
              <w:jc w:val="center"/>
              <w:rPr>
                <w:bCs/>
              </w:rPr>
            </w:pPr>
            <w:r w:rsidRPr="00D26F95">
              <w:rPr>
                <w:bCs/>
              </w:rPr>
              <w:t>5 Left, 5 Right</w:t>
            </w:r>
          </w:p>
        </w:tc>
        <w:tc>
          <w:tcPr>
            <w:tcW w:w="1890" w:type="dxa"/>
            <w:shd w:val="clear" w:color="auto" w:fill="auto"/>
            <w:vAlign w:val="center"/>
          </w:tcPr>
          <w:p w:rsidR="00D909F5" w:rsidRPr="00D26F95" w:rsidRDefault="00D909F5" w:rsidP="00A70CB9">
            <w:pPr>
              <w:tabs>
                <w:tab w:val="left" w:pos="1710"/>
              </w:tabs>
              <w:ind w:right="-18"/>
              <w:jc w:val="center"/>
              <w:rPr>
                <w:bCs/>
              </w:rPr>
            </w:pPr>
            <w:r w:rsidRPr="00D26F95">
              <w:t>4.1 (3.9-5.5)</w:t>
            </w:r>
          </w:p>
        </w:tc>
      </w:tr>
    </w:tbl>
    <w:p w:rsidR="00D909F5" w:rsidRDefault="00D909F5" w:rsidP="00D909F5">
      <w:pPr>
        <w:tabs>
          <w:tab w:val="left" w:pos="1710"/>
        </w:tabs>
        <w:spacing w:line="480" w:lineRule="auto"/>
        <w:ind w:right="-18"/>
        <w:rPr>
          <w:b/>
          <w:bCs/>
        </w:rPr>
      </w:pPr>
    </w:p>
    <w:p w:rsidR="00D909F5" w:rsidRPr="00D26F95" w:rsidRDefault="00D909F5" w:rsidP="00D909F5">
      <w:pPr>
        <w:tabs>
          <w:tab w:val="left" w:pos="1710"/>
        </w:tabs>
        <w:spacing w:line="480" w:lineRule="auto"/>
        <w:ind w:right="-18"/>
        <w:rPr>
          <w:b/>
          <w:bCs/>
        </w:rPr>
      </w:pPr>
    </w:p>
    <w:p w:rsidR="00D909F5" w:rsidRPr="00D26F95" w:rsidRDefault="00D909F5" w:rsidP="00D909F5">
      <w:pPr>
        <w:spacing w:line="480" w:lineRule="auto"/>
        <w:jc w:val="both"/>
      </w:pPr>
      <w:r w:rsidRPr="00D26F95">
        <w:t>For the vibroarthrography part of the study, a different set of 76 native knee (both arthritic and normal) patients and 8 failed TKA patients were enrolled for the study. This cohort included five category of patients:</w:t>
      </w:r>
    </w:p>
    <w:p w:rsidR="00D909F5" w:rsidRPr="00D26F95" w:rsidRDefault="00D909F5" w:rsidP="00D909F5">
      <w:pPr>
        <w:pStyle w:val="ListParagraph"/>
        <w:numPr>
          <w:ilvl w:val="0"/>
          <w:numId w:val="10"/>
        </w:numPr>
        <w:spacing w:line="480" w:lineRule="auto"/>
        <w:jc w:val="both"/>
        <w:rPr>
          <w:rFonts w:ascii="Times New Roman" w:hAnsi="Times New Roman"/>
          <w:sz w:val="24"/>
          <w:szCs w:val="24"/>
        </w:rPr>
      </w:pPr>
      <w:r w:rsidRPr="00D26F95">
        <w:rPr>
          <w:rFonts w:ascii="Times New Roman" w:hAnsi="Times New Roman"/>
          <w:sz w:val="24"/>
          <w:szCs w:val="24"/>
        </w:rPr>
        <w:t>Normal well functioning knees</w:t>
      </w:r>
    </w:p>
    <w:p w:rsidR="00D909F5" w:rsidRPr="00D26F95" w:rsidRDefault="00D909F5" w:rsidP="00D909F5">
      <w:pPr>
        <w:pStyle w:val="ListParagraph"/>
        <w:numPr>
          <w:ilvl w:val="0"/>
          <w:numId w:val="10"/>
        </w:numPr>
        <w:spacing w:line="480" w:lineRule="auto"/>
        <w:jc w:val="both"/>
        <w:rPr>
          <w:rFonts w:ascii="Times New Roman" w:hAnsi="Times New Roman"/>
          <w:sz w:val="24"/>
          <w:szCs w:val="24"/>
        </w:rPr>
      </w:pPr>
      <w:r w:rsidRPr="00D26F95">
        <w:rPr>
          <w:rFonts w:ascii="Times New Roman" w:hAnsi="Times New Roman"/>
          <w:sz w:val="24"/>
          <w:szCs w:val="24"/>
        </w:rPr>
        <w:t>Older well functioning knees</w:t>
      </w:r>
    </w:p>
    <w:p w:rsidR="00D909F5" w:rsidRPr="00D26F95" w:rsidRDefault="00D909F5" w:rsidP="00D909F5">
      <w:pPr>
        <w:pStyle w:val="ListParagraph"/>
        <w:numPr>
          <w:ilvl w:val="0"/>
          <w:numId w:val="10"/>
        </w:numPr>
        <w:spacing w:line="480" w:lineRule="auto"/>
        <w:jc w:val="both"/>
        <w:rPr>
          <w:rFonts w:ascii="Times New Roman" w:hAnsi="Times New Roman"/>
          <w:sz w:val="24"/>
          <w:szCs w:val="24"/>
        </w:rPr>
      </w:pPr>
      <w:r w:rsidRPr="00D26F95">
        <w:rPr>
          <w:rFonts w:ascii="Times New Roman" w:hAnsi="Times New Roman"/>
          <w:sz w:val="24"/>
          <w:szCs w:val="24"/>
        </w:rPr>
        <w:t>Arthritic knees</w:t>
      </w:r>
    </w:p>
    <w:p w:rsidR="00D909F5" w:rsidRPr="00D26F95" w:rsidRDefault="00D909F5" w:rsidP="00D909F5">
      <w:pPr>
        <w:pStyle w:val="ListParagraph"/>
        <w:numPr>
          <w:ilvl w:val="0"/>
          <w:numId w:val="10"/>
        </w:numPr>
        <w:spacing w:line="480" w:lineRule="auto"/>
        <w:jc w:val="both"/>
        <w:rPr>
          <w:rFonts w:ascii="Times New Roman" w:hAnsi="Times New Roman"/>
          <w:sz w:val="24"/>
          <w:szCs w:val="24"/>
        </w:rPr>
      </w:pPr>
      <w:r w:rsidRPr="00D26F95">
        <w:rPr>
          <w:rFonts w:ascii="Times New Roman" w:hAnsi="Times New Roman"/>
          <w:sz w:val="24"/>
          <w:szCs w:val="24"/>
        </w:rPr>
        <w:t>Well functioning TKAs</w:t>
      </w:r>
    </w:p>
    <w:p w:rsidR="00D909F5" w:rsidRPr="00D26F95" w:rsidRDefault="00D909F5" w:rsidP="00D909F5">
      <w:pPr>
        <w:pStyle w:val="ListParagraph"/>
        <w:numPr>
          <w:ilvl w:val="0"/>
          <w:numId w:val="10"/>
        </w:numPr>
        <w:spacing w:line="480" w:lineRule="auto"/>
        <w:jc w:val="both"/>
        <w:rPr>
          <w:rFonts w:ascii="Times New Roman" w:hAnsi="Times New Roman"/>
          <w:sz w:val="24"/>
          <w:szCs w:val="24"/>
        </w:rPr>
      </w:pPr>
      <w:r w:rsidRPr="00D26F95">
        <w:rPr>
          <w:rFonts w:ascii="Times New Roman" w:hAnsi="Times New Roman"/>
          <w:sz w:val="24"/>
          <w:szCs w:val="24"/>
        </w:rPr>
        <w:t>Failed TKAs</w:t>
      </w:r>
    </w:p>
    <w:p w:rsidR="00D909F5" w:rsidRDefault="00D909F5" w:rsidP="00D909F5">
      <w:pPr>
        <w:spacing w:line="480" w:lineRule="auto"/>
        <w:jc w:val="both"/>
      </w:pPr>
      <w:r w:rsidRPr="00D26F95">
        <w:lastRenderedPageBreak/>
        <w:t xml:space="preserve"> During examinations, each patient was asked to perform a number of different activities. These included: Deep knee bend, gait, leg swing (2 second cycle and 4 second cycle), chair rise and stair assent and descent. The vibration data was correlated with either fluoroscopy driven 3D kinematics or detailed cartilage condition information provided by the surgeon (for arthritic knees).</w:t>
      </w:r>
    </w:p>
    <w:p w:rsidR="00D909F5" w:rsidRDefault="00D909F5" w:rsidP="00D909F5">
      <w:pPr>
        <w:spacing w:line="480" w:lineRule="auto"/>
        <w:jc w:val="both"/>
      </w:pPr>
    </w:p>
    <w:p w:rsidR="00D909F5" w:rsidRDefault="00D909F5" w:rsidP="00D909F5">
      <w:pPr>
        <w:spacing w:line="480" w:lineRule="auto"/>
        <w:jc w:val="both"/>
        <w:rPr>
          <w:b/>
        </w:rPr>
      </w:pPr>
      <w:r>
        <w:rPr>
          <w:b/>
        </w:rPr>
        <w:t>4.2 Fluoroscopy</w:t>
      </w:r>
    </w:p>
    <w:p w:rsidR="00D909F5" w:rsidRDefault="00D909F5" w:rsidP="00D909F5">
      <w:pPr>
        <w:spacing w:line="480" w:lineRule="auto"/>
        <w:jc w:val="both"/>
      </w:pPr>
      <w:r w:rsidRPr="00836792">
        <w:t>To collect the fluoroscopy data each patient was asked to stand within the sco</w:t>
      </w:r>
      <w:r>
        <w:t xml:space="preserve">pe of a C-arm fluoroscopy unit. </w:t>
      </w:r>
      <w:r w:rsidRPr="00010069">
        <w:t xml:space="preserve">The fluoroscopic machine was operated by a certified radiation technician. The use of fluoroscopy allows for the formation of a basic projection image, captured by passing pulsated radiation through the subject’s joint and onto an image intensifier (usually a ten to twelve inch diameter circle). A high frequency pulsed fluoroscopy unit (OEC 9800, General Electronic Medical Systems, Salt Lake City, Utah, USA), consisting of a C-arm with high resolution intensifier and a high power rotating anode X-ray tube was used in this study. </w:t>
      </w:r>
    </w:p>
    <w:p w:rsidR="00D909F5" w:rsidRDefault="00D909F5" w:rsidP="00D909F5">
      <w:pPr>
        <w:spacing w:line="480" w:lineRule="auto"/>
        <w:jc w:val="both"/>
      </w:pPr>
    </w:p>
    <w:p w:rsidR="00D909F5" w:rsidRPr="00D26F95" w:rsidRDefault="00D909F5" w:rsidP="00D909F5">
      <w:pPr>
        <w:spacing w:line="480" w:lineRule="auto"/>
        <w:jc w:val="both"/>
      </w:pPr>
      <w:r>
        <w:t xml:space="preserve">The patient was asked to place their </w:t>
      </w:r>
      <w:r w:rsidRPr="00836792">
        <w:t xml:space="preserve">implanted knee close to the image intensifier and the non-affected knee placed outside the intensifier range. The subject then performed a deep knee bend from full extension to maximum knee flexion, moving at a slow pace.  The patient was asked to keep the foot of the affected knee firmly planted on the ground at all </w:t>
      </w:r>
      <w:r w:rsidRPr="00836792">
        <w:lastRenderedPageBreak/>
        <w:t xml:space="preserve">times (Figure 4-1). </w:t>
      </w:r>
      <w:r w:rsidRPr="00010069">
        <w:t>The fluoroscopic video was captured at 30 frames per-second with a resolution of 720x680 pixels</w:t>
      </w:r>
      <w:r>
        <w:t>.</w:t>
      </w:r>
      <w:r w:rsidRPr="00010069">
        <w:t xml:space="preserve"> </w:t>
      </w:r>
    </w:p>
    <w:p w:rsidR="00D909F5" w:rsidRPr="00C51C45" w:rsidRDefault="001F4A25" w:rsidP="00D909F5">
      <w:pPr>
        <w:spacing w:line="480" w:lineRule="auto"/>
        <w:jc w:val="center"/>
      </w:pPr>
      <w:r>
        <w:rPr>
          <w:noProof/>
          <w:sz w:val="16"/>
          <w:szCs w:val="16"/>
        </w:rPr>
        <w:drawing>
          <wp:inline distT="0" distB="0" distL="0" distR="0">
            <wp:extent cx="5257800" cy="220218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srcRect/>
                    <a:stretch>
                      <a:fillRect/>
                    </a:stretch>
                  </pic:blipFill>
                  <pic:spPr bwMode="auto">
                    <a:xfrm>
                      <a:off x="0" y="0"/>
                      <a:ext cx="5257800" cy="2202180"/>
                    </a:xfrm>
                    <a:prstGeom prst="rect">
                      <a:avLst/>
                    </a:prstGeom>
                    <a:noFill/>
                    <a:ln w="9525">
                      <a:noFill/>
                      <a:miter lim="800000"/>
                      <a:headEnd/>
                      <a:tailEnd/>
                    </a:ln>
                  </pic:spPr>
                </pic:pic>
              </a:graphicData>
            </a:graphic>
          </wp:inline>
        </w:drawing>
      </w:r>
    </w:p>
    <w:p w:rsidR="00D909F5" w:rsidRPr="00836792" w:rsidRDefault="00D909F5" w:rsidP="00D909F5">
      <w:pPr>
        <w:spacing w:line="480" w:lineRule="auto"/>
        <w:jc w:val="both"/>
        <w:rPr>
          <w:b/>
        </w:rPr>
      </w:pPr>
      <w:r w:rsidRPr="00836792">
        <w:rPr>
          <w:b/>
        </w:rPr>
        <w:t>Figure 4-1: Fluoroscoping the Deep Knee Bend Activity (Mahfouz, 2003).</w:t>
      </w:r>
    </w:p>
    <w:p w:rsidR="00D909F5" w:rsidRPr="00836792" w:rsidRDefault="00D909F5" w:rsidP="00D909F5">
      <w:pPr>
        <w:autoSpaceDE w:val="0"/>
        <w:autoSpaceDN w:val="0"/>
        <w:adjustRightInd w:val="0"/>
      </w:pPr>
    </w:p>
    <w:p w:rsidR="00D909F5" w:rsidRDefault="00D909F5" w:rsidP="00D909F5">
      <w:pPr>
        <w:spacing w:line="480" w:lineRule="auto"/>
        <w:jc w:val="both"/>
      </w:pPr>
      <w:r>
        <w:t>The captured videos (720*480)</w:t>
      </w:r>
      <w:r w:rsidRPr="00836792">
        <w:t xml:space="preserve"> were broken down into still images of size 640 x 480 </w:t>
      </w:r>
      <w:r w:rsidRPr="00010069">
        <w:t>and were saved in tiff format in order to gain the best quality.</w:t>
      </w:r>
      <w:r>
        <w:t xml:space="preserve"> </w:t>
      </w:r>
      <w:r w:rsidRPr="00836792">
        <w:t>For each patient, images from zero to maximum flexion at increments of 10° of flexion were used for the analysis.</w:t>
      </w:r>
      <w:r>
        <w:t xml:space="preserve"> </w:t>
      </w:r>
    </w:p>
    <w:p w:rsidR="00D909F5" w:rsidRDefault="00D909F5" w:rsidP="00D909F5">
      <w:pPr>
        <w:spacing w:line="480" w:lineRule="auto"/>
        <w:jc w:val="both"/>
      </w:pPr>
    </w:p>
    <w:p w:rsidR="00D909F5" w:rsidRDefault="00D909F5" w:rsidP="00D909F5">
      <w:pPr>
        <w:spacing w:line="480" w:lineRule="auto"/>
        <w:jc w:val="both"/>
        <w:rPr>
          <w:b/>
        </w:rPr>
      </w:pPr>
      <w:r w:rsidRPr="001B29DE">
        <w:rPr>
          <w:b/>
        </w:rPr>
        <w:t>4.2.1 Image distortion removal</w:t>
      </w:r>
    </w:p>
    <w:p w:rsidR="00D909F5" w:rsidRPr="001B29DE" w:rsidRDefault="00D909F5" w:rsidP="00D909F5">
      <w:pPr>
        <w:spacing w:line="480" w:lineRule="auto"/>
        <w:jc w:val="both"/>
      </w:pPr>
      <w:r w:rsidRPr="001B29DE">
        <w:t xml:space="preserve">The individual fluoroscopic images are distorted due to the effects of pincushion and spiral distortion. Pincushion distortion is caused due to mapping of electrons from the input screen of the image intensifier, which is curved, to the flat output screen. This phenomenon is dependant on the distance between the X-ray source and the image </w:t>
      </w:r>
      <w:r w:rsidRPr="001B29DE">
        <w:lastRenderedPageBreak/>
        <w:t xml:space="preserve">intensifier and causes larger magnification at the periphery of the final image than at the centre of the image. </w:t>
      </w:r>
    </w:p>
    <w:p w:rsidR="00D909F5" w:rsidRPr="001B29DE" w:rsidRDefault="00D909F5" w:rsidP="00D909F5">
      <w:pPr>
        <w:spacing w:line="480" w:lineRule="auto"/>
        <w:jc w:val="both"/>
      </w:pPr>
    </w:p>
    <w:p w:rsidR="00D909F5" w:rsidRPr="001B29DE" w:rsidRDefault="00D909F5" w:rsidP="00D909F5">
      <w:pPr>
        <w:spacing w:line="480" w:lineRule="auto"/>
        <w:jc w:val="both"/>
      </w:pPr>
      <w:r w:rsidRPr="001B29DE">
        <w:t>Spiral distortion, also known as S-distortion, is due to the effect of the magnetic field encompassing the image intensifier. The component of the magnetic field parallel to the image intensifier affects the radial electron velocity thereby causing a rotation of the image. The transverse component of the magnetic field affects the longitudinal electron velocity causing a translation of the final image. This generates the resultant image with a characteristic S-shape.</w:t>
      </w:r>
    </w:p>
    <w:p w:rsidR="00D909F5" w:rsidRPr="001B29DE" w:rsidRDefault="00D909F5" w:rsidP="00D909F5">
      <w:pPr>
        <w:spacing w:line="480" w:lineRule="auto"/>
        <w:jc w:val="both"/>
      </w:pPr>
    </w:p>
    <w:p w:rsidR="00D909F5" w:rsidRDefault="00D909F5" w:rsidP="00D909F5">
      <w:pPr>
        <w:spacing w:line="480" w:lineRule="auto"/>
        <w:jc w:val="both"/>
      </w:pPr>
      <w:r w:rsidRPr="001B29DE">
        <w:t>The distortion of the fluoroscopic images is corrected using the image of a board containing beads, at known positions, which a</w:t>
      </w:r>
      <w:r>
        <w:t>ct as control points (Figure 4-2</w:t>
      </w:r>
      <w:r w:rsidRPr="001B29DE">
        <w:t xml:space="preserve">). By comparing the known positions of the control points with it corresponding location in the distorted image, transformation coefficients for each pixel of the image </w:t>
      </w:r>
      <w:r>
        <w:t>is</w:t>
      </w:r>
      <w:r w:rsidRPr="001B29DE">
        <w:t xml:space="preserve"> determined (Mahfouz, 2003). By applying the obtained transformation coefficients on the distorted image, </w:t>
      </w:r>
      <w:r>
        <w:t>the true image is recovered</w:t>
      </w:r>
      <w:r w:rsidRPr="001B29DE">
        <w:t xml:space="preserve">. </w:t>
      </w:r>
    </w:p>
    <w:p w:rsidR="00D909F5" w:rsidRDefault="001F4A25" w:rsidP="00D909F5">
      <w:pPr>
        <w:spacing w:line="480" w:lineRule="auto"/>
        <w:jc w:val="both"/>
      </w:pPr>
      <w:r>
        <w:rPr>
          <w:noProof/>
        </w:rPr>
        <w:lastRenderedPageBreak/>
        <w:drawing>
          <wp:inline distT="0" distB="0" distL="0" distR="0">
            <wp:extent cx="5943600" cy="2202180"/>
            <wp:effectExtent l="19050" t="0" r="0" b="0"/>
            <wp:docPr id="13" name="Picture 13" descr="Image distor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distortion.png"/>
                    <pic:cNvPicPr>
                      <a:picLocks noChangeAspect="1" noChangeArrowheads="1"/>
                    </pic:cNvPicPr>
                  </pic:nvPicPr>
                  <pic:blipFill>
                    <a:blip r:embed="rId37" cstate="print"/>
                    <a:srcRect b="2373"/>
                    <a:stretch>
                      <a:fillRect/>
                    </a:stretch>
                  </pic:blipFill>
                  <pic:spPr bwMode="auto">
                    <a:xfrm>
                      <a:off x="0" y="0"/>
                      <a:ext cx="5943600" cy="2202180"/>
                    </a:xfrm>
                    <a:prstGeom prst="rect">
                      <a:avLst/>
                    </a:prstGeom>
                    <a:noFill/>
                    <a:ln w="9525">
                      <a:noFill/>
                      <a:miter lim="800000"/>
                      <a:headEnd/>
                      <a:tailEnd/>
                    </a:ln>
                  </pic:spPr>
                </pic:pic>
              </a:graphicData>
            </a:graphic>
          </wp:inline>
        </w:drawing>
      </w:r>
    </w:p>
    <w:p w:rsidR="00D909F5" w:rsidRPr="001B29DE" w:rsidRDefault="00D909F5" w:rsidP="00D909F5">
      <w:pPr>
        <w:spacing w:line="480" w:lineRule="auto"/>
        <w:jc w:val="both"/>
        <w:rPr>
          <w:b/>
        </w:rPr>
      </w:pPr>
      <w:r>
        <w:rPr>
          <w:b/>
        </w:rPr>
        <w:t>Figure 4-2: Image of distorted bead board (left) and correct image (right).</w:t>
      </w:r>
    </w:p>
    <w:p w:rsidR="00D909F5" w:rsidRDefault="00D909F5" w:rsidP="00D909F5">
      <w:pPr>
        <w:spacing w:line="480" w:lineRule="auto"/>
        <w:jc w:val="both"/>
        <w:rPr>
          <w:b/>
        </w:rPr>
      </w:pPr>
    </w:p>
    <w:p w:rsidR="00D909F5" w:rsidRDefault="00D909F5" w:rsidP="00D909F5">
      <w:pPr>
        <w:spacing w:line="480" w:lineRule="auto"/>
        <w:jc w:val="both"/>
        <w:rPr>
          <w:b/>
        </w:rPr>
      </w:pPr>
      <w:r>
        <w:rPr>
          <w:b/>
        </w:rPr>
        <w:t>4.2.2 3D-to-2D registration algorithm</w:t>
      </w:r>
    </w:p>
    <w:p w:rsidR="00D909F5" w:rsidRPr="00E24068" w:rsidRDefault="00D909F5" w:rsidP="00D909F5">
      <w:pPr>
        <w:spacing w:line="480" w:lineRule="auto"/>
        <w:jc w:val="both"/>
      </w:pPr>
      <w:r w:rsidRPr="00E24068">
        <w:t xml:space="preserve">This is a semi-automated process that uses direct image to image similarity measure and works on the principle of recreation of the 3D scene in which the patient was fluoroscoped. This requires the calibration of the camera for the fluoroscopic unit. The CAD models are loaded in the software with their geometrical centre coinciding with the global origin of the system. The geometrical centre of the CAD models are found by drawing a 3D bounding box and then joining the diagonals. The common intersection of the diagonals is the geometrical centre. For the automated process to start, the user must orient the models (translate and rotate) to the pose they feel is the best estimate. Starting from this initial pose, the models are automatically oriented to their final position by the use of an automated optimization algorithm known as Simulated Annealing (SA). In its search for the global minimum, the SA algorithm searches the 6-dimensional space (3 </w:t>
      </w:r>
      <w:r w:rsidRPr="00E24068">
        <w:lastRenderedPageBreak/>
        <w:t>rotational and 3 translational) and needs a metric for scoring how the pose of the model compares with that of the fluoroscopic image. This is done using the fluoroscopic image (input image) and a 2D projection image of the model (predicted image) which is generated in white against a black background. Using morphological operations, edge images are created for both the input and the predicted images. Also the input image is inverted to be similar in color with</w:t>
      </w:r>
      <w:r>
        <w:t xml:space="preserve"> the predicted image (Figure 4-3</w:t>
      </w:r>
      <w:r w:rsidRPr="00E24068">
        <w:t>).</w:t>
      </w:r>
    </w:p>
    <w:p w:rsidR="00D909F5" w:rsidRPr="00E24068" w:rsidRDefault="00D909F5" w:rsidP="00D909F5">
      <w:pPr>
        <w:spacing w:line="480" w:lineRule="auto"/>
        <w:jc w:val="both"/>
      </w:pPr>
    </w:p>
    <w:p w:rsidR="00D909F5" w:rsidRPr="00E24068" w:rsidRDefault="00D909F5" w:rsidP="00D909F5">
      <w:pPr>
        <w:spacing w:line="480" w:lineRule="auto"/>
        <w:jc w:val="both"/>
      </w:pPr>
      <w:r w:rsidRPr="00E24068">
        <w:t xml:space="preserve"> The match between the input image and the predicted image is calculated by two metrics. The first metric compares the pixels of the predicted image and the inverted input image. The second metric evaluates the overlap of the contours in the edge images generated for both the input and the predicted image. The final matching score is obtained by multiplying the two images together, summing the result and then normalizing it with the sum of the predicted image. This method has been found to be robust and converges to the global minimum and is insensitive to image noise and occlusions. </w:t>
      </w:r>
    </w:p>
    <w:p w:rsidR="00D909F5" w:rsidRPr="00E24068" w:rsidRDefault="001F4A25" w:rsidP="00D909F5">
      <w:pPr>
        <w:spacing w:line="480" w:lineRule="auto"/>
        <w:jc w:val="center"/>
      </w:pPr>
      <w:r>
        <w:rPr>
          <w:noProof/>
        </w:rPr>
        <w:lastRenderedPageBreak/>
        <w:drawing>
          <wp:inline distT="0" distB="0" distL="0" distR="0">
            <wp:extent cx="5943600" cy="3749040"/>
            <wp:effectExtent l="19050" t="19050" r="19050" b="22860"/>
            <wp:docPr id="14" name="Picture 14" descr="registration 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gistration images.png"/>
                    <pic:cNvPicPr>
                      <a:picLocks noChangeAspect="1" noChangeArrowheads="1"/>
                    </pic:cNvPicPr>
                  </pic:nvPicPr>
                  <pic:blipFill>
                    <a:blip r:embed="rId38" cstate="print"/>
                    <a:srcRect/>
                    <a:stretch>
                      <a:fillRect/>
                    </a:stretch>
                  </pic:blipFill>
                  <pic:spPr bwMode="auto">
                    <a:xfrm>
                      <a:off x="0" y="0"/>
                      <a:ext cx="5943600" cy="3749040"/>
                    </a:xfrm>
                    <a:prstGeom prst="rect">
                      <a:avLst/>
                    </a:prstGeom>
                    <a:noFill/>
                    <a:ln w="9525" cmpd="sng">
                      <a:solidFill>
                        <a:srgbClr val="4F81BD"/>
                      </a:solidFill>
                      <a:miter lim="800000"/>
                      <a:headEnd/>
                      <a:tailEnd/>
                    </a:ln>
                    <a:effectLst/>
                  </pic:spPr>
                </pic:pic>
              </a:graphicData>
            </a:graphic>
          </wp:inline>
        </w:drawing>
      </w:r>
    </w:p>
    <w:p w:rsidR="00D909F5" w:rsidRDefault="00D909F5" w:rsidP="00D909F5">
      <w:pPr>
        <w:jc w:val="both"/>
        <w:rPr>
          <w:b/>
        </w:rPr>
      </w:pPr>
      <w:r>
        <w:rPr>
          <w:b/>
        </w:rPr>
        <w:t>Figure 4-3</w:t>
      </w:r>
      <w:r w:rsidRPr="00E24068">
        <w:rPr>
          <w:b/>
        </w:rPr>
        <w:t xml:space="preserve">: </w:t>
      </w:r>
      <w:r>
        <w:rPr>
          <w:b/>
        </w:rPr>
        <w:t xml:space="preserve">Original Image (left); </w:t>
      </w:r>
      <w:r w:rsidRPr="00E24068">
        <w:rPr>
          <w:b/>
        </w:rPr>
        <w:t>Inverted Image</w:t>
      </w:r>
      <w:r>
        <w:rPr>
          <w:b/>
        </w:rPr>
        <w:t xml:space="preserve"> (center);</w:t>
      </w:r>
      <w:r w:rsidRPr="00E24068">
        <w:rPr>
          <w:b/>
        </w:rPr>
        <w:t xml:space="preserve"> </w:t>
      </w:r>
      <w:r>
        <w:rPr>
          <w:b/>
        </w:rPr>
        <w:t xml:space="preserve">Region Image (Right top) and </w:t>
      </w:r>
      <w:r w:rsidRPr="00E24068">
        <w:rPr>
          <w:b/>
        </w:rPr>
        <w:t>Edge Image</w:t>
      </w:r>
      <w:r>
        <w:rPr>
          <w:b/>
        </w:rPr>
        <w:t xml:space="preserve"> (right bottom)</w:t>
      </w:r>
      <w:r w:rsidRPr="00E24068">
        <w:rPr>
          <w:b/>
        </w:rPr>
        <w:t xml:space="preserve"> (Mahfouz, 2003).</w:t>
      </w:r>
    </w:p>
    <w:p w:rsidR="00D909F5" w:rsidRPr="00E24068" w:rsidRDefault="00D909F5" w:rsidP="00D909F5">
      <w:pPr>
        <w:spacing w:line="480" w:lineRule="auto"/>
        <w:jc w:val="both"/>
        <w:rPr>
          <w:b/>
        </w:rPr>
      </w:pPr>
    </w:p>
    <w:p w:rsidR="00D909F5" w:rsidRDefault="00D909F5" w:rsidP="00D909F5">
      <w:pPr>
        <w:spacing w:line="480" w:lineRule="auto"/>
        <w:jc w:val="both"/>
        <w:rPr>
          <w:b/>
        </w:rPr>
      </w:pPr>
      <w:r>
        <w:rPr>
          <w:b/>
        </w:rPr>
        <w:t>4.2.3 Error Analysis</w:t>
      </w:r>
    </w:p>
    <w:p w:rsidR="00D909F5" w:rsidRDefault="00D909F5" w:rsidP="00D909F5">
      <w:pPr>
        <w:spacing w:line="480" w:lineRule="auto"/>
        <w:jc w:val="both"/>
      </w:pPr>
      <w:r w:rsidRPr="00E24068">
        <w:t xml:space="preserve">An error analysis </w:t>
      </w:r>
      <w:r>
        <w:t>has been</w:t>
      </w:r>
      <w:r w:rsidRPr="00E24068">
        <w:t xml:space="preserve"> conducted using a fresh cadaver</w:t>
      </w:r>
      <w:r>
        <w:t>, to verify the accuracy of the 3D-to-2D registration process</w:t>
      </w:r>
      <w:r w:rsidRPr="00E24068">
        <w:t xml:space="preserve">.  </w:t>
      </w:r>
      <w:r>
        <w:t>The tested included placing d</w:t>
      </w:r>
      <w:r w:rsidRPr="00E24068">
        <w:t xml:space="preserve">iscrete points on the femoral and tibial components.  Using an Optotrack system (Northern Digital Inc., </w:t>
      </w:r>
      <w:smartTag w:uri="urn:schemas-microsoft-com:office:smarttags" w:element="place">
        <w:smartTag w:uri="urn:schemas-microsoft-com:office:smarttags" w:element="City">
          <w:r w:rsidRPr="00E24068">
            <w:t>Waterloo</w:t>
          </w:r>
        </w:smartTag>
        <w:r w:rsidRPr="00E24068">
          <w:t xml:space="preserve">, </w:t>
        </w:r>
        <w:smartTag w:uri="urn:schemas-microsoft-com:office:smarttags" w:element="country-region">
          <w:r w:rsidRPr="00E24068">
            <w:t>Canada</w:t>
          </w:r>
        </w:smartTag>
      </w:smartTag>
      <w:r w:rsidRPr="00E24068">
        <w:t xml:space="preserve">), these points were digitized and the femur was defined relative to the tibia, in the tibial reference frame.  Each orientation of the femur, relative to the tibia was fluoroscoped.  Using the 3D model-fitting software package, the relative orientation of </w:t>
      </w:r>
      <w:r w:rsidRPr="00E24068">
        <w:lastRenderedPageBreak/>
        <w:t>the femur with respect to the tibia was predicted and compared to the known orientation determined using the Optotrack system.  The results from this error analysis and accuracy tests revealed average errors in X, Y, and Z translations that were -0.023, -0.086, and 1.054 mm respectively (standard deviations were 0.473, 0.449, and 3.031 mm, respectively).  Likewise, the average errors in x, y, and z rotations were -0.068, 0.001, 0.253 degrees (standard deviations were 0.942, 0.771, and 0.841 degrees, respectively). These numbers represent the errors in the model-fitting process plus the errors associated with the independent measurement system as well (i.e. the upper bound).  Since the knee joint is imaged in the sagittal (XY) plane, then the relative translational motion of the implants in the Z direction is minimal and is not of interest for this study.</w:t>
      </w:r>
    </w:p>
    <w:p w:rsidR="00D909F5" w:rsidRDefault="00D909F5" w:rsidP="00D909F5">
      <w:pPr>
        <w:spacing w:line="480" w:lineRule="auto"/>
        <w:jc w:val="both"/>
      </w:pPr>
    </w:p>
    <w:p w:rsidR="00D909F5" w:rsidRDefault="00D909F5" w:rsidP="00D909F5">
      <w:pPr>
        <w:spacing w:line="480" w:lineRule="auto"/>
        <w:jc w:val="both"/>
        <w:rPr>
          <w:b/>
        </w:rPr>
      </w:pPr>
      <w:r>
        <w:rPr>
          <w:b/>
        </w:rPr>
        <w:t>4.2.4 Determining 3D orientations</w:t>
      </w:r>
    </w:p>
    <w:p w:rsidR="00D909F5" w:rsidRDefault="00D909F5" w:rsidP="00D909F5">
      <w:pPr>
        <w:spacing w:line="480" w:lineRule="auto"/>
        <w:jc w:val="both"/>
      </w:pPr>
      <w:r w:rsidRPr="009A1FF1">
        <w:t xml:space="preserve">Utilizing </w:t>
      </w:r>
      <w:r>
        <w:t>the above mentioned</w:t>
      </w:r>
      <w:r w:rsidRPr="009A1FF1">
        <w:t xml:space="preserve"> three-dimensional (3D) model fitting approach, the relative poses of the femoral and tibial knee implant components </w:t>
      </w:r>
      <w:r>
        <w:t>is</w:t>
      </w:r>
      <w:r w:rsidRPr="009A1FF1">
        <w:t xml:space="preserve"> determined in 3D using a single-perspective fluoroscopy image in the sagittal plane and manipulating CAD models in three-dimensional space.  </w:t>
      </w:r>
    </w:p>
    <w:p w:rsidR="00D909F5" w:rsidRDefault="00D909F5" w:rsidP="00D909F5">
      <w:pPr>
        <w:spacing w:line="480" w:lineRule="auto"/>
        <w:jc w:val="both"/>
      </w:pPr>
    </w:p>
    <w:p w:rsidR="00D909F5" w:rsidRDefault="00D909F5" w:rsidP="00D909F5">
      <w:pPr>
        <w:spacing w:line="480" w:lineRule="auto"/>
        <w:jc w:val="both"/>
      </w:pPr>
      <w:r>
        <w:t>In the case of the Sigma RP-PS TKA, t</w:t>
      </w:r>
      <w:r w:rsidRPr="009A1FF1">
        <w:t xml:space="preserve">he 3D orientation of the radiolucent polyethylene (PE) bearing </w:t>
      </w:r>
      <w:r>
        <w:t>is</w:t>
      </w:r>
      <w:r w:rsidRPr="009A1FF1">
        <w:t xml:space="preserve"> by embedding four metallic beads in the PE insert during the manufacturing process.  Subsequent CAD models of the PE component having the strategically posit</w:t>
      </w:r>
      <w:r>
        <w:t>ioned beads are also</w:t>
      </w:r>
      <w:r w:rsidRPr="009A1FF1">
        <w:t xml:space="preserve"> created.  Since three non-collinear points are </w:t>
      </w:r>
      <w:r w:rsidRPr="009A1FF1">
        <w:lastRenderedPageBreak/>
        <w:t xml:space="preserve">needed to define a rigid body’s spatial orientation, the four beads </w:t>
      </w:r>
      <w:r>
        <w:t>are</w:t>
      </w:r>
      <w:r w:rsidRPr="009A1FF1">
        <w:t xml:space="preserve"> inserted out-of-plane and as far away from one another as possible without compromising the integrity of the insert.  This</w:t>
      </w:r>
      <w:r>
        <w:t xml:space="preserve"> increases</w:t>
      </w:r>
      <w:r w:rsidRPr="009A1FF1">
        <w:t xml:space="preserve"> the probability that at least three of the beads </w:t>
      </w:r>
      <w:r>
        <w:t>are</w:t>
      </w:r>
      <w:r w:rsidRPr="009A1FF1">
        <w:t xml:space="preserve"> visualized during fluoroscopy and enabled for determination of the PE CAD model’s position using the same 3D model fitting technique previously mentioned. </w:t>
      </w:r>
    </w:p>
    <w:p w:rsidR="00D909F5" w:rsidRDefault="00D909F5" w:rsidP="00D909F5">
      <w:pPr>
        <w:spacing w:line="480" w:lineRule="auto"/>
        <w:jc w:val="both"/>
      </w:pPr>
    </w:p>
    <w:p w:rsidR="00D909F5" w:rsidRPr="009A1FF1" w:rsidRDefault="00D909F5" w:rsidP="00D909F5">
      <w:pPr>
        <w:spacing w:line="480" w:lineRule="auto"/>
        <w:jc w:val="both"/>
      </w:pPr>
      <w:r w:rsidRPr="009A1FF1">
        <w:t xml:space="preserve"> A three-dimensional scene of the fluoroscopic unit </w:t>
      </w:r>
      <w:r>
        <w:t>is</w:t>
      </w:r>
      <w:r w:rsidRPr="009A1FF1">
        <w:t xml:space="preserve"> created using a client based server application on the Windows (Redmond, WA) platform using the Open Inventor Toolkit (Mountainview, C</w:t>
      </w:r>
      <w:r>
        <w:t>A) library.  The scene consists</w:t>
      </w:r>
      <w:r w:rsidRPr="009A1FF1">
        <w:t xml:space="preserve"> of a light source (x-ray), an image plane on which to project the fluoroscopic image (image intensifier), an area to manipulate a 3D model (subject area), and a camera to view the entire scene.</w:t>
      </w:r>
    </w:p>
    <w:p w:rsidR="00D909F5" w:rsidRPr="009A1FF1" w:rsidRDefault="00D909F5" w:rsidP="00D909F5">
      <w:pPr>
        <w:spacing w:line="480" w:lineRule="auto"/>
        <w:jc w:val="both"/>
      </w:pPr>
    </w:p>
    <w:p w:rsidR="00D909F5" w:rsidRPr="009A1FF1" w:rsidRDefault="00D909F5" w:rsidP="00D909F5">
      <w:pPr>
        <w:spacing w:line="480" w:lineRule="auto"/>
        <w:jc w:val="both"/>
      </w:pPr>
      <w:r w:rsidRPr="009A1FF1">
        <w:t xml:space="preserve">Individual fluoroscopic frames at specified degrees of flexion for the deep knee bend activity.  The images </w:t>
      </w:r>
      <w:r>
        <w:t xml:space="preserve">are </w:t>
      </w:r>
      <w:r w:rsidRPr="009A1FF1">
        <w:t xml:space="preserve">projected onto the image plane with the corresponding implant models added to the scene.  Initially, the 3D orientations of the femoral and tibial components </w:t>
      </w:r>
      <w:r>
        <w:t>are</w:t>
      </w:r>
      <w:r w:rsidRPr="009A1FF1">
        <w:t xml:space="preserve"> positioned by the operator manipulating the 3D CAD models into a position closely corresponding with their respective silhouettes in the digitized fluoroscopic image (</w:t>
      </w:r>
      <w:r>
        <w:t>Figure 4-4</w:t>
      </w:r>
      <w:r w:rsidRPr="009A1FF1">
        <w:t xml:space="preserve">).  Then </w:t>
      </w:r>
      <w:r>
        <w:t>the</w:t>
      </w:r>
      <w:r w:rsidRPr="009A1FF1">
        <w:t xml:space="preserve"> automated computer algorithm </w:t>
      </w:r>
      <w:r>
        <w:t>uses</w:t>
      </w:r>
      <w:r w:rsidRPr="009A1FF1">
        <w:t xml:space="preserve"> intensity-based matching to determine the best orientation of the models.  In order to determine the 3D orientation of the polyethylene component, the PE insert </w:t>
      </w:r>
      <w:r>
        <w:t xml:space="preserve">is </w:t>
      </w:r>
      <w:r w:rsidRPr="009A1FF1">
        <w:t>made transparent</w:t>
      </w:r>
      <w:r>
        <w:t>, which results</w:t>
      </w:r>
      <w:r w:rsidRPr="009A1FF1">
        <w:t xml:space="preserve"> in only the embedded beads within the CAD model being visible.  The bead </w:t>
      </w:r>
      <w:r w:rsidRPr="009A1FF1">
        <w:lastRenderedPageBreak/>
        <w:t xml:space="preserve">portion of the PE insert </w:t>
      </w:r>
      <w:r>
        <w:t>i</w:t>
      </w:r>
      <w:r w:rsidRPr="009A1FF1">
        <w:t xml:space="preserve">s then matched to the fluoroscopic silhouettes of the imbedded beads </w:t>
      </w:r>
      <w:r>
        <w:t>(Figure 4-5</w:t>
      </w:r>
      <w:r w:rsidRPr="009A1FF1">
        <w:t>).  Once complete, the full or</w:t>
      </w:r>
      <w:r>
        <w:t>ientation of the PE insert can</w:t>
      </w:r>
      <w:r w:rsidRPr="009A1FF1">
        <w:t xml:space="preserve"> be seen.  </w:t>
      </w:r>
    </w:p>
    <w:p w:rsidR="00D909F5" w:rsidRDefault="00D909F5" w:rsidP="00D909F5">
      <w:pPr>
        <w:spacing w:line="480" w:lineRule="auto"/>
        <w:jc w:val="both"/>
      </w:pPr>
    </w:p>
    <w:p w:rsidR="00D909F5" w:rsidRDefault="00D909F5" w:rsidP="00D909F5">
      <w:pPr>
        <w:spacing w:line="480" w:lineRule="auto"/>
        <w:jc w:val="both"/>
      </w:pPr>
      <w:r>
        <w:t>In the case of the fixed bearing Journey BCS TKA the polyethylene insert is rigidly fixed to the metallic tibial tray and there is no relative motion between the tibial component and the polyethylene insert. In order to achieve the correct 3D orientation, the polyethylene CAD model is fixed to the tibial CAD model before the overlay process.</w:t>
      </w:r>
    </w:p>
    <w:p w:rsidR="00D909F5" w:rsidRDefault="00D909F5" w:rsidP="00D909F5">
      <w:pPr>
        <w:spacing w:line="480" w:lineRule="auto"/>
        <w:jc w:val="both"/>
      </w:pPr>
    </w:p>
    <w:p w:rsidR="00D909F5" w:rsidRDefault="001F4A25" w:rsidP="00D909F5">
      <w:pPr>
        <w:spacing w:line="480" w:lineRule="auto"/>
        <w:jc w:val="both"/>
      </w:pPr>
      <w:r>
        <w:rPr>
          <w:noProof/>
        </w:rPr>
        <w:drawing>
          <wp:inline distT="0" distB="0" distL="0" distR="0">
            <wp:extent cx="5760720" cy="3710940"/>
            <wp:effectExtent l="19050" t="0" r="0" b="0"/>
            <wp:docPr id="15" name="Picture 15" descr="SAAM_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AAM_screenshot"/>
                    <pic:cNvPicPr>
                      <a:picLocks noChangeAspect="1" noChangeArrowheads="1"/>
                    </pic:cNvPicPr>
                  </pic:nvPicPr>
                  <pic:blipFill>
                    <a:blip r:embed="rId39" cstate="print"/>
                    <a:srcRect/>
                    <a:stretch>
                      <a:fillRect/>
                    </a:stretch>
                  </pic:blipFill>
                  <pic:spPr bwMode="auto">
                    <a:xfrm>
                      <a:off x="0" y="0"/>
                      <a:ext cx="5760720" cy="3710940"/>
                    </a:xfrm>
                    <a:prstGeom prst="rect">
                      <a:avLst/>
                    </a:prstGeom>
                    <a:noFill/>
                    <a:ln w="9525">
                      <a:noFill/>
                      <a:miter lim="800000"/>
                      <a:headEnd/>
                      <a:tailEnd/>
                    </a:ln>
                  </pic:spPr>
                </pic:pic>
              </a:graphicData>
            </a:graphic>
          </wp:inline>
        </w:drawing>
      </w:r>
    </w:p>
    <w:p w:rsidR="00D909F5" w:rsidRPr="00FC6BA9" w:rsidRDefault="00D909F5" w:rsidP="00D909F5">
      <w:pPr>
        <w:pStyle w:val="Caption"/>
      </w:pPr>
      <w:bookmarkStart w:id="2" w:name="_Toc193107324"/>
      <w:r w:rsidRPr="00FC6BA9">
        <w:t xml:space="preserve">Figure </w:t>
      </w:r>
      <w:r>
        <w:t>4-4</w:t>
      </w:r>
      <w:r w:rsidRPr="00FC6BA9">
        <w:t>: User interface of model fitting software.</w:t>
      </w:r>
      <w:bookmarkEnd w:id="2"/>
    </w:p>
    <w:p w:rsidR="00D909F5" w:rsidRDefault="00D909F5" w:rsidP="00D909F5">
      <w:pPr>
        <w:spacing w:line="480" w:lineRule="auto"/>
        <w:jc w:val="both"/>
      </w:pPr>
    </w:p>
    <w:p w:rsidR="00D909F5" w:rsidRDefault="00D909F5" w:rsidP="00D909F5">
      <w:pPr>
        <w:spacing w:line="480" w:lineRule="auto"/>
        <w:jc w:val="both"/>
      </w:pPr>
      <w:r w:rsidRPr="009A1FF1">
        <w:lastRenderedPageBreak/>
        <w:t xml:space="preserve">The correct fit for each of the models </w:t>
      </w:r>
      <w:r>
        <w:t>is</w:t>
      </w:r>
      <w:r w:rsidRPr="009A1FF1">
        <w:t xml:space="preserve"> achieved when the silhouettes of the femoral and tibial components and the beads embedded</w:t>
      </w:r>
      <w:r>
        <w:t xml:space="preserve"> (only for Sigma RP-PS)</w:t>
      </w:r>
      <w:r w:rsidRPr="009A1FF1">
        <w:t xml:space="preserve"> in the polyethylene bearing best matched their corresponding components in the fluoroscopic image (Figure </w:t>
      </w:r>
      <w:r>
        <w:t>4-6 and 4-7</w:t>
      </w:r>
      <w:r w:rsidRPr="009A1FF1">
        <w:t xml:space="preserve">). </w:t>
      </w:r>
    </w:p>
    <w:p w:rsidR="00D909F5" w:rsidRDefault="00D909F5" w:rsidP="00D909F5">
      <w:pPr>
        <w:spacing w:line="480" w:lineRule="auto"/>
        <w:jc w:val="both"/>
      </w:pPr>
    </w:p>
    <w:p w:rsidR="00D909F5" w:rsidRDefault="001F4A25" w:rsidP="00D909F5">
      <w:pPr>
        <w:spacing w:line="480" w:lineRule="auto"/>
        <w:jc w:val="center"/>
      </w:pPr>
      <w:r>
        <w:rPr>
          <w:b/>
          <w:noProof/>
          <w:sz w:val="20"/>
          <w:szCs w:val="20"/>
        </w:rPr>
        <w:drawing>
          <wp:inline distT="0" distB="0" distL="0" distR="0">
            <wp:extent cx="4046220" cy="2987040"/>
            <wp:effectExtent l="19050" t="0" r="0" b="0"/>
            <wp:docPr id="16" name="Picture 16" descr="bead overlay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ead overlay process"/>
                    <pic:cNvPicPr>
                      <a:picLocks noChangeAspect="1" noChangeArrowheads="1"/>
                    </pic:cNvPicPr>
                  </pic:nvPicPr>
                  <pic:blipFill>
                    <a:blip r:embed="rId40" cstate="print"/>
                    <a:srcRect t="50919"/>
                    <a:stretch>
                      <a:fillRect/>
                    </a:stretch>
                  </pic:blipFill>
                  <pic:spPr bwMode="auto">
                    <a:xfrm>
                      <a:off x="0" y="0"/>
                      <a:ext cx="4046220" cy="2987040"/>
                    </a:xfrm>
                    <a:prstGeom prst="rect">
                      <a:avLst/>
                    </a:prstGeom>
                    <a:noFill/>
                    <a:ln w="9525">
                      <a:noFill/>
                      <a:miter lim="800000"/>
                      <a:headEnd/>
                      <a:tailEnd/>
                    </a:ln>
                  </pic:spPr>
                </pic:pic>
              </a:graphicData>
            </a:graphic>
          </wp:inline>
        </w:drawing>
      </w:r>
      <w:bookmarkStart w:id="3" w:name="_Toc193107325"/>
    </w:p>
    <w:p w:rsidR="00D909F5" w:rsidRDefault="00D909F5" w:rsidP="00D909F5">
      <w:pPr>
        <w:jc w:val="both"/>
        <w:rPr>
          <w:b/>
        </w:rPr>
      </w:pPr>
      <w:r w:rsidRPr="00FC6BA9">
        <w:rPr>
          <w:b/>
        </w:rPr>
        <w:t>Figure 4-5: Fluoroscopy image with femoral and tibia CAD model of Sigma PS RP TKA and four visible bead silhouettes that allow for proper positioning of PE bearing when silhouettes match.</w:t>
      </w:r>
      <w:bookmarkEnd w:id="3"/>
    </w:p>
    <w:p w:rsidR="00D909F5" w:rsidRDefault="00D909F5" w:rsidP="00D909F5">
      <w:pPr>
        <w:jc w:val="both"/>
        <w:rPr>
          <w:b/>
        </w:rPr>
      </w:pPr>
    </w:p>
    <w:p w:rsidR="00D909F5" w:rsidRDefault="001F4A25" w:rsidP="00D909F5">
      <w:pPr>
        <w:spacing w:line="480" w:lineRule="auto"/>
        <w:jc w:val="center"/>
      </w:pPr>
      <w:r>
        <w:rPr>
          <w:noProof/>
        </w:rPr>
        <w:lastRenderedPageBreak/>
        <w:drawing>
          <wp:inline distT="0" distB="0" distL="0" distR="0">
            <wp:extent cx="4724400" cy="235458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cstate="print"/>
                    <a:srcRect/>
                    <a:stretch>
                      <a:fillRect/>
                    </a:stretch>
                  </pic:blipFill>
                  <pic:spPr bwMode="auto">
                    <a:xfrm>
                      <a:off x="0" y="0"/>
                      <a:ext cx="4724400" cy="2354580"/>
                    </a:xfrm>
                    <a:prstGeom prst="rect">
                      <a:avLst/>
                    </a:prstGeom>
                    <a:noFill/>
                    <a:ln w="9525">
                      <a:noFill/>
                      <a:miter lim="800000"/>
                      <a:headEnd/>
                      <a:tailEnd/>
                    </a:ln>
                  </pic:spPr>
                </pic:pic>
              </a:graphicData>
            </a:graphic>
          </wp:inline>
        </w:drawing>
      </w:r>
    </w:p>
    <w:p w:rsidR="00D909F5" w:rsidRPr="00703470" w:rsidRDefault="00D909F5" w:rsidP="00D909F5">
      <w:pPr>
        <w:pStyle w:val="Caption"/>
        <w:jc w:val="both"/>
        <w:rPr>
          <w:b/>
        </w:rPr>
      </w:pPr>
      <w:bookmarkStart w:id="4" w:name="_Ref185009342"/>
      <w:bookmarkStart w:id="5" w:name="_Toc185782682"/>
      <w:r w:rsidRPr="00703470">
        <w:rPr>
          <w:b/>
        </w:rPr>
        <w:t xml:space="preserve">Figure </w:t>
      </w:r>
      <w:bookmarkEnd w:id="4"/>
      <w:r w:rsidRPr="00703470">
        <w:rPr>
          <w:b/>
        </w:rPr>
        <w:t>4-6: Fluoroscopy image from Journey BCS patient at 90° with registered 3D CAD models of femoral and tibial components (left) and the same fluoroscopy image with tibial and polyethylene insert model combination in same orientation as the registered tibial component (right).</w:t>
      </w:r>
      <w:bookmarkEnd w:id="5"/>
    </w:p>
    <w:p w:rsidR="00D909F5" w:rsidRPr="00FC6BA9" w:rsidRDefault="00D909F5" w:rsidP="00D909F5">
      <w:pPr>
        <w:spacing w:line="480" w:lineRule="auto"/>
        <w:jc w:val="both"/>
      </w:pPr>
    </w:p>
    <w:p w:rsidR="00D909F5" w:rsidRDefault="001F4A25" w:rsidP="00D909F5">
      <w:pPr>
        <w:keepNext/>
      </w:pPr>
      <w:r>
        <w:rPr>
          <w:noProof/>
        </w:rPr>
        <w:drawing>
          <wp:inline distT="0" distB="0" distL="0" distR="0">
            <wp:extent cx="5730240" cy="2209800"/>
            <wp:effectExtent l="19050" t="0" r="3810" b="0"/>
            <wp:docPr id="18" name="Picture 18" descr="Sample Pat Fluoro_Overlay_0_30_60_90_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ample Pat Fluoro_Overlay_0_30_60_90_max"/>
                    <pic:cNvPicPr>
                      <a:picLocks noChangeAspect="1" noChangeArrowheads="1"/>
                    </pic:cNvPicPr>
                  </pic:nvPicPr>
                  <pic:blipFill>
                    <a:blip r:embed="rId42" cstate="print"/>
                    <a:srcRect/>
                    <a:stretch>
                      <a:fillRect/>
                    </a:stretch>
                  </pic:blipFill>
                  <pic:spPr bwMode="auto">
                    <a:xfrm>
                      <a:off x="0" y="0"/>
                      <a:ext cx="5730240" cy="2209800"/>
                    </a:xfrm>
                    <a:prstGeom prst="rect">
                      <a:avLst/>
                    </a:prstGeom>
                    <a:noFill/>
                    <a:ln w="9525">
                      <a:noFill/>
                      <a:miter lim="800000"/>
                      <a:headEnd/>
                      <a:tailEnd/>
                    </a:ln>
                  </pic:spPr>
                </pic:pic>
              </a:graphicData>
            </a:graphic>
          </wp:inline>
        </w:drawing>
      </w:r>
    </w:p>
    <w:p w:rsidR="00D909F5" w:rsidRPr="00703470" w:rsidRDefault="00D909F5" w:rsidP="00D909F5">
      <w:pPr>
        <w:pStyle w:val="Caption"/>
        <w:jc w:val="both"/>
        <w:rPr>
          <w:b/>
        </w:rPr>
      </w:pPr>
      <w:bookmarkStart w:id="6" w:name="_Toc193107309"/>
      <w:r w:rsidRPr="00703470">
        <w:rPr>
          <w:b/>
        </w:rPr>
        <w:t>Figure 4-7: Series of digitized fluoroscopy images (top row) and corresponding fluoroscopy with CAD model overlay (bottom row) from a random subject with a Sigma RP-PS TKA</w:t>
      </w:r>
      <w:bookmarkEnd w:id="6"/>
      <w:r w:rsidRPr="00703470">
        <w:rPr>
          <w:b/>
        </w:rPr>
        <w:t>.</w:t>
      </w:r>
    </w:p>
    <w:p w:rsidR="00D909F5" w:rsidRDefault="00D909F5" w:rsidP="00D909F5"/>
    <w:p w:rsidR="00D909F5" w:rsidRDefault="00D909F5" w:rsidP="00D909F5"/>
    <w:p w:rsidR="00D909F5" w:rsidRDefault="00D909F5" w:rsidP="00D909F5"/>
    <w:p w:rsidR="00D909F5" w:rsidRDefault="00D909F5" w:rsidP="00D909F5">
      <w:pPr>
        <w:rPr>
          <w:b/>
        </w:rPr>
      </w:pPr>
      <w:r>
        <w:rPr>
          <w:b/>
        </w:rPr>
        <w:lastRenderedPageBreak/>
        <w:t>4.2.5 Generating required kinematics</w:t>
      </w:r>
    </w:p>
    <w:p w:rsidR="00D909F5" w:rsidRDefault="00D909F5" w:rsidP="00D909F5">
      <w:pPr>
        <w:rPr>
          <w:b/>
        </w:rPr>
      </w:pPr>
    </w:p>
    <w:p w:rsidR="00D909F5" w:rsidRDefault="00D909F5" w:rsidP="00D909F5">
      <w:pPr>
        <w:spacing w:line="480" w:lineRule="auto"/>
        <w:ind w:left="720"/>
        <w:jc w:val="both"/>
        <w:rPr>
          <w:b/>
        </w:rPr>
      </w:pPr>
      <w:r>
        <w:rPr>
          <w:b/>
        </w:rPr>
        <w:t>4.2.5.1 Tibio-femoral kinematics</w:t>
      </w:r>
    </w:p>
    <w:p w:rsidR="00D909F5" w:rsidRDefault="00D909F5" w:rsidP="00D909F5">
      <w:pPr>
        <w:spacing w:line="480" w:lineRule="auto"/>
        <w:ind w:left="720"/>
        <w:jc w:val="both"/>
      </w:pPr>
      <w:r>
        <w:t>Once the 3D-to-2D registration technique if completed the 3D implant orientations are imported into an in house developed software package called Kinetic Analysis of Rigid Body Systems (KARBS). This package developed in MATLAB (Mathworks, NC</w:t>
      </w:r>
      <w:r w:rsidRPr="00D52E2F">
        <w:rPr>
          <w:vertAlign w:val="superscript"/>
        </w:rPr>
        <w:t>©</w:t>
      </w:r>
      <w:r>
        <w:t xml:space="preserve">) enables for further determination of kinematic parameters of interest at the tibio-femoral and cam-post interface of the TKA implant components. Using this package, the </w:t>
      </w:r>
      <w:r w:rsidRPr="009A1FF1">
        <w:t>anterior/posterior (A/P) contact positions for both the medial and lateral condyles, axial rotation of the femoral component relative to the tibial component, axial rotation of the tibial component relative to the polyethylene bearing component</w:t>
      </w:r>
      <w:r>
        <w:t xml:space="preserve"> and w</w:t>
      </w:r>
      <w:r w:rsidRPr="009A1FF1">
        <w:t xml:space="preserve">eight-bearing range-of-motion (ROM) </w:t>
      </w:r>
      <w:r>
        <w:t xml:space="preserve">is </w:t>
      </w:r>
      <w:r w:rsidRPr="009A1FF1">
        <w:t>evaluated</w:t>
      </w:r>
      <w:r>
        <w:t>.</w:t>
      </w:r>
    </w:p>
    <w:p w:rsidR="00D909F5" w:rsidRDefault="00D909F5" w:rsidP="00D909F5">
      <w:pPr>
        <w:spacing w:line="480" w:lineRule="auto"/>
        <w:ind w:left="720"/>
        <w:jc w:val="both"/>
      </w:pPr>
      <w:r>
        <w:t xml:space="preserve"> </w:t>
      </w:r>
    </w:p>
    <w:p w:rsidR="00D909F5" w:rsidRPr="00A76152" w:rsidRDefault="00D909F5" w:rsidP="00D909F5">
      <w:pPr>
        <w:spacing w:line="480" w:lineRule="auto"/>
        <w:ind w:left="720"/>
        <w:jc w:val="both"/>
        <w:rPr>
          <w:b/>
        </w:rPr>
      </w:pPr>
      <w:r>
        <w:rPr>
          <w:b/>
        </w:rPr>
        <w:t>4.2.5.2 Cam-post analysis</w:t>
      </w:r>
    </w:p>
    <w:p w:rsidR="00D909F5" w:rsidRDefault="00D909F5" w:rsidP="00D909F5">
      <w:pPr>
        <w:spacing w:line="480" w:lineRule="auto"/>
        <w:ind w:left="720"/>
        <w:jc w:val="both"/>
      </w:pPr>
      <w:r>
        <w:t>Since the cam-post interaction is of particular focus to this study, the analysis to determine the flexion angle of cam-post contact and the contact area is carried out with higher precision than tibio-femoral calculations. This involves the following steps:</w:t>
      </w:r>
    </w:p>
    <w:p w:rsidR="00D909F5" w:rsidRDefault="00D909F5" w:rsidP="00D909F5">
      <w:pPr>
        <w:pStyle w:val="ListParagraph"/>
        <w:numPr>
          <w:ilvl w:val="0"/>
          <w:numId w:val="11"/>
        </w:numPr>
        <w:spacing w:line="480" w:lineRule="auto"/>
        <w:jc w:val="both"/>
        <w:rPr>
          <w:rFonts w:ascii="Times New Roman" w:hAnsi="Times New Roman"/>
          <w:sz w:val="24"/>
          <w:szCs w:val="24"/>
        </w:rPr>
      </w:pPr>
      <w:r>
        <w:rPr>
          <w:rFonts w:ascii="Times New Roman" w:hAnsi="Times New Roman"/>
          <w:sz w:val="24"/>
          <w:szCs w:val="24"/>
        </w:rPr>
        <w:t>The mesh size of the femoral cam and the tibial post are imported into a CAD software and the mesh size pertaining to those areas are refined to contain ≈10000 tetrahedral elements (Figure 4-8).</w:t>
      </w:r>
    </w:p>
    <w:p w:rsidR="00D909F5" w:rsidRDefault="00D909F5" w:rsidP="00D909F5">
      <w:pPr>
        <w:pStyle w:val="ListParagraph"/>
        <w:numPr>
          <w:ilvl w:val="0"/>
          <w:numId w:val="11"/>
        </w:numPr>
        <w:spacing w:line="480" w:lineRule="auto"/>
        <w:jc w:val="both"/>
        <w:rPr>
          <w:rFonts w:ascii="Times New Roman" w:hAnsi="Times New Roman"/>
          <w:sz w:val="24"/>
          <w:szCs w:val="24"/>
        </w:rPr>
      </w:pPr>
      <w:r>
        <w:rPr>
          <w:rFonts w:ascii="Times New Roman" w:hAnsi="Times New Roman"/>
          <w:sz w:val="24"/>
          <w:szCs w:val="24"/>
        </w:rPr>
        <w:lastRenderedPageBreak/>
        <w:t>The refined models are then re-introduced into KARBS and the contact between the cam and the post is determined. This is done by designating the femoral cam and the tibial post parts of the models as separate surfaces.</w:t>
      </w:r>
    </w:p>
    <w:p w:rsidR="00D909F5" w:rsidRDefault="00D909F5" w:rsidP="00D909F5">
      <w:pPr>
        <w:pStyle w:val="ListParagraph"/>
        <w:numPr>
          <w:ilvl w:val="0"/>
          <w:numId w:val="11"/>
        </w:numPr>
        <w:spacing w:line="480" w:lineRule="auto"/>
        <w:jc w:val="both"/>
        <w:rPr>
          <w:rFonts w:ascii="Times New Roman" w:hAnsi="Times New Roman"/>
          <w:sz w:val="24"/>
          <w:szCs w:val="24"/>
        </w:rPr>
      </w:pPr>
      <w:r w:rsidRPr="00932E8C">
        <w:rPr>
          <w:rFonts w:ascii="Times New Roman" w:hAnsi="Times New Roman"/>
          <w:sz w:val="24"/>
          <w:szCs w:val="24"/>
        </w:rPr>
        <w:t xml:space="preserve">Next the contact algorithm of the KARBS package is executed to determine the distance between the corresponding polyethylene and femoral condyle. </w:t>
      </w:r>
    </w:p>
    <w:p w:rsidR="00D909F5" w:rsidRPr="00932E8C" w:rsidRDefault="00D909F5" w:rsidP="00D909F5">
      <w:pPr>
        <w:pStyle w:val="ListParagraph"/>
        <w:numPr>
          <w:ilvl w:val="0"/>
          <w:numId w:val="11"/>
        </w:numPr>
        <w:spacing w:line="480" w:lineRule="auto"/>
        <w:jc w:val="both"/>
        <w:rPr>
          <w:rFonts w:ascii="Times New Roman" w:hAnsi="Times New Roman"/>
          <w:sz w:val="24"/>
          <w:szCs w:val="24"/>
        </w:rPr>
      </w:pPr>
      <w:r w:rsidRPr="00932E8C">
        <w:rPr>
          <w:rFonts w:ascii="Times New Roman" w:hAnsi="Times New Roman"/>
          <w:sz w:val="24"/>
          <w:szCs w:val="24"/>
        </w:rPr>
        <w:t>This analysis is conducted for every degree of flexion from full extension to maximum knee flexion. A distance of less than 1mm is considered to signify contact between the femoral condyle and the polyethylene insert. The center of this area is assigned as the contact location</w:t>
      </w:r>
      <w:r>
        <w:rPr>
          <w:rFonts w:ascii="Times New Roman" w:hAnsi="Times New Roman"/>
          <w:sz w:val="24"/>
          <w:szCs w:val="24"/>
        </w:rPr>
        <w:t xml:space="preserve"> (on both the surfaces) and the flexion angle at which contact is first determined is assigned as the cam-post contact angle (Figures 4-9 and 4-10)</w:t>
      </w:r>
      <w:r w:rsidRPr="00932E8C">
        <w:rPr>
          <w:rFonts w:ascii="Times New Roman" w:hAnsi="Times New Roman"/>
          <w:sz w:val="24"/>
          <w:szCs w:val="24"/>
        </w:rPr>
        <w:t>.</w:t>
      </w:r>
    </w:p>
    <w:p w:rsidR="00D909F5" w:rsidRDefault="00D909F5" w:rsidP="00D909F5">
      <w:pPr>
        <w:pStyle w:val="ListParagraph"/>
        <w:numPr>
          <w:ilvl w:val="0"/>
          <w:numId w:val="11"/>
        </w:numPr>
        <w:spacing w:line="480" w:lineRule="auto"/>
        <w:jc w:val="both"/>
        <w:rPr>
          <w:rFonts w:ascii="Times New Roman" w:hAnsi="Times New Roman"/>
          <w:sz w:val="24"/>
          <w:szCs w:val="24"/>
        </w:rPr>
      </w:pPr>
      <w:r>
        <w:rPr>
          <w:rFonts w:ascii="Times New Roman" w:hAnsi="Times New Roman"/>
          <w:sz w:val="24"/>
          <w:szCs w:val="24"/>
        </w:rPr>
        <w:t>All elements on the tibial post that have a distance of less than 1mm with any element in the femoral cam are assigned a red color and increasing distances between the two surfaces are designated other color codes. This provides an estimated contact area between the two surfaces.</w:t>
      </w:r>
    </w:p>
    <w:p w:rsidR="00D909F5" w:rsidRDefault="00D909F5" w:rsidP="00D909F5">
      <w:pPr>
        <w:pStyle w:val="ListParagraph"/>
        <w:numPr>
          <w:ilvl w:val="0"/>
          <w:numId w:val="11"/>
        </w:numPr>
        <w:spacing w:line="480" w:lineRule="auto"/>
        <w:jc w:val="both"/>
        <w:rPr>
          <w:rFonts w:ascii="Times New Roman" w:hAnsi="Times New Roman"/>
          <w:sz w:val="24"/>
          <w:szCs w:val="24"/>
        </w:rPr>
      </w:pPr>
      <w:r>
        <w:rPr>
          <w:rFonts w:ascii="Times New Roman" w:hAnsi="Times New Roman"/>
          <w:sz w:val="24"/>
          <w:szCs w:val="24"/>
        </w:rPr>
        <w:t xml:space="preserve">Once this analysis is completed, six parameters are determined: </w:t>
      </w:r>
    </w:p>
    <w:p w:rsidR="00D909F5" w:rsidRDefault="00D909F5" w:rsidP="00D909F5">
      <w:pPr>
        <w:pStyle w:val="ListParagraph"/>
        <w:numPr>
          <w:ilvl w:val="1"/>
          <w:numId w:val="11"/>
        </w:numPr>
        <w:spacing w:line="480" w:lineRule="auto"/>
        <w:jc w:val="both"/>
        <w:rPr>
          <w:rFonts w:ascii="Times New Roman" w:hAnsi="Times New Roman"/>
          <w:sz w:val="24"/>
          <w:szCs w:val="24"/>
        </w:rPr>
      </w:pPr>
      <w:r>
        <w:rPr>
          <w:rFonts w:ascii="Times New Roman" w:hAnsi="Times New Roman"/>
          <w:sz w:val="24"/>
          <w:szCs w:val="24"/>
        </w:rPr>
        <w:t>Cam-post contact angle.</w:t>
      </w:r>
    </w:p>
    <w:p w:rsidR="00D909F5" w:rsidRDefault="00D909F5" w:rsidP="00D909F5">
      <w:pPr>
        <w:pStyle w:val="ListParagraph"/>
        <w:numPr>
          <w:ilvl w:val="1"/>
          <w:numId w:val="11"/>
        </w:numPr>
        <w:spacing w:line="480" w:lineRule="auto"/>
        <w:jc w:val="both"/>
        <w:rPr>
          <w:rFonts w:ascii="Times New Roman" w:hAnsi="Times New Roman"/>
          <w:sz w:val="24"/>
          <w:szCs w:val="24"/>
        </w:rPr>
      </w:pPr>
      <w:r>
        <w:rPr>
          <w:rFonts w:ascii="Times New Roman" w:hAnsi="Times New Roman"/>
          <w:sz w:val="24"/>
          <w:szCs w:val="24"/>
        </w:rPr>
        <w:t>Cam-post contact area (only the elements less than 1mm distance area considered).</w:t>
      </w:r>
    </w:p>
    <w:p w:rsidR="00D909F5" w:rsidRDefault="00D909F5" w:rsidP="00D909F5">
      <w:pPr>
        <w:pStyle w:val="ListParagraph"/>
        <w:numPr>
          <w:ilvl w:val="1"/>
          <w:numId w:val="11"/>
        </w:numPr>
        <w:spacing w:line="480" w:lineRule="auto"/>
        <w:jc w:val="both"/>
        <w:rPr>
          <w:rFonts w:ascii="Times New Roman" w:hAnsi="Times New Roman"/>
          <w:sz w:val="24"/>
          <w:szCs w:val="24"/>
        </w:rPr>
      </w:pPr>
      <w:r>
        <w:rPr>
          <w:rFonts w:ascii="Times New Roman" w:hAnsi="Times New Roman"/>
          <w:sz w:val="24"/>
          <w:szCs w:val="24"/>
        </w:rPr>
        <w:lastRenderedPageBreak/>
        <w:t>Distance between the femoral cam and the tibial post throughout the DKB activity (Figure 4-11).</w:t>
      </w:r>
    </w:p>
    <w:p w:rsidR="00D909F5" w:rsidRDefault="00D909F5" w:rsidP="00D909F5">
      <w:pPr>
        <w:pStyle w:val="ListParagraph"/>
        <w:numPr>
          <w:ilvl w:val="1"/>
          <w:numId w:val="11"/>
        </w:numPr>
        <w:spacing w:line="480" w:lineRule="auto"/>
        <w:jc w:val="both"/>
        <w:rPr>
          <w:rFonts w:ascii="Times New Roman" w:hAnsi="Times New Roman"/>
          <w:sz w:val="24"/>
          <w:szCs w:val="24"/>
        </w:rPr>
      </w:pPr>
      <w:r>
        <w:rPr>
          <w:rFonts w:ascii="Times New Roman" w:hAnsi="Times New Roman"/>
          <w:sz w:val="24"/>
          <w:szCs w:val="24"/>
        </w:rPr>
        <w:t>Height of the contact point on the tibial post with respect to the medial tibio-femoral contact point.</w:t>
      </w:r>
    </w:p>
    <w:p w:rsidR="00D909F5" w:rsidRDefault="00D909F5" w:rsidP="00D909F5">
      <w:pPr>
        <w:pStyle w:val="ListParagraph"/>
        <w:numPr>
          <w:ilvl w:val="1"/>
          <w:numId w:val="11"/>
        </w:numPr>
        <w:spacing w:line="480" w:lineRule="auto"/>
        <w:jc w:val="both"/>
        <w:rPr>
          <w:rFonts w:ascii="Times New Roman" w:hAnsi="Times New Roman"/>
          <w:sz w:val="24"/>
          <w:szCs w:val="24"/>
        </w:rPr>
      </w:pPr>
      <w:r>
        <w:rPr>
          <w:rFonts w:ascii="Times New Roman" w:hAnsi="Times New Roman"/>
          <w:sz w:val="24"/>
          <w:szCs w:val="24"/>
        </w:rPr>
        <w:t>Height</w:t>
      </w:r>
      <w:r w:rsidRPr="00F22469">
        <w:rPr>
          <w:rFonts w:ascii="Times New Roman" w:hAnsi="Times New Roman"/>
          <w:sz w:val="24"/>
          <w:szCs w:val="24"/>
        </w:rPr>
        <w:t xml:space="preserve"> of the contact point on the tibial post with respect to the lateral tibio-femoral contact point</w:t>
      </w:r>
      <w:r>
        <w:rPr>
          <w:rFonts w:ascii="Times New Roman" w:hAnsi="Times New Roman"/>
          <w:sz w:val="24"/>
          <w:szCs w:val="24"/>
        </w:rPr>
        <w:t xml:space="preserve"> (Figure 4-12).</w:t>
      </w:r>
    </w:p>
    <w:p w:rsidR="00D909F5" w:rsidRDefault="001F4A25" w:rsidP="00D909F5">
      <w:pPr>
        <w:spacing w:line="480" w:lineRule="auto"/>
        <w:jc w:val="center"/>
        <w:rPr>
          <w:noProof/>
        </w:rPr>
      </w:pPr>
      <w:r>
        <w:rPr>
          <w:noProof/>
        </w:rPr>
        <w:drawing>
          <wp:inline distT="0" distB="0" distL="0" distR="0">
            <wp:extent cx="2400300" cy="4030980"/>
            <wp:effectExtent l="19050" t="0" r="0" b="0"/>
            <wp:docPr id="19" name="Picture 19" descr="cam-post me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m-post mesh.png"/>
                    <pic:cNvPicPr>
                      <a:picLocks noChangeAspect="1" noChangeArrowheads="1"/>
                    </pic:cNvPicPr>
                  </pic:nvPicPr>
                  <pic:blipFill>
                    <a:blip r:embed="rId43" cstate="print"/>
                    <a:srcRect l="1234" t="1125" r="4485"/>
                    <a:stretch>
                      <a:fillRect/>
                    </a:stretch>
                  </pic:blipFill>
                  <pic:spPr bwMode="auto">
                    <a:xfrm>
                      <a:off x="0" y="0"/>
                      <a:ext cx="2400300" cy="4030980"/>
                    </a:xfrm>
                    <a:prstGeom prst="rect">
                      <a:avLst/>
                    </a:prstGeom>
                    <a:noFill/>
                    <a:ln w="9525">
                      <a:noFill/>
                      <a:miter lim="800000"/>
                      <a:headEnd/>
                      <a:tailEnd/>
                    </a:ln>
                  </pic:spPr>
                </pic:pic>
              </a:graphicData>
            </a:graphic>
          </wp:inline>
        </w:drawing>
      </w:r>
    </w:p>
    <w:p w:rsidR="00D909F5" w:rsidRDefault="00D909F5" w:rsidP="00D909F5">
      <w:pPr>
        <w:spacing w:line="480" w:lineRule="auto"/>
        <w:jc w:val="both"/>
        <w:rPr>
          <w:b/>
        </w:rPr>
      </w:pPr>
      <w:r>
        <w:rPr>
          <w:b/>
        </w:rPr>
        <w:t>Figure 4-8: Refined meshing of the cam-post interaction.</w:t>
      </w:r>
    </w:p>
    <w:p w:rsidR="00D909F5" w:rsidRDefault="00D909F5" w:rsidP="00D909F5">
      <w:pPr>
        <w:spacing w:line="480" w:lineRule="auto"/>
        <w:jc w:val="center"/>
        <w:rPr>
          <w:noProof/>
        </w:rPr>
      </w:pPr>
    </w:p>
    <w:p w:rsidR="00D909F5" w:rsidRDefault="001F4A25" w:rsidP="00D909F5">
      <w:pPr>
        <w:spacing w:line="480" w:lineRule="auto"/>
        <w:jc w:val="center"/>
        <w:rPr>
          <w:b/>
        </w:rPr>
      </w:pPr>
      <w:r>
        <w:rPr>
          <w:b/>
          <w:noProof/>
        </w:rPr>
        <w:lastRenderedPageBreak/>
        <w:drawing>
          <wp:inline distT="0" distB="0" distL="0" distR="0">
            <wp:extent cx="2468880" cy="2933700"/>
            <wp:effectExtent l="19050" t="0" r="7620" b="0"/>
            <wp:docPr id="20" name="Picture 20" descr="campost-contact_M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ampost-contact_MB.PNG"/>
                    <pic:cNvPicPr>
                      <a:picLocks noChangeAspect="1" noChangeArrowheads="1"/>
                    </pic:cNvPicPr>
                  </pic:nvPicPr>
                  <pic:blipFill>
                    <a:blip r:embed="rId44" cstate="print"/>
                    <a:srcRect/>
                    <a:stretch>
                      <a:fillRect/>
                    </a:stretch>
                  </pic:blipFill>
                  <pic:spPr bwMode="auto">
                    <a:xfrm>
                      <a:off x="0" y="0"/>
                      <a:ext cx="2468880" cy="2933700"/>
                    </a:xfrm>
                    <a:prstGeom prst="rect">
                      <a:avLst/>
                    </a:prstGeom>
                    <a:noFill/>
                    <a:ln w="9525">
                      <a:noFill/>
                      <a:miter lim="800000"/>
                      <a:headEnd/>
                      <a:tailEnd/>
                    </a:ln>
                  </pic:spPr>
                </pic:pic>
              </a:graphicData>
            </a:graphic>
          </wp:inline>
        </w:drawing>
      </w:r>
    </w:p>
    <w:p w:rsidR="00D909F5" w:rsidRDefault="00D909F5" w:rsidP="00D909F5">
      <w:pPr>
        <w:spacing w:line="480" w:lineRule="auto"/>
        <w:jc w:val="both"/>
        <w:rPr>
          <w:b/>
        </w:rPr>
      </w:pPr>
      <w:r>
        <w:rPr>
          <w:b/>
        </w:rPr>
        <w:t>Figure 4-9: Cam-post contact determination in the Sigma PS-RP TKA.</w:t>
      </w:r>
    </w:p>
    <w:p w:rsidR="00D909F5" w:rsidRDefault="001F4A25" w:rsidP="00D909F5">
      <w:pPr>
        <w:spacing w:line="480" w:lineRule="auto"/>
        <w:jc w:val="center"/>
        <w:rPr>
          <w:b/>
        </w:rPr>
      </w:pPr>
      <w:r>
        <w:rPr>
          <w:b/>
          <w:noProof/>
        </w:rPr>
        <w:drawing>
          <wp:inline distT="0" distB="0" distL="0" distR="0">
            <wp:extent cx="2049780" cy="2849880"/>
            <wp:effectExtent l="19050" t="0" r="7620" b="0"/>
            <wp:docPr id="21" name="Picture 21" descr="campost-contact_B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ampost-contact_BCS.PNG"/>
                    <pic:cNvPicPr>
                      <a:picLocks noChangeAspect="1" noChangeArrowheads="1"/>
                    </pic:cNvPicPr>
                  </pic:nvPicPr>
                  <pic:blipFill>
                    <a:blip r:embed="rId45" cstate="print"/>
                    <a:srcRect/>
                    <a:stretch>
                      <a:fillRect/>
                    </a:stretch>
                  </pic:blipFill>
                  <pic:spPr bwMode="auto">
                    <a:xfrm>
                      <a:off x="0" y="0"/>
                      <a:ext cx="2049780" cy="2849880"/>
                    </a:xfrm>
                    <a:prstGeom prst="rect">
                      <a:avLst/>
                    </a:prstGeom>
                    <a:noFill/>
                    <a:ln w="9525">
                      <a:noFill/>
                      <a:miter lim="800000"/>
                      <a:headEnd/>
                      <a:tailEnd/>
                    </a:ln>
                  </pic:spPr>
                </pic:pic>
              </a:graphicData>
            </a:graphic>
          </wp:inline>
        </w:drawing>
      </w:r>
    </w:p>
    <w:p w:rsidR="00D909F5" w:rsidRDefault="00D909F5" w:rsidP="00D909F5">
      <w:pPr>
        <w:spacing w:line="480" w:lineRule="auto"/>
        <w:jc w:val="both"/>
        <w:rPr>
          <w:b/>
        </w:rPr>
      </w:pPr>
      <w:r>
        <w:rPr>
          <w:b/>
        </w:rPr>
        <w:t>Figure 4-10: Cam-post contact determination in the Journey BCS TKA.</w:t>
      </w:r>
    </w:p>
    <w:p w:rsidR="00D909F5" w:rsidRDefault="001F4A25" w:rsidP="00D909F5">
      <w:pPr>
        <w:spacing w:line="480" w:lineRule="auto"/>
        <w:jc w:val="center"/>
        <w:rPr>
          <w:b/>
        </w:rPr>
      </w:pPr>
      <w:r>
        <w:rPr>
          <w:b/>
          <w:noProof/>
        </w:rPr>
        <w:lastRenderedPageBreak/>
        <w:drawing>
          <wp:inline distT="0" distB="0" distL="0" distR="0">
            <wp:extent cx="2141220" cy="3573780"/>
            <wp:effectExtent l="19050" t="0" r="0" b="0"/>
            <wp:docPr id="22" name="Picture 22" descr="Campost implant dist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ampost implant distance.PNG"/>
                    <pic:cNvPicPr>
                      <a:picLocks noChangeAspect="1" noChangeArrowheads="1"/>
                    </pic:cNvPicPr>
                  </pic:nvPicPr>
                  <pic:blipFill>
                    <a:blip r:embed="rId46" cstate="print"/>
                    <a:srcRect/>
                    <a:stretch>
                      <a:fillRect/>
                    </a:stretch>
                  </pic:blipFill>
                  <pic:spPr bwMode="auto">
                    <a:xfrm>
                      <a:off x="0" y="0"/>
                      <a:ext cx="2141220" cy="3573780"/>
                    </a:xfrm>
                    <a:prstGeom prst="rect">
                      <a:avLst/>
                    </a:prstGeom>
                    <a:noFill/>
                    <a:ln w="9525">
                      <a:noFill/>
                      <a:miter lim="800000"/>
                      <a:headEnd/>
                      <a:tailEnd/>
                    </a:ln>
                  </pic:spPr>
                </pic:pic>
              </a:graphicData>
            </a:graphic>
          </wp:inline>
        </w:drawing>
      </w:r>
    </w:p>
    <w:p w:rsidR="00D909F5" w:rsidRDefault="00D909F5" w:rsidP="00D909F5">
      <w:pPr>
        <w:spacing w:line="480" w:lineRule="auto"/>
        <w:jc w:val="both"/>
        <w:rPr>
          <w:b/>
        </w:rPr>
      </w:pPr>
      <w:r>
        <w:rPr>
          <w:b/>
        </w:rPr>
        <w:t>Figure 4-11: Cam-post contact distance determination in the Sigma PS-RP TKA.</w:t>
      </w:r>
    </w:p>
    <w:p w:rsidR="00D909F5" w:rsidRDefault="001F4A25" w:rsidP="00D909F5">
      <w:pPr>
        <w:spacing w:line="480" w:lineRule="auto"/>
        <w:jc w:val="both"/>
        <w:rPr>
          <w:b/>
        </w:rPr>
      </w:pPr>
      <w:r>
        <w:rPr>
          <w:b/>
          <w:noProof/>
        </w:rPr>
        <w:drawing>
          <wp:inline distT="0" distB="0" distL="0" distR="0">
            <wp:extent cx="5943600" cy="2522220"/>
            <wp:effectExtent l="19050" t="0" r="0" b="0"/>
            <wp:docPr id="23" name="Picture 23" descr="height of conta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ight of contact.PNG"/>
                    <pic:cNvPicPr>
                      <a:picLocks noChangeAspect="1" noChangeArrowheads="1"/>
                    </pic:cNvPicPr>
                  </pic:nvPicPr>
                  <pic:blipFill>
                    <a:blip r:embed="rId47" cstate="print"/>
                    <a:srcRect/>
                    <a:stretch>
                      <a:fillRect/>
                    </a:stretch>
                  </pic:blipFill>
                  <pic:spPr bwMode="auto">
                    <a:xfrm>
                      <a:off x="0" y="0"/>
                      <a:ext cx="5943600" cy="2522220"/>
                    </a:xfrm>
                    <a:prstGeom prst="rect">
                      <a:avLst/>
                    </a:prstGeom>
                    <a:noFill/>
                    <a:ln w="9525">
                      <a:noFill/>
                      <a:miter lim="800000"/>
                      <a:headEnd/>
                      <a:tailEnd/>
                    </a:ln>
                  </pic:spPr>
                </pic:pic>
              </a:graphicData>
            </a:graphic>
          </wp:inline>
        </w:drawing>
      </w:r>
    </w:p>
    <w:p w:rsidR="00D909F5" w:rsidRDefault="00D909F5" w:rsidP="00D909F5">
      <w:pPr>
        <w:spacing w:line="480" w:lineRule="auto"/>
        <w:jc w:val="both"/>
        <w:rPr>
          <w:b/>
        </w:rPr>
      </w:pPr>
      <w:r>
        <w:rPr>
          <w:b/>
        </w:rPr>
        <w:t>Figure 4-12: Cam-post height of contact determination in the Sigma PS-RP TKA.</w:t>
      </w:r>
    </w:p>
    <w:p w:rsidR="00D909F5" w:rsidRDefault="00D909F5" w:rsidP="00D909F5">
      <w:pPr>
        <w:spacing w:line="480" w:lineRule="auto"/>
        <w:ind w:left="720"/>
        <w:jc w:val="both"/>
        <w:rPr>
          <w:b/>
        </w:rPr>
      </w:pPr>
      <w:r>
        <w:rPr>
          <w:b/>
        </w:rPr>
        <w:lastRenderedPageBreak/>
        <w:t>4.2.5.3 Patellar tilt</w:t>
      </w:r>
    </w:p>
    <w:p w:rsidR="00D909F5" w:rsidRPr="00F22469" w:rsidRDefault="00D909F5" w:rsidP="00D909F5">
      <w:pPr>
        <w:spacing w:line="480" w:lineRule="auto"/>
        <w:ind w:left="720"/>
        <w:jc w:val="both"/>
      </w:pPr>
      <w:r w:rsidRPr="00F22469">
        <w:t>The movemen</w:t>
      </w:r>
      <w:r>
        <w:t>ts of the patellar component are</w:t>
      </w:r>
      <w:r w:rsidRPr="00F22469">
        <w:t xml:space="preserve"> directly derived from the fluoroscopic images with the help of the patellar bone.  The patella </w:t>
      </w:r>
      <w:r>
        <w:t>is</w:t>
      </w:r>
      <w:r w:rsidRPr="00F22469">
        <w:t xml:space="preserve"> assumed to rotate only in sagittal plane and the amount of tilt </w:t>
      </w:r>
      <w:r>
        <w:t xml:space="preserve">is </w:t>
      </w:r>
      <w:r w:rsidRPr="00F22469">
        <w:t>calculated by measuring an axis of the patella (obtained by marking 4 points on the extremity of the patella, as visible in the fluoroscope image, and bisecting the lines joining them) with t</w:t>
      </w:r>
      <w:r>
        <w:t>he axis of the tibia (Figure 4-1</w:t>
      </w:r>
      <w:r w:rsidR="00703470">
        <w:t>3</w:t>
      </w:r>
      <w:r w:rsidRPr="00F22469">
        <w:t xml:space="preserve">).  The distance between the most anterior aspect of the femoral component and the most posterior aspect of the patella </w:t>
      </w:r>
      <w:r>
        <w:t>is</w:t>
      </w:r>
      <w:r w:rsidRPr="00F22469">
        <w:t xml:space="preserve"> defined as the patellar contact point. This method has been previously used in our lab to study patellofemoral kinematics (Komistek, 2000).   </w:t>
      </w:r>
    </w:p>
    <w:p w:rsidR="00D909F5" w:rsidRPr="00F22469" w:rsidRDefault="00D909F5" w:rsidP="00D909F5">
      <w:pPr>
        <w:spacing w:line="480" w:lineRule="auto"/>
        <w:ind w:left="720"/>
        <w:jc w:val="both"/>
        <w:rPr>
          <w:b/>
        </w:rPr>
      </w:pPr>
      <w:r w:rsidRPr="00F22469">
        <w:rPr>
          <w:b/>
        </w:rPr>
        <w:t xml:space="preserve">           </w:t>
      </w:r>
    </w:p>
    <w:p w:rsidR="00D909F5" w:rsidRPr="00F22469" w:rsidRDefault="001F4A25" w:rsidP="00D909F5">
      <w:pPr>
        <w:spacing w:line="480" w:lineRule="auto"/>
        <w:jc w:val="center"/>
        <w:rPr>
          <w:b/>
        </w:rPr>
      </w:pPr>
      <w:r>
        <w:rPr>
          <w:b/>
          <w:noProof/>
        </w:rPr>
        <w:drawing>
          <wp:inline distT="0" distB="0" distL="0" distR="0">
            <wp:extent cx="2141220" cy="2514600"/>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 cstate="print"/>
                    <a:srcRect/>
                    <a:stretch>
                      <a:fillRect/>
                    </a:stretch>
                  </pic:blipFill>
                  <pic:spPr bwMode="auto">
                    <a:xfrm>
                      <a:off x="0" y="0"/>
                      <a:ext cx="2141220" cy="2514600"/>
                    </a:xfrm>
                    <a:prstGeom prst="rect">
                      <a:avLst/>
                    </a:prstGeom>
                    <a:noFill/>
                    <a:ln w="9525">
                      <a:noFill/>
                      <a:miter lim="800000"/>
                      <a:headEnd/>
                      <a:tailEnd/>
                    </a:ln>
                  </pic:spPr>
                </pic:pic>
              </a:graphicData>
            </a:graphic>
          </wp:inline>
        </w:drawing>
      </w:r>
    </w:p>
    <w:p w:rsidR="00D909F5" w:rsidRPr="00F22469" w:rsidRDefault="00D909F5" w:rsidP="00D909F5">
      <w:pPr>
        <w:jc w:val="both"/>
        <w:rPr>
          <w:b/>
        </w:rPr>
      </w:pPr>
      <w:r w:rsidRPr="00F22469">
        <w:rPr>
          <w:b/>
        </w:rPr>
        <w:t>Figure 4-</w:t>
      </w:r>
      <w:r>
        <w:rPr>
          <w:b/>
        </w:rPr>
        <w:t>1</w:t>
      </w:r>
      <w:r w:rsidR="00703470">
        <w:rPr>
          <w:b/>
        </w:rPr>
        <w:t>3</w:t>
      </w:r>
      <w:r w:rsidRPr="00F22469">
        <w:rPr>
          <w:b/>
        </w:rPr>
        <w:t>: Method used to calculate the Patellar Tilt Angle from the Fluoroscopic Image (Komistek, 2000).</w:t>
      </w:r>
    </w:p>
    <w:p w:rsidR="00D909F5" w:rsidRPr="00A76152" w:rsidRDefault="00D909F5" w:rsidP="00D909F5">
      <w:pPr>
        <w:spacing w:line="480" w:lineRule="auto"/>
        <w:ind w:left="720"/>
        <w:jc w:val="both"/>
        <w:rPr>
          <w:b/>
        </w:rPr>
      </w:pPr>
    </w:p>
    <w:p w:rsidR="00D909F5" w:rsidRDefault="00D909F5" w:rsidP="00D909F5">
      <w:pPr>
        <w:spacing w:line="480" w:lineRule="auto"/>
        <w:jc w:val="both"/>
        <w:rPr>
          <w:b/>
        </w:rPr>
      </w:pPr>
      <w:r>
        <w:rPr>
          <w:b/>
        </w:rPr>
        <w:lastRenderedPageBreak/>
        <w:t>4.3 Mathematical modeling</w:t>
      </w:r>
    </w:p>
    <w:p w:rsidR="00D909F5" w:rsidRDefault="00D909F5" w:rsidP="00D909F5">
      <w:pPr>
        <w:spacing w:line="480" w:lineRule="auto"/>
        <w:jc w:val="both"/>
      </w:pPr>
      <w:r w:rsidRPr="00347DCD">
        <w:t xml:space="preserve">In order to predict the in-vivo forces during the deep knee bend activity, an inverse dynamics model </w:t>
      </w:r>
      <w:r>
        <w:t xml:space="preserve">was </w:t>
      </w:r>
      <w:r w:rsidRPr="00347DCD">
        <w:t xml:space="preserve">created. This model </w:t>
      </w:r>
      <w:r>
        <w:t>is</w:t>
      </w:r>
      <w:r w:rsidRPr="00347DCD">
        <w:t xml:space="preserve"> based on the principle of rigi</w:t>
      </w:r>
      <w:r>
        <w:t>d body dynamics and utilizes</w:t>
      </w:r>
      <w:r w:rsidRPr="00347DCD">
        <w:t xml:space="preserve"> the reduction technique, where, the system is always kept determinate by keeping the number of unknowns equal to the number of equations. The underlying assumption in this technique is that certain muscles, which do not influence the system significantly, are neglected. Moreover, the modeled muscles are grouped together and it is assumed that the force within the grouped muscles represents a good estimate of the force acting within each separate muscle. The model was developed using Autolev</w:t>
      </w:r>
      <w:r w:rsidRPr="00347DCD">
        <w:rPr>
          <w:vertAlign w:val="superscript"/>
        </w:rPr>
        <w:t>TM</w:t>
      </w:r>
      <w:r w:rsidRPr="00347DCD">
        <w:t xml:space="preserve"> (Online Dynamics Inc, Sunnyvale, CA), a symbolic manipulator based on Kane’s dynamics (Kane, 1985; Komistek, 1998). </w:t>
      </w:r>
      <w:r>
        <w:t>T</w:t>
      </w:r>
      <w:r w:rsidRPr="00347DCD">
        <w:t>his method is extremely efficient and well suited for multibody systems having large degrees of freedom. This method allows for the solution of a maximum of six kinetic terms associated with each rigid body.</w:t>
      </w:r>
    </w:p>
    <w:p w:rsidR="00D909F5" w:rsidRPr="00347DCD" w:rsidRDefault="00D909F5" w:rsidP="00D909F5">
      <w:pPr>
        <w:spacing w:line="480" w:lineRule="auto"/>
        <w:jc w:val="both"/>
      </w:pPr>
    </w:p>
    <w:p w:rsidR="00D909F5" w:rsidRPr="00347DCD" w:rsidRDefault="00D909F5" w:rsidP="00D909F5">
      <w:pPr>
        <w:spacing w:line="480" w:lineRule="auto"/>
        <w:jc w:val="both"/>
        <w:rPr>
          <w:b/>
        </w:rPr>
      </w:pPr>
      <w:r>
        <w:rPr>
          <w:b/>
        </w:rPr>
        <w:t>4.3</w:t>
      </w:r>
      <w:r w:rsidRPr="00347DCD">
        <w:rPr>
          <w:b/>
        </w:rPr>
        <w:t xml:space="preserve">.1 </w:t>
      </w:r>
      <w:r>
        <w:rPr>
          <w:b/>
        </w:rPr>
        <w:t>Inputs to the m</w:t>
      </w:r>
      <w:r w:rsidRPr="00347DCD">
        <w:rPr>
          <w:b/>
        </w:rPr>
        <w:t>odel</w:t>
      </w:r>
    </w:p>
    <w:p w:rsidR="00D909F5" w:rsidRDefault="00D909F5" w:rsidP="00D909F5">
      <w:pPr>
        <w:spacing w:line="480" w:lineRule="auto"/>
        <w:jc w:val="both"/>
      </w:pPr>
      <w:r w:rsidRPr="00347DCD">
        <w:t xml:space="preserve">The 2D to 3D registration process generates three rotational and three translational values for each component. However, these calculations are based on the geometrical centre of the model. In the constructed mathematical model, the rotational centre of the rigid bodies does not correspond to the geometrical centre of the implant components. Therefore, to take care of this effect, only the rotational values obtained from the registration process </w:t>
      </w:r>
      <w:r>
        <w:t>are</w:t>
      </w:r>
      <w:r w:rsidRPr="00347DCD">
        <w:t xml:space="preserve"> considered. Before use in the model, the kinematic data </w:t>
      </w:r>
      <w:r>
        <w:t>is</w:t>
      </w:r>
      <w:r w:rsidRPr="00347DCD">
        <w:t xml:space="preserve"> made </w:t>
      </w:r>
      <w:r w:rsidRPr="00347DCD">
        <w:lastRenderedPageBreak/>
        <w:t>continuous by interpolation using splines of at least the 3</w:t>
      </w:r>
      <w:r w:rsidRPr="00347DCD">
        <w:rPr>
          <w:vertAlign w:val="superscript"/>
        </w:rPr>
        <w:t>rd</w:t>
      </w:r>
      <w:r w:rsidRPr="00347DCD">
        <w:t xml:space="preserve"> order. This was done in order to make the acceleration, obtained by double differentiation of path of motion, continuous. Each data </w:t>
      </w:r>
      <w:r>
        <w:t>is</w:t>
      </w:r>
      <w:r w:rsidRPr="00347DCD">
        <w:t xml:space="preserve"> fit with splines of order 3, 4, 5 and 6 respectively. The final selection </w:t>
      </w:r>
      <w:r>
        <w:t>is</w:t>
      </w:r>
      <w:r w:rsidRPr="00347DCD">
        <w:t xml:space="preserve"> made based on the least sum square error generated by the splines when fitting the original data.</w:t>
      </w:r>
    </w:p>
    <w:p w:rsidR="00D909F5" w:rsidRPr="00347DCD" w:rsidRDefault="00D909F5" w:rsidP="00D909F5">
      <w:pPr>
        <w:spacing w:line="480" w:lineRule="auto"/>
        <w:jc w:val="both"/>
      </w:pPr>
    </w:p>
    <w:p w:rsidR="00D909F5" w:rsidRDefault="00D909F5" w:rsidP="00D909F5">
      <w:pPr>
        <w:spacing w:line="480" w:lineRule="auto"/>
        <w:jc w:val="both"/>
      </w:pPr>
      <w:r w:rsidRPr="00347DCD">
        <w:t xml:space="preserve">Ground reaction force, obtained from a force plate, </w:t>
      </w:r>
      <w:r>
        <w:t>is</w:t>
      </w:r>
      <w:r w:rsidRPr="00347DCD">
        <w:t xml:space="preserve"> also used as an input to the model. Though this resulted in a variation in the magnitudes of the round reaction force for each patient, however, the variable nature of each curve with respect to flexion angle was similar. </w:t>
      </w:r>
    </w:p>
    <w:p w:rsidR="00D909F5" w:rsidRPr="00347DCD" w:rsidRDefault="00D909F5" w:rsidP="00D909F5">
      <w:pPr>
        <w:spacing w:line="480" w:lineRule="auto"/>
        <w:jc w:val="both"/>
      </w:pPr>
    </w:p>
    <w:p w:rsidR="00D909F5" w:rsidRPr="00347DCD" w:rsidRDefault="00D909F5" w:rsidP="00D909F5">
      <w:pPr>
        <w:spacing w:line="480" w:lineRule="auto"/>
        <w:jc w:val="both"/>
      </w:pPr>
      <w:r w:rsidRPr="00347DCD">
        <w:t xml:space="preserve">The dimensions of the bones, location of prominences and their inertial parameters </w:t>
      </w:r>
      <w:r>
        <w:t xml:space="preserve">are </w:t>
      </w:r>
      <w:r w:rsidRPr="00347DCD">
        <w:t xml:space="preserve">obtained from previously published anthropometric data (Zatsiorski, 1983; White, 1989; deLeva, 1996). The attachments of the muscles </w:t>
      </w:r>
      <w:r>
        <w:t xml:space="preserve">are </w:t>
      </w:r>
      <w:r w:rsidRPr="00347DCD">
        <w:t xml:space="preserve">considered as points and </w:t>
      </w:r>
      <w:r>
        <w:t>are</w:t>
      </w:r>
      <w:r w:rsidRPr="00347DCD">
        <w:t xml:space="preserve"> also obtained from previous studies (Yamaguchi, 2001). Since these studies use different axes systems, therefore, the data </w:t>
      </w:r>
      <w:r>
        <w:t xml:space="preserve">is </w:t>
      </w:r>
      <w:r w:rsidRPr="00347DCD">
        <w:t xml:space="preserve">transformed to the axis system in this study before being used.  </w:t>
      </w:r>
      <w:r>
        <w:t>T</w:t>
      </w:r>
      <w:r w:rsidRPr="00347DCD">
        <w:t xml:space="preserve">he patella </w:t>
      </w:r>
      <w:r>
        <w:t>i</w:t>
      </w:r>
      <w:r w:rsidRPr="00347DCD">
        <w:t xml:space="preserve">s assumed to be a disc whose dimensions </w:t>
      </w:r>
      <w:r>
        <w:t>are</w:t>
      </w:r>
      <w:r w:rsidRPr="00347DCD">
        <w:t xml:space="preserve"> measured directly from the fluoroscopic images at full extension. Finally, the relevant femoral, polyethylene and tibial component dimensions of the TKA were directly measured form the CAD models of the components. </w:t>
      </w:r>
    </w:p>
    <w:p w:rsidR="00D909F5" w:rsidRDefault="00D909F5" w:rsidP="00D909F5">
      <w:pPr>
        <w:spacing w:line="480" w:lineRule="auto"/>
        <w:jc w:val="both"/>
        <w:rPr>
          <w:b/>
        </w:rPr>
      </w:pPr>
    </w:p>
    <w:p w:rsidR="00D909F5" w:rsidRPr="00347DCD" w:rsidRDefault="00D909F5" w:rsidP="00D909F5">
      <w:pPr>
        <w:spacing w:line="480" w:lineRule="auto"/>
        <w:jc w:val="both"/>
        <w:rPr>
          <w:b/>
        </w:rPr>
      </w:pPr>
      <w:r>
        <w:rPr>
          <w:b/>
        </w:rPr>
        <w:lastRenderedPageBreak/>
        <w:t>4.3</w:t>
      </w:r>
      <w:r w:rsidRPr="00347DCD">
        <w:rPr>
          <w:b/>
        </w:rPr>
        <w:t xml:space="preserve">.2 </w:t>
      </w:r>
      <w:r>
        <w:rPr>
          <w:b/>
        </w:rPr>
        <w:t>Description of the m</w:t>
      </w:r>
      <w:r w:rsidRPr="00347DCD">
        <w:rPr>
          <w:b/>
        </w:rPr>
        <w:t>odel</w:t>
      </w:r>
    </w:p>
    <w:p w:rsidR="00D909F5" w:rsidRPr="00347DCD" w:rsidRDefault="00D909F5" w:rsidP="00D909F5">
      <w:pPr>
        <w:spacing w:line="480" w:lineRule="auto"/>
        <w:jc w:val="both"/>
      </w:pPr>
      <w:r w:rsidRPr="00347DCD">
        <w:t xml:space="preserve">Initially, a free body diagram of the mathematical model, simulating the deep knee bend activity </w:t>
      </w:r>
      <w:r>
        <w:t>is</w:t>
      </w:r>
      <w:r w:rsidRPr="00347DCD">
        <w:t xml:space="preserve"> derived i</w:t>
      </w:r>
      <w:r>
        <w:t>n the sagittal plane (Figure 4-1</w:t>
      </w:r>
      <w:r w:rsidR="00703470">
        <w:t>4</w:t>
      </w:r>
      <w:r w:rsidRPr="00347DCD">
        <w:t xml:space="preserve">). The anterior-posterior (AP) direction, superior-inferior (SI) direction, and the medial-lateral (ML) directions </w:t>
      </w:r>
      <w:r>
        <w:t>are</w:t>
      </w:r>
      <w:r w:rsidRPr="00347DCD">
        <w:t xml:space="preserve"> denoted as unit vectors in the 1, 2, and 3 directions, respectively.  This is the same set axes that the 2D to 3D registration tech</w:t>
      </w:r>
      <w:r>
        <w:t>nique uses. The system consists</w:t>
      </w:r>
      <w:r w:rsidRPr="00347DCD">
        <w:t xml:space="preserve"> of a kinematic chain starting from the foot-ground interaction th</w:t>
      </w:r>
      <w:r>
        <w:t>rough to the hip joint which is</w:t>
      </w:r>
      <w:r w:rsidRPr="00347DCD">
        <w:t xml:space="preserve"> modeled as a fixed point corresponding to the superior most aspect of the femoral head. </w:t>
      </w:r>
    </w:p>
    <w:p w:rsidR="00D909F5" w:rsidRPr="00347DCD" w:rsidRDefault="001F4A25" w:rsidP="00D909F5">
      <w:pPr>
        <w:spacing w:line="480" w:lineRule="auto"/>
        <w:jc w:val="center"/>
      </w:pPr>
      <w:r>
        <w:rPr>
          <w:noProof/>
        </w:rPr>
        <w:drawing>
          <wp:inline distT="0" distB="0" distL="0" distR="0">
            <wp:extent cx="3779520" cy="3688080"/>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cstate="print"/>
                    <a:srcRect/>
                    <a:stretch>
                      <a:fillRect/>
                    </a:stretch>
                  </pic:blipFill>
                  <pic:spPr bwMode="auto">
                    <a:xfrm>
                      <a:off x="0" y="0"/>
                      <a:ext cx="3779520" cy="3688080"/>
                    </a:xfrm>
                    <a:prstGeom prst="rect">
                      <a:avLst/>
                    </a:prstGeom>
                    <a:noFill/>
                    <a:ln w="9525">
                      <a:noFill/>
                      <a:miter lim="800000"/>
                      <a:headEnd/>
                      <a:tailEnd/>
                    </a:ln>
                  </pic:spPr>
                </pic:pic>
              </a:graphicData>
            </a:graphic>
          </wp:inline>
        </w:drawing>
      </w:r>
    </w:p>
    <w:p w:rsidR="00D909F5" w:rsidRPr="003B0BC8" w:rsidRDefault="00D909F5" w:rsidP="00D909F5">
      <w:pPr>
        <w:jc w:val="both"/>
        <w:rPr>
          <w:b/>
        </w:rPr>
      </w:pPr>
      <w:r>
        <w:rPr>
          <w:b/>
        </w:rPr>
        <w:t>Figure 4-1</w:t>
      </w:r>
      <w:r w:rsidR="00703470">
        <w:rPr>
          <w:b/>
        </w:rPr>
        <w:t>4</w:t>
      </w:r>
      <w:r w:rsidRPr="003B0BC8">
        <w:rPr>
          <w:b/>
        </w:rPr>
        <w:t>: Simplified Free Body Diagram for the Mathematical Model used in the Study.</w:t>
      </w:r>
    </w:p>
    <w:p w:rsidR="00D909F5" w:rsidRPr="00347DCD" w:rsidRDefault="00D909F5" w:rsidP="00D909F5">
      <w:pPr>
        <w:spacing w:line="480" w:lineRule="auto"/>
        <w:jc w:val="both"/>
      </w:pPr>
      <w:r w:rsidRPr="00347DCD">
        <w:lastRenderedPageBreak/>
        <w:t>During this particular deep knee bend activity, the foot always remained firmly rooted to the ground. Therefore, it was removed fr</w:t>
      </w:r>
      <w:r>
        <w:t>om the analysis and the tibia i</w:t>
      </w:r>
      <w:r w:rsidRPr="00347DCD">
        <w:t>s considered to have pure rotation in the sagittal plane about a point, correspond</w:t>
      </w:r>
      <w:r>
        <w:t>ing to the ankle joint, which i</w:t>
      </w:r>
      <w:r w:rsidRPr="00347DCD">
        <w:t xml:space="preserve">s fixed to the ground. The amount of rotation </w:t>
      </w:r>
      <w:r>
        <w:t>is</w:t>
      </w:r>
      <w:r w:rsidRPr="00347DCD">
        <w:t xml:space="preserve"> obtained from the 2D to 3D registration process. This point </w:t>
      </w:r>
      <w:r>
        <w:t>is</w:t>
      </w:r>
      <w:r w:rsidRPr="00347DCD">
        <w:t xml:space="preserve"> considered as the origin for the Newtonian and the tibial reference frames. </w:t>
      </w:r>
      <w:r>
        <w:t>Since</w:t>
      </w:r>
      <w:r w:rsidRPr="00347DCD">
        <w:t xml:space="preserve"> the</w:t>
      </w:r>
      <w:r>
        <w:t xml:space="preserve"> model starts from the ankle, </w:t>
      </w:r>
      <w:r w:rsidRPr="00347DCD">
        <w:t>the ground reaction force calcula</w:t>
      </w:r>
      <w:r>
        <w:t xml:space="preserve">ted from the force plate data is </w:t>
      </w:r>
      <w:r w:rsidRPr="00347DCD">
        <w:t>replaced by a force and moment acting at the ankle. The m</w:t>
      </w:r>
      <w:r>
        <w:t>agnitude of this force is equal to the</w:t>
      </w:r>
      <w:r w:rsidRPr="00347DCD">
        <w:t xml:space="preserve"> force plate </w:t>
      </w:r>
      <w:r>
        <w:t>value while the moment i</w:t>
      </w:r>
      <w:r w:rsidRPr="00347DCD">
        <w:t>s calculated as the cross product of the position vector form the midpoint of the foot to the ankle and the magnitude of the force.</w:t>
      </w:r>
    </w:p>
    <w:p w:rsidR="00D909F5" w:rsidRPr="00347DCD" w:rsidRDefault="00D909F5" w:rsidP="00D909F5">
      <w:pPr>
        <w:spacing w:line="480" w:lineRule="auto"/>
        <w:jc w:val="both"/>
      </w:pPr>
    </w:p>
    <w:p w:rsidR="00D909F5" w:rsidRDefault="00D909F5" w:rsidP="00D909F5">
      <w:pPr>
        <w:spacing w:line="480" w:lineRule="auto"/>
        <w:jc w:val="both"/>
      </w:pPr>
      <w:r w:rsidRPr="00347DCD">
        <w:t xml:space="preserve">The tibia, femur, patella and polyethylene </w:t>
      </w:r>
      <w:r>
        <w:t>are</w:t>
      </w:r>
      <w:r w:rsidRPr="00347DCD">
        <w:t xml:space="preserve"> modeled as </w:t>
      </w:r>
      <w:r>
        <w:t>rigid bodies while the ground i</w:t>
      </w:r>
      <w:r w:rsidRPr="00347DCD">
        <w:t xml:space="preserve">s chosen as the fixed Newtonian reference frame (referred to as ‘A’,’B’,’D’, ‘G’ and ‘N’ in the figure). </w:t>
      </w:r>
    </w:p>
    <w:p w:rsidR="00D909F5" w:rsidRPr="00347DCD" w:rsidRDefault="00D909F5" w:rsidP="00D909F5">
      <w:pPr>
        <w:spacing w:line="480" w:lineRule="auto"/>
        <w:jc w:val="both"/>
      </w:pPr>
    </w:p>
    <w:p w:rsidR="00D909F5" w:rsidRDefault="00D909F5" w:rsidP="00D909F5">
      <w:pPr>
        <w:spacing w:line="480" w:lineRule="auto"/>
        <w:jc w:val="both"/>
      </w:pPr>
      <w:r w:rsidRPr="00347DCD">
        <w:t xml:space="preserve">Subsequent transformation </w:t>
      </w:r>
      <w:r>
        <w:t>is</w:t>
      </w:r>
      <w:r w:rsidRPr="00347DCD">
        <w:t xml:space="preserve"> then defined for the adjacent bodies. The mobil</w:t>
      </w:r>
      <w:r>
        <w:t>e bearing polyethylene insert (Sigma RP-PS TKA) i</w:t>
      </w:r>
      <w:r w:rsidRPr="00347DCD">
        <w:t>s assumed to have pure rotation with respect to the tibia in the transverse plane about the superior-inferior axis (A2&gt;). The polyethylene coordinate syste</w:t>
      </w:r>
      <w:r>
        <w:t>m has</w:t>
      </w:r>
      <w:r w:rsidRPr="00347DCD">
        <w:t xml:space="preserve"> its origin at the mass centre of the polyethylene. This point is aligned on the axis of rotation due to the symmetrical nature of the polyethylene insert. For the fixed </w:t>
      </w:r>
      <w:r>
        <w:t>bearing TKA (Journey BCS), the polyethylene i</w:t>
      </w:r>
      <w:r w:rsidRPr="00347DCD">
        <w:t xml:space="preserve">s assumed to be rigidly </w:t>
      </w:r>
      <w:r w:rsidRPr="00347DCD">
        <w:lastRenderedPageBreak/>
        <w:t>fixed to the tibial component, without having any motion relative to it, and</w:t>
      </w:r>
      <w:r>
        <w:t xml:space="preserve"> the polyethylene axis system i</w:t>
      </w:r>
      <w:r w:rsidRPr="00347DCD">
        <w:t xml:space="preserve">s similar to that of </w:t>
      </w:r>
      <w:r>
        <w:t>the mobile bearing. The femur is</w:t>
      </w:r>
      <w:r w:rsidRPr="00347DCD">
        <w:t xml:space="preserve"> assumed to roll with slipping along the AP direction on</w:t>
      </w:r>
      <w:r>
        <w:t xml:space="preserve"> the polyethylene insert. This i</w:t>
      </w:r>
      <w:r w:rsidRPr="00347DCD">
        <w:t>s modeled as a cylinder rolling with slipping on a curved surface which ha</w:t>
      </w:r>
      <w:r>
        <w:t>s</w:t>
      </w:r>
      <w:r w:rsidRPr="00347DCD">
        <w:t xml:space="preserve"> a curvature only in the sagittal plane. The cylinder had a radius equal to the radius of the femoral condyles in the sagittal plane and a length equal to the intercondylar distance of the femoral implant. The intercondylar distance was defined as the distance between the lowest points in the femoral condyles at full extension and this was assumed to be constant throughout flexion. Also, the effect due to the coronal curvature of the polyethylene was neglected. The</w:t>
      </w:r>
      <w:r>
        <w:t xml:space="preserve"> sagittal motion of the femur i</w:t>
      </w:r>
      <w:r w:rsidRPr="00347DCD">
        <w:t xml:space="preserve">s the value obtained from the 2D to 3D registration transformation values. However, the translational effect and the axial rotation of the femur </w:t>
      </w:r>
      <w:r>
        <w:t>is</w:t>
      </w:r>
      <w:r w:rsidRPr="00347DCD">
        <w:t xml:space="preserve"> obtained from the AP data, as previously specified. T</w:t>
      </w:r>
      <w:r>
        <w:t>he slip factor for the motion i</w:t>
      </w:r>
      <w:r w:rsidRPr="00347DCD">
        <w:t>s calculated as the ratio of the actual distance translated by the femur to the distance it would have moved had it been rolling without slipping in the antero-p</w:t>
      </w:r>
      <w:r>
        <w:t>osterior direction</w:t>
      </w:r>
      <w:r w:rsidRPr="00347DCD">
        <w:t>.</w:t>
      </w:r>
    </w:p>
    <w:p w:rsidR="00D909F5" w:rsidRPr="00347DCD" w:rsidRDefault="00D909F5" w:rsidP="00D909F5">
      <w:pPr>
        <w:spacing w:line="480" w:lineRule="auto"/>
        <w:jc w:val="both"/>
      </w:pPr>
    </w:p>
    <w:p w:rsidR="00D909F5" w:rsidRDefault="00D909F5" w:rsidP="00D909F5">
      <w:pPr>
        <w:spacing w:line="480" w:lineRule="auto"/>
        <w:jc w:val="both"/>
      </w:pPr>
      <w:r>
        <w:t>The patella i</w:t>
      </w:r>
      <w:r w:rsidRPr="00347DCD">
        <w:t>s assumed to be located in the fe</w:t>
      </w:r>
      <w:r>
        <w:t>moral groove and as a result has</w:t>
      </w:r>
      <w:r w:rsidRPr="00347DCD">
        <w:t xml:space="preserve"> the same axial rotat</w:t>
      </w:r>
      <w:r>
        <w:t>ion as the femur. The patella i</w:t>
      </w:r>
      <w:r w:rsidRPr="00347DCD">
        <w:t xml:space="preserve">s assumed to have rotation in the sagittal plane with respect to the femur about a centre passing through the mass centre of the patella. Only one point of contact was considered between the femur and the patella and this </w:t>
      </w:r>
      <w:r w:rsidRPr="00347DCD">
        <w:lastRenderedPageBreak/>
        <w:t>contac</w:t>
      </w:r>
      <w:r>
        <w:t>t i</w:t>
      </w:r>
      <w:r w:rsidRPr="00347DCD">
        <w:t xml:space="preserve">s considered variable based on the contact values directly obtained from the fluoroscopic images using the process described in the referred study. </w:t>
      </w:r>
    </w:p>
    <w:p w:rsidR="00D909F5" w:rsidRPr="00347DCD" w:rsidRDefault="00D909F5" w:rsidP="00D909F5">
      <w:pPr>
        <w:spacing w:line="480" w:lineRule="auto"/>
        <w:jc w:val="both"/>
      </w:pPr>
    </w:p>
    <w:p w:rsidR="00D909F5" w:rsidRDefault="00D909F5" w:rsidP="00D909F5">
      <w:pPr>
        <w:spacing w:line="480" w:lineRule="auto"/>
        <w:jc w:val="both"/>
      </w:pPr>
      <w:r w:rsidRPr="00347DCD">
        <w:t>The surface contacts between the tibia and the polyethylene and between the femur and the polyethylene</w:t>
      </w:r>
      <w:r>
        <w:t xml:space="preserve"> is</w:t>
      </w:r>
      <w:r w:rsidRPr="00347DCD">
        <w:t xml:space="preserve"> modeled as having two contact points corresponding to the medial and lateral condyles. The femoro-polyethylene and tibio-</w:t>
      </w:r>
      <w:r>
        <w:t>polyethylene contact forces are</w:t>
      </w:r>
      <w:r w:rsidRPr="00347DCD">
        <w:t xml:space="preserve"> included into the system only </w:t>
      </w:r>
      <w:r>
        <w:t>at the points of contact and ar</w:t>
      </w:r>
      <w:r w:rsidRPr="00347DCD">
        <w:t>e modeled as having two components, one in the direction along the common normal for the surfaces in contact (F</w:t>
      </w:r>
      <w:r w:rsidRPr="00347DCD">
        <w:rPr>
          <w:vertAlign w:val="subscript"/>
        </w:rPr>
        <w:t>N</w:t>
      </w:r>
      <w:r w:rsidRPr="00347DCD">
        <w:t>) and the other in the direction opposite to the direction of relative velocity of the points in contact (frictional force, F</w:t>
      </w:r>
      <w:r w:rsidRPr="00347DCD">
        <w:rPr>
          <w:vertAlign w:val="subscript"/>
        </w:rPr>
        <w:t>S</w:t>
      </w:r>
      <w:r w:rsidRPr="00347DCD">
        <w:t>).  A constant frictional co-efficient (C</w:t>
      </w:r>
      <w:r w:rsidRPr="00347DCD">
        <w:rPr>
          <w:vertAlign w:val="subscript"/>
        </w:rPr>
        <w:t>F</w:t>
      </w:r>
      <w:r>
        <w:t>) of 0.05 i</w:t>
      </w:r>
      <w:r w:rsidRPr="00347DCD">
        <w:t>s used for this analysis and the magnitude of the frictional force was obtained as the product of the frictional co-efficient an</w:t>
      </w:r>
      <w:r>
        <w:t>d the normal force</w:t>
      </w:r>
      <w:r w:rsidRPr="00347DCD">
        <w:t xml:space="preserve">. </w:t>
      </w:r>
    </w:p>
    <w:p w:rsidR="00D909F5" w:rsidRDefault="00D909F5" w:rsidP="00D909F5">
      <w:pPr>
        <w:spacing w:line="480" w:lineRule="auto"/>
        <w:jc w:val="both"/>
      </w:pPr>
    </w:p>
    <w:p w:rsidR="00D909F5" w:rsidRPr="00347DCD" w:rsidRDefault="00D909F5" w:rsidP="00D909F5">
      <w:pPr>
        <w:spacing w:line="480" w:lineRule="auto"/>
        <w:jc w:val="both"/>
      </w:pPr>
      <w:r>
        <w:t>The cam-post interaction is also modeled as a single point contact as determined by the 3D-to-2D registration process. The distance between the femoral cam and the tibial post and the flexion angle at which contact is first achieved is used to determine the occurrence of contact between the femur and tibia at this interaction. The contact force at the cam-post interaction is assumed to have only one component in the direction normal to the tibial post once contact is achieved (A1&gt;). The effect of impulse force due impact of the femoral cam with the tibia post during initial contact is neglected.</w:t>
      </w:r>
    </w:p>
    <w:p w:rsidR="00D909F5" w:rsidRDefault="00D909F5" w:rsidP="00D909F5">
      <w:pPr>
        <w:spacing w:line="480" w:lineRule="auto"/>
        <w:jc w:val="both"/>
      </w:pPr>
      <w:r w:rsidRPr="00347DCD">
        <w:lastRenderedPageBreak/>
        <w:t xml:space="preserve">To keep the system determinate, only the quadriceps and the patellar ligament </w:t>
      </w:r>
      <w:r>
        <w:t>are</w:t>
      </w:r>
      <w:r w:rsidRPr="00347DCD">
        <w:t xml:space="preserve"> entered into the system whose forces </w:t>
      </w:r>
      <w:r>
        <w:t>are</w:t>
      </w:r>
      <w:r w:rsidRPr="00347DCD">
        <w:t xml:space="preserve"> calculated in this model The patellar ligament and the quadriceps were modeled as mass-less frames (repres</w:t>
      </w:r>
      <w:r>
        <w:t>ented as ‘C’ and ‘E’). They are</w:t>
      </w:r>
      <w:r w:rsidRPr="00347DCD">
        <w:t xml:space="preserve"> entered into the system as equal and opposite forces acting at their points of attachments and the line of action being the straight line joining their attachment points. Thus though the forces were unknown in magnitude, their direction was known. This helps in reducing the number of unknowns in the system. This method however neglects the effect due to the wrapping of the muscles on the bones.</w:t>
      </w:r>
    </w:p>
    <w:p w:rsidR="00D909F5" w:rsidRPr="00347DCD" w:rsidRDefault="00D909F5" w:rsidP="00D909F5">
      <w:pPr>
        <w:spacing w:line="480" w:lineRule="auto"/>
        <w:jc w:val="both"/>
      </w:pPr>
    </w:p>
    <w:p w:rsidR="00D909F5" w:rsidRDefault="00D909F5" w:rsidP="00D909F5">
      <w:pPr>
        <w:spacing w:line="480" w:lineRule="auto"/>
        <w:jc w:val="both"/>
      </w:pPr>
      <w:r w:rsidRPr="00347DCD">
        <w:t>The model solve</w:t>
      </w:r>
      <w:r>
        <w:t>s</w:t>
      </w:r>
      <w:r w:rsidRPr="00347DCD">
        <w:t xml:space="preserve"> for 18 unknowns that included the femoro-polyethylene and tibio-polyethylene contact forces and torques, the patello-femoral contact force, the force in the patellar ligament and quadriceps muscle, and the forces and torques acting at the hip. </w:t>
      </w:r>
    </w:p>
    <w:p w:rsidR="00D909F5" w:rsidRPr="00FF30B1" w:rsidRDefault="00D909F5" w:rsidP="00D909F5">
      <w:pPr>
        <w:spacing w:line="480" w:lineRule="auto"/>
        <w:jc w:val="both"/>
      </w:pPr>
      <w:r w:rsidRPr="00FF30B1">
        <w:t xml:space="preserve">The contact pressures were then calculated by the following relations: </w:t>
      </w:r>
    </w:p>
    <w:p w:rsidR="00D909F5" w:rsidRPr="00FF30B1" w:rsidRDefault="00D909F5" w:rsidP="00D909F5">
      <w:pPr>
        <w:spacing w:line="480" w:lineRule="auto"/>
        <w:jc w:val="both"/>
      </w:pPr>
      <w:r w:rsidRPr="00390817">
        <w:rPr>
          <w:position w:val="-46"/>
        </w:rPr>
        <w:object w:dxaOrig="948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69pt" o:ole="">
            <v:imagedata r:id="rId50" o:title=""/>
          </v:shape>
          <o:OLEObject Type="Embed" ProgID="Equation.3" ShapeID="_x0000_i1025" DrawAspect="Content" ObjectID="_1474475649" r:id="rId51"/>
        </w:object>
      </w:r>
    </w:p>
    <w:p w:rsidR="00D909F5" w:rsidRPr="00FF30B1" w:rsidRDefault="00D909F5" w:rsidP="00D909F5">
      <w:pPr>
        <w:spacing w:line="480" w:lineRule="auto"/>
        <w:jc w:val="both"/>
      </w:pPr>
      <w:r w:rsidRPr="00FF30B1">
        <w:t>The relation between the maximum contact pressure and the average contact was an assumed one and was based on the Hertzian Contact Analysis which also uses the same relationship.</w:t>
      </w:r>
    </w:p>
    <w:p w:rsidR="00D909F5" w:rsidRDefault="00D909F5" w:rsidP="00D909F5">
      <w:pPr>
        <w:spacing w:line="480" w:lineRule="auto"/>
        <w:jc w:val="both"/>
      </w:pPr>
    </w:p>
    <w:p w:rsidR="00D909F5" w:rsidRPr="00FF30B1" w:rsidRDefault="00D909F5" w:rsidP="00D909F5">
      <w:pPr>
        <w:spacing w:line="480" w:lineRule="auto"/>
        <w:jc w:val="both"/>
        <w:rPr>
          <w:b/>
        </w:rPr>
      </w:pPr>
      <w:r>
        <w:rPr>
          <w:b/>
        </w:rPr>
        <w:lastRenderedPageBreak/>
        <w:t>4.4 Vibroarthography of the Knee Joint</w:t>
      </w:r>
    </w:p>
    <w:p w:rsidR="00D909F5" w:rsidRPr="00DE0DF2" w:rsidRDefault="00D909F5" w:rsidP="00D909F5">
      <w:pPr>
        <w:spacing w:line="480" w:lineRule="auto"/>
        <w:jc w:val="both"/>
        <w:rPr>
          <w:b/>
        </w:rPr>
      </w:pPr>
      <w:r w:rsidRPr="00DE0DF2">
        <w:rPr>
          <w:b/>
        </w:rPr>
        <w:t>4.4.1 Data capture</w:t>
      </w:r>
    </w:p>
    <w:p w:rsidR="00D909F5" w:rsidRDefault="00D909F5" w:rsidP="00D909F5">
      <w:pPr>
        <w:spacing w:line="480" w:lineRule="auto"/>
        <w:jc w:val="both"/>
      </w:pPr>
      <w:r w:rsidRPr="00390817">
        <w:t xml:space="preserve">The vibration data was collected for total 76 normal, degenerative and implanted knees. The goal of </w:t>
      </w:r>
      <w:r>
        <w:t>is</w:t>
      </w:r>
      <w:r w:rsidRPr="00390817">
        <w:t xml:space="preserve"> to assess if it </w:t>
      </w:r>
      <w:r>
        <w:t>is</w:t>
      </w:r>
      <w:r w:rsidRPr="00390817">
        <w:t xml:space="preserve"> possible to distinguish, just based on vibration data, the occurrence of uni-compartmental degeneration and the difference between normal and degenerative knee joint signals. Patients with normal and well functioning TKA were analyzed under in vivo, conditions using video fluoroscopy and vibration sensors while performing various normal day activities. For subjects who did not undergo fluoroscopic surveillance (degenerative and failed TKA), a detailed questionnaire was requested from the intra-surgery (primary or revision as the case might be) which schematically distinguished the area and level of damage to the tibio-femoral interface (Figure </w:t>
      </w:r>
      <w:r>
        <w:t>4-1</w:t>
      </w:r>
      <w:r w:rsidR="00703470">
        <w:t>5</w:t>
      </w:r>
      <w:r w:rsidRPr="00390817">
        <w:t xml:space="preserve">). During the TKA procedure, after opening the joint capsule, the surgeon </w:t>
      </w:r>
      <w:r>
        <w:t>examined</w:t>
      </w:r>
      <w:r w:rsidRPr="00390817">
        <w:t xml:space="preserve"> the condition of the articular cartilage and fill</w:t>
      </w:r>
      <w:r>
        <w:t>ed</w:t>
      </w:r>
      <w:r w:rsidRPr="00390817">
        <w:t xml:space="preserve"> out an intrasurgical evaluation sheet</w:t>
      </w:r>
      <w:r>
        <w:t xml:space="preserve">. </w:t>
      </w:r>
      <w:r w:rsidRPr="00390817">
        <w:t>This assessment provide</w:t>
      </w:r>
      <w:r>
        <w:t>d</w:t>
      </w:r>
      <w:r w:rsidRPr="00390817">
        <w:t xml:space="preserve"> an insight into the exact condition of the cartilage and the amount of damage at every compartment of the knee joint, as well as any other factors possibly altering the vibration pattern, such as any ligament deficiency or meniscal injuries. Having this information </w:t>
      </w:r>
      <w:r>
        <w:t xml:space="preserve">provided for the means to successfully co-relate </w:t>
      </w:r>
      <w:r w:rsidRPr="00390817">
        <w:t>the condition of the j</w:t>
      </w:r>
      <w:r>
        <w:t>oint with the vibration pattern for patients who did not undergo fluoroscopic studies.</w:t>
      </w:r>
    </w:p>
    <w:p w:rsidR="00D909F5" w:rsidRPr="00390817" w:rsidRDefault="00D909F5" w:rsidP="00D909F5">
      <w:pPr>
        <w:spacing w:line="480" w:lineRule="auto"/>
        <w:jc w:val="both"/>
      </w:pPr>
    </w:p>
    <w:p w:rsidR="00D909F5" w:rsidRDefault="001F4A25" w:rsidP="00D909F5">
      <w:pPr>
        <w:spacing w:line="480" w:lineRule="auto"/>
        <w:jc w:val="center"/>
        <w:rPr>
          <w:b/>
        </w:rPr>
      </w:pPr>
      <w:r>
        <w:rPr>
          <w:b/>
          <w:noProof/>
        </w:rPr>
        <w:lastRenderedPageBreak/>
        <w:drawing>
          <wp:inline distT="0" distB="0" distL="0" distR="0">
            <wp:extent cx="2697480" cy="2202180"/>
            <wp:effectExtent l="19050" t="0" r="7620" b="0"/>
            <wp:docPr id="27" name="Picture 27" descr="intra surgery evalu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ntra surgery evaluation.tif"/>
                    <pic:cNvPicPr>
                      <a:picLocks noChangeAspect="1" noChangeArrowheads="1"/>
                    </pic:cNvPicPr>
                  </pic:nvPicPr>
                  <pic:blipFill>
                    <a:blip r:embed="rId52" cstate="print"/>
                    <a:srcRect/>
                    <a:stretch>
                      <a:fillRect/>
                    </a:stretch>
                  </pic:blipFill>
                  <pic:spPr bwMode="auto">
                    <a:xfrm>
                      <a:off x="0" y="0"/>
                      <a:ext cx="2697480" cy="2202180"/>
                    </a:xfrm>
                    <a:prstGeom prst="rect">
                      <a:avLst/>
                    </a:prstGeom>
                    <a:noFill/>
                    <a:ln w="9525">
                      <a:noFill/>
                      <a:miter lim="800000"/>
                      <a:headEnd/>
                      <a:tailEnd/>
                    </a:ln>
                  </pic:spPr>
                </pic:pic>
              </a:graphicData>
            </a:graphic>
          </wp:inline>
        </w:drawing>
      </w:r>
    </w:p>
    <w:p w:rsidR="00D909F5" w:rsidRDefault="00D909F5" w:rsidP="00D909F5">
      <w:pPr>
        <w:jc w:val="both"/>
        <w:rPr>
          <w:b/>
        </w:rPr>
      </w:pPr>
      <w:r w:rsidRPr="00217FDA">
        <w:rPr>
          <w:b/>
        </w:rPr>
        <w:t>Figure 4-1</w:t>
      </w:r>
      <w:r w:rsidR="00703470">
        <w:rPr>
          <w:b/>
        </w:rPr>
        <w:t>5</w:t>
      </w:r>
      <w:r w:rsidRPr="00217FDA">
        <w:rPr>
          <w:b/>
        </w:rPr>
        <w:t>: Intra-surgery evaluation sheet for example patient distinguishing the area and level of damage to the tibio-femoral interface.</w:t>
      </w:r>
    </w:p>
    <w:p w:rsidR="00D909F5" w:rsidRDefault="00D909F5" w:rsidP="00D909F5">
      <w:pPr>
        <w:jc w:val="both"/>
        <w:rPr>
          <w:b/>
        </w:rPr>
      </w:pPr>
    </w:p>
    <w:p w:rsidR="00D909F5" w:rsidRPr="00DE0DF2" w:rsidRDefault="009937B6" w:rsidP="00D909F5">
      <w:pPr>
        <w:jc w:val="both"/>
        <w:rPr>
          <w:b/>
        </w:rPr>
      </w:pPr>
      <w:r w:rsidRPr="00DE0DF2">
        <w:rPr>
          <w:b/>
        </w:rPr>
        <w:fldChar w:fldCharType="begin"/>
      </w:r>
      <w:r w:rsidR="00D909F5" w:rsidRPr="00DE0DF2">
        <w:rPr>
          <w:b/>
        </w:rPr>
        <w:instrText>tc "31 The intrasurgical evaluation sheet was filled out by the surgeon during the TKA procedure to provide the information about the location and severity of the articular cartilage damage. Other factors that might affect the vibration outcome, such as ligament deficiency or meniscus injuries were also examined and described." \f f</w:instrText>
      </w:r>
      <w:r w:rsidRPr="00DE0DF2">
        <w:rPr>
          <w:b/>
        </w:rPr>
        <w:fldChar w:fldCharType="end"/>
      </w:r>
    </w:p>
    <w:p w:rsidR="00D909F5" w:rsidRDefault="00D909F5" w:rsidP="00D909F5">
      <w:pPr>
        <w:spacing w:line="480" w:lineRule="auto"/>
        <w:jc w:val="both"/>
      </w:pPr>
      <w:r>
        <w:t>The data collection setup consists of 3</w:t>
      </w:r>
      <w:r w:rsidRPr="00390817">
        <w:t xml:space="preserve"> miniature, 3-axial accelerometers (Model 356A12, 100 mV/g, 50 g, 0.5 to 5k Hz, PCB Piezotronics Inc., Depew, NY) attached to the surface of the skin at the </w:t>
      </w:r>
      <w:r>
        <w:t>lateral</w:t>
      </w:r>
      <w:r w:rsidRPr="00390817">
        <w:t xml:space="preserve"> and medial femoral epicondyle</w:t>
      </w:r>
      <w:r>
        <w:t xml:space="preserve"> and the tibial tuberocity respectively</w:t>
      </w:r>
      <w:r w:rsidRPr="00390817">
        <w:t xml:space="preserve"> by means of elastic wrap and hypoallergenic adhesive tape (Figure </w:t>
      </w:r>
      <w:r>
        <w:t>4-1</w:t>
      </w:r>
      <w:r w:rsidR="00703470">
        <w:t>6</w:t>
      </w:r>
      <w:fldSimple w:instr="REF BMfig_VAG_SignalDetection \* MERGEFORMAT "/>
      <w:r>
        <w:t>).</w:t>
      </w:r>
    </w:p>
    <w:p w:rsidR="00D909F5" w:rsidRDefault="00D909F5" w:rsidP="00D909F5">
      <w:pPr>
        <w:spacing w:line="480" w:lineRule="auto"/>
        <w:jc w:val="both"/>
      </w:pPr>
      <w:r>
        <w:t>A</w:t>
      </w:r>
      <w:r w:rsidRPr="00390817">
        <w:t xml:space="preserve"> signal conditioner (Model 583A, PCB Piezotronics Inc., Depe</w:t>
      </w:r>
      <w:r>
        <w:t>w, NY) i</w:t>
      </w:r>
      <w:r w:rsidRPr="00390817">
        <w:t>s used to increase the magnitude of the vibration signal by the factor of ten and to low-pass filter the data at cut-off frequency of 4700Hz prior to analog-to-digital conversion (Model DI-720, DATAQ Instruments Inc., Akron, OH).</w:t>
      </w:r>
      <w:r>
        <w:t xml:space="preserve"> Video cameras record the feed from the fluoroscopy device as well as the live scene in the examination room. Both, the vibration signals and the video inputs are then synchronized using a light trigger before being stored on a laptop computer (Figure 4-1</w:t>
      </w:r>
      <w:r w:rsidR="00703470">
        <w:t>7</w:t>
      </w:r>
      <w:r>
        <w:t>).</w:t>
      </w:r>
    </w:p>
    <w:p w:rsidR="00D909F5" w:rsidRPr="00390817" w:rsidRDefault="00D909F5" w:rsidP="00D909F5">
      <w:pPr>
        <w:spacing w:line="480" w:lineRule="auto"/>
        <w:jc w:val="both"/>
      </w:pPr>
    </w:p>
    <w:p w:rsidR="00D909F5" w:rsidRDefault="001F4A25" w:rsidP="00D909F5">
      <w:pPr>
        <w:spacing w:line="480" w:lineRule="auto"/>
        <w:jc w:val="center"/>
      </w:pPr>
      <w:r>
        <w:rPr>
          <w:noProof/>
        </w:rPr>
        <w:lastRenderedPageBreak/>
        <w:drawing>
          <wp:inline distT="0" distB="0" distL="0" distR="0">
            <wp:extent cx="3474720" cy="2324100"/>
            <wp:effectExtent l="19050" t="0" r="0" b="0"/>
            <wp:docPr id="28" name="Picture 28" descr="accelerometer attach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ccelerometer attachement.png"/>
                    <pic:cNvPicPr>
                      <a:picLocks noChangeAspect="1" noChangeArrowheads="1"/>
                    </pic:cNvPicPr>
                  </pic:nvPicPr>
                  <pic:blipFill>
                    <a:blip r:embed="rId53" cstate="print"/>
                    <a:srcRect/>
                    <a:stretch>
                      <a:fillRect/>
                    </a:stretch>
                  </pic:blipFill>
                  <pic:spPr bwMode="auto">
                    <a:xfrm>
                      <a:off x="0" y="0"/>
                      <a:ext cx="3474720" cy="2324100"/>
                    </a:xfrm>
                    <a:prstGeom prst="rect">
                      <a:avLst/>
                    </a:prstGeom>
                    <a:noFill/>
                    <a:ln w="9525">
                      <a:noFill/>
                      <a:miter lim="800000"/>
                      <a:headEnd/>
                      <a:tailEnd/>
                    </a:ln>
                  </pic:spPr>
                </pic:pic>
              </a:graphicData>
            </a:graphic>
          </wp:inline>
        </w:drawing>
      </w:r>
    </w:p>
    <w:p w:rsidR="00D909F5" w:rsidRDefault="00D909F5" w:rsidP="00D909F5">
      <w:pPr>
        <w:spacing w:line="480" w:lineRule="auto"/>
        <w:jc w:val="both"/>
        <w:rPr>
          <w:b/>
        </w:rPr>
      </w:pPr>
      <w:r>
        <w:rPr>
          <w:b/>
        </w:rPr>
        <w:t>Figure 4-1</w:t>
      </w:r>
      <w:r w:rsidR="00703470">
        <w:rPr>
          <w:b/>
        </w:rPr>
        <w:t>6</w:t>
      </w:r>
      <w:r>
        <w:rPr>
          <w:b/>
        </w:rPr>
        <w:t>: Location of attached of the tri-axial accelerometers at the knee joint.</w:t>
      </w:r>
    </w:p>
    <w:p w:rsidR="00D909F5" w:rsidRDefault="001F4A25" w:rsidP="00D909F5">
      <w:pPr>
        <w:spacing w:line="480" w:lineRule="auto"/>
        <w:jc w:val="center"/>
        <w:rPr>
          <w:b/>
        </w:rPr>
      </w:pPr>
      <w:r>
        <w:rPr>
          <w:b/>
          <w:noProof/>
        </w:rPr>
        <w:drawing>
          <wp:inline distT="0" distB="0" distL="0" distR="0">
            <wp:extent cx="4968240" cy="3886200"/>
            <wp:effectExtent l="19050" t="0" r="3810" b="0"/>
            <wp:docPr id="29" name="Picture 29" descr="data acquisition set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ta acquisition setup.png"/>
                    <pic:cNvPicPr>
                      <a:picLocks noChangeAspect="1" noChangeArrowheads="1"/>
                    </pic:cNvPicPr>
                  </pic:nvPicPr>
                  <pic:blipFill>
                    <a:blip r:embed="rId54" cstate="print"/>
                    <a:srcRect/>
                    <a:stretch>
                      <a:fillRect/>
                    </a:stretch>
                  </pic:blipFill>
                  <pic:spPr bwMode="auto">
                    <a:xfrm>
                      <a:off x="0" y="0"/>
                      <a:ext cx="4968240" cy="3886200"/>
                    </a:xfrm>
                    <a:prstGeom prst="rect">
                      <a:avLst/>
                    </a:prstGeom>
                    <a:noFill/>
                    <a:ln w="9525">
                      <a:noFill/>
                      <a:miter lim="800000"/>
                      <a:headEnd/>
                      <a:tailEnd/>
                    </a:ln>
                  </pic:spPr>
                </pic:pic>
              </a:graphicData>
            </a:graphic>
          </wp:inline>
        </w:drawing>
      </w:r>
    </w:p>
    <w:p w:rsidR="00D909F5" w:rsidRPr="00985F98" w:rsidRDefault="00D909F5" w:rsidP="00D909F5">
      <w:pPr>
        <w:spacing w:line="480" w:lineRule="auto"/>
        <w:jc w:val="both"/>
        <w:rPr>
          <w:b/>
        </w:rPr>
      </w:pPr>
      <w:r>
        <w:rPr>
          <w:b/>
        </w:rPr>
        <w:t>Figure 4-1</w:t>
      </w:r>
      <w:r w:rsidR="00703470">
        <w:rPr>
          <w:b/>
        </w:rPr>
        <w:t>7</w:t>
      </w:r>
      <w:r>
        <w:rPr>
          <w:b/>
        </w:rPr>
        <w:t>: Data collection setup to collect vibroarthograhpy data.</w:t>
      </w:r>
    </w:p>
    <w:p w:rsidR="00D909F5" w:rsidRPr="00217FDA" w:rsidRDefault="00D909F5" w:rsidP="00D909F5">
      <w:pPr>
        <w:spacing w:line="480" w:lineRule="auto"/>
        <w:jc w:val="both"/>
        <w:rPr>
          <w:b/>
        </w:rPr>
      </w:pPr>
      <w:r>
        <w:rPr>
          <w:b/>
        </w:rPr>
        <w:lastRenderedPageBreak/>
        <w:t>4.4.2 Data analysis</w:t>
      </w:r>
    </w:p>
    <w:p w:rsidR="00D909F5" w:rsidRDefault="00D909F5" w:rsidP="00D909F5">
      <w:pPr>
        <w:spacing w:line="480" w:lineRule="auto"/>
        <w:jc w:val="both"/>
      </w:pPr>
      <w:r w:rsidRPr="00390817">
        <w:t xml:space="preserve">The accelerometers record the change in acceleration resulting from both the movement of the joint as well as from the vibration of the bones. Therefore the raw accelerometer signals </w:t>
      </w:r>
      <w:r>
        <w:t>are</w:t>
      </w:r>
      <w:r w:rsidRPr="00390817">
        <w:t xml:space="preserve"> decomposed into the motion and vibration component</w:t>
      </w:r>
      <w:r>
        <w:t>s. This i</w:t>
      </w:r>
      <w:r w:rsidRPr="00390817">
        <w:t>s achieved by high-pass filtering the acceler</w:t>
      </w:r>
      <w:r>
        <w:t>ation signal using Butterworth I</w:t>
      </w:r>
      <w:r w:rsidRPr="00390817">
        <w:t>nfinite Impulse Response (IIR) filter attenuating the signal by 80dB at the cut-off fr</w:t>
      </w:r>
      <w:r>
        <w:t>equency of 20Hz. This eliminates</w:t>
      </w:r>
      <w:r w:rsidRPr="00390817">
        <w:t xml:space="preserve"> the low frequency, motion compo</w:t>
      </w:r>
      <w:r>
        <w:t>nents of the signals and yields</w:t>
      </w:r>
      <w:r w:rsidRPr="00390817">
        <w:t xml:space="preserve"> a vibroarthrogram suitable for further analysis (Figure</w:t>
      </w:r>
      <w:r>
        <w:t xml:space="preserve"> 4-1</w:t>
      </w:r>
      <w:r w:rsidR="00703470">
        <w:t>8</w:t>
      </w:r>
      <w:r>
        <w:t>).</w:t>
      </w:r>
    </w:p>
    <w:p w:rsidR="00D909F5" w:rsidRDefault="00D909F5" w:rsidP="00D909F5">
      <w:pPr>
        <w:spacing w:line="480" w:lineRule="auto"/>
        <w:jc w:val="both"/>
      </w:pPr>
    </w:p>
    <w:p w:rsidR="00D909F5" w:rsidRDefault="001F4A25" w:rsidP="00D909F5">
      <w:pPr>
        <w:spacing w:line="480" w:lineRule="auto"/>
        <w:jc w:val="center"/>
      </w:pPr>
      <w:r>
        <w:rPr>
          <w:noProof/>
        </w:rPr>
        <w:drawing>
          <wp:inline distT="0" distB="0" distL="0" distR="0">
            <wp:extent cx="3810000" cy="3208020"/>
            <wp:effectExtent l="19050" t="19050" r="19050" b="11430"/>
            <wp:docPr id="30" name="Picture 30" descr="noise dele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noise deletion.png"/>
                    <pic:cNvPicPr>
                      <a:picLocks noChangeAspect="1" noChangeArrowheads="1"/>
                    </pic:cNvPicPr>
                  </pic:nvPicPr>
                  <pic:blipFill>
                    <a:blip r:embed="rId55" cstate="print"/>
                    <a:srcRect/>
                    <a:stretch>
                      <a:fillRect/>
                    </a:stretch>
                  </pic:blipFill>
                  <pic:spPr bwMode="auto">
                    <a:xfrm>
                      <a:off x="0" y="0"/>
                      <a:ext cx="3810000" cy="3208020"/>
                    </a:xfrm>
                    <a:prstGeom prst="rect">
                      <a:avLst/>
                    </a:prstGeom>
                    <a:noFill/>
                    <a:ln w="9525" cmpd="sng">
                      <a:solidFill>
                        <a:srgbClr val="4F81BD"/>
                      </a:solidFill>
                      <a:miter lim="800000"/>
                      <a:headEnd/>
                      <a:tailEnd/>
                    </a:ln>
                    <a:effectLst/>
                  </pic:spPr>
                </pic:pic>
              </a:graphicData>
            </a:graphic>
          </wp:inline>
        </w:drawing>
      </w:r>
    </w:p>
    <w:p w:rsidR="00D909F5" w:rsidRPr="00985F98" w:rsidRDefault="00D909F5" w:rsidP="00D909F5">
      <w:pPr>
        <w:jc w:val="both"/>
        <w:rPr>
          <w:b/>
        </w:rPr>
      </w:pPr>
      <w:r>
        <w:rPr>
          <w:b/>
        </w:rPr>
        <w:t>Figure 4-1</w:t>
      </w:r>
      <w:r w:rsidR="00703470">
        <w:rPr>
          <w:b/>
        </w:rPr>
        <w:t>8</w:t>
      </w:r>
      <w:r>
        <w:rPr>
          <w:b/>
        </w:rPr>
        <w:t>: Removal of motion component (noise) from the accelerometer signal to obtain the vibroarthogram.</w:t>
      </w:r>
    </w:p>
    <w:p w:rsidR="00D909F5" w:rsidRDefault="00D909F5" w:rsidP="00D909F5">
      <w:pPr>
        <w:spacing w:line="480" w:lineRule="auto"/>
        <w:jc w:val="both"/>
      </w:pPr>
      <w:r w:rsidRPr="00390817">
        <w:br w:type="page"/>
      </w:r>
      <w:r w:rsidRPr="00390817">
        <w:lastRenderedPageBreak/>
        <w:t>The filtered vibroarthrogram can be also converted into audible form and correlated with the fluoroscopy or regular video footage</w:t>
      </w:r>
      <w:r>
        <w:t xml:space="preserve"> (Figure 4-1</w:t>
      </w:r>
      <w:r w:rsidR="00703470">
        <w:t>9</w:t>
      </w:r>
      <w:r>
        <w:t>)</w:t>
      </w:r>
      <w:r w:rsidRPr="00390817">
        <w:t xml:space="preserve">. </w:t>
      </w:r>
    </w:p>
    <w:p w:rsidR="00D909F5" w:rsidRDefault="00D909F5" w:rsidP="00D909F5">
      <w:pPr>
        <w:spacing w:line="480" w:lineRule="auto"/>
        <w:jc w:val="both"/>
      </w:pPr>
    </w:p>
    <w:p w:rsidR="00D909F5" w:rsidRDefault="001F4A25" w:rsidP="00D909F5">
      <w:pPr>
        <w:spacing w:line="480" w:lineRule="auto"/>
        <w:jc w:val="center"/>
      </w:pPr>
      <w:r>
        <w:rPr>
          <w:noProof/>
        </w:rPr>
        <w:drawing>
          <wp:inline distT="0" distB="0" distL="0" distR="0">
            <wp:extent cx="4107180" cy="3459480"/>
            <wp:effectExtent l="19050" t="0" r="7620" b="0"/>
            <wp:docPr id="31" name="Picture 31" descr="corelated kinematics and vib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orelated kinematics and vibration.PNG"/>
                    <pic:cNvPicPr>
                      <a:picLocks noChangeAspect="1" noChangeArrowheads="1"/>
                    </pic:cNvPicPr>
                  </pic:nvPicPr>
                  <pic:blipFill>
                    <a:blip r:embed="rId56" cstate="print"/>
                    <a:srcRect l="14697" r="5685"/>
                    <a:stretch>
                      <a:fillRect/>
                    </a:stretch>
                  </pic:blipFill>
                  <pic:spPr bwMode="auto">
                    <a:xfrm>
                      <a:off x="0" y="0"/>
                      <a:ext cx="4107180" cy="3459480"/>
                    </a:xfrm>
                    <a:prstGeom prst="rect">
                      <a:avLst/>
                    </a:prstGeom>
                    <a:noFill/>
                    <a:ln w="9525">
                      <a:noFill/>
                      <a:miter lim="800000"/>
                      <a:headEnd/>
                      <a:tailEnd/>
                    </a:ln>
                  </pic:spPr>
                </pic:pic>
              </a:graphicData>
            </a:graphic>
          </wp:inline>
        </w:drawing>
      </w:r>
    </w:p>
    <w:p w:rsidR="00D909F5" w:rsidRPr="00985F98" w:rsidRDefault="00D909F5" w:rsidP="00D909F5">
      <w:pPr>
        <w:spacing w:line="480" w:lineRule="auto"/>
        <w:jc w:val="both"/>
        <w:rPr>
          <w:b/>
        </w:rPr>
      </w:pPr>
      <w:r>
        <w:rPr>
          <w:b/>
        </w:rPr>
        <w:t>Figure 4-1</w:t>
      </w:r>
      <w:r w:rsidR="00703470">
        <w:rPr>
          <w:b/>
        </w:rPr>
        <w:t>9</w:t>
      </w:r>
      <w:r>
        <w:rPr>
          <w:b/>
        </w:rPr>
        <w:t>: Correlated kinematics and vibroarthography signals.</w:t>
      </w:r>
    </w:p>
    <w:p w:rsidR="00D909F5" w:rsidRDefault="00D909F5" w:rsidP="00D909F5">
      <w:pPr>
        <w:spacing w:line="480" w:lineRule="auto"/>
        <w:jc w:val="both"/>
      </w:pPr>
    </w:p>
    <w:p w:rsidR="00D909F5" w:rsidRPr="00390817" w:rsidRDefault="00D909F5" w:rsidP="00D909F5">
      <w:pPr>
        <w:spacing w:line="480" w:lineRule="auto"/>
        <w:jc w:val="both"/>
      </w:pPr>
      <w:r w:rsidRPr="00390817">
        <w:t xml:space="preserve">Several statistical parameters of the original and rectified vibroarthrograms </w:t>
      </w:r>
      <w:r>
        <w:t>are</w:t>
      </w:r>
      <w:r w:rsidRPr="00390817">
        <w:t xml:space="preserve"> calculated to examine features that could be used to form the feature vector of the signals</w:t>
      </w:r>
      <w:r>
        <w:t>. They included, mean, standard deviation, skewness, kurtosis, 90</w:t>
      </w:r>
      <w:r w:rsidRPr="00C5523E">
        <w:rPr>
          <w:vertAlign w:val="superscript"/>
        </w:rPr>
        <w:t>th</w:t>
      </w:r>
      <w:r>
        <w:t>, 95, 97</w:t>
      </w:r>
      <w:r w:rsidRPr="00C5523E">
        <w:rPr>
          <w:vertAlign w:val="superscript"/>
        </w:rPr>
        <w:t>th</w:t>
      </w:r>
      <w:r>
        <w:t xml:space="preserve"> and 99</w:t>
      </w:r>
      <w:r w:rsidRPr="00C5523E">
        <w:rPr>
          <w:vertAlign w:val="superscript"/>
        </w:rPr>
        <w:t>th</w:t>
      </w:r>
      <w:r>
        <w:t xml:space="preserve"> quantiles.</w:t>
      </w:r>
      <w:r w:rsidRPr="00390817">
        <w:t xml:space="preserve"> </w:t>
      </w:r>
    </w:p>
    <w:p w:rsidR="00D909F5" w:rsidRDefault="00D909F5" w:rsidP="00D909F5">
      <w:pPr>
        <w:spacing w:line="480" w:lineRule="auto"/>
        <w:jc w:val="both"/>
      </w:pPr>
    </w:p>
    <w:p w:rsidR="00D909F5" w:rsidRPr="00390817" w:rsidRDefault="00D909F5" w:rsidP="00D909F5">
      <w:pPr>
        <w:spacing w:line="480" w:lineRule="auto"/>
        <w:jc w:val="both"/>
      </w:pPr>
      <w:r w:rsidRPr="00390817">
        <w:lastRenderedPageBreak/>
        <w:t xml:space="preserve"> After selecting the candidate features of the signals, a pattern classifier was designed. The objective of the classifier was to classify the given pattern of the VAG signal to one of the two groups: healthy or arthritic. The minimum-error-rate classification</w:t>
      </w:r>
      <w:r w:rsidR="009D3CE3">
        <w:t xml:space="preserve"> (Duda 2001)</w:t>
      </w:r>
      <w:r w:rsidRPr="00390817">
        <w:t xml:space="preserve"> was chosen for the first attempt to design the classifier. This classification can be achieved by the use of the discriminant functions: </w:t>
      </w:r>
    </w:p>
    <w:p w:rsidR="00D909F5" w:rsidRPr="00390817" w:rsidRDefault="00D909F5" w:rsidP="00D909F5">
      <w:pPr>
        <w:spacing w:line="480" w:lineRule="auto"/>
        <w:jc w:val="both"/>
      </w:pPr>
      <w:r w:rsidRPr="00390817">
        <w:tab/>
      </w:r>
      <w:r w:rsidR="009937B6" w:rsidRPr="00390817">
        <w:fldChar w:fldCharType="begin"/>
      </w:r>
      <w:r w:rsidRPr="00390817">
        <w:instrText xml:space="preserve"> EQ </w:instrText>
      </w:r>
      <w:r w:rsidRPr="00390817">
        <w:rPr>
          <w:i/>
          <w:iCs/>
        </w:rPr>
        <w:instrText>g</w:instrText>
      </w:r>
      <w:r w:rsidRPr="00390817">
        <w:instrText>\s\do6(</w:instrText>
      </w:r>
      <w:r w:rsidRPr="00390817">
        <w:rPr>
          <w:i/>
          <w:iCs/>
        </w:rPr>
        <w:instrText>i</w:instrText>
      </w:r>
      <w:r w:rsidRPr="00390817">
        <w:instrText>)(</w:instrText>
      </w:r>
      <w:r w:rsidRPr="00390817">
        <w:rPr>
          <w:i/>
          <w:iCs/>
        </w:rPr>
        <w:instrText>x</w:instrText>
      </w:r>
      <w:r w:rsidRPr="00390817">
        <w:instrText>)=ln</w:instrText>
      </w:r>
      <w:r w:rsidRPr="00390817">
        <w:rPr>
          <w:i/>
          <w:iCs/>
        </w:rPr>
        <w:instrText>p</w:instrText>
      </w:r>
      <w:r w:rsidRPr="00390817">
        <w:instrText>(</w:instrText>
      </w:r>
      <w:r w:rsidRPr="00390817">
        <w:rPr>
          <w:i/>
          <w:iCs/>
        </w:rPr>
        <w:instrText>x</w:instrText>
      </w:r>
      <w:r w:rsidRPr="00390817">
        <w:instrText>|w\s\do6(</w:instrText>
      </w:r>
      <w:r w:rsidRPr="00390817">
        <w:rPr>
          <w:i/>
          <w:iCs/>
        </w:rPr>
        <w:instrText>i</w:instrText>
      </w:r>
      <w:r w:rsidRPr="00390817">
        <w:instrText>))+ln</w:instrText>
      </w:r>
      <w:r w:rsidRPr="00390817">
        <w:rPr>
          <w:i/>
          <w:iCs/>
        </w:rPr>
        <w:instrText>P</w:instrText>
      </w:r>
      <w:r w:rsidRPr="00390817">
        <w:instrText>(w\s\do6(</w:instrText>
      </w:r>
      <w:r w:rsidRPr="00390817">
        <w:rPr>
          <w:i/>
          <w:iCs/>
        </w:rPr>
        <w:instrText>i</w:instrText>
      </w:r>
      <w:r w:rsidRPr="00390817">
        <w:instrText>))</w:instrText>
      </w:r>
      <w:r w:rsidR="009937B6" w:rsidRPr="00390817">
        <w:fldChar w:fldCharType="end"/>
      </w:r>
      <w:r w:rsidRPr="00390817">
        <w:tab/>
        <w:t>(</w:t>
      </w:r>
      <w:bookmarkStart w:id="7" w:name="BMeq_DiscrFcn1"/>
      <w:r w:rsidRPr="00390817">
        <w:t>20</w:t>
      </w:r>
      <w:bookmarkEnd w:id="7"/>
      <w:r w:rsidRPr="00390817">
        <w:t>)</w:t>
      </w:r>
    </w:p>
    <w:p w:rsidR="00D909F5" w:rsidRPr="00390817" w:rsidRDefault="00D909F5" w:rsidP="00D909F5">
      <w:pPr>
        <w:spacing w:line="480" w:lineRule="auto"/>
        <w:jc w:val="both"/>
      </w:pPr>
      <w:r w:rsidRPr="00390817">
        <w:t xml:space="preserve">and assuming that the densities </w:t>
      </w:r>
      <w:r w:rsidR="009937B6" w:rsidRPr="00390817">
        <w:fldChar w:fldCharType="begin"/>
      </w:r>
      <w:r w:rsidRPr="00390817">
        <w:instrText xml:space="preserve"> EQ </w:instrText>
      </w:r>
      <w:r w:rsidRPr="00390817">
        <w:rPr>
          <w:i/>
          <w:iCs/>
        </w:rPr>
        <w:instrText>p</w:instrText>
      </w:r>
      <w:r w:rsidRPr="00390817">
        <w:instrText>(</w:instrText>
      </w:r>
      <w:r w:rsidRPr="00390817">
        <w:rPr>
          <w:i/>
          <w:iCs/>
        </w:rPr>
        <w:instrText>x</w:instrText>
      </w:r>
      <w:r w:rsidRPr="00390817">
        <w:instrText>|w\s\do6(</w:instrText>
      </w:r>
      <w:r w:rsidRPr="00390817">
        <w:rPr>
          <w:i/>
          <w:iCs/>
        </w:rPr>
        <w:instrText>i</w:instrText>
      </w:r>
      <w:r w:rsidRPr="00390817">
        <w:instrText>))</w:instrText>
      </w:r>
      <w:r w:rsidR="009937B6" w:rsidRPr="00390817">
        <w:fldChar w:fldCharType="end"/>
      </w:r>
      <w:r w:rsidRPr="00390817">
        <w:t xml:space="preserve"> are multivariate normal, the Eq. </w:t>
      </w:r>
      <w:fldSimple w:instr="REF BMeq_DiscrFcn1 \* MERGEFORMAT ">
        <w:r w:rsidRPr="00390817">
          <w:t>5.20</w:t>
        </w:r>
      </w:fldSimple>
      <w:r w:rsidRPr="00390817">
        <w:t xml:space="preserve"> becomes:</w:t>
      </w:r>
    </w:p>
    <w:p w:rsidR="00D909F5" w:rsidRPr="00390817" w:rsidRDefault="00D909F5" w:rsidP="00D909F5">
      <w:pPr>
        <w:spacing w:line="480" w:lineRule="auto"/>
        <w:jc w:val="both"/>
      </w:pPr>
      <w:r w:rsidRPr="00390817">
        <w:tab/>
      </w:r>
      <w:r w:rsidR="009937B6" w:rsidRPr="00390817">
        <w:fldChar w:fldCharType="begin"/>
      </w:r>
      <w:r w:rsidRPr="00390817">
        <w:instrText xml:space="preserve"> EQ </w:instrText>
      </w:r>
      <w:r w:rsidRPr="00390817">
        <w:rPr>
          <w:i/>
          <w:iCs/>
        </w:rPr>
        <w:instrText>g</w:instrText>
      </w:r>
      <w:r w:rsidRPr="00390817">
        <w:instrText>\s\do6(</w:instrText>
      </w:r>
      <w:r w:rsidRPr="00390817">
        <w:rPr>
          <w:i/>
          <w:iCs/>
        </w:rPr>
        <w:instrText>i</w:instrText>
      </w:r>
      <w:r w:rsidRPr="00390817">
        <w:instrText>)(</w:instrText>
      </w:r>
      <w:r w:rsidRPr="00390817">
        <w:rPr>
          <w:i/>
          <w:iCs/>
        </w:rPr>
        <w:instrText>x</w:instrText>
      </w:r>
      <w:r w:rsidRPr="00390817">
        <w:instrText>)=- \F(1,2)(</w:instrText>
      </w:r>
      <w:r w:rsidRPr="00390817">
        <w:rPr>
          <w:i/>
          <w:iCs/>
        </w:rPr>
        <w:instrText>x</w:instrText>
      </w:r>
      <w:r w:rsidRPr="00390817">
        <w:instrText>-m\s\do6(</w:instrText>
      </w:r>
      <w:r w:rsidRPr="00390817">
        <w:rPr>
          <w:i/>
          <w:iCs/>
        </w:rPr>
        <w:instrText>i</w:instrText>
      </w:r>
      <w:r w:rsidRPr="00390817">
        <w:instrText>))\s\up6(</w:instrText>
      </w:r>
      <w:r w:rsidRPr="00390817">
        <w:rPr>
          <w:i/>
          <w:iCs/>
        </w:rPr>
        <w:instrText>t</w:instrText>
      </w:r>
      <w:r w:rsidRPr="00390817">
        <w:instrText>)</w:instrText>
      </w:r>
      <w:r w:rsidRPr="00390817">
        <w:rPr>
          <w:i/>
          <w:iCs/>
        </w:rPr>
        <w:instrText>E</w:instrText>
      </w:r>
      <w:r w:rsidRPr="00390817">
        <w:instrText>\s\up(-1,</w:instrText>
      </w:r>
      <w:r w:rsidRPr="00390817">
        <w:rPr>
          <w:i/>
          <w:iCs/>
        </w:rPr>
        <w:instrText>i</w:instrText>
      </w:r>
      <w:r w:rsidRPr="00390817">
        <w:instrText>)(</w:instrText>
      </w:r>
      <w:r w:rsidRPr="00390817">
        <w:rPr>
          <w:i/>
          <w:iCs/>
        </w:rPr>
        <w:instrText>x</w:instrText>
      </w:r>
      <w:r w:rsidRPr="00390817">
        <w:instrText>-m\s\do6(</w:instrText>
      </w:r>
      <w:r w:rsidRPr="00390817">
        <w:rPr>
          <w:i/>
          <w:iCs/>
        </w:rPr>
        <w:instrText>i</w:instrText>
      </w:r>
      <w:r w:rsidRPr="00390817">
        <w:instrText>))- \F(</w:instrText>
      </w:r>
      <w:r w:rsidRPr="00390817">
        <w:rPr>
          <w:i/>
          <w:iCs/>
        </w:rPr>
        <w:instrText>d</w:instrText>
      </w:r>
      <w:r w:rsidRPr="00390817">
        <w:instrText>,2)ln2p- \F(1,2)ln|</w:instrText>
      </w:r>
      <w:r w:rsidRPr="00390817">
        <w:rPr>
          <w:i/>
          <w:iCs/>
        </w:rPr>
        <w:instrText>E</w:instrText>
      </w:r>
      <w:r w:rsidRPr="00390817">
        <w:instrText>\s\do6(</w:instrText>
      </w:r>
      <w:r w:rsidRPr="00390817">
        <w:rPr>
          <w:i/>
          <w:iCs/>
        </w:rPr>
        <w:instrText>i</w:instrText>
      </w:r>
      <w:r w:rsidRPr="00390817">
        <w:instrText>)|+ln</w:instrText>
      </w:r>
      <w:r w:rsidRPr="00390817">
        <w:rPr>
          <w:i/>
          <w:iCs/>
        </w:rPr>
        <w:instrText>P</w:instrText>
      </w:r>
      <w:r w:rsidRPr="00390817">
        <w:instrText>(w\s\do6(</w:instrText>
      </w:r>
      <w:r w:rsidRPr="00390817">
        <w:rPr>
          <w:i/>
          <w:iCs/>
        </w:rPr>
        <w:instrText>i</w:instrText>
      </w:r>
      <w:r w:rsidRPr="00390817">
        <w:instrText>))\,</w:instrText>
      </w:r>
      <w:r w:rsidR="009937B6" w:rsidRPr="00390817">
        <w:fldChar w:fldCharType="end"/>
      </w:r>
      <w:r w:rsidRPr="00390817">
        <w:tab/>
        <w:t>(</w:t>
      </w:r>
      <w:bookmarkStart w:id="8" w:name="BMeq_DiscrFcn2"/>
      <w:r w:rsidRPr="00390817">
        <w:t>21</w:t>
      </w:r>
      <w:bookmarkEnd w:id="8"/>
      <w:r w:rsidRPr="00390817">
        <w:t>)</w:t>
      </w:r>
    </w:p>
    <w:p w:rsidR="00D909F5" w:rsidRDefault="00D909F5" w:rsidP="00D909F5">
      <w:pPr>
        <w:spacing w:line="480" w:lineRule="auto"/>
        <w:jc w:val="both"/>
      </w:pPr>
      <w:r w:rsidRPr="00390817">
        <w:t xml:space="preserve">At the current stage of analysis there is no premise to classify the patient as either arthritic or healthy, therefore the prior probabilities for both categories </w:t>
      </w:r>
      <w:r>
        <w:t>ar</w:t>
      </w:r>
      <w:r w:rsidRPr="00390817">
        <w:t>e assumed to be equal (</w:t>
      </w:r>
      <w:r w:rsidR="009937B6" w:rsidRPr="00390817">
        <w:fldChar w:fldCharType="begin"/>
      </w:r>
      <w:r w:rsidRPr="00390817">
        <w:instrText xml:space="preserve"> EQ </w:instrText>
      </w:r>
      <w:r w:rsidRPr="00390817">
        <w:rPr>
          <w:i/>
          <w:iCs/>
        </w:rPr>
        <w:instrText>P</w:instrText>
      </w:r>
      <w:r w:rsidRPr="00390817">
        <w:instrText>(w\s\do6(1))=</w:instrText>
      </w:r>
      <w:r w:rsidRPr="00390817">
        <w:rPr>
          <w:i/>
          <w:iCs/>
        </w:rPr>
        <w:instrText>P</w:instrText>
      </w:r>
      <w:r w:rsidRPr="00390817">
        <w:instrText>(w\s\do6(2))= \F(1,2)</w:instrText>
      </w:r>
      <w:r w:rsidR="009937B6" w:rsidRPr="00390817">
        <w:fldChar w:fldCharType="end"/>
      </w:r>
      <w:r w:rsidRPr="00390817">
        <w:t>)</w:t>
      </w:r>
    </w:p>
    <w:p w:rsidR="00D909F5" w:rsidRDefault="00D909F5" w:rsidP="00D909F5">
      <w:pPr>
        <w:spacing w:line="480" w:lineRule="auto"/>
        <w:jc w:val="both"/>
      </w:pPr>
    </w:p>
    <w:p w:rsidR="00D909F5" w:rsidRDefault="00D909F5" w:rsidP="00D909F5">
      <w:pPr>
        <w:spacing w:line="480" w:lineRule="auto"/>
        <w:jc w:val="both"/>
      </w:pPr>
      <w:r>
        <w:t>O</w:t>
      </w:r>
      <w:r w:rsidRPr="00390817">
        <w:t xml:space="preserve">ne feature, the mean of the signal was used to design the dichotomizer. </w:t>
      </w:r>
      <w:r w:rsidRPr="00C5523E">
        <w:rPr>
          <w:bCs/>
        </w:rPr>
        <w:t>S</w:t>
      </w:r>
      <w:r w:rsidRPr="00C5523E">
        <w:t xml:space="preserve">uccessful determination was possible between normal knees with and without articular cartilage damage up to an accuracy level of 86%. This is very similar to published literature by Rangayan et al. Also, it was seen that in cases where the surgeon had reported unicompartmental damage to the tibiofemoral interface, the signals obtained from the two accelerometers was very different from one another (Figure </w:t>
      </w:r>
      <w:r w:rsidR="00703470">
        <w:t>4-20</w:t>
      </w:r>
      <w:r w:rsidRPr="00C5523E">
        <w:t xml:space="preserve">). </w:t>
      </w:r>
      <w:r w:rsidRPr="00390817">
        <w:t xml:space="preserve">Next, the second feature, standard deviation, was included in the discriminant function, and </w:t>
      </w:r>
      <w:r>
        <w:t xml:space="preserve">the success </w:t>
      </w:r>
      <w:r>
        <w:lastRenderedPageBreak/>
        <w:t>rate increased to 87</w:t>
      </w:r>
      <w:r w:rsidRPr="00390817">
        <w:t xml:space="preserve">%. Adding the third feature, </w:t>
      </w:r>
      <w:r w:rsidR="009937B6" w:rsidRPr="00390817">
        <w:fldChar w:fldCharType="begin"/>
      </w:r>
      <w:r w:rsidRPr="00390817">
        <w:instrText xml:space="preserve"> EQ 99\s\up6(</w:instrText>
      </w:r>
      <w:r w:rsidRPr="00390817">
        <w:rPr>
          <w:i/>
          <w:iCs/>
        </w:rPr>
        <w:instrText>th</w:instrText>
      </w:r>
      <w:r w:rsidRPr="00390817">
        <w:instrText>)</w:instrText>
      </w:r>
      <w:r w:rsidR="009937B6" w:rsidRPr="00390817">
        <w:fldChar w:fldCharType="end"/>
      </w:r>
      <w:r w:rsidRPr="00390817">
        <w:t xml:space="preserve"> quantile, did not improve the classification and the success </w:t>
      </w:r>
      <w:r>
        <w:t>rate actually dropped back to 70</w:t>
      </w:r>
      <w:r w:rsidRPr="00390817">
        <w:t>%</w:t>
      </w:r>
      <w:r>
        <w:t>.</w:t>
      </w:r>
    </w:p>
    <w:p w:rsidR="00D909F5" w:rsidRDefault="00D909F5" w:rsidP="00D909F5">
      <w:pPr>
        <w:spacing w:line="480" w:lineRule="auto"/>
        <w:jc w:val="both"/>
      </w:pPr>
    </w:p>
    <w:p w:rsidR="00D909F5" w:rsidRDefault="001F4A25" w:rsidP="00D909F5">
      <w:pPr>
        <w:spacing w:line="480" w:lineRule="auto"/>
        <w:jc w:val="center"/>
      </w:pPr>
      <w:r>
        <w:rPr>
          <w:noProof/>
        </w:rPr>
        <w:drawing>
          <wp:inline distT="0" distB="0" distL="0" distR="0">
            <wp:extent cx="2209800" cy="2484120"/>
            <wp:effectExtent l="19050" t="0" r="0" b="0"/>
            <wp:docPr id="32" name="Picture 9" descr="Vibration medial vs later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bration medial vs lateral.tif"/>
                    <pic:cNvPicPr>
                      <a:picLocks noChangeAspect="1" noChangeArrowheads="1"/>
                    </pic:cNvPicPr>
                  </pic:nvPicPr>
                  <pic:blipFill>
                    <a:blip r:embed="rId57" cstate="print"/>
                    <a:srcRect/>
                    <a:stretch>
                      <a:fillRect/>
                    </a:stretch>
                  </pic:blipFill>
                  <pic:spPr bwMode="auto">
                    <a:xfrm>
                      <a:off x="0" y="0"/>
                      <a:ext cx="2209800" cy="2484120"/>
                    </a:xfrm>
                    <a:prstGeom prst="rect">
                      <a:avLst/>
                    </a:prstGeom>
                    <a:noFill/>
                    <a:ln w="9525">
                      <a:noFill/>
                      <a:miter lim="800000"/>
                      <a:headEnd/>
                      <a:tailEnd/>
                    </a:ln>
                  </pic:spPr>
                </pic:pic>
              </a:graphicData>
            </a:graphic>
          </wp:inline>
        </w:drawing>
      </w:r>
    </w:p>
    <w:p w:rsidR="00D909F5" w:rsidRPr="00217FDA" w:rsidRDefault="00703470" w:rsidP="00D909F5">
      <w:pPr>
        <w:jc w:val="both"/>
        <w:rPr>
          <w:b/>
        </w:rPr>
      </w:pPr>
      <w:r>
        <w:rPr>
          <w:b/>
        </w:rPr>
        <w:t>Figure 4-20</w:t>
      </w:r>
      <w:r w:rsidR="00D909F5" w:rsidRPr="00217FDA">
        <w:rPr>
          <w:b/>
        </w:rPr>
        <w:t xml:space="preserve">: Filtered vibration signals from the medial (top) and lateral (bottom) femoral accelerometers, depicting the difference in vibration data for example patient in figure </w:t>
      </w:r>
      <w:r w:rsidR="00D909F5">
        <w:rPr>
          <w:b/>
        </w:rPr>
        <w:t>4-14</w:t>
      </w:r>
      <w:r w:rsidR="00D909F5" w:rsidRPr="00217FDA">
        <w:rPr>
          <w:b/>
        </w:rPr>
        <w:t>.</w:t>
      </w:r>
    </w:p>
    <w:p w:rsidR="00292169" w:rsidRDefault="00292169" w:rsidP="001D3E96">
      <w:pPr>
        <w:spacing w:line="480" w:lineRule="auto"/>
        <w:jc w:val="both"/>
      </w:pPr>
    </w:p>
    <w:p w:rsidR="009D3CE3" w:rsidRDefault="009D3CE3" w:rsidP="00292169">
      <w:pPr>
        <w:sectPr w:rsidR="009D3CE3" w:rsidSect="00F10A0E">
          <w:headerReference w:type="default" r:id="rId58"/>
          <w:headerReference w:type="first" r:id="rId59"/>
          <w:pgSz w:w="12240" w:h="15840" w:code="1"/>
          <w:pgMar w:top="1440" w:right="1440" w:bottom="1872" w:left="2160" w:header="1440" w:footer="1872" w:gutter="0"/>
          <w:cols w:space="720"/>
          <w:titlePg/>
          <w:docGrid w:linePitch="360"/>
        </w:sectPr>
      </w:pP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lastRenderedPageBreak/>
        <w:t>Carr BC, Goswami T: Knee implants – Review of models and biomechanics; Materials and Design; 30:398–413 (2009).</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Sharma A, Komistek RD, Ranawat CS, et al: In vivo contact pressures in total knee arthroplasties; J Arthroplasty; 22:3:404-415 (2007).</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Freeman, MAR; How the Knee Moves; Current Orthopaedics; (2001) 15,444-450.</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Dennis DA et al, In vivo Determination of Normal and Anterior Cruciate Ligament Deficient Knee Kinematics; Journal of Biomechanics; (2005) 38; 241-253.</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lastRenderedPageBreak/>
        <w:t>Dennis DA et al, Multicenter determination of in vivo kinematics after total knee arthroplasty; Clin Orthop; (2003); 416:37-57.</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Dennis DA, Komistek RD, Mahfouz MR, et al:. A multicenter analysis of axial femorotibial      rotation after total knee arthroplasty. Clin Orthop Relat Res;428:180–189 (2004).</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Scuderi GR et al, The impact of femoral component rotational alignment on condylar lift-off; Clin Orthop ;( 2003) 410:148-154.</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Haas BD et al, Kinematic comparison of posterior cruciate sacrifice versus substitution in a mobile bearing total knee arthroplasty; Journal of Arthroplasty;(2002) 17:685-692.</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Bartel DL et al, The effect of conformity, thickness and material on stresses in ultra- high molecular weight components for total joint replacement; J Bone Joint Surg (Am); (1986);68:1041-1051.</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Steihl JB et al, In vivo determination of condylar lift-off and screw-home in a mobile-bearing total knee arthroplasty, J. Arthroplasty; (1999); 14:293-299.</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Komistek RD, Kane TR, Mahfouz MR, et al: Knee mechanics- a review of past and present techniques to determine in vivo loads; J Biomech; 38:215-228 (2005).</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 xml:space="preserve">Howling GI, Barnett PI, Tipper JL, Stone MH, Fisher J, Ingham E, 2001. “Quantitative Characterization of Polyethylene Debris Isolated from Periprosthetic Tissue in Early Failure Knee Implants and Early and Late Failure </w:t>
      </w:r>
      <w:r w:rsidRPr="009D3CE3">
        <w:rPr>
          <w:rFonts w:ascii="Times New Roman" w:eastAsia="Times New Roman" w:hAnsi="Times New Roman"/>
          <w:sz w:val="24"/>
          <w:szCs w:val="24"/>
        </w:rPr>
        <w:lastRenderedPageBreak/>
        <w:t>of Charnley Hip Implants”. Journal of Biomedical Materials Research 58, 415-420.</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Currier JH, Bill MA, Mayor MB, 2005: “Analysis of Wear Asymmetry in a Series of 94 Retrieved Polyethylene Tibial Bearing”. Journal of Biomechanics 38, 367-375.</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Wimmer MA, Andriacchi TP, 1997: “Tractive Forces during Rolling Motion of the Knee Implications for Wear in Total Knee Replacement”. Journal of Biomechanics 30, 131-137.</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Sathasivam S, Walker PS, Campbell PA, Rayner K, 2001: “The Effect of Contact Area on Wear Relation to Fixed Bearing and Mobile Bearing Replacements”. Journal of Biomedical Materials Research 58, 282-290.</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Fregly BJ, Sawyer WG, Harman MK, Banks SA, 2005: “Computational Wear Prediction of a Total Knee Replacement from In Vivo Kinematics”. Journal of Biomechanics 38, 305-314.</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Walker PS, Sathasiviam S, 1999. “The Design of Guide Surfaces for Fixed Bearing and Mobile Bearing Knee Replacements”.  Journal of Biomechanics 32(1), 27-34.</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Harman M, DesJardins J, Banks S, Benson L, LaBerge M, Hodge W, 2001: “Damage Patterns on Polyethylene Inserts After Retrieval and After Wear Simulation”. Proceedings 47th Orthopaedic Research Society, 1003.</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lastRenderedPageBreak/>
        <w:t>Komistek RD, Dennis DA, Mabe JA, Walker SA, 2000: “An In Vivo Determination of Patellofemoral Contact Positions”. Clinical Biomechanics 15, 29-36.</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Komistek RD, Dennis DA, Mahfouz MR, Walker SA, Outten J, 2004: “In Vivo Polyethylene Bearing Mobility is Maintained in Posterior Stabilized Total Knee Arthroplasty”. Clinical Orthopaedics and Related Research 428, 207-213.</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Dennis DA, Komistek RD, Mahfouz MR, 2003: “In Vivo Fluoroscopic Analysis of Fixed Bearing Total Knee Replacements”. Clinical Orthopaedics 410, 114-130.</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Kellis E, Baltzopoulos V, In vivo determination of the patella tendon and hamstrings moment arms in adult males using videofluoroscopy during submaximal knee extension and flexion, in: Clinical Biomechanics, 1999;14:118–124.</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Fellows R, Hill N, Gill H, MacIntyre N, Harrison M, Ellis R, Wilson D, Magnetic resonance imaging for in vivo assessment of three-dimensional patellar tracking, in: Journal of biomechanics, 2005;38:1643–1652.</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Baker R, ISB recommendation on definition of joint coordinate systems for the reporting of human joint motion—part I: ankle, hip and spine, in: Journal of Biomechanics, 2003;36:300–302</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Sylvester A, Mahfouz M, Quantifying relative shape variation in modern human femora and humeri, in: The FASEB Journal, 2009;23:648–4.</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lastRenderedPageBreak/>
        <w:t>Kostuik JP et al, A study of weight transmission through the knee joint with applied varus and valgus loads, Clin Orthop; (1975); 108:95–98.</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Scuderi GR et al, The impact of femoral component rotational alignment on condylar lift-off, Clin Orthop; (2003) 410:148-154.</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Insall J et al, Correlation Between Condylar Lift-Off and Femoral Component Alignment, Clin Ortho and Rel Res; (2004) 403:143–152.</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Wasielewski RC et al, Correlation of compartment pressure data from an intraoperative sensing device with postoperative fluoroscopic kinematic results in TKA patients, Journal of Biomechanics; (2005) 38:333–339.</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Antonsson EK, Mann RW, 1989: "Automated 6-DOF Kinematic Trajectory Acquisitions and Analysis". ASME Journal of Dynamic Systems Measurement and Control 111, 31-39.</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 Cappozzo A, Catani F, Della CU, Leardini A, 1993 : “Calibrated Anatomical Systems Technique in 3-D Motion Analysis Assessment of Artifacts”. Proceedings of the International Symposium on 3D Analysis of Human Movement. Poiters, France, Jul 1, 45-52.</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Chao EYS, 1980: “Justification of Triaxial Goniometry for the Measurement of Joint Rotation”. Journal of Biomechanics 13, 989-1006.</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 xml:space="preserve"> Banks SA, </w:t>
      </w:r>
      <w:smartTag w:uri="urn:schemas-microsoft-com:office:smarttags" w:element="place">
        <w:smartTag w:uri="urn:schemas-microsoft-com:office:smarttags" w:element="City">
          <w:r w:rsidRPr="009D3CE3">
            <w:rPr>
              <w:rFonts w:ascii="Times New Roman" w:eastAsia="Times New Roman" w:hAnsi="Times New Roman"/>
              <w:sz w:val="24"/>
              <w:szCs w:val="24"/>
            </w:rPr>
            <w:t>Hodge</w:t>
          </w:r>
        </w:smartTag>
        <w:r w:rsidRPr="009D3CE3">
          <w:rPr>
            <w:rFonts w:ascii="Times New Roman" w:eastAsia="Times New Roman" w:hAnsi="Times New Roman"/>
            <w:sz w:val="24"/>
            <w:szCs w:val="24"/>
          </w:rPr>
          <w:t xml:space="preserve"> </w:t>
        </w:r>
        <w:smartTag w:uri="urn:schemas-microsoft-com:office:smarttags" w:element="State">
          <w:r w:rsidRPr="009D3CE3">
            <w:rPr>
              <w:rFonts w:ascii="Times New Roman" w:eastAsia="Times New Roman" w:hAnsi="Times New Roman"/>
              <w:sz w:val="24"/>
              <w:szCs w:val="24"/>
            </w:rPr>
            <w:t>WA</w:t>
          </w:r>
        </w:smartTag>
      </w:smartTag>
      <w:r w:rsidRPr="009D3CE3">
        <w:rPr>
          <w:rFonts w:ascii="Times New Roman" w:eastAsia="Times New Roman" w:hAnsi="Times New Roman"/>
          <w:sz w:val="24"/>
          <w:szCs w:val="24"/>
        </w:rPr>
        <w:t>, 1996: “Accurate Measurement of Three-Dimensional Knee Replacement Kinematics using Single Plane Fluoroscopy”. IEEE Transactions on Biomedical Engineering 43(6), 638-649.</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lastRenderedPageBreak/>
        <w:t>Hoff WA, Komistek RD, Dennis DA, Gabriel SM, Walker SA, 1998: “Three- Dimensional Determination of Femoral-Tibial Contact Positions under In Vivo Conditions using Fluoroscopy”. Clinical Biomechanics 13, 455-472.</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Karrholm J, 1989: “Roentgen Stereophotogrammetry, Review of Orthopaedic applications”. Acta Orhtopaedics Scandinavica 60(4), 491-503.</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LaFortune MA, Cavanagh PR, Sommer HJ, Kalenak A, 1992: “Three-Dimensional Kinematics of the Human Leg During Walking”. Journal of Biomechanics 25, 347-357.</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Holden JP, Orsini JA, Holden SJ, 1994: “Estimates of Skeletal Motion – Movement of Surface Mounted Targets Relative to Bone during Gait”. Proceedings of the Thirteenth Southern Biomedical Engineering Conference, Washington DC, April 16.</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Murphy MA, 1990: “Geometry and the Kinematics of the Normal Human Knee”. PhD Dissertation, MIT, Cambridge. MA.</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Sati M, deGuise JA, Larouche S, Drouin G., 1996: "Quantitative Assessment of Skin-Bone Movement at the Knee". The Knee 3, 121-138.</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Alexander EJ, Andriacchi TP, 2001: “Correcting for Deformation in Skin-Based Marker Systems”. Journal of Biomechanics 34, 355-361.</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Andriacchi TP, Alexander EJ, Toney MK, Dyrby CO, Sum JA, 1998: “A Point Cluster Technique Method for In Vivo Motion Analysis: Applied to a Study of Knee Kinematics”. Journal of Biomechanical Engineering 120, 743-749.</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lastRenderedPageBreak/>
        <w:t>Lucchetti L, Cappozzo A, capello A, Della CU, 1998: “Skin Movement Artifact Assessment and Compensation in the Estimation of Knee Joint Kinematics”. Journal of Biomechanics 31, 977-984.</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Lu TW, O’Connor JJ, Taylor SJG, Walker PS, 1998: “Validation of a Lower Limb Model with In Vivo Femoral Forces Telemetered from Two Subjects”. Journal of Bomechanics 31, 63-69.</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Spoor CW, Veldpas FE, 1988: “Rigid Body Motion Calculated from Spatial Coordinates of Markers”. Journal of Biomechanics 13, 391-393.</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D’Lima D.D, Patil S, Steklov N, et al: Tibial forces measured in vivo after total knee arthroplasty. J Arthroplasty; 28:255-262 (2006).</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Fisher J, McEwen HM, Tipper JL, et al. Wear, debris, and biologic activity of cross-linked polyethylene in the knee:benefits and potential concerns. Clin Orthop Relat Res; 428:114      (2004).</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Fisher J, McEwen H, Tipper J, et al. Wear-simulation analysis of rotating-platform mobile-bearing knees. Orthopedics;29(9 Suppl):S36 (2006).</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Post ZD, Matar WY, Van de leur T, et al: Mobile-bearing total knee arthroplasty- better than a fixed bearing?; J Arthroplasty; Article in Press (2009).</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Ranawat AS, Rossi R, Loreti I, et al. Comparison of the PFC Sigma fixed-bearing and rotating-platform total knee arthroplasty in the same patient: short-term results. J Arthroplasty;19:35 (2004).</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lastRenderedPageBreak/>
        <w:t>Kim YH, Yoon SH, Kim JS. The long-term results of simultaneous fixed-bearing and mobile-bearing total knee replacements performed in the same patient. J Bone Joint Surg Br;89:1317(2007).</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Pagnano MW, Trousdale RT, Stuart MJ, et al. Rotating platform knees did not improve patellar tracking: a prospective, randomized study of 240 primary total knee arthroplasties. Clin Orthop Relat Res;428:221(2004)</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 xml:space="preserve">Wasielewski RC, Komistek RD, Zingde SM, et al: Lack of axial rotation in mobile-bearing knee designs; Clin Orthop Relat Res;466(11): 2662–2668 (2008). </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Cates HE, Komistek RD, Mahfouz MR, et al: In vivo comparison of knee kinematics for  subjects having either a posterior stabilized or cruciate retaining high-flexion total knee arthroplasty; J Arthroplasty; 23(7):1057-1067 (2008)</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Bourne RR, Baré JV: Failure in cam-post in Total Knee Arthroplasty. In Bellemans J, Ries    MD, Victor JKM (ed): Total Knee Arthroplasty: a guide to get better performance; Springer Berlin Heidelberg, 2005, pp90-95.</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B32031">
        <w:rPr>
          <w:rFonts w:ascii="Times New Roman" w:eastAsia="Times New Roman" w:hAnsi="Times New Roman"/>
          <w:sz w:val="24"/>
          <w:szCs w:val="24"/>
        </w:rPr>
        <w:t>Delp SL, Kocmond JH, Stern SH (1995) Tradeoffs between motion and stability in posterior substituting knee arthroplasty design. J Biomech 28:1155–1166</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B32031">
        <w:rPr>
          <w:rFonts w:ascii="Times New Roman" w:eastAsia="Times New Roman" w:hAnsi="Times New Roman"/>
          <w:sz w:val="24"/>
          <w:szCs w:val="24"/>
        </w:rPr>
        <w:t>Piazza SJ, Delp SL, Stulberg SD, Stern SH (1998) Posterior tilting of the tibial component decreases femoral rollback in posterior-substituting knee replacement: a computer simulation study. J Orthop Res 16:264–270</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B32031">
        <w:rPr>
          <w:rFonts w:ascii="Times New Roman" w:eastAsia="Times New Roman" w:hAnsi="Times New Roman"/>
          <w:sz w:val="24"/>
          <w:szCs w:val="24"/>
        </w:rPr>
        <w:t>Banks SA, Markovich GD, Hodge WA (1997) In vivo kinematics of cruciate-retaining and -substituting knee arthroplasties. J Arthroplasty 12:297–304</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B32031">
        <w:rPr>
          <w:rFonts w:ascii="Times New Roman" w:eastAsia="Times New Roman" w:hAnsi="Times New Roman"/>
          <w:sz w:val="24"/>
          <w:szCs w:val="24"/>
        </w:rPr>
        <w:lastRenderedPageBreak/>
        <w:t xml:space="preserve">K. Nakayama, S. Matsuda, H. Miura, H. Higaki, K. Otsuka, Y. Iwamoto (2005); Contact stress at the post-cam mechanism in posterior-stabilised total knee arthroplasty; </w:t>
      </w:r>
      <w:r w:rsidRPr="009D3CE3">
        <w:rPr>
          <w:rFonts w:ascii="Times New Roman" w:eastAsia="Times New Roman" w:hAnsi="Times New Roman"/>
          <w:sz w:val="24"/>
          <w:szCs w:val="24"/>
        </w:rPr>
        <w:t>Journal of Bone and Joint Surgery 87, 326-331-B, 483-88</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D’Lima D.D, Patil S, Steklov N, et al: Tibial forces measured in vivo after total knee arthroplasty. J Arthroplasty; 28:255-262 (2006).</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D’Lima D.D, Patil S, Steklov N, et al: In vivo knee moments and shear after total knee  arthroplasty. J Biomech; 40:S11-17 (2007).</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 xml:space="preserve">Varadarajana KM, Moynihana AL, D’Lima DD, et al:In vivo contact kinematics and contact forces of the knee after total knee arthroplasty during dynamic weight-bearing activities. J Biomech, 41:2159–2168 (2008). </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D’Lima DD, Steklov N, Patil S, et al: In vivo knee forces during recreation and exercise after knee arthroplasty. Clin Orthop Relat Res; 466:2605–2611(2008).</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Taylor WR, Heller MO, Bergmann G, et al: Tibiofemoral loading during human gait and stair climbing. J Orthop Res; 22:625–632 (2004).</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Sharma A, Komistek RD, Scuderi GR, et al: High-flexion TKA designs- what are their in vivo contact mechanics? Clin Orthop Relat Res; 464:117-126 (2007).</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Lundberg HJ, Foucher KC, Wimmer MA: A parametric approach to numerical modeling of TKR contact forces. J Biomech; 42:541-545 (2009).</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Andriacchi TP, Hurwitz DE:Gait biomechanics and total knee arthroplasty. Am J Knee Surg; 10:255–260 (1997).</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lastRenderedPageBreak/>
        <w:t>Hsu RWW, Himeno S, Coventry MB, et al:Normal axial alignment of the lower extremity and load-bearing distribution at the knee. Clin Orthop Relat Res; 215–227 (1990).</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Johnson F,Leitl S,WaughW:The distribution of load across the knee. A comparison of static and dynamic measurements. J Bone Joint Surg Br; 3:346–349(1980).</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Shelburne KB,Torry MR,Pandy MG: Contributions of muscles, ligaments, and the ground- reaction force to tibiofemoral joint loading during normal gait. J Orthop Res; 10:1983–1990 (2006).</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Brand RA, Crowninshield RD, Wittock CE, Pedersen DR, Clark CR, Vankrieken FM, 1982: “A Model of Lower Extremity Muscular Anatomy”. Journal of Biomechanics 104(4), 304-310.</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Anderson FC, Pandy MG, 2001: “Dynamic Optimization of Human Walking”. Journal of Biomechanical Engineering 123, 381-190.</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Piazza SJ, Delp SL, 2001: “Three-Dimensional Dynamic Simulation of Total Knee Replacement Motion during a Step-Up Task”. Journal of Biomechanical Engineering 123, 599-606.</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Scuderi GR, Insall JN, Windsor RE, Moran MC, 1989: “Survivorship of Cemented Knee Replacements“. Journal of Bone and Joint Surgery (Br) 71, 798-803.</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lastRenderedPageBreak/>
        <w:t>Ateshian GA, Kwak SD, Soslowsky LJ, Mow VC, 1994: “A Stereophotogrammetric Method for Determining In Situ Contact Areas in Diarthrodial Joints, a Comparison with Other Methods”. Journal of Biomechanics 27, 111-124.</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Black JD, Matejczyk MB, Greenwald AS, 1981: “Reversible Cartilage Staining Technique for Defining Articular Weight Bearing Surfaces”. Clin Orthop 159, 265-267.</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Kurosawa H, Fukubayashi T, Nakajima H, 1980: “Load Bearing Mode of the Knee Joint: Physical Behavior of the Knee Joint with or without the Menisci”. Clinical Orthopaedics 149, 283-290.</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Yao JQ, Seedhom BB, 1991: “A New Technique for Measuring Contact Areas in Human Joint – the ‘3S technique’”. Proceedings of the Institution of Mech. Engg. [H] 205: 69-72.</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Stewart T, Jin ZM, Shaw D, Auger DD, Stone M, Fisher J, 1995: “Experimental and Theoretical Study of the Contact Mechanics of Five Total Knee Joint Replacements”. Proceedings of the Institution of Mech Eng [H] 209, 255-231.</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Ochoa JA, Sommerich RE, Zalenski EB, 1993: “Application of an Innovative Experimental Method to Characterize Contact Mechanics of Total Joint Replacements”. Proceedings 39th Annual Orthopaedic Research Society, San Francisco, California.</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lastRenderedPageBreak/>
        <w:t>Zdero R, Fenton PV, Rudan J, Bryant JT, 2001: “Fuji film and Ultrasound Measurement of Total Knee Arthroplasties Contact Areas”. Journal of Arthroplasty 16(3), 369-375.</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Mikosz RP, Andriacchi TP, Andersson GB, 1988: “Model Analysis of Factors Influencing the Prediction of Muscle Forces at the Knee”. Journal of  Orthopaedic Research 6, 205-214.</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Buechel FF, Pappas MJ, Makris G, 1991: “Evaluation of Contact Stress in Metal Backed Patellar Replacements”. Clinical Orthopaedics and Related Research 273: 190-197.</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Ahmed AM, Burke DL, 1983: “In Vitro Measurement of Static Pressure Distribution in Synovial Joints – Part I: Tibial Surface of the Knee”. Journal of Biomechanical Engineering 105: 216-225.</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Godest AC, deCloke S, et.al., 2000: “A Computational Model for the Prediction of Total Knee Replacement Kinematics in the Sagittal Plane”. Journal of Biomechanics 33, 435-442.</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Bartel DL, Burstein AH, Toda MD, Edwards Dl, 1985: “The Effect of Conformity and Plastic Thickness on Contact Stresses in Metal Backed Plastic Implants”. Journal of Biomechanical Engineering 107, 193-199.</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Lewis G, 1998: “Contact Stress at Articular Surfaces in Total Joint Replacements: Analytical and Numerical Methods”. Journal of Biomedical Materials.</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lastRenderedPageBreak/>
        <w:t>Bartel DL, Bicknell VL, Ithaca, Wright TM, 1986: “The Effect of Conformity, Thickness and Material on Stresses in Ultra-High Molecular Weight Components for Total Joint Replacement”. Journal of Bone and Joint Surgery (Am) 68-A (7), 1041-1051.</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D’Lima DD, Chen PC, Colwell CW, 2001: “Polyethylene Contact Stresses, Articular Congruity and Knee Alignment”. Clinical Orthopaedics and Related Research 393, 232-238.</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Machan S, 2004: “Finite Element Analysis of Polyethylene Stresses in Total Knee Replacements”. PhD Dissertation, University of Sydney, Sydney, Australia.</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Halloran JP, Petrella AJ, Rullkoetter PJ, 2005: “Explicit Finite Element Modeling of Total Knee Replacement Mechanics”. Journal of Biomechanics 38, 323-331.</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Godest AC, Beaugonin M, Haug E, Taylor M, Gregson PJ, 2002: “Simulation of a Knee Joint Replacement during Gait Cycle using Explicit Finite Element Analysis”. Journal of Biomechanics 35, 267-275.</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Heuter C, Grundriss der chirurgie, FCW Vogel, 3rd ed., 1885, ISBN 9783540202424.</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Blodgett W, Auscultation of the knee joint, in: Boston Med Surg J, 1902;146:63–66</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Walters C, The value of joint auscultation, in: Lancet, 1929;1:920–921.</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 xml:space="preserve"> Steindler A, Auscultation of Joints, in: The Journal of Bone and Joint Surgery, 1937;19:121.</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lastRenderedPageBreak/>
        <w:t>Peylan A, Direct auscultation of the joints; preliminary clinical observations., in: Rheumatism, 1953;9:77–81.</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Erb K, Über die Möglichkeit der Registrierung von Gelenkgeräuschen, in: Langenbeck’s Archives of Surgery, 1933;241:237–245.</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Fischer H, Johnson E, Analysis of sounds from normal and pathologic knee joints., in: Arch Phys Med Rehabil, 1961;42:233–40.</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Chu M, Gradisar I, Mostardi R, A noninvasive electroacoustical evaluation technique of cartilage damage in pathological knee joints, in: Medical and Biological Engineering and Computing, 1978;16:437–442.</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Chu M, Gradisar I, Railey M, Bowling G, Detection of knee joint diseases using acoustical pattern recognition technique., in: J Biomech, 1976;9:111–4.</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 xml:space="preserve"> Mollan R, McCullagh G, Wilson R, A critical appraisal of auscultation of human joints., in: Clin Orthop Relat Res, 1982;170:231–7.</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Kernohan W, Mollan R, Microcomputer analysis of joint vibration, in: Journal of Microcomputer Applications, 1982;5:287–296.</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Mollan R, Kernohan G, Watters P, Artefact encountered by the vibration detection system., in: J Biomech, 1983;16:193–9.</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Kernohan W, Beverland D, McCoy G, Shaw S, Wallace R, McCullagh G, Mollan R, The diagnostic potential of vibration arthrography., in: Clin Orthop Relat Res, 1986;210:106–12.</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lastRenderedPageBreak/>
        <w:t>McCoy G, McCrea J, Beverland D, Kernohan W, Mollan R, Vibration arthrography as a diagnostic aid in diseases of the knee. A preliminary report, in: Journal of Bone &amp; Joint Surgery, British Volume, 1987;69:288–293.</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Gay T, The acoustical characteristics of the normal temporomandibular joint, in: Journal of Dental Research, 1988;67:56–60.</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Gay T, Bertolami C, Bruce Donoff R, Keuth D, Kelly J, The acoustical characteristics of the normal and abnormal temporomandibular joint, in: Journal of oral and maxillofacial surgery, 1987;45:397–407.</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Christensen L, Physics and the sounds produced by the temporomandibular joints. Part I., in: J Oral Rehabil, 1992;19:471–83.</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Christensen L, Physics and the sounds produced by the temporomandibular joints. Part II., in: J Oral Rehabil, 1992;19:615–617.</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Christensen L, Donegan S, McKay D, Temporomandibular joint vibration analysis in a sample of non-patients., in: Cranio, 1992;10:35–41.</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Ishigaki S, Bessette R, Maruyama T, Vibration of the temporomandibular joints with normal radiographic imagings: comparison between asymptomatic volunteers and symptomatic patients., in: Cranio, 1993;11:88–94.</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Gay T, Bertolami CN, Solonche DJ, Method and apparatus for the acoustic detection and analysis of joint disorders, 1989, united States Patent number: 4836218.</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lastRenderedPageBreak/>
        <w:t>Radke JC, Ryan GJ, Hershberger TW, Method and apparatus for diagnosing joints, 1995, united States Patent number: 5413116.</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Radke JC, Ryan GJ, Hershberger TW, Method and apparatus for diagnosing joints, 1996, united States Patent number: 5533519.</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Rangayyan RM, Krishnan S, Bell DB, Frank CB, Auscultation of Joints, 2003, united States Patent number: 6537233.</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Russell J, Carlson TC, Vipraio GA, Device for non-invasive diagnosis and monitoring of articular and periarticular pathology, 1989, united States Patent number: 4823807</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Krishnan S, Rangayyan R, Automatic de-noising of knee-joint vibration signals using adaptive time-frequency representations, in: Medical and Biological Engineering and Computing, 2000;38:2–8.</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Krishnan S, Rangayyan R, Bell G, Frank C, Adaptive time-frequency analysis of knee joint vibroarthrographic signals for noninvasive screening of articular cartilage pathology, in: IEEE Transactions on Biomedical Engineering, 2000;47:773–783.</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Umapathy K, Krishnan S, Modified local discriminant bases algorithm and its application in analysis of human knee joint vibration signals, in: IEEE Transactions on Biomedical Engineering, 2006;53:517–523.</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lastRenderedPageBreak/>
        <w:t>Rangayyan R, Wu Y, Screening of knee-joint vibroarthrographic signals using statistical parameters and radial basis functions, in: Medical and Biological Engineering and Computing, 2008;46:223–232.</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Jiang C, Lee J, Yuan T, Vibration arthrometry in the patients with failed total kneereplacement, in: Biomedical Engineering, IEEE Transactions on, 2000;47:219–227.</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Kane, T.R. and Levinson D.A, 1985: “Dynamics: Theory and applications”. McGraw-Hill, New York, USA.</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Komistek RD, Stiehl JB, Dennis DA, 1998: “Mathematical Model of the Lower Extremity Joint Reaction Forces using Kane’s Method of Dynamics”. Journal of Biomechanics 31, 185-189.</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Zatsiorski V, Seluyanov V, 1983: “The Mass and Inertial Characteristics of the Main Segments of the Human Body”. Biomechanics VIII-B. H. Matsui and K. Kobayashi. Human Kinetics, Champaign, IL, pp 1152-1159.</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White SC, Yack HJ, Winter DA, 1989: “A Three-Dimensional Musculoskeletal Model for Gait Analysis. Anatomical Variability Estimates”. Journal of Biomechanics 22, 885-893.</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deLeva P, 1996: “Adjustments to Zatsiorski-Sleluyanov’s Segment Inertial Parameters”. Journal of Biomechanics 29, 1223-1230.</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lastRenderedPageBreak/>
        <w:t>Yamaguchi GT, 2001: “Dynamic Modeling of the Musculoskeletal Motion: “A Vectorized Approach for Biomechanical Analysis in Three Dimensions”. Kluwer Academic Publishers, Norwell, MA, USA.</w:t>
      </w:r>
    </w:p>
    <w:p w:rsidR="009D3CE3" w:rsidRPr="009D3CE3" w:rsidRDefault="009D3CE3" w:rsidP="009D3CE3">
      <w:pPr>
        <w:pStyle w:val="ListParagraph"/>
        <w:numPr>
          <w:ilvl w:val="0"/>
          <w:numId w:val="1"/>
        </w:numPr>
        <w:tabs>
          <w:tab w:val="clear" w:pos="435"/>
        </w:tabs>
        <w:autoSpaceDE w:val="0"/>
        <w:autoSpaceDN w:val="0"/>
        <w:adjustRightInd w:val="0"/>
        <w:spacing w:after="0" w:line="480" w:lineRule="auto"/>
        <w:ind w:left="720" w:hanging="360"/>
        <w:jc w:val="both"/>
        <w:rPr>
          <w:rFonts w:ascii="Times New Roman" w:eastAsia="Times New Roman" w:hAnsi="Times New Roman"/>
          <w:sz w:val="24"/>
          <w:szCs w:val="24"/>
        </w:rPr>
      </w:pPr>
      <w:r w:rsidRPr="009D3CE3">
        <w:rPr>
          <w:rFonts w:ascii="Times New Roman" w:eastAsia="Times New Roman" w:hAnsi="Times New Roman"/>
          <w:sz w:val="24"/>
          <w:szCs w:val="24"/>
        </w:rPr>
        <w:t>Duda R, Hart P, Stork D, Pattern classification 2nd, in: 2nd Edition New York, 2001;.</w:t>
      </w:r>
    </w:p>
    <w:p w:rsidR="00292169" w:rsidRPr="00292169" w:rsidRDefault="00292169" w:rsidP="00292169"/>
    <w:p w:rsidR="00292169" w:rsidRPr="00292169" w:rsidRDefault="00292169" w:rsidP="00292169"/>
    <w:p w:rsidR="00292169" w:rsidRPr="00292169" w:rsidRDefault="00292169" w:rsidP="00292169"/>
    <w:p w:rsidR="00292169" w:rsidRPr="00292169" w:rsidRDefault="00292169" w:rsidP="00292169"/>
    <w:p w:rsidR="00292169" w:rsidRPr="00292169" w:rsidRDefault="00292169" w:rsidP="00292169"/>
    <w:p w:rsidR="00292169" w:rsidRDefault="00292169" w:rsidP="00292169"/>
    <w:p w:rsidR="00292169" w:rsidRDefault="00292169" w:rsidP="00292169"/>
    <w:p w:rsidR="001D3E96" w:rsidRPr="00292169" w:rsidRDefault="00292169" w:rsidP="00292169">
      <w:pPr>
        <w:tabs>
          <w:tab w:val="left" w:pos="5580"/>
        </w:tabs>
      </w:pPr>
      <w:r>
        <w:tab/>
      </w:r>
    </w:p>
    <w:sectPr w:rsidR="001D3E96" w:rsidRPr="00292169" w:rsidSect="00F10A0E">
      <w:headerReference w:type="first" r:id="rId60"/>
      <w:pgSz w:w="12240" w:h="15840" w:code="1"/>
      <w:pgMar w:top="1440" w:right="1440" w:bottom="1872" w:left="2160" w:header="1440" w:footer="187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74BF" w:rsidRDefault="00B674BF">
      <w:r>
        <w:separator/>
      </w:r>
    </w:p>
  </w:endnote>
  <w:endnote w:type="continuationSeparator" w:id="0">
    <w:p w:rsidR="00B674BF" w:rsidRDefault="00B674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FBOHN+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A25" w:rsidRDefault="001F4A25">
    <w:pPr>
      <w:pStyle w:val="Footer"/>
      <w:pBdr>
        <w:bottom w:val="single" w:sz="6" w:space="1" w:color="auto"/>
      </w:pBdr>
    </w:pPr>
  </w:p>
  <w:p w:rsidR="001F4A25" w:rsidRDefault="001F4A25">
    <w:pPr>
      <w:pStyle w:val="Footer"/>
    </w:pPr>
    <w:r>
      <w:tab/>
      <w:t xml:space="preserve">- </w:t>
    </w:r>
    <w:fldSimple w:instr=" PAGE ">
      <w:r>
        <w:rPr>
          <w:noProof/>
        </w:rPr>
        <w:t>x</w:t>
      </w:r>
    </w:fldSimple>
    <w: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A25" w:rsidRDefault="001F4A25">
    <w:pPr>
      <w:pStyle w:val="Footer"/>
      <w:pBdr>
        <w:bottom w:val="single" w:sz="6" w:space="1" w:color="auto"/>
      </w:pBdr>
    </w:pPr>
  </w:p>
  <w:p w:rsidR="001F4A25" w:rsidRDefault="001F4A25">
    <w:pPr>
      <w:pStyle w:val="Footer"/>
    </w:pPr>
    <w:r>
      <w:tab/>
      <w:t xml:space="preserve">- </w:t>
    </w:r>
    <w:fldSimple w:instr=" PAGE ">
      <w:r>
        <w:rPr>
          <w:noProof/>
        </w:rPr>
        <w:t>i</w:t>
      </w:r>
    </w:fldSimple>
    <w:r>
      <w:t xml:space="preserve"> -</w:t>
    </w:r>
    <w:r>
      <w:tab/>
    </w: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A25" w:rsidRDefault="001F4A25">
    <w:pPr>
      <w:pStyle w:val="Footer"/>
      <w:pBdr>
        <w:bottom w:val="single" w:sz="6" w:space="1" w:color="auto"/>
      </w:pBdr>
    </w:pPr>
  </w:p>
  <w:p w:rsidR="001F4A25" w:rsidRDefault="001F4A25">
    <w:pPr>
      <w:pStyle w:val="Footer"/>
    </w:pPr>
    <w:r>
      <w:tab/>
      <w:t xml:space="preserve">- </w:t>
    </w:r>
    <w:fldSimple w:instr=" PAGE ">
      <w:r>
        <w:rPr>
          <w:noProof/>
        </w:rPr>
        <w:t>v</w:t>
      </w:r>
    </w:fldSimple>
    <w:r>
      <w:t xml:space="preserve"> -</w:t>
    </w:r>
    <w:r>
      <w:tab/>
    </w:r>
    <w:r>
      <w:tab/>
    </w:r>
    <w:r>
      <w:tab/>
    </w:r>
    <w: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55B" w:rsidRDefault="009937B6">
    <w:pPr>
      <w:pStyle w:val="Footer"/>
      <w:pBdr>
        <w:top w:val="single" w:sz="4" w:space="1" w:color="D9D9D9"/>
      </w:pBdr>
      <w:jc w:val="right"/>
    </w:pPr>
    <w:fldSimple w:instr=" PAGE   \* MERGEFORMAT ">
      <w:r w:rsidR="001F4A25">
        <w:rPr>
          <w:noProof/>
        </w:rPr>
        <w:t>22</w:t>
      </w:r>
    </w:fldSimple>
    <w:r w:rsidR="0031455B">
      <w:t xml:space="preserve"> | </w:t>
    </w:r>
    <w:r w:rsidR="0031455B">
      <w:rPr>
        <w:color w:val="7F7F7F"/>
        <w:spacing w:val="60"/>
      </w:rPr>
      <w:t>Page</w:t>
    </w:r>
  </w:p>
  <w:p w:rsidR="0031455B" w:rsidRDefault="0031455B">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55B" w:rsidRDefault="0031455B">
    <w:pPr>
      <w:pStyle w:val="Footer"/>
      <w:pBdr>
        <w:bottom w:val="single" w:sz="6" w:space="1" w:color="auto"/>
      </w:pBdr>
    </w:pPr>
  </w:p>
  <w:p w:rsidR="0031455B" w:rsidRDefault="0031455B">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55B" w:rsidRDefault="009937B6">
    <w:pPr>
      <w:pStyle w:val="Footer"/>
      <w:pBdr>
        <w:top w:val="single" w:sz="4" w:space="1" w:color="D9D9D9"/>
      </w:pBdr>
      <w:jc w:val="right"/>
    </w:pPr>
    <w:fldSimple w:instr=" PAGE   \* MERGEFORMAT ">
      <w:r w:rsidR="001F4A25">
        <w:rPr>
          <w:noProof/>
        </w:rPr>
        <w:t>106</w:t>
      </w:r>
    </w:fldSimple>
    <w:r w:rsidR="0031455B">
      <w:t xml:space="preserve"> | </w:t>
    </w:r>
    <w:r w:rsidR="0031455B">
      <w:rPr>
        <w:color w:val="7F7F7F"/>
        <w:spacing w:val="60"/>
      </w:rPr>
      <w:t>Page</w:t>
    </w:r>
  </w:p>
  <w:p w:rsidR="0031455B" w:rsidRDefault="0031455B">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55B" w:rsidRDefault="0031455B">
    <w:pPr>
      <w:pStyle w:val="Footer"/>
      <w:pBdr>
        <w:bottom w:val="single" w:sz="6" w:space="1" w:color="auto"/>
      </w:pBdr>
    </w:pPr>
  </w:p>
  <w:p w:rsidR="0031455B" w:rsidRDefault="0031455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74BF" w:rsidRDefault="00B674BF">
      <w:r>
        <w:separator/>
      </w:r>
    </w:p>
  </w:footnote>
  <w:footnote w:type="continuationSeparator" w:id="0">
    <w:p w:rsidR="00B674BF" w:rsidRDefault="00B674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A25" w:rsidRPr="008419BD" w:rsidRDefault="001F4A25" w:rsidP="00A440BF">
    <w:pPr>
      <w:pStyle w:val="Header"/>
      <w:pBdr>
        <w:bottom w:val="single" w:sz="6" w:space="1" w:color="auto"/>
      </w:pBdr>
      <w:jc w:val="right"/>
      <w:rPr>
        <w:b/>
      </w:rPr>
    </w:pPr>
    <w:r w:rsidRPr="008419BD">
      <w:rPr>
        <w:b/>
      </w:rPr>
      <w:t>Abstract</w:t>
    </w:r>
  </w:p>
  <w:p w:rsidR="001F4A25" w:rsidRPr="00F10A0E" w:rsidRDefault="001F4A25" w:rsidP="00A440BF">
    <w:pPr>
      <w:pStyle w:val="Header"/>
      <w:rPr>
        <w:rFonts w:ascii="Arial" w:hAnsi="Arial" w:cs="Arial"/>
        <w:b/>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Pr="00F10A0E" w:rsidRDefault="0031455B">
    <w:pPr>
      <w:pStyle w:val="Header"/>
      <w:rPr>
        <w:rFonts w:ascii="Arial" w:hAnsi="Arial" w:cs="Arial"/>
        <w:sz w:val="32"/>
        <w:szCs w:val="32"/>
      </w:rPr>
    </w:pPr>
  </w:p>
  <w:p w:rsidR="0031455B" w:rsidRPr="00F10A0E" w:rsidRDefault="0031455B">
    <w:pPr>
      <w:pStyle w:val="Header"/>
      <w:rPr>
        <w:rFonts w:ascii="Arial" w:hAnsi="Arial" w:cs="Arial"/>
        <w:b/>
        <w:sz w:val="32"/>
        <w:szCs w:val="32"/>
      </w:rPr>
    </w:pPr>
    <w:r w:rsidRPr="00F10A0E">
      <w:rPr>
        <w:rFonts w:ascii="Arial" w:hAnsi="Arial" w:cs="Arial"/>
        <w:b/>
        <w:sz w:val="32"/>
        <w:szCs w:val="32"/>
      </w:rPr>
      <w:t>Chapt</w:t>
    </w:r>
    <w:r>
      <w:rPr>
        <w:rFonts w:ascii="Arial" w:hAnsi="Arial" w:cs="Arial"/>
        <w:b/>
        <w:sz w:val="32"/>
        <w:szCs w:val="32"/>
      </w:rPr>
      <w:t>er 2</w:t>
    </w:r>
  </w:p>
  <w:p w:rsidR="0031455B" w:rsidRPr="00F10A0E" w:rsidRDefault="0031455B">
    <w:pPr>
      <w:pStyle w:val="Header"/>
      <w:rPr>
        <w:rFonts w:ascii="Arial" w:hAnsi="Arial" w:cs="Arial"/>
        <w:b/>
        <w:sz w:val="32"/>
        <w:szCs w:val="32"/>
      </w:rPr>
    </w:pPr>
  </w:p>
  <w:p w:rsidR="0031455B" w:rsidRDefault="0031455B">
    <w:pPr>
      <w:pStyle w:val="Header"/>
      <w:rPr>
        <w:rFonts w:ascii="Arial" w:hAnsi="Arial" w:cs="Arial"/>
        <w:b/>
        <w:sz w:val="32"/>
        <w:szCs w:val="32"/>
      </w:rPr>
    </w:pPr>
    <w:r>
      <w:rPr>
        <w:rFonts w:ascii="Arial" w:hAnsi="Arial" w:cs="Arial"/>
        <w:b/>
        <w:sz w:val="32"/>
        <w:szCs w:val="32"/>
      </w:rPr>
      <w:t>Research Aims and Contribution</w:t>
    </w:r>
  </w:p>
  <w:p w:rsidR="0031455B" w:rsidRPr="00F10A0E" w:rsidRDefault="009937B6">
    <w:pPr>
      <w:pStyle w:val="Header"/>
      <w:rPr>
        <w:rFonts w:ascii="Arial" w:hAnsi="Arial" w:cs="Arial"/>
        <w:b/>
        <w:sz w:val="32"/>
        <w:szCs w:val="32"/>
      </w:rPr>
    </w:pPr>
    <w:r>
      <w:rPr>
        <w:rFonts w:ascii="Arial" w:hAnsi="Arial" w:cs="Arial"/>
        <w:b/>
        <w:noProof/>
        <w:sz w:val="32"/>
        <w:szCs w:val="32"/>
      </w:rPr>
      <w:pict>
        <v:line id="_x0000_s2060" style="position:absolute;z-index:251660288" from="0,3.8pt" to="6in,3.8pt" strokeweight="1pt"/>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55B" w:rsidRDefault="0031455B" w:rsidP="00D909F5">
    <w:pPr>
      <w:pStyle w:val="Header"/>
      <w:pBdr>
        <w:bottom w:val="single" w:sz="6" w:space="1" w:color="auto"/>
      </w:pBdr>
      <w:jc w:val="right"/>
      <w:rPr>
        <w:rFonts w:ascii="Arial" w:hAnsi="Arial" w:cs="Arial"/>
        <w:b/>
      </w:rPr>
    </w:pPr>
    <w:r>
      <w:rPr>
        <w:rFonts w:ascii="Arial" w:hAnsi="Arial" w:cs="Arial"/>
        <w:b/>
      </w:rPr>
      <w:t>Literature Review and Motivation</w:t>
    </w:r>
  </w:p>
  <w:p w:rsidR="0031455B" w:rsidRPr="00F10A0E" w:rsidRDefault="0031455B" w:rsidP="00F10A0E">
    <w:pPr>
      <w:pStyle w:val="Header"/>
      <w:rPr>
        <w:rFonts w:ascii="Arial" w:hAnsi="Arial" w:cs="Arial"/>
        <w:b/>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Pr="00F10A0E" w:rsidRDefault="0031455B">
    <w:pPr>
      <w:pStyle w:val="Header"/>
      <w:rPr>
        <w:rFonts w:ascii="Arial" w:hAnsi="Arial" w:cs="Arial"/>
        <w:sz w:val="32"/>
        <w:szCs w:val="32"/>
      </w:rPr>
    </w:pPr>
  </w:p>
  <w:p w:rsidR="0031455B" w:rsidRPr="00F10A0E" w:rsidRDefault="0031455B">
    <w:pPr>
      <w:pStyle w:val="Header"/>
      <w:rPr>
        <w:rFonts w:ascii="Arial" w:hAnsi="Arial" w:cs="Arial"/>
        <w:b/>
        <w:sz w:val="32"/>
        <w:szCs w:val="32"/>
      </w:rPr>
    </w:pPr>
    <w:r w:rsidRPr="00F10A0E">
      <w:rPr>
        <w:rFonts w:ascii="Arial" w:hAnsi="Arial" w:cs="Arial"/>
        <w:b/>
        <w:sz w:val="32"/>
        <w:szCs w:val="32"/>
      </w:rPr>
      <w:t>Chapt</w:t>
    </w:r>
    <w:r>
      <w:rPr>
        <w:rFonts w:ascii="Arial" w:hAnsi="Arial" w:cs="Arial"/>
        <w:b/>
        <w:sz w:val="32"/>
        <w:szCs w:val="32"/>
      </w:rPr>
      <w:t>er 3</w:t>
    </w:r>
  </w:p>
  <w:p w:rsidR="0031455B" w:rsidRPr="00F10A0E" w:rsidRDefault="0031455B">
    <w:pPr>
      <w:pStyle w:val="Header"/>
      <w:rPr>
        <w:rFonts w:ascii="Arial" w:hAnsi="Arial" w:cs="Arial"/>
        <w:b/>
        <w:sz w:val="32"/>
        <w:szCs w:val="32"/>
      </w:rPr>
    </w:pPr>
  </w:p>
  <w:p w:rsidR="0031455B" w:rsidRDefault="0031455B" w:rsidP="00A70CB9">
    <w:pPr>
      <w:pStyle w:val="Header"/>
      <w:rPr>
        <w:rFonts w:ascii="Arial" w:hAnsi="Arial" w:cs="Arial"/>
        <w:b/>
        <w:sz w:val="32"/>
        <w:szCs w:val="32"/>
      </w:rPr>
    </w:pPr>
    <w:r>
      <w:rPr>
        <w:rFonts w:ascii="Arial" w:hAnsi="Arial" w:cs="Arial"/>
        <w:b/>
        <w:sz w:val="32"/>
        <w:szCs w:val="32"/>
      </w:rPr>
      <w:t>Literature Review and Motivation</w:t>
    </w:r>
  </w:p>
  <w:p w:rsidR="0031455B" w:rsidRPr="00F10A0E" w:rsidRDefault="009937B6">
    <w:pPr>
      <w:pStyle w:val="Header"/>
      <w:rPr>
        <w:rFonts w:ascii="Arial" w:hAnsi="Arial" w:cs="Arial"/>
        <w:b/>
        <w:sz w:val="32"/>
        <w:szCs w:val="32"/>
      </w:rPr>
    </w:pPr>
    <w:r>
      <w:rPr>
        <w:rFonts w:ascii="Arial" w:hAnsi="Arial" w:cs="Arial"/>
        <w:b/>
        <w:noProof/>
        <w:sz w:val="32"/>
        <w:szCs w:val="32"/>
      </w:rPr>
      <w:pict>
        <v:line id="_x0000_s2061" style="position:absolute;z-index:251661312" from="0,3.8pt" to="6in,3.8pt" strokeweight="1pt"/>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55B" w:rsidRDefault="0031455B" w:rsidP="00A70CB9">
    <w:pPr>
      <w:pStyle w:val="Header"/>
      <w:pBdr>
        <w:bottom w:val="single" w:sz="6" w:space="1" w:color="auto"/>
      </w:pBdr>
      <w:jc w:val="right"/>
      <w:rPr>
        <w:rFonts w:ascii="Arial" w:hAnsi="Arial" w:cs="Arial"/>
        <w:b/>
      </w:rPr>
    </w:pPr>
    <w:r>
      <w:rPr>
        <w:rFonts w:ascii="Arial" w:hAnsi="Arial" w:cs="Arial"/>
        <w:b/>
      </w:rPr>
      <w:t>Materials and Methods</w:t>
    </w:r>
  </w:p>
  <w:p w:rsidR="0031455B" w:rsidRPr="00F10A0E" w:rsidRDefault="0031455B" w:rsidP="00F10A0E">
    <w:pPr>
      <w:pStyle w:val="Header"/>
      <w:rPr>
        <w:rFonts w:ascii="Arial" w:hAnsi="Arial" w:cs="Arial"/>
        <w:b/>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Pr="00F10A0E" w:rsidRDefault="0031455B">
    <w:pPr>
      <w:pStyle w:val="Header"/>
      <w:rPr>
        <w:rFonts w:ascii="Arial" w:hAnsi="Arial" w:cs="Arial"/>
        <w:sz w:val="32"/>
        <w:szCs w:val="32"/>
      </w:rPr>
    </w:pPr>
  </w:p>
  <w:p w:rsidR="0031455B" w:rsidRPr="00F10A0E" w:rsidRDefault="0031455B">
    <w:pPr>
      <w:pStyle w:val="Header"/>
      <w:rPr>
        <w:rFonts w:ascii="Arial" w:hAnsi="Arial" w:cs="Arial"/>
        <w:b/>
        <w:sz w:val="32"/>
        <w:szCs w:val="32"/>
      </w:rPr>
    </w:pPr>
    <w:r w:rsidRPr="00F10A0E">
      <w:rPr>
        <w:rFonts w:ascii="Arial" w:hAnsi="Arial" w:cs="Arial"/>
        <w:b/>
        <w:sz w:val="32"/>
        <w:szCs w:val="32"/>
      </w:rPr>
      <w:t>Chapt</w:t>
    </w:r>
    <w:r w:rsidR="009D3CE3">
      <w:rPr>
        <w:rFonts w:ascii="Arial" w:hAnsi="Arial" w:cs="Arial"/>
        <w:b/>
        <w:sz w:val="32"/>
        <w:szCs w:val="32"/>
      </w:rPr>
      <w:t>er 5</w:t>
    </w:r>
  </w:p>
  <w:p w:rsidR="0031455B" w:rsidRPr="00F10A0E" w:rsidRDefault="0031455B">
    <w:pPr>
      <w:pStyle w:val="Header"/>
      <w:rPr>
        <w:rFonts w:ascii="Arial" w:hAnsi="Arial" w:cs="Arial"/>
        <w:b/>
        <w:sz w:val="32"/>
        <w:szCs w:val="32"/>
      </w:rPr>
    </w:pPr>
  </w:p>
  <w:p w:rsidR="0031455B" w:rsidRDefault="0031455B" w:rsidP="00A70CB9">
    <w:pPr>
      <w:pStyle w:val="Header"/>
      <w:rPr>
        <w:rFonts w:ascii="Arial" w:hAnsi="Arial" w:cs="Arial"/>
        <w:b/>
        <w:sz w:val="32"/>
        <w:szCs w:val="32"/>
      </w:rPr>
    </w:pPr>
    <w:r>
      <w:rPr>
        <w:rFonts w:ascii="Arial" w:hAnsi="Arial" w:cs="Arial"/>
        <w:b/>
        <w:sz w:val="32"/>
        <w:szCs w:val="32"/>
      </w:rPr>
      <w:t>Materials and Methods</w:t>
    </w:r>
  </w:p>
  <w:p w:rsidR="0031455B" w:rsidRPr="00F10A0E" w:rsidRDefault="009937B6">
    <w:pPr>
      <w:pStyle w:val="Header"/>
      <w:rPr>
        <w:rFonts w:ascii="Arial" w:hAnsi="Arial" w:cs="Arial"/>
        <w:b/>
        <w:sz w:val="32"/>
        <w:szCs w:val="32"/>
      </w:rPr>
    </w:pPr>
    <w:r>
      <w:rPr>
        <w:rFonts w:ascii="Arial" w:hAnsi="Arial" w:cs="Arial"/>
        <w:b/>
        <w:noProof/>
        <w:sz w:val="32"/>
        <w:szCs w:val="32"/>
      </w:rPr>
      <w:pict>
        <v:line id="_x0000_s2062" style="position:absolute;z-index:251663360" from="0,3.8pt" to="6in,3.8pt" strokeweight="1pt"/>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CE3" w:rsidRDefault="009D3CE3">
    <w:pPr>
      <w:pStyle w:val="Header"/>
    </w:pPr>
  </w:p>
  <w:p w:rsidR="009D3CE3" w:rsidRDefault="009D3CE3">
    <w:pPr>
      <w:pStyle w:val="Header"/>
    </w:pPr>
  </w:p>
  <w:p w:rsidR="009D3CE3" w:rsidRDefault="009D3CE3">
    <w:pPr>
      <w:pStyle w:val="Header"/>
    </w:pPr>
  </w:p>
  <w:p w:rsidR="009D3CE3" w:rsidRDefault="009D3CE3">
    <w:pPr>
      <w:pStyle w:val="Header"/>
    </w:pPr>
  </w:p>
  <w:p w:rsidR="009D3CE3" w:rsidRDefault="009D3CE3">
    <w:pPr>
      <w:pStyle w:val="Header"/>
    </w:pPr>
  </w:p>
  <w:p w:rsidR="009D3CE3" w:rsidRDefault="009D3CE3">
    <w:pPr>
      <w:pStyle w:val="Header"/>
    </w:pPr>
  </w:p>
  <w:p w:rsidR="009D3CE3" w:rsidRDefault="009D3CE3">
    <w:pPr>
      <w:pStyle w:val="Header"/>
    </w:pPr>
  </w:p>
  <w:p w:rsidR="009D3CE3" w:rsidRDefault="009D3CE3">
    <w:pPr>
      <w:pStyle w:val="Header"/>
    </w:pPr>
  </w:p>
  <w:p w:rsidR="009D3CE3" w:rsidRDefault="009D3CE3">
    <w:pPr>
      <w:pStyle w:val="Header"/>
    </w:pPr>
  </w:p>
  <w:p w:rsidR="009D3CE3" w:rsidRDefault="009D3CE3">
    <w:pPr>
      <w:pStyle w:val="Header"/>
    </w:pPr>
  </w:p>
  <w:p w:rsidR="009D3CE3" w:rsidRDefault="009D3CE3">
    <w:pPr>
      <w:pStyle w:val="Header"/>
    </w:pPr>
  </w:p>
  <w:p w:rsidR="009D3CE3" w:rsidRDefault="009D3CE3">
    <w:pPr>
      <w:pStyle w:val="Header"/>
    </w:pPr>
  </w:p>
  <w:p w:rsidR="009D3CE3" w:rsidRDefault="009D3CE3">
    <w:pPr>
      <w:pStyle w:val="Header"/>
    </w:pPr>
  </w:p>
  <w:p w:rsidR="009D3CE3" w:rsidRDefault="009D3CE3">
    <w:pPr>
      <w:pStyle w:val="Header"/>
    </w:pPr>
  </w:p>
  <w:p w:rsidR="009D3CE3" w:rsidRDefault="009D3CE3">
    <w:pPr>
      <w:pStyle w:val="Header"/>
    </w:pPr>
  </w:p>
  <w:p w:rsidR="009D3CE3" w:rsidRDefault="009D3CE3">
    <w:pPr>
      <w:pStyle w:val="Header"/>
    </w:pPr>
  </w:p>
  <w:p w:rsidR="009D3CE3" w:rsidRDefault="009D3CE3">
    <w:pPr>
      <w:pStyle w:val="Header"/>
    </w:pPr>
  </w:p>
  <w:p w:rsidR="009D3CE3" w:rsidRDefault="009D3CE3">
    <w:pPr>
      <w:pStyle w:val="Header"/>
    </w:pPr>
  </w:p>
  <w:p w:rsidR="009D3CE3" w:rsidRPr="00F10A0E" w:rsidRDefault="009D3CE3">
    <w:pPr>
      <w:pStyle w:val="Header"/>
      <w:rPr>
        <w:rFonts w:ascii="Arial" w:hAnsi="Arial" w:cs="Arial"/>
        <w:sz w:val="32"/>
        <w:szCs w:val="32"/>
      </w:rPr>
    </w:pPr>
  </w:p>
  <w:p w:rsidR="009D3CE3" w:rsidRPr="00F10A0E" w:rsidRDefault="009D3CE3">
    <w:pPr>
      <w:pStyle w:val="Header"/>
      <w:rPr>
        <w:rFonts w:ascii="Arial" w:hAnsi="Arial" w:cs="Arial"/>
        <w:b/>
        <w:sz w:val="32"/>
        <w:szCs w:val="32"/>
      </w:rPr>
    </w:pPr>
    <w:r w:rsidRPr="00F10A0E">
      <w:rPr>
        <w:rFonts w:ascii="Arial" w:hAnsi="Arial" w:cs="Arial"/>
        <w:b/>
        <w:sz w:val="32"/>
        <w:szCs w:val="32"/>
      </w:rPr>
      <w:t>Chapt</w:t>
    </w:r>
    <w:r>
      <w:rPr>
        <w:rFonts w:ascii="Arial" w:hAnsi="Arial" w:cs="Arial"/>
        <w:b/>
        <w:sz w:val="32"/>
        <w:szCs w:val="32"/>
      </w:rPr>
      <w:t>er 5</w:t>
    </w:r>
  </w:p>
  <w:p w:rsidR="009D3CE3" w:rsidRPr="00F10A0E" w:rsidRDefault="009D3CE3">
    <w:pPr>
      <w:pStyle w:val="Header"/>
      <w:rPr>
        <w:rFonts w:ascii="Arial" w:hAnsi="Arial" w:cs="Arial"/>
        <w:b/>
        <w:sz w:val="32"/>
        <w:szCs w:val="32"/>
      </w:rPr>
    </w:pPr>
  </w:p>
  <w:p w:rsidR="009D3CE3" w:rsidRDefault="009D3CE3" w:rsidP="00A70CB9">
    <w:pPr>
      <w:pStyle w:val="Header"/>
      <w:rPr>
        <w:rFonts w:ascii="Arial" w:hAnsi="Arial" w:cs="Arial"/>
        <w:b/>
        <w:sz w:val="32"/>
        <w:szCs w:val="32"/>
      </w:rPr>
    </w:pPr>
    <w:r>
      <w:rPr>
        <w:rFonts w:ascii="Arial" w:hAnsi="Arial" w:cs="Arial"/>
        <w:b/>
        <w:sz w:val="32"/>
        <w:szCs w:val="32"/>
      </w:rPr>
      <w:t>References</w:t>
    </w:r>
  </w:p>
  <w:p w:rsidR="009D3CE3" w:rsidRPr="00F10A0E" w:rsidRDefault="009937B6">
    <w:pPr>
      <w:pStyle w:val="Header"/>
      <w:rPr>
        <w:rFonts w:ascii="Arial" w:hAnsi="Arial" w:cs="Arial"/>
        <w:b/>
        <w:sz w:val="32"/>
        <w:szCs w:val="32"/>
      </w:rPr>
    </w:pPr>
    <w:r>
      <w:rPr>
        <w:rFonts w:ascii="Arial" w:hAnsi="Arial" w:cs="Arial"/>
        <w:b/>
        <w:noProof/>
        <w:sz w:val="32"/>
        <w:szCs w:val="32"/>
      </w:rPr>
      <w:pict>
        <v:line id="_x0000_s2063" style="position:absolute;z-index:251665408" from="0,3.8pt" to="6in,3.8pt"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A25" w:rsidRPr="00F10A0E" w:rsidRDefault="001F4A25">
    <w:pPr>
      <w:pStyle w:val="Header"/>
      <w:rPr>
        <w:rFonts w:ascii="Arial" w:hAnsi="Arial" w:cs="Arial"/>
        <w:b/>
        <w:sz w:val="32"/>
        <w:szCs w:val="32"/>
      </w:rPr>
    </w:pPr>
    <w:r>
      <w:rPr>
        <w:rFonts w:ascii="Arial" w:hAnsi="Arial" w:cs="Arial"/>
        <w:b/>
        <w:noProof/>
        <w:sz w:val="32"/>
        <w:szCs w:val="32"/>
      </w:rPr>
      <w:pict>
        <v:line id="_x0000_s2064" style="position:absolute;z-index:251667456" from="0,3.8pt" to="6in,3.8pt" strokeweight="1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A25" w:rsidRPr="008419BD" w:rsidRDefault="001F4A25" w:rsidP="00A440BF">
    <w:pPr>
      <w:pStyle w:val="Header"/>
      <w:pBdr>
        <w:bottom w:val="single" w:sz="6" w:space="1" w:color="auto"/>
      </w:pBdr>
      <w:jc w:val="right"/>
      <w:rPr>
        <w:b/>
      </w:rPr>
    </w:pPr>
    <w:r w:rsidRPr="008419BD">
      <w:rPr>
        <w:b/>
      </w:rPr>
      <w:t>Table of Contents</w:t>
    </w:r>
  </w:p>
  <w:p w:rsidR="001F4A25" w:rsidRPr="00F10A0E" w:rsidRDefault="001F4A25" w:rsidP="00A440BF">
    <w:pPr>
      <w:pStyle w:val="Header"/>
      <w:rPr>
        <w:rFonts w:ascii="Arial" w:hAnsi="Arial" w:cs="Arial"/>
        <w:b/>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A25" w:rsidRDefault="001F4A25">
    <w:pPr>
      <w:pStyle w:val="Header"/>
    </w:pPr>
  </w:p>
  <w:p w:rsidR="001F4A25" w:rsidRDefault="001F4A25">
    <w:pPr>
      <w:pStyle w:val="Header"/>
    </w:pPr>
  </w:p>
  <w:p w:rsidR="001F4A25" w:rsidRDefault="001F4A25">
    <w:pPr>
      <w:pStyle w:val="Header"/>
    </w:pPr>
  </w:p>
  <w:p w:rsidR="001F4A25" w:rsidRDefault="001F4A25">
    <w:pPr>
      <w:pStyle w:val="Header"/>
    </w:pPr>
  </w:p>
  <w:p w:rsidR="001F4A25" w:rsidRPr="00F10A0E" w:rsidRDefault="001F4A25">
    <w:pPr>
      <w:pStyle w:val="Header"/>
      <w:rPr>
        <w:rFonts w:ascii="Arial" w:hAnsi="Arial" w:cs="Arial"/>
        <w:b/>
        <w:sz w:val="32"/>
        <w:szCs w:val="32"/>
      </w:rPr>
    </w:pPr>
  </w:p>
  <w:p w:rsidR="001F4A25" w:rsidRPr="008419BD" w:rsidRDefault="001F4A25">
    <w:pPr>
      <w:pStyle w:val="Header"/>
      <w:rPr>
        <w:b/>
        <w:sz w:val="40"/>
        <w:szCs w:val="40"/>
      </w:rPr>
    </w:pPr>
    <w:r w:rsidRPr="008419BD">
      <w:rPr>
        <w:b/>
        <w:sz w:val="40"/>
        <w:szCs w:val="40"/>
      </w:rPr>
      <w:t xml:space="preserve">Table of Contents </w:t>
    </w:r>
  </w:p>
  <w:p w:rsidR="001F4A25" w:rsidRPr="0030781E" w:rsidRDefault="001F4A25">
    <w:pPr>
      <w:pStyle w:val="Header"/>
      <w:rPr>
        <w:rFonts w:ascii="Arial" w:hAnsi="Arial" w:cs="Arial"/>
        <w:b/>
        <w:sz w:val="36"/>
        <w:szCs w:val="36"/>
      </w:rPr>
    </w:pPr>
  </w:p>
  <w:p w:rsidR="001F4A25" w:rsidRPr="00F10A0E" w:rsidRDefault="001F4A25">
    <w:pPr>
      <w:pStyle w:val="Header"/>
      <w:rPr>
        <w:rFonts w:ascii="Arial" w:hAnsi="Arial" w:cs="Arial"/>
        <w:b/>
        <w:sz w:val="32"/>
        <w:szCs w:val="32"/>
      </w:rPr>
    </w:pPr>
    <w:r>
      <w:rPr>
        <w:rFonts w:ascii="Arial" w:hAnsi="Arial" w:cs="Arial"/>
        <w:b/>
        <w:noProof/>
        <w:sz w:val="32"/>
        <w:szCs w:val="32"/>
      </w:rPr>
      <w:pict>
        <v:line id="_x0000_s2065" style="position:absolute;z-index:251668480" from="0,3.8pt" to="6in,3.8pt" strokeweight="1pt"/>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A25" w:rsidRDefault="001F4A25" w:rsidP="00A440BF">
    <w:pPr>
      <w:pStyle w:val="Header"/>
      <w:pBdr>
        <w:bottom w:val="single" w:sz="6" w:space="1" w:color="auto"/>
      </w:pBdr>
      <w:jc w:val="right"/>
      <w:rPr>
        <w:rFonts w:ascii="Arial" w:hAnsi="Arial" w:cs="Arial"/>
        <w:b/>
      </w:rPr>
    </w:pPr>
    <w:r>
      <w:rPr>
        <w:rFonts w:ascii="Arial" w:hAnsi="Arial" w:cs="Arial"/>
        <w:b/>
      </w:rPr>
      <w:t>List of Figures</w:t>
    </w:r>
  </w:p>
  <w:p w:rsidR="001F4A25" w:rsidRPr="00F10A0E" w:rsidRDefault="001F4A25" w:rsidP="00A440BF">
    <w:pPr>
      <w:pStyle w:val="Header"/>
      <w:rPr>
        <w:rFonts w:ascii="Arial" w:hAnsi="Arial" w:cs="Arial"/>
        <w:b/>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A25" w:rsidRDefault="001F4A25">
    <w:pPr>
      <w:pStyle w:val="Header"/>
    </w:pPr>
  </w:p>
  <w:p w:rsidR="001F4A25" w:rsidRDefault="001F4A25">
    <w:pPr>
      <w:pStyle w:val="Header"/>
    </w:pPr>
  </w:p>
  <w:p w:rsidR="001F4A25" w:rsidRDefault="001F4A25">
    <w:pPr>
      <w:pStyle w:val="Header"/>
    </w:pPr>
  </w:p>
  <w:p w:rsidR="001F4A25" w:rsidRDefault="001F4A25">
    <w:pPr>
      <w:pStyle w:val="Header"/>
    </w:pPr>
  </w:p>
  <w:p w:rsidR="001F4A25" w:rsidRPr="00F10A0E" w:rsidRDefault="001F4A25">
    <w:pPr>
      <w:pStyle w:val="Header"/>
      <w:rPr>
        <w:rFonts w:ascii="Arial" w:hAnsi="Arial" w:cs="Arial"/>
        <w:b/>
        <w:sz w:val="32"/>
        <w:szCs w:val="32"/>
      </w:rPr>
    </w:pPr>
  </w:p>
  <w:p w:rsidR="001F4A25" w:rsidRPr="00F96FEF" w:rsidRDefault="001F4A25">
    <w:pPr>
      <w:pStyle w:val="Header"/>
      <w:rPr>
        <w:b/>
        <w:sz w:val="40"/>
        <w:szCs w:val="40"/>
      </w:rPr>
    </w:pPr>
    <w:r w:rsidRPr="00F96FEF">
      <w:rPr>
        <w:b/>
        <w:sz w:val="40"/>
        <w:szCs w:val="40"/>
      </w:rPr>
      <w:t xml:space="preserve">List of Tables </w:t>
    </w:r>
  </w:p>
  <w:p w:rsidR="001F4A25" w:rsidRPr="0030781E" w:rsidRDefault="001F4A25">
    <w:pPr>
      <w:pStyle w:val="Header"/>
      <w:rPr>
        <w:rFonts w:ascii="Arial" w:hAnsi="Arial" w:cs="Arial"/>
        <w:b/>
        <w:sz w:val="36"/>
        <w:szCs w:val="36"/>
      </w:rPr>
    </w:pPr>
  </w:p>
  <w:p w:rsidR="001F4A25" w:rsidRPr="00F10A0E" w:rsidRDefault="001F4A25">
    <w:pPr>
      <w:pStyle w:val="Header"/>
      <w:rPr>
        <w:rFonts w:ascii="Arial" w:hAnsi="Arial" w:cs="Arial"/>
        <w:b/>
        <w:sz w:val="32"/>
        <w:szCs w:val="32"/>
      </w:rPr>
    </w:pPr>
    <w:r>
      <w:rPr>
        <w:rFonts w:ascii="Arial" w:hAnsi="Arial" w:cs="Arial"/>
        <w:b/>
        <w:noProof/>
        <w:sz w:val="32"/>
        <w:szCs w:val="32"/>
      </w:rPr>
      <w:pict>
        <v:line id="_x0000_s2066" style="position:absolute;z-index:251669504" from="0,3.8pt" to="6in,3.8pt" strokeweight="1pt"/>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55B" w:rsidRDefault="0031455B" w:rsidP="001D3E96">
    <w:pPr>
      <w:pStyle w:val="Header"/>
      <w:pBdr>
        <w:bottom w:val="single" w:sz="6" w:space="1" w:color="auto"/>
      </w:pBdr>
      <w:jc w:val="right"/>
      <w:rPr>
        <w:rFonts w:ascii="Arial" w:hAnsi="Arial" w:cs="Arial"/>
        <w:b/>
      </w:rPr>
    </w:pPr>
    <w:r>
      <w:rPr>
        <w:rFonts w:ascii="Arial" w:hAnsi="Arial" w:cs="Arial"/>
        <w:b/>
      </w:rPr>
      <w:t>Introduction</w:t>
    </w:r>
  </w:p>
  <w:p w:rsidR="0031455B" w:rsidRPr="00F10A0E" w:rsidRDefault="0031455B" w:rsidP="00F10A0E">
    <w:pPr>
      <w:pStyle w:val="Header"/>
      <w:rPr>
        <w:rFonts w:ascii="Arial" w:hAnsi="Arial" w:cs="Arial"/>
        <w:b/>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Default="0031455B">
    <w:pPr>
      <w:pStyle w:val="Header"/>
    </w:pPr>
  </w:p>
  <w:p w:rsidR="0031455B" w:rsidRPr="00F10A0E" w:rsidRDefault="0031455B">
    <w:pPr>
      <w:pStyle w:val="Header"/>
      <w:rPr>
        <w:rFonts w:ascii="Arial" w:hAnsi="Arial" w:cs="Arial"/>
        <w:sz w:val="32"/>
        <w:szCs w:val="32"/>
      </w:rPr>
    </w:pPr>
  </w:p>
  <w:p w:rsidR="0031455B" w:rsidRPr="00F10A0E" w:rsidRDefault="0031455B">
    <w:pPr>
      <w:pStyle w:val="Header"/>
      <w:rPr>
        <w:rFonts w:ascii="Arial" w:hAnsi="Arial" w:cs="Arial"/>
        <w:b/>
        <w:sz w:val="32"/>
        <w:szCs w:val="32"/>
      </w:rPr>
    </w:pPr>
    <w:r w:rsidRPr="00F10A0E">
      <w:rPr>
        <w:rFonts w:ascii="Arial" w:hAnsi="Arial" w:cs="Arial"/>
        <w:b/>
        <w:sz w:val="32"/>
        <w:szCs w:val="32"/>
      </w:rPr>
      <w:t>Chapter 1</w:t>
    </w:r>
  </w:p>
  <w:p w:rsidR="0031455B" w:rsidRPr="00F10A0E" w:rsidRDefault="0031455B">
    <w:pPr>
      <w:pStyle w:val="Header"/>
      <w:rPr>
        <w:rFonts w:ascii="Arial" w:hAnsi="Arial" w:cs="Arial"/>
        <w:b/>
        <w:sz w:val="32"/>
        <w:szCs w:val="32"/>
      </w:rPr>
    </w:pPr>
  </w:p>
  <w:p w:rsidR="0031455B" w:rsidRDefault="0031455B">
    <w:pPr>
      <w:pStyle w:val="Header"/>
      <w:rPr>
        <w:rFonts w:ascii="Arial" w:hAnsi="Arial" w:cs="Arial"/>
        <w:b/>
        <w:sz w:val="32"/>
        <w:szCs w:val="32"/>
      </w:rPr>
    </w:pPr>
    <w:r>
      <w:rPr>
        <w:rFonts w:ascii="Arial" w:hAnsi="Arial" w:cs="Arial"/>
        <w:b/>
        <w:sz w:val="32"/>
        <w:szCs w:val="32"/>
      </w:rPr>
      <w:t>Introduction</w:t>
    </w:r>
  </w:p>
  <w:p w:rsidR="0031455B" w:rsidRPr="00F10A0E" w:rsidRDefault="009937B6">
    <w:pPr>
      <w:pStyle w:val="Header"/>
      <w:rPr>
        <w:rFonts w:ascii="Arial" w:hAnsi="Arial" w:cs="Arial"/>
        <w:b/>
        <w:sz w:val="32"/>
        <w:szCs w:val="32"/>
      </w:rPr>
    </w:pPr>
    <w:r>
      <w:rPr>
        <w:rFonts w:ascii="Arial" w:hAnsi="Arial" w:cs="Arial"/>
        <w:b/>
        <w:noProof/>
        <w:sz w:val="32"/>
        <w:szCs w:val="32"/>
      </w:rPr>
      <w:pict>
        <v:line id="_x0000_s2059" style="position:absolute;z-index:251657728" from="0,3.8pt" to="6in,3.8pt" strokeweight="1pt"/>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55B" w:rsidRPr="002F13E1" w:rsidRDefault="0031455B" w:rsidP="00A70CB9">
    <w:pPr>
      <w:pStyle w:val="Header"/>
      <w:pBdr>
        <w:bottom w:val="single" w:sz="6" w:space="1" w:color="auto"/>
      </w:pBdr>
      <w:jc w:val="right"/>
      <w:rPr>
        <w:rFonts w:ascii="Arial" w:hAnsi="Arial" w:cs="Arial"/>
        <w:b/>
      </w:rPr>
    </w:pPr>
    <w:r w:rsidRPr="002F13E1">
      <w:rPr>
        <w:rFonts w:ascii="Arial" w:hAnsi="Arial" w:cs="Arial"/>
        <w:b/>
      </w:rPr>
      <w:t>Research Aims and Contribution</w:t>
    </w:r>
  </w:p>
  <w:p w:rsidR="0031455B" w:rsidRPr="00F10A0E" w:rsidRDefault="0031455B" w:rsidP="00F10A0E">
    <w:pPr>
      <w:pStyle w:val="Header"/>
      <w:rPr>
        <w:rFonts w:ascii="Arial" w:hAnsi="Arial" w:cs="Arial"/>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40255"/>
    <w:multiLevelType w:val="hybridMultilevel"/>
    <w:tmpl w:val="316424B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B5B1735"/>
    <w:multiLevelType w:val="hybridMultilevel"/>
    <w:tmpl w:val="04B87C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C32695E"/>
    <w:multiLevelType w:val="multilevel"/>
    <w:tmpl w:val="2EC48950"/>
    <w:lvl w:ilvl="0">
      <w:start w:val="1"/>
      <w:numFmt w:val="decimal"/>
      <w:lvlText w:val="%1"/>
      <w:lvlJc w:val="left"/>
      <w:pPr>
        <w:tabs>
          <w:tab w:val="num" w:pos="435"/>
        </w:tabs>
        <w:ind w:left="435" w:hanging="435"/>
      </w:pPr>
      <w:rPr>
        <w:rFonts w:ascii="Times New Roman" w:hAnsi="Times New Roman" w:cs="Times New Roman" w:hint="default"/>
      </w:rPr>
    </w:lvl>
    <w:lvl w:ilvl="1">
      <w:start w:val="1"/>
      <w:numFmt w:val="decimal"/>
      <w:lvlText w:val="%1.%2"/>
      <w:lvlJc w:val="left"/>
      <w:pPr>
        <w:tabs>
          <w:tab w:val="num" w:pos="435"/>
        </w:tabs>
        <w:ind w:left="435" w:hanging="435"/>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1080"/>
        </w:tabs>
        <w:ind w:left="1080" w:hanging="108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440"/>
        </w:tabs>
        <w:ind w:left="1440" w:hanging="144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800"/>
        </w:tabs>
        <w:ind w:left="1800" w:hanging="1800"/>
      </w:pPr>
      <w:rPr>
        <w:rFonts w:ascii="Times New Roman" w:hAnsi="Times New Roman" w:cs="Times New Roman" w:hint="default"/>
      </w:rPr>
    </w:lvl>
    <w:lvl w:ilvl="8">
      <w:start w:val="1"/>
      <w:numFmt w:val="decimal"/>
      <w:lvlText w:val="%1.%2.%3.%4.%5.%6.%7.%8.%9"/>
      <w:lvlJc w:val="left"/>
      <w:pPr>
        <w:tabs>
          <w:tab w:val="num" w:pos="2160"/>
        </w:tabs>
        <w:ind w:left="2160" w:hanging="2160"/>
      </w:pPr>
      <w:rPr>
        <w:rFonts w:ascii="Times New Roman" w:hAnsi="Times New Roman" w:cs="Times New Roman" w:hint="default"/>
      </w:rPr>
    </w:lvl>
  </w:abstractNum>
  <w:abstractNum w:abstractNumId="3">
    <w:nsid w:val="27912296"/>
    <w:multiLevelType w:val="multilevel"/>
    <w:tmpl w:val="BE30BC32"/>
    <w:lvl w:ilvl="0">
      <w:start w:val="1"/>
      <w:numFmt w:val="decimal"/>
      <w:lvlText w:val="CHAPTER %1"/>
      <w:lvlJc w:val="left"/>
      <w:pPr>
        <w:tabs>
          <w:tab w:val="num" w:pos="0"/>
        </w:tabs>
        <w:ind w:left="0" w:firstLine="0"/>
      </w:pPr>
      <w:rPr>
        <w:rFonts w:ascii="Times New Roman" w:hAnsi="Times New Roman" w:hint="default"/>
        <w:b/>
        <w:i w:val="0"/>
        <w:sz w:val="28"/>
        <w:szCs w:val="28"/>
      </w:rPr>
    </w:lvl>
    <w:lvl w:ilvl="1">
      <w:start w:val="1"/>
      <w:numFmt w:val="decimal"/>
      <w:lvlText w:val="    %1.%2"/>
      <w:lvlJc w:val="left"/>
      <w:pPr>
        <w:tabs>
          <w:tab w:val="num" w:pos="0"/>
        </w:tabs>
        <w:ind w:left="0" w:firstLine="0"/>
      </w:pPr>
      <w:rPr>
        <w:rFonts w:ascii="Times New Roman" w:hAnsi="Times New Roman" w:hint="default"/>
        <w:b w:val="0"/>
        <w:i w:val="0"/>
        <w:sz w:val="24"/>
        <w:szCs w:val="24"/>
        <w:u w:val="none"/>
      </w:rPr>
    </w:lvl>
    <w:lvl w:ilvl="2">
      <w:start w:val="1"/>
      <w:numFmt w:val="decimal"/>
      <w:lvlText w:val="       %1.%2.%3"/>
      <w:lvlJc w:val="left"/>
      <w:pPr>
        <w:tabs>
          <w:tab w:val="num" w:pos="0"/>
        </w:tabs>
        <w:ind w:left="0" w:firstLine="0"/>
      </w:pPr>
      <w:rPr>
        <w:rFonts w:ascii="Times New Roman" w:hAnsi="Times New Roman" w:hint="default"/>
        <w:b w:val="0"/>
        <w:i/>
        <w:sz w:val="24"/>
        <w:szCs w:val="24"/>
      </w:rPr>
    </w:lvl>
    <w:lvl w:ilvl="3">
      <w:start w:val="1"/>
      <w:numFmt w:val="decimal"/>
      <w:lvlText w:val="              %1.%3.%2.%4"/>
      <w:lvlJc w:val="left"/>
      <w:pPr>
        <w:tabs>
          <w:tab w:val="num" w:pos="0"/>
        </w:tabs>
        <w:ind w:left="0" w:firstLine="0"/>
      </w:pPr>
      <w:rPr>
        <w:rFonts w:ascii="Times New Roman" w:hAnsi="Times New Roman" w:hint="default"/>
        <w:b w:val="0"/>
        <w:i/>
        <w:sz w:val="24"/>
        <w:szCs w:val="24"/>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4">
    <w:nsid w:val="27F87FB7"/>
    <w:multiLevelType w:val="hybridMultilevel"/>
    <w:tmpl w:val="A2E81A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EF01B9"/>
    <w:multiLevelType w:val="hybridMultilevel"/>
    <w:tmpl w:val="A126991E"/>
    <w:lvl w:ilvl="0" w:tplc="24506D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2CC1E9B"/>
    <w:multiLevelType w:val="hybridMultilevel"/>
    <w:tmpl w:val="023E7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44399C"/>
    <w:multiLevelType w:val="hybridMultilevel"/>
    <w:tmpl w:val="31D4DF28"/>
    <w:lvl w:ilvl="0" w:tplc="0404621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B9B041A"/>
    <w:multiLevelType w:val="hybridMultilevel"/>
    <w:tmpl w:val="2480CB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8623219"/>
    <w:multiLevelType w:val="hybridMultilevel"/>
    <w:tmpl w:val="3E665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873BAC"/>
    <w:multiLevelType w:val="hybridMultilevel"/>
    <w:tmpl w:val="FB209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76757D"/>
    <w:multiLevelType w:val="hybridMultilevel"/>
    <w:tmpl w:val="5D641D9E"/>
    <w:lvl w:ilvl="0" w:tplc="F356C70A">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94A544D"/>
    <w:multiLevelType w:val="multilevel"/>
    <w:tmpl w:val="8E18B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5"/>
  </w:num>
  <w:num w:numId="4">
    <w:abstractNumId w:val="7"/>
  </w:num>
  <w:num w:numId="5">
    <w:abstractNumId w:val="9"/>
  </w:num>
  <w:num w:numId="6">
    <w:abstractNumId w:val="12"/>
  </w:num>
  <w:num w:numId="7">
    <w:abstractNumId w:val="1"/>
  </w:num>
  <w:num w:numId="8">
    <w:abstractNumId w:val="8"/>
  </w:num>
  <w:num w:numId="9">
    <w:abstractNumId w:val="4"/>
  </w:num>
  <w:num w:numId="10">
    <w:abstractNumId w:val="10"/>
  </w:num>
  <w:num w:numId="11">
    <w:abstractNumId w:val="0"/>
  </w:num>
  <w:num w:numId="12">
    <w:abstractNumId w:val="6"/>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drawingGridHorizontalSpacing w:val="120"/>
  <w:displayHorizontalDrawingGridEvery w:val="2"/>
  <w:displayVerticalDrawingGridEvery w:val="2"/>
  <w:noPunctuationKerning/>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8839BF"/>
    <w:rsid w:val="000231E3"/>
    <w:rsid w:val="000568D5"/>
    <w:rsid w:val="00063A26"/>
    <w:rsid w:val="00075BDF"/>
    <w:rsid w:val="00083F3A"/>
    <w:rsid w:val="000C24FD"/>
    <w:rsid w:val="000D3C62"/>
    <w:rsid w:val="00142A14"/>
    <w:rsid w:val="00155B1C"/>
    <w:rsid w:val="001A2646"/>
    <w:rsid w:val="001D3E96"/>
    <w:rsid w:val="001E30A3"/>
    <w:rsid w:val="001F4A25"/>
    <w:rsid w:val="001F4BF6"/>
    <w:rsid w:val="00213031"/>
    <w:rsid w:val="002419EA"/>
    <w:rsid w:val="00292169"/>
    <w:rsid w:val="002A7FAE"/>
    <w:rsid w:val="002C4157"/>
    <w:rsid w:val="003061CB"/>
    <w:rsid w:val="0031455B"/>
    <w:rsid w:val="00321805"/>
    <w:rsid w:val="003228E5"/>
    <w:rsid w:val="003644FB"/>
    <w:rsid w:val="00365B32"/>
    <w:rsid w:val="003C3F8F"/>
    <w:rsid w:val="0043063F"/>
    <w:rsid w:val="004351FA"/>
    <w:rsid w:val="004A72BE"/>
    <w:rsid w:val="004C538C"/>
    <w:rsid w:val="00503022"/>
    <w:rsid w:val="005652B5"/>
    <w:rsid w:val="00565A72"/>
    <w:rsid w:val="00585241"/>
    <w:rsid w:val="00596BA6"/>
    <w:rsid w:val="005A141F"/>
    <w:rsid w:val="005B63DB"/>
    <w:rsid w:val="00646842"/>
    <w:rsid w:val="0065709D"/>
    <w:rsid w:val="00661E94"/>
    <w:rsid w:val="0069412B"/>
    <w:rsid w:val="00703470"/>
    <w:rsid w:val="00772400"/>
    <w:rsid w:val="007D0F4F"/>
    <w:rsid w:val="007E4B09"/>
    <w:rsid w:val="007F1BDE"/>
    <w:rsid w:val="00800DF7"/>
    <w:rsid w:val="00810BD7"/>
    <w:rsid w:val="008474C0"/>
    <w:rsid w:val="00870842"/>
    <w:rsid w:val="008839BF"/>
    <w:rsid w:val="00886D57"/>
    <w:rsid w:val="008E53E9"/>
    <w:rsid w:val="00930369"/>
    <w:rsid w:val="00960317"/>
    <w:rsid w:val="00960909"/>
    <w:rsid w:val="00965630"/>
    <w:rsid w:val="009937B6"/>
    <w:rsid w:val="009D0175"/>
    <w:rsid w:val="009D3CE3"/>
    <w:rsid w:val="009E3718"/>
    <w:rsid w:val="00A01907"/>
    <w:rsid w:val="00A43FDA"/>
    <w:rsid w:val="00A45D12"/>
    <w:rsid w:val="00A6452A"/>
    <w:rsid w:val="00A70CB9"/>
    <w:rsid w:val="00A807E4"/>
    <w:rsid w:val="00AC15EF"/>
    <w:rsid w:val="00AE1CD9"/>
    <w:rsid w:val="00B22507"/>
    <w:rsid w:val="00B6031D"/>
    <w:rsid w:val="00B674BF"/>
    <w:rsid w:val="00B8596E"/>
    <w:rsid w:val="00BA3DB6"/>
    <w:rsid w:val="00D01DC1"/>
    <w:rsid w:val="00D82B43"/>
    <w:rsid w:val="00D86B53"/>
    <w:rsid w:val="00D909F5"/>
    <w:rsid w:val="00D97776"/>
    <w:rsid w:val="00DC181F"/>
    <w:rsid w:val="00E61C4F"/>
    <w:rsid w:val="00E921DB"/>
    <w:rsid w:val="00E974FF"/>
    <w:rsid w:val="00F10A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2646"/>
    <w:rPr>
      <w:sz w:val="24"/>
      <w:szCs w:val="24"/>
    </w:rPr>
  </w:style>
  <w:style w:type="paragraph" w:styleId="Heading5">
    <w:name w:val="heading 5"/>
    <w:basedOn w:val="Normal"/>
    <w:next w:val="Normal"/>
    <w:link w:val="Heading5Char"/>
    <w:qFormat/>
    <w:rsid w:val="001F4A25"/>
    <w:pPr>
      <w:numPr>
        <w:ilvl w:val="4"/>
        <w:numId w:val="13"/>
      </w:numPr>
      <w:spacing w:before="240" w:after="60"/>
      <w:outlineLvl w:val="4"/>
    </w:pPr>
    <w:rPr>
      <w:b/>
      <w:bCs/>
      <w:i/>
      <w:iCs/>
      <w:sz w:val="26"/>
      <w:szCs w:val="26"/>
    </w:rPr>
  </w:style>
  <w:style w:type="paragraph" w:styleId="Heading6">
    <w:name w:val="heading 6"/>
    <w:basedOn w:val="Normal"/>
    <w:next w:val="Normal"/>
    <w:link w:val="Heading6Char"/>
    <w:qFormat/>
    <w:rsid w:val="001F4A25"/>
    <w:pPr>
      <w:numPr>
        <w:ilvl w:val="5"/>
        <w:numId w:val="13"/>
      </w:numPr>
      <w:spacing w:before="240" w:after="60"/>
      <w:outlineLvl w:val="5"/>
    </w:pPr>
    <w:rPr>
      <w:b/>
      <w:bCs/>
      <w:sz w:val="22"/>
      <w:szCs w:val="22"/>
    </w:rPr>
  </w:style>
  <w:style w:type="paragraph" w:styleId="Heading7">
    <w:name w:val="heading 7"/>
    <w:basedOn w:val="Normal"/>
    <w:next w:val="Normal"/>
    <w:link w:val="Heading7Char"/>
    <w:qFormat/>
    <w:rsid w:val="001F4A25"/>
    <w:pPr>
      <w:numPr>
        <w:ilvl w:val="6"/>
        <w:numId w:val="13"/>
      </w:numPr>
      <w:spacing w:before="240" w:after="60"/>
      <w:outlineLvl w:val="6"/>
    </w:pPr>
  </w:style>
  <w:style w:type="paragraph" w:styleId="Heading8">
    <w:name w:val="heading 8"/>
    <w:basedOn w:val="Normal"/>
    <w:next w:val="Normal"/>
    <w:link w:val="Heading8Char"/>
    <w:qFormat/>
    <w:rsid w:val="001F4A25"/>
    <w:pPr>
      <w:numPr>
        <w:ilvl w:val="7"/>
        <w:numId w:val="13"/>
      </w:numPr>
      <w:spacing w:before="240" w:after="60"/>
      <w:outlineLvl w:val="7"/>
    </w:pPr>
    <w:rPr>
      <w:i/>
      <w:iCs/>
    </w:rPr>
  </w:style>
  <w:style w:type="paragraph" w:styleId="Heading9">
    <w:name w:val="heading 9"/>
    <w:basedOn w:val="Normal"/>
    <w:next w:val="Normal"/>
    <w:link w:val="Heading9Char"/>
    <w:qFormat/>
    <w:rsid w:val="001F4A25"/>
    <w:pPr>
      <w:numPr>
        <w:ilvl w:val="8"/>
        <w:numId w:val="1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10A0E"/>
    <w:pPr>
      <w:tabs>
        <w:tab w:val="center" w:pos="4320"/>
        <w:tab w:val="right" w:pos="8640"/>
      </w:tabs>
    </w:pPr>
  </w:style>
  <w:style w:type="paragraph" w:styleId="Footer">
    <w:name w:val="footer"/>
    <w:basedOn w:val="Normal"/>
    <w:link w:val="FooterChar"/>
    <w:rsid w:val="00F10A0E"/>
    <w:pPr>
      <w:tabs>
        <w:tab w:val="center" w:pos="4320"/>
        <w:tab w:val="right" w:pos="8640"/>
      </w:tabs>
    </w:pPr>
  </w:style>
  <w:style w:type="table" w:styleId="TableGrid">
    <w:name w:val="Table Grid"/>
    <w:basedOn w:val="TableNormal"/>
    <w:rsid w:val="007E4B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8BodyText">
    <w:name w:val="08 BodyText"/>
    <w:basedOn w:val="Normal"/>
    <w:next w:val="Normal"/>
    <w:rsid w:val="00E61C4F"/>
    <w:pPr>
      <w:widowControl w:val="0"/>
      <w:autoSpaceDE w:val="0"/>
      <w:autoSpaceDN w:val="0"/>
      <w:adjustRightInd w:val="0"/>
    </w:pPr>
    <w:rPr>
      <w:rFonts w:ascii="GFBOHN+TimesNewRoman" w:hAnsi="GFBOHN+TimesNewRoman"/>
    </w:rPr>
  </w:style>
  <w:style w:type="paragraph" w:styleId="BalloonText">
    <w:name w:val="Balloon Text"/>
    <w:basedOn w:val="Normal"/>
    <w:semiHidden/>
    <w:rsid w:val="008E53E9"/>
    <w:rPr>
      <w:rFonts w:ascii="Tahoma" w:hAnsi="Tahoma" w:cs="Tahoma"/>
      <w:sz w:val="16"/>
      <w:szCs w:val="16"/>
    </w:rPr>
  </w:style>
  <w:style w:type="character" w:customStyle="1" w:styleId="FooterChar">
    <w:name w:val="Footer Char"/>
    <w:basedOn w:val="DefaultParagraphFont"/>
    <w:link w:val="Footer"/>
    <w:uiPriority w:val="99"/>
    <w:rsid w:val="001D3E96"/>
    <w:rPr>
      <w:sz w:val="24"/>
      <w:szCs w:val="24"/>
    </w:rPr>
  </w:style>
  <w:style w:type="paragraph" w:styleId="ListParagraph">
    <w:name w:val="List Paragraph"/>
    <w:basedOn w:val="Normal"/>
    <w:uiPriority w:val="34"/>
    <w:qFormat/>
    <w:rsid w:val="00D909F5"/>
    <w:pPr>
      <w:spacing w:after="200" w:line="276" w:lineRule="auto"/>
      <w:ind w:left="720"/>
      <w:contextualSpacing/>
    </w:pPr>
    <w:rPr>
      <w:rFonts w:ascii="Calibri" w:eastAsia="Calibri" w:hAnsi="Calibri"/>
      <w:sz w:val="22"/>
      <w:szCs w:val="22"/>
    </w:rPr>
  </w:style>
  <w:style w:type="paragraph" w:customStyle="1" w:styleId="centerpar">
    <w:name w:val="centerpar"/>
    <w:basedOn w:val="Normal"/>
    <w:uiPriority w:val="99"/>
    <w:rsid w:val="00D909F5"/>
    <w:pPr>
      <w:keepLines/>
      <w:autoSpaceDE w:val="0"/>
      <w:autoSpaceDN w:val="0"/>
      <w:adjustRightInd w:val="0"/>
      <w:spacing w:before="120" w:after="120"/>
      <w:jc w:val="center"/>
    </w:pPr>
    <w:rPr>
      <w:rFonts w:ascii="Times" w:hAnsi="Times" w:cs="Times"/>
      <w:noProof/>
    </w:rPr>
  </w:style>
  <w:style w:type="paragraph" w:styleId="Caption">
    <w:name w:val="caption"/>
    <w:basedOn w:val="Normal"/>
    <w:next w:val="Normal"/>
    <w:qFormat/>
    <w:rsid w:val="00D909F5"/>
    <w:pPr>
      <w:keepLines/>
      <w:autoSpaceDE w:val="0"/>
      <w:autoSpaceDN w:val="0"/>
      <w:adjustRightInd w:val="0"/>
      <w:spacing w:before="120" w:after="120"/>
    </w:pPr>
    <w:rPr>
      <w:rFonts w:ascii="Times" w:hAnsi="Times" w:cs="Times"/>
      <w:noProof/>
    </w:rPr>
  </w:style>
  <w:style w:type="paragraph" w:customStyle="1" w:styleId="Figure">
    <w:name w:val="Figure"/>
    <w:basedOn w:val="Normal"/>
    <w:next w:val="Normal"/>
    <w:uiPriority w:val="99"/>
    <w:rsid w:val="00D909F5"/>
    <w:pPr>
      <w:keepLines/>
      <w:autoSpaceDE w:val="0"/>
      <w:autoSpaceDN w:val="0"/>
      <w:adjustRightInd w:val="0"/>
      <w:spacing w:before="120"/>
      <w:jc w:val="center"/>
    </w:pPr>
    <w:rPr>
      <w:rFonts w:ascii="Times" w:hAnsi="Times" w:cs="Times"/>
      <w:noProof/>
    </w:rPr>
  </w:style>
  <w:style w:type="paragraph" w:styleId="NoSpacing">
    <w:name w:val="No Spacing"/>
    <w:link w:val="NoSpacingChar"/>
    <w:uiPriority w:val="1"/>
    <w:qFormat/>
    <w:rsid w:val="00D909F5"/>
    <w:rPr>
      <w:rFonts w:ascii="Calibri" w:hAnsi="Calibri"/>
      <w:sz w:val="22"/>
      <w:szCs w:val="22"/>
    </w:rPr>
  </w:style>
  <w:style w:type="character" w:customStyle="1" w:styleId="NoSpacingChar">
    <w:name w:val="No Spacing Char"/>
    <w:basedOn w:val="DefaultParagraphFont"/>
    <w:link w:val="NoSpacing"/>
    <w:uiPriority w:val="1"/>
    <w:rsid w:val="00D909F5"/>
    <w:rPr>
      <w:rFonts w:ascii="Calibri" w:hAnsi="Calibri"/>
      <w:sz w:val="22"/>
      <w:szCs w:val="22"/>
      <w:lang w:val="en-US" w:eastAsia="en-US" w:bidi="ar-SA"/>
    </w:rPr>
  </w:style>
  <w:style w:type="character" w:customStyle="1" w:styleId="citation">
    <w:name w:val="citation"/>
    <w:basedOn w:val="DefaultParagraphFont"/>
    <w:rsid w:val="009D3CE3"/>
  </w:style>
  <w:style w:type="character" w:customStyle="1" w:styleId="Heading5Char">
    <w:name w:val="Heading 5 Char"/>
    <w:basedOn w:val="DefaultParagraphFont"/>
    <w:link w:val="Heading5"/>
    <w:rsid w:val="001F4A25"/>
    <w:rPr>
      <w:b/>
      <w:bCs/>
      <w:i/>
      <w:iCs/>
      <w:sz w:val="26"/>
      <w:szCs w:val="26"/>
    </w:rPr>
  </w:style>
  <w:style w:type="character" w:customStyle="1" w:styleId="Heading6Char">
    <w:name w:val="Heading 6 Char"/>
    <w:basedOn w:val="DefaultParagraphFont"/>
    <w:link w:val="Heading6"/>
    <w:rsid w:val="001F4A25"/>
    <w:rPr>
      <w:b/>
      <w:bCs/>
      <w:sz w:val="22"/>
      <w:szCs w:val="22"/>
    </w:rPr>
  </w:style>
  <w:style w:type="character" w:customStyle="1" w:styleId="Heading7Char">
    <w:name w:val="Heading 7 Char"/>
    <w:basedOn w:val="DefaultParagraphFont"/>
    <w:link w:val="Heading7"/>
    <w:rsid w:val="001F4A25"/>
    <w:rPr>
      <w:sz w:val="24"/>
      <w:szCs w:val="24"/>
    </w:rPr>
  </w:style>
  <w:style w:type="character" w:customStyle="1" w:styleId="Heading8Char">
    <w:name w:val="Heading 8 Char"/>
    <w:basedOn w:val="DefaultParagraphFont"/>
    <w:link w:val="Heading8"/>
    <w:rsid w:val="001F4A25"/>
    <w:rPr>
      <w:i/>
      <w:iCs/>
      <w:sz w:val="24"/>
      <w:szCs w:val="24"/>
    </w:rPr>
  </w:style>
  <w:style w:type="character" w:customStyle="1" w:styleId="Heading9Char">
    <w:name w:val="Heading 9 Char"/>
    <w:basedOn w:val="DefaultParagraphFont"/>
    <w:link w:val="Heading9"/>
    <w:rsid w:val="001F4A25"/>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header" Target="header10.xml"/><Relationship Id="rId39" Type="http://schemas.openxmlformats.org/officeDocument/2006/relationships/image" Target="media/image14.jpeg"/><Relationship Id="rId21" Type="http://schemas.openxmlformats.org/officeDocument/2006/relationships/footer" Target="footer4.xml"/><Relationship Id="rId34" Type="http://schemas.openxmlformats.org/officeDocument/2006/relationships/header" Target="header11.xml"/><Relationship Id="rId42" Type="http://schemas.openxmlformats.org/officeDocument/2006/relationships/image" Target="media/image17.jpeg"/><Relationship Id="rId47" Type="http://schemas.openxmlformats.org/officeDocument/2006/relationships/image" Target="media/image22.png"/><Relationship Id="rId50" Type="http://schemas.openxmlformats.org/officeDocument/2006/relationships/image" Target="media/image25.wmf"/><Relationship Id="rId55" Type="http://schemas.openxmlformats.org/officeDocument/2006/relationships/image" Target="media/image29.png"/><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emf"/><Relationship Id="rId20" Type="http://schemas.openxmlformats.org/officeDocument/2006/relationships/header" Target="header7.xml"/><Relationship Id="rId29" Type="http://schemas.openxmlformats.org/officeDocument/2006/relationships/image" Target="media/image6.emf"/><Relationship Id="rId41" Type="http://schemas.openxmlformats.org/officeDocument/2006/relationships/image" Target="media/image16.jpeg"/><Relationship Id="rId54" Type="http://schemas.openxmlformats.org/officeDocument/2006/relationships/image" Target="media/image28.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image" Target="media/image9.jpeg"/><Relationship Id="rId37" Type="http://schemas.openxmlformats.org/officeDocument/2006/relationships/image" Target="media/image12.png"/><Relationship Id="rId40" Type="http://schemas.openxmlformats.org/officeDocument/2006/relationships/image" Target="media/image15.jpeg"/><Relationship Id="rId45" Type="http://schemas.openxmlformats.org/officeDocument/2006/relationships/image" Target="media/image20.png"/><Relationship Id="rId53" Type="http://schemas.openxmlformats.org/officeDocument/2006/relationships/image" Target="media/image27.png"/><Relationship Id="rId58"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5.xml"/><Relationship Id="rId28" Type="http://schemas.openxmlformats.org/officeDocument/2006/relationships/image" Target="media/image5.emf"/><Relationship Id="rId36" Type="http://schemas.openxmlformats.org/officeDocument/2006/relationships/image" Target="media/image11.jpeg"/><Relationship Id="rId49" Type="http://schemas.openxmlformats.org/officeDocument/2006/relationships/image" Target="media/image24.png"/><Relationship Id="rId57" Type="http://schemas.openxmlformats.org/officeDocument/2006/relationships/image" Target="media/image31.png"/><Relationship Id="rId61"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4.jpeg"/><Relationship Id="rId31" Type="http://schemas.openxmlformats.org/officeDocument/2006/relationships/image" Target="media/image8.jpeg"/><Relationship Id="rId44" Type="http://schemas.openxmlformats.org/officeDocument/2006/relationships/image" Target="media/image19.png"/><Relationship Id="rId52" Type="http://schemas.openxmlformats.org/officeDocument/2006/relationships/image" Target="media/image26.png"/><Relationship Id="rId60"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image" Target="media/image7.png"/><Relationship Id="rId35" Type="http://schemas.openxmlformats.org/officeDocument/2006/relationships/header" Target="header12.xml"/><Relationship Id="rId43" Type="http://schemas.openxmlformats.org/officeDocument/2006/relationships/image" Target="media/image18.png"/><Relationship Id="rId48" Type="http://schemas.openxmlformats.org/officeDocument/2006/relationships/image" Target="media/image23.jpeg"/><Relationship Id="rId56" Type="http://schemas.openxmlformats.org/officeDocument/2006/relationships/image" Target="media/image30.png"/><Relationship Id="rId8" Type="http://schemas.openxmlformats.org/officeDocument/2006/relationships/footer" Target="footer1.xml"/><Relationship Id="rId51"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image" Target="media/image2.emf"/><Relationship Id="rId25" Type="http://schemas.openxmlformats.org/officeDocument/2006/relationships/footer" Target="footer6.xml"/><Relationship Id="rId33" Type="http://schemas.openxmlformats.org/officeDocument/2006/relationships/image" Target="media/image10.jpeg"/><Relationship Id="rId38" Type="http://schemas.openxmlformats.org/officeDocument/2006/relationships/image" Target="media/image13.png"/><Relationship Id="rId46" Type="http://schemas.openxmlformats.org/officeDocument/2006/relationships/image" Target="media/image21.png"/><Relationship Id="rId59" Type="http://schemas.openxmlformats.org/officeDocument/2006/relationships/header" Target="header1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rija\Application%20Data\Microsoft\Templates\thesi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thesis.dot</Template>
  <TotalTime>1</TotalTime>
  <Pages>106</Pages>
  <Words>17315</Words>
  <Characters>98699</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Anatomy of the knee:</vt:lpstr>
    </vt:vector>
  </TitlesOfParts>
  <Company>University Of Tennessee</Company>
  <LinksUpToDate>false</LinksUpToDate>
  <CharactersWithSpaces>115783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Anatomy of the knee:</dc:title>
  <dc:creator>Sumesh M Zingde</dc:creator>
  <cp:lastModifiedBy>Sumesh</cp:lastModifiedBy>
  <cp:revision>2</cp:revision>
  <cp:lastPrinted>2011-11-29T19:56:00Z</cp:lastPrinted>
  <dcterms:created xsi:type="dcterms:W3CDTF">2014-10-10T23:48:00Z</dcterms:created>
  <dcterms:modified xsi:type="dcterms:W3CDTF">2014-10-10T23:48:00Z</dcterms:modified>
</cp:coreProperties>
</file>