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6EF6" w14:textId="77777777" w:rsidR="007378AE" w:rsidRDefault="001F1FFF" w:rsidP="000C799B">
      <w:pPr>
        <w:pStyle w:val="Title"/>
        <w:spacing w:line="360" w:lineRule="auto"/>
        <w:rPr>
          <w:rFonts w:cs="Times New Roman"/>
          <w:sz w:val="24"/>
        </w:rPr>
      </w:pPr>
      <w:r w:rsidRPr="001F1FFF">
        <w:rPr>
          <w:rFonts w:cs="Times New Roman"/>
          <w:sz w:val="24"/>
        </w:rPr>
        <w:t>Understanding the Applications of Tetflupyrolimet in Turfgrass Systems</w:t>
      </w:r>
    </w:p>
    <w:p w14:paraId="477AE061" w14:textId="77777777" w:rsidR="007378AE" w:rsidRDefault="007378AE" w:rsidP="000C799B">
      <w:pPr>
        <w:pStyle w:val="Title"/>
        <w:spacing w:line="360" w:lineRule="auto"/>
        <w:rPr>
          <w:rFonts w:cs="Times New Roman"/>
          <w:sz w:val="24"/>
        </w:rPr>
      </w:pPr>
    </w:p>
    <w:p w14:paraId="7C2CC0D2" w14:textId="77777777" w:rsidR="007378AE" w:rsidRDefault="007378AE" w:rsidP="000C799B">
      <w:pPr>
        <w:pStyle w:val="Title"/>
        <w:spacing w:line="360" w:lineRule="auto"/>
        <w:rPr>
          <w:rFonts w:cs="Times New Roman"/>
          <w:sz w:val="24"/>
        </w:rPr>
      </w:pPr>
    </w:p>
    <w:p w14:paraId="5D6FE624" w14:textId="77777777" w:rsidR="007378AE" w:rsidRDefault="007378AE" w:rsidP="000C799B">
      <w:pPr>
        <w:pStyle w:val="Title"/>
        <w:spacing w:line="360" w:lineRule="auto"/>
        <w:rPr>
          <w:rFonts w:cs="Times New Roman"/>
          <w:sz w:val="24"/>
        </w:rPr>
      </w:pPr>
    </w:p>
    <w:p w14:paraId="3D099E60" w14:textId="77777777" w:rsidR="007378AE" w:rsidRDefault="007378AE" w:rsidP="000C799B">
      <w:pPr>
        <w:pStyle w:val="Title"/>
        <w:spacing w:line="360" w:lineRule="auto"/>
        <w:rPr>
          <w:rFonts w:cs="Times New Roman"/>
          <w:sz w:val="24"/>
        </w:rPr>
      </w:pPr>
    </w:p>
    <w:p w14:paraId="666780D1" w14:textId="77777777" w:rsidR="007378AE" w:rsidRDefault="007378AE" w:rsidP="000C799B">
      <w:pPr>
        <w:pStyle w:val="Title"/>
        <w:spacing w:line="360" w:lineRule="auto"/>
        <w:rPr>
          <w:rFonts w:cs="Times New Roman"/>
          <w:sz w:val="24"/>
        </w:rPr>
      </w:pPr>
    </w:p>
    <w:p w14:paraId="5A6C6396" w14:textId="77777777" w:rsidR="007378AE" w:rsidRDefault="007378AE" w:rsidP="000C799B">
      <w:pPr>
        <w:pStyle w:val="Title"/>
        <w:spacing w:line="360" w:lineRule="auto"/>
        <w:rPr>
          <w:rFonts w:cs="Times New Roman"/>
          <w:sz w:val="24"/>
        </w:rPr>
      </w:pPr>
    </w:p>
    <w:p w14:paraId="1B1879B2" w14:textId="77777777" w:rsidR="007378AE" w:rsidRDefault="007378AE" w:rsidP="000C799B">
      <w:pPr>
        <w:pStyle w:val="Title"/>
        <w:spacing w:line="360" w:lineRule="auto"/>
        <w:rPr>
          <w:rFonts w:cs="Times New Roman"/>
          <w:sz w:val="24"/>
        </w:rPr>
      </w:pPr>
    </w:p>
    <w:p w14:paraId="6EAABD91" w14:textId="77777777" w:rsidR="007378AE" w:rsidRDefault="007378AE" w:rsidP="000C799B">
      <w:pPr>
        <w:pStyle w:val="Title"/>
        <w:spacing w:line="360" w:lineRule="auto"/>
        <w:rPr>
          <w:rFonts w:cs="Times New Roman"/>
          <w:sz w:val="24"/>
        </w:rPr>
      </w:pPr>
    </w:p>
    <w:p w14:paraId="11F9EC2F" w14:textId="77777777" w:rsidR="007378AE" w:rsidRDefault="007378AE" w:rsidP="000C799B">
      <w:pPr>
        <w:pStyle w:val="Title"/>
        <w:spacing w:line="360" w:lineRule="auto"/>
        <w:rPr>
          <w:rFonts w:cs="Times New Roman"/>
          <w:sz w:val="24"/>
        </w:rPr>
      </w:pPr>
    </w:p>
    <w:p w14:paraId="2090DFD2" w14:textId="77777777" w:rsidR="007378AE" w:rsidRDefault="007378AE" w:rsidP="000C799B">
      <w:pPr>
        <w:pStyle w:val="Title"/>
        <w:spacing w:line="360" w:lineRule="auto"/>
        <w:jc w:val="left"/>
        <w:rPr>
          <w:rFonts w:cs="Times New Roman"/>
          <w:sz w:val="24"/>
        </w:rPr>
      </w:pPr>
    </w:p>
    <w:p w14:paraId="0EC56132" w14:textId="172FD1D0" w:rsidR="00236E6D" w:rsidRPr="007378AE" w:rsidRDefault="001F1FFF" w:rsidP="000C799B">
      <w:pPr>
        <w:pStyle w:val="Title"/>
        <w:spacing w:line="360" w:lineRule="auto"/>
        <w:rPr>
          <w:rFonts w:cs="Times New Roman"/>
          <w:b w:val="0"/>
          <w:bCs/>
          <w:sz w:val="24"/>
        </w:rPr>
      </w:pPr>
      <w:r w:rsidRPr="007378AE">
        <w:rPr>
          <w:rFonts w:cs="Times New Roman"/>
          <w:b w:val="0"/>
          <w:bCs/>
          <w:sz w:val="24"/>
        </w:rPr>
        <w:t>A Dissertation Presented for the</w:t>
      </w:r>
    </w:p>
    <w:p w14:paraId="0EC56133" w14:textId="1392C672" w:rsidR="009C755C" w:rsidRPr="007378AE" w:rsidRDefault="001F1FFF" w:rsidP="000C799B">
      <w:pPr>
        <w:pStyle w:val="Title"/>
        <w:spacing w:line="360" w:lineRule="auto"/>
        <w:rPr>
          <w:rFonts w:cs="Times New Roman"/>
          <w:b w:val="0"/>
          <w:bCs/>
          <w:sz w:val="24"/>
        </w:rPr>
      </w:pPr>
      <w:r w:rsidRPr="007378AE">
        <w:rPr>
          <w:rFonts w:cs="Times New Roman"/>
          <w:b w:val="0"/>
          <w:bCs/>
          <w:sz w:val="24"/>
        </w:rPr>
        <w:t>Doctor of Philosophy</w:t>
      </w:r>
    </w:p>
    <w:p w14:paraId="0EC56134" w14:textId="77777777" w:rsidR="009C755C" w:rsidRPr="007378AE" w:rsidRDefault="009C755C" w:rsidP="000C799B">
      <w:pPr>
        <w:pStyle w:val="Title"/>
        <w:spacing w:line="360" w:lineRule="auto"/>
        <w:rPr>
          <w:rFonts w:cs="Times New Roman"/>
          <w:b w:val="0"/>
          <w:bCs/>
          <w:sz w:val="24"/>
        </w:rPr>
      </w:pPr>
      <w:r w:rsidRPr="007378AE">
        <w:rPr>
          <w:rFonts w:cs="Times New Roman"/>
          <w:b w:val="0"/>
          <w:bCs/>
          <w:sz w:val="24"/>
        </w:rPr>
        <w:t>Degree</w:t>
      </w:r>
    </w:p>
    <w:p w14:paraId="0EC56135" w14:textId="77777777" w:rsidR="009C755C" w:rsidRPr="007378AE" w:rsidRDefault="009C755C" w:rsidP="000C799B">
      <w:pPr>
        <w:pStyle w:val="Title"/>
        <w:spacing w:line="360" w:lineRule="auto"/>
        <w:rPr>
          <w:rFonts w:cs="Times New Roman"/>
          <w:b w:val="0"/>
          <w:bCs/>
          <w:sz w:val="24"/>
        </w:rPr>
      </w:pPr>
      <w:r w:rsidRPr="007378AE">
        <w:rPr>
          <w:rFonts w:cs="Times New Roman"/>
          <w:b w:val="0"/>
          <w:bCs/>
          <w:sz w:val="24"/>
        </w:rPr>
        <w:t>The University of Tennessee, Knoxville</w:t>
      </w:r>
    </w:p>
    <w:p w14:paraId="0EC56136" w14:textId="77777777" w:rsidR="00387656" w:rsidRPr="00F3443D" w:rsidRDefault="00387656" w:rsidP="000C799B">
      <w:pPr>
        <w:pStyle w:val="Title"/>
        <w:spacing w:line="360" w:lineRule="auto"/>
        <w:rPr>
          <w:rFonts w:cs="Times New Roman"/>
          <w:b w:val="0"/>
          <w:bCs/>
          <w:sz w:val="24"/>
        </w:rPr>
      </w:pPr>
    </w:p>
    <w:p w14:paraId="0EC56137" w14:textId="77777777" w:rsidR="00387656" w:rsidRPr="00F3443D" w:rsidRDefault="00387656" w:rsidP="000C799B">
      <w:pPr>
        <w:pStyle w:val="Title"/>
        <w:spacing w:line="360" w:lineRule="auto"/>
        <w:rPr>
          <w:rFonts w:cs="Times New Roman"/>
          <w:b w:val="0"/>
          <w:bCs/>
          <w:sz w:val="24"/>
        </w:rPr>
      </w:pPr>
    </w:p>
    <w:p w14:paraId="0EC56138" w14:textId="77777777" w:rsidR="00387656" w:rsidRPr="00F3443D" w:rsidRDefault="00387656" w:rsidP="000C799B">
      <w:pPr>
        <w:pStyle w:val="Title"/>
        <w:spacing w:line="360" w:lineRule="auto"/>
        <w:rPr>
          <w:rFonts w:cs="Times New Roman"/>
          <w:b w:val="0"/>
          <w:bCs/>
          <w:sz w:val="24"/>
        </w:rPr>
      </w:pPr>
    </w:p>
    <w:p w14:paraId="0EC56139" w14:textId="77777777" w:rsidR="00236E6D" w:rsidRPr="00F3443D" w:rsidRDefault="00236E6D" w:rsidP="000C799B">
      <w:pPr>
        <w:pStyle w:val="Title"/>
        <w:spacing w:line="360" w:lineRule="auto"/>
        <w:rPr>
          <w:rFonts w:cs="Times New Roman"/>
          <w:b w:val="0"/>
          <w:bCs/>
          <w:sz w:val="24"/>
        </w:rPr>
      </w:pPr>
    </w:p>
    <w:p w14:paraId="0EC5613A" w14:textId="77777777" w:rsidR="00236E6D" w:rsidRPr="00F3443D" w:rsidRDefault="00236E6D" w:rsidP="000C799B">
      <w:pPr>
        <w:pStyle w:val="Title"/>
        <w:spacing w:line="360" w:lineRule="auto"/>
        <w:rPr>
          <w:rFonts w:cs="Times New Roman"/>
          <w:b w:val="0"/>
          <w:bCs/>
          <w:sz w:val="24"/>
        </w:rPr>
      </w:pPr>
    </w:p>
    <w:p w14:paraId="0EC5613B" w14:textId="77777777" w:rsidR="00236E6D" w:rsidRPr="00F3443D" w:rsidRDefault="00236E6D" w:rsidP="000C799B">
      <w:pPr>
        <w:pStyle w:val="Title"/>
        <w:spacing w:line="360" w:lineRule="auto"/>
        <w:rPr>
          <w:rFonts w:cs="Times New Roman"/>
          <w:b w:val="0"/>
          <w:bCs/>
          <w:sz w:val="24"/>
        </w:rPr>
      </w:pPr>
    </w:p>
    <w:p w14:paraId="0EC5613C" w14:textId="77777777" w:rsidR="00236E6D" w:rsidRPr="00F3443D" w:rsidRDefault="00236E6D" w:rsidP="000C799B">
      <w:pPr>
        <w:pStyle w:val="Title"/>
        <w:spacing w:line="360" w:lineRule="auto"/>
        <w:rPr>
          <w:rFonts w:cs="Times New Roman"/>
          <w:b w:val="0"/>
          <w:bCs/>
          <w:sz w:val="24"/>
        </w:rPr>
      </w:pPr>
    </w:p>
    <w:p w14:paraId="0EC5613D" w14:textId="77777777" w:rsidR="00236E6D" w:rsidRPr="00F3443D" w:rsidRDefault="00236E6D" w:rsidP="000C799B">
      <w:pPr>
        <w:pStyle w:val="Title"/>
        <w:spacing w:line="360" w:lineRule="auto"/>
        <w:rPr>
          <w:rFonts w:cs="Times New Roman"/>
          <w:b w:val="0"/>
          <w:bCs/>
          <w:sz w:val="24"/>
        </w:rPr>
      </w:pPr>
    </w:p>
    <w:p w14:paraId="0EC5613E" w14:textId="77777777" w:rsidR="00236E6D" w:rsidRPr="00F3443D" w:rsidRDefault="00236E6D" w:rsidP="000C799B">
      <w:pPr>
        <w:pStyle w:val="Title"/>
        <w:spacing w:line="360" w:lineRule="auto"/>
        <w:rPr>
          <w:rFonts w:cs="Times New Roman"/>
          <w:b w:val="0"/>
          <w:bCs/>
          <w:sz w:val="24"/>
        </w:rPr>
      </w:pPr>
    </w:p>
    <w:p w14:paraId="0EC5613F" w14:textId="77777777" w:rsidR="00236E6D" w:rsidRPr="00F3443D" w:rsidRDefault="00236E6D" w:rsidP="000C799B">
      <w:pPr>
        <w:pStyle w:val="Title"/>
        <w:spacing w:line="360" w:lineRule="auto"/>
        <w:rPr>
          <w:rFonts w:cs="Times New Roman"/>
          <w:b w:val="0"/>
          <w:bCs/>
          <w:sz w:val="24"/>
        </w:rPr>
      </w:pPr>
    </w:p>
    <w:p w14:paraId="57E9F817" w14:textId="77777777" w:rsidR="007378AE" w:rsidRDefault="007378AE" w:rsidP="000C799B">
      <w:pPr>
        <w:pStyle w:val="Title"/>
        <w:spacing w:line="360" w:lineRule="auto"/>
        <w:jc w:val="left"/>
        <w:rPr>
          <w:rFonts w:cs="Times New Roman"/>
          <w:sz w:val="24"/>
        </w:rPr>
      </w:pPr>
    </w:p>
    <w:p w14:paraId="3F5BB277" w14:textId="77777777" w:rsidR="000C799B" w:rsidRDefault="000C799B" w:rsidP="000C799B">
      <w:pPr>
        <w:pStyle w:val="Title"/>
        <w:spacing w:line="360" w:lineRule="auto"/>
        <w:jc w:val="left"/>
        <w:rPr>
          <w:rFonts w:cs="Times New Roman"/>
          <w:sz w:val="24"/>
        </w:rPr>
      </w:pPr>
    </w:p>
    <w:p w14:paraId="0EC56143" w14:textId="7F6AD384" w:rsidR="00236E6D" w:rsidRPr="007378AE" w:rsidRDefault="001F1FFF" w:rsidP="000C799B">
      <w:pPr>
        <w:pStyle w:val="Title"/>
        <w:spacing w:line="360" w:lineRule="auto"/>
        <w:rPr>
          <w:rFonts w:cs="Times New Roman"/>
          <w:b w:val="0"/>
          <w:bCs/>
          <w:sz w:val="24"/>
        </w:rPr>
      </w:pPr>
      <w:r w:rsidRPr="007378AE">
        <w:rPr>
          <w:rFonts w:cs="Times New Roman"/>
          <w:b w:val="0"/>
          <w:bCs/>
          <w:sz w:val="24"/>
        </w:rPr>
        <w:t>Benjamin D</w:t>
      </w:r>
      <w:r w:rsidR="00C12778">
        <w:rPr>
          <w:rFonts w:cs="Times New Roman"/>
          <w:b w:val="0"/>
          <w:bCs/>
          <w:sz w:val="24"/>
        </w:rPr>
        <w:t>onnelly</w:t>
      </w:r>
      <w:r w:rsidRPr="007378AE">
        <w:rPr>
          <w:rFonts w:cs="Times New Roman"/>
          <w:b w:val="0"/>
          <w:bCs/>
          <w:sz w:val="24"/>
        </w:rPr>
        <w:t xml:space="preserve"> Pritchard</w:t>
      </w:r>
    </w:p>
    <w:p w14:paraId="0EC56144" w14:textId="0C071B33" w:rsidR="009C755C" w:rsidRPr="007378AE" w:rsidRDefault="001F1FFF" w:rsidP="000C799B">
      <w:pPr>
        <w:pStyle w:val="Title"/>
        <w:spacing w:line="360" w:lineRule="auto"/>
        <w:rPr>
          <w:rFonts w:cs="Times New Roman"/>
          <w:b w:val="0"/>
          <w:bCs/>
          <w:sz w:val="24"/>
        </w:rPr>
      </w:pPr>
      <w:r w:rsidRPr="007378AE">
        <w:rPr>
          <w:rFonts w:cs="Times New Roman"/>
          <w:b w:val="0"/>
          <w:bCs/>
          <w:sz w:val="24"/>
        </w:rPr>
        <w:t>May 2025</w:t>
      </w:r>
    </w:p>
    <w:p w14:paraId="5D17BDB1" w14:textId="77777777" w:rsidR="00FE51F8" w:rsidRDefault="00FE51F8" w:rsidP="000C799B">
      <w:pPr>
        <w:rPr>
          <w:rFonts w:cs="Times New Roman"/>
        </w:rPr>
      </w:pPr>
    </w:p>
    <w:p w14:paraId="0EC56149" w14:textId="047D7C57" w:rsidR="00236E6D" w:rsidRPr="00DF7C87" w:rsidRDefault="00DF7C87" w:rsidP="000C799B">
      <w:pPr>
        <w:spacing w:line="360" w:lineRule="auto"/>
        <w:jc w:val="center"/>
        <w:rPr>
          <w:rFonts w:cs="Times New Roman"/>
        </w:rPr>
      </w:pPr>
      <w:r>
        <w:rPr>
          <w:rFonts w:cs="Times New Roman"/>
        </w:rPr>
        <w:lastRenderedPageBreak/>
        <w:t>Copyright © 202</w:t>
      </w:r>
      <w:r w:rsidR="001F1FFF">
        <w:rPr>
          <w:rFonts w:cs="Times New Roman"/>
        </w:rPr>
        <w:t>5</w:t>
      </w:r>
      <w:r w:rsidR="00236E6D" w:rsidRPr="00DF7C87">
        <w:rPr>
          <w:rFonts w:cs="Times New Roman"/>
        </w:rPr>
        <w:t xml:space="preserve"> by </w:t>
      </w:r>
      <w:r w:rsidR="001F1FFF">
        <w:rPr>
          <w:rFonts w:cs="Times New Roman"/>
        </w:rPr>
        <w:t>Benjamin D Pritchard</w:t>
      </w:r>
    </w:p>
    <w:p w14:paraId="0EC5614A" w14:textId="77777777" w:rsidR="00236E6D" w:rsidRPr="00DF7C87" w:rsidRDefault="00236E6D" w:rsidP="000C799B">
      <w:pPr>
        <w:spacing w:line="360" w:lineRule="auto"/>
        <w:jc w:val="center"/>
        <w:rPr>
          <w:rFonts w:cs="Times New Roman"/>
        </w:rPr>
      </w:pPr>
      <w:r w:rsidRPr="00DF7C87">
        <w:rPr>
          <w:rFonts w:cs="Times New Roman"/>
        </w:rPr>
        <w:t>All rights reserved.</w:t>
      </w:r>
    </w:p>
    <w:p w14:paraId="0EC5614B" w14:textId="77777777" w:rsidR="00236E6D" w:rsidRPr="00DF7C87" w:rsidRDefault="00236E6D" w:rsidP="005E54E2">
      <w:pPr>
        <w:rPr>
          <w:rFonts w:cs="Times New Roman"/>
        </w:rPr>
      </w:pPr>
    </w:p>
    <w:p w14:paraId="0EC5614C" w14:textId="77777777" w:rsidR="00236E6D" w:rsidRPr="00DF7C87" w:rsidRDefault="00236E6D" w:rsidP="005E54E2">
      <w:pPr>
        <w:rPr>
          <w:rFonts w:cs="Times New Roman"/>
        </w:rPr>
      </w:pPr>
    </w:p>
    <w:p w14:paraId="0EC5614D" w14:textId="77777777" w:rsidR="00236E6D" w:rsidRPr="00DF7C87" w:rsidRDefault="00236E6D" w:rsidP="005E54E2">
      <w:pPr>
        <w:rPr>
          <w:rFonts w:cs="Times New Roman"/>
        </w:rPr>
      </w:pPr>
    </w:p>
    <w:p w14:paraId="0EC5614E" w14:textId="77777777" w:rsidR="00236E6D" w:rsidRPr="00DF7C87" w:rsidRDefault="00236E6D" w:rsidP="005E54E2">
      <w:pPr>
        <w:rPr>
          <w:rFonts w:cs="Times New Roman"/>
        </w:rPr>
      </w:pPr>
    </w:p>
    <w:p w14:paraId="0EC5614F" w14:textId="77777777" w:rsidR="00236E6D" w:rsidRPr="00DF7C87" w:rsidRDefault="00236E6D" w:rsidP="005E54E2">
      <w:pPr>
        <w:rPr>
          <w:rFonts w:cs="Times New Roman"/>
        </w:rPr>
      </w:pPr>
    </w:p>
    <w:p w14:paraId="0EC56150" w14:textId="77777777" w:rsidR="00236E6D" w:rsidRPr="00DF7C87" w:rsidRDefault="00236E6D" w:rsidP="005E54E2">
      <w:pPr>
        <w:rPr>
          <w:rFonts w:cs="Times New Roman"/>
        </w:rPr>
      </w:pPr>
    </w:p>
    <w:p w14:paraId="0EC56151" w14:textId="77777777" w:rsidR="00236E6D" w:rsidRPr="00DF7C87" w:rsidRDefault="00236E6D" w:rsidP="005E54E2">
      <w:pPr>
        <w:rPr>
          <w:rFonts w:cs="Times New Roman"/>
        </w:rPr>
      </w:pPr>
    </w:p>
    <w:p w14:paraId="0EC56152" w14:textId="77777777" w:rsidR="00236E6D" w:rsidRPr="00DF7C87" w:rsidRDefault="00236E6D" w:rsidP="005E54E2">
      <w:pPr>
        <w:rPr>
          <w:rFonts w:cs="Times New Roman"/>
        </w:rPr>
      </w:pPr>
    </w:p>
    <w:p w14:paraId="0EC56153" w14:textId="77777777" w:rsidR="00236E6D" w:rsidRPr="00DF7C87" w:rsidRDefault="00236E6D" w:rsidP="005E54E2">
      <w:pPr>
        <w:rPr>
          <w:rFonts w:cs="Times New Roman"/>
        </w:rPr>
      </w:pPr>
    </w:p>
    <w:p w14:paraId="0EC56154" w14:textId="77777777" w:rsidR="00236E6D" w:rsidRPr="00DF7C87" w:rsidRDefault="00236E6D" w:rsidP="005E54E2">
      <w:pPr>
        <w:rPr>
          <w:rFonts w:cs="Times New Roman"/>
        </w:rPr>
      </w:pPr>
    </w:p>
    <w:p w14:paraId="0EC56155" w14:textId="77777777" w:rsidR="00236E6D" w:rsidRPr="00DF7C87" w:rsidRDefault="00236E6D" w:rsidP="005E54E2">
      <w:pPr>
        <w:rPr>
          <w:rFonts w:cs="Times New Roman"/>
        </w:rPr>
      </w:pPr>
    </w:p>
    <w:p w14:paraId="0EC56156" w14:textId="77777777" w:rsidR="00236E6D" w:rsidRPr="00DF7C87" w:rsidRDefault="00236E6D" w:rsidP="005E54E2">
      <w:pPr>
        <w:rPr>
          <w:rFonts w:cs="Times New Roman"/>
        </w:rPr>
      </w:pPr>
    </w:p>
    <w:p w14:paraId="0EC56157" w14:textId="77777777" w:rsidR="00236E6D" w:rsidRPr="00DF7C87" w:rsidRDefault="00236E6D" w:rsidP="005E54E2">
      <w:pPr>
        <w:rPr>
          <w:rFonts w:cs="Times New Roman"/>
        </w:rPr>
      </w:pPr>
    </w:p>
    <w:p w14:paraId="0EC56158" w14:textId="77777777" w:rsidR="00236E6D" w:rsidRPr="00DF7C87" w:rsidRDefault="00236E6D" w:rsidP="005E54E2">
      <w:pPr>
        <w:rPr>
          <w:rFonts w:cs="Times New Roman"/>
        </w:rPr>
      </w:pPr>
    </w:p>
    <w:p w14:paraId="0EC5615D" w14:textId="22AF580A" w:rsidR="006F5AA4" w:rsidRPr="00DF7C87" w:rsidRDefault="006F5AA4" w:rsidP="00FE1BCB">
      <w:pPr>
        <w:pStyle w:val="Title"/>
        <w:spacing w:line="360" w:lineRule="auto"/>
        <w:jc w:val="left"/>
        <w:rPr>
          <w:rFonts w:cs="Times New Roman"/>
        </w:rPr>
      </w:pPr>
    </w:p>
    <w:p w14:paraId="0EC5615E" w14:textId="77777777" w:rsidR="00904969" w:rsidRPr="00DF7C87" w:rsidRDefault="00904969" w:rsidP="00574AFF">
      <w:pPr>
        <w:spacing w:line="360" w:lineRule="auto"/>
        <w:jc w:val="center"/>
        <w:rPr>
          <w:rFonts w:cs="Times New Roman"/>
        </w:rPr>
      </w:pPr>
    </w:p>
    <w:p w14:paraId="0EC5615F" w14:textId="77777777" w:rsidR="00904969" w:rsidRPr="00DF7C87" w:rsidRDefault="00904969" w:rsidP="00574AFF">
      <w:pPr>
        <w:spacing w:line="360" w:lineRule="auto"/>
        <w:jc w:val="center"/>
        <w:rPr>
          <w:rFonts w:cs="Times New Roman"/>
        </w:rPr>
      </w:pPr>
    </w:p>
    <w:p w14:paraId="0EC56160" w14:textId="77777777" w:rsidR="00904969" w:rsidRPr="00DF7C87" w:rsidRDefault="00904969" w:rsidP="00574AFF">
      <w:pPr>
        <w:spacing w:line="360" w:lineRule="auto"/>
        <w:jc w:val="center"/>
        <w:rPr>
          <w:rFonts w:cs="Times New Roman"/>
        </w:rPr>
      </w:pPr>
    </w:p>
    <w:p w14:paraId="0EC56162" w14:textId="5A21EBD7" w:rsidR="009D794C" w:rsidRPr="00FE51F8" w:rsidRDefault="006F5AA4" w:rsidP="00327D85">
      <w:pPr>
        <w:pStyle w:val="Title"/>
        <w:spacing w:line="360" w:lineRule="auto"/>
        <w:rPr>
          <w:rFonts w:cs="Times New Roman"/>
          <w:szCs w:val="28"/>
        </w:rPr>
      </w:pPr>
      <w:r w:rsidRPr="00DF7C87">
        <w:rPr>
          <w:rFonts w:cs="Times New Roman"/>
          <w:sz w:val="24"/>
        </w:rPr>
        <w:br w:type="page"/>
      </w:r>
      <w:r w:rsidR="00CD73A9" w:rsidRPr="00FE51F8">
        <w:rPr>
          <w:rFonts w:cs="Times New Roman"/>
          <w:sz w:val="24"/>
        </w:rPr>
        <w:lastRenderedPageBreak/>
        <w:t>ACKNOWLEDGEMENTS</w:t>
      </w:r>
    </w:p>
    <w:p w14:paraId="0EC56164" w14:textId="2D626374" w:rsidR="0085757D" w:rsidRPr="00DF7C87" w:rsidRDefault="003120A1" w:rsidP="003120A1">
      <w:pPr>
        <w:spacing w:line="360" w:lineRule="auto"/>
        <w:ind w:firstLine="720"/>
        <w:rPr>
          <w:rFonts w:cs="Times New Roman"/>
        </w:rPr>
      </w:pPr>
      <w:r w:rsidRPr="003120A1">
        <w:t xml:space="preserve">The journey of earning a graduate degree is filled with challenges, growth, and gratitude, and I am immensely thankful to those who have supported me throughout my time at the University of Tennessee. To my parents, Daryl </w:t>
      </w:r>
      <w:r>
        <w:t>&amp;</w:t>
      </w:r>
      <w:r w:rsidRPr="003120A1">
        <w:t xml:space="preserve"> Beverly Pritchard, my sisters, Ellie </w:t>
      </w:r>
      <w:r>
        <w:t>&amp;</w:t>
      </w:r>
      <w:r w:rsidRPr="003120A1">
        <w:t xml:space="preserve"> Jennie Pritchard,</w:t>
      </w:r>
      <w:r>
        <w:t xml:space="preserve"> and</w:t>
      </w:r>
      <w:r w:rsidR="00CB15C4">
        <w:t xml:space="preserve"> my extended family, including Bill Hill and Becky </w:t>
      </w:r>
      <w:proofErr w:type="spellStart"/>
      <w:r w:rsidR="00CB15C4">
        <w:t>Dearmond</w:t>
      </w:r>
      <w:proofErr w:type="spellEnd"/>
      <w:r w:rsidR="00CB15C4">
        <w:t>,</w:t>
      </w:r>
      <w:r w:rsidRPr="003120A1">
        <w:t xml:space="preserve"> your steadfast encouragement and belief in me </w:t>
      </w:r>
      <w:r w:rsidR="00CB15C4">
        <w:t xml:space="preserve">throughout my life </w:t>
      </w:r>
      <w:r w:rsidRPr="003120A1">
        <w:t>have been the foundation of my success, enabling me to pursue my dreams and achieve my goals. I am deeply grateful for your love and support. A special thanks to my advisor, Dr.</w:t>
      </w:r>
      <w:r w:rsidR="00CB15C4">
        <w:t xml:space="preserve"> </w:t>
      </w:r>
      <w:r w:rsidRPr="003120A1">
        <w:t>Brosnan, who</w:t>
      </w:r>
      <w:r w:rsidR="00CB15C4">
        <w:t xml:space="preserve"> chose to</w:t>
      </w:r>
      <w:r w:rsidRPr="003120A1">
        <w:t xml:space="preserve"> mentor</w:t>
      </w:r>
      <w:r w:rsidR="00CB15C4">
        <w:t xml:space="preserve"> “Young Ben” during undergrad</w:t>
      </w:r>
      <w:r w:rsidRPr="003120A1">
        <w:t xml:space="preserve"> and</w:t>
      </w:r>
      <w:r w:rsidR="00CB15C4">
        <w:t xml:space="preserve"> whose</w:t>
      </w:r>
      <w:r w:rsidRPr="003120A1">
        <w:t xml:space="preserve"> faith in my abilities </w:t>
      </w:r>
      <w:r w:rsidR="00CB15C4">
        <w:t xml:space="preserve">led me to grow in to the turfgrass weed scientist I am today. You continually </w:t>
      </w:r>
      <w:r w:rsidRPr="003120A1">
        <w:t>provid</w:t>
      </w:r>
      <w:r w:rsidR="00CB15C4">
        <w:t>ed</w:t>
      </w:r>
      <w:r w:rsidRPr="003120A1">
        <w:t xml:space="preserve"> me with opportunities to grow and excel in the field of turfgrass management</w:t>
      </w:r>
      <w:r w:rsidR="00CB15C4">
        <w:t xml:space="preserve"> while being a steadfast mentor through it all</w:t>
      </w:r>
      <w:r w:rsidRPr="003120A1">
        <w:t xml:space="preserve">. Being part of your lab and cutting-edge research has been an honor and privilege. I look forward to building upon this foundation </w:t>
      </w:r>
      <w:r w:rsidR="00CB15C4">
        <w:t>in my career</w:t>
      </w:r>
      <w:r w:rsidRPr="003120A1">
        <w:t xml:space="preserve">. I also extend my gratitude to my committee members, Travis Gannon, David Butler, and Becky Bowling, for their invaluable guidance and support throughout this journey. To the UT Turfgrass Team, including Greg Breeden, Javier Vargas, Taylor Williams, Tyler Carr Ph.D., Kyley Dickson Ph.D., and Bill </w:t>
      </w:r>
      <w:proofErr w:type="spellStart"/>
      <w:r w:rsidRPr="003120A1">
        <w:t>Czekai</w:t>
      </w:r>
      <w:proofErr w:type="spellEnd"/>
      <w:r w:rsidRPr="003120A1">
        <w:t xml:space="preserve">, thank you for your mentorship, assistance, and camaraderie, which have been essential to my academic and personal development. I am also thankful for the incredible friends and special people I have met along the way: Caitlin Dalton, Brooke Keadle, Robert Petursson, Dillon McCallum, Maureen </w:t>
      </w:r>
      <w:proofErr w:type="spellStart"/>
      <w:r w:rsidRPr="003120A1">
        <w:t>Kahiu</w:t>
      </w:r>
      <w:proofErr w:type="spellEnd"/>
      <w:r w:rsidRPr="003120A1">
        <w:t xml:space="preserve">, Luke Edwards, Delaina McDonald, Alexis Walsh, Will Burgess, Eleanor Tant, Jack Oberman, and Hunter Hammock—your companionship and encouragement have enriched my life beyond measure. Lastly, a special mention to my loyal companion, Lyla Mae, whose presence has been a constant source of joy and comfort, reminding me to smile through challenges and cherish each moment. As Albert Einstein wisely stated, "If we knew what it </w:t>
      </w:r>
      <w:proofErr w:type="gramStart"/>
      <w:r w:rsidRPr="003120A1">
        <w:t>was</w:t>
      </w:r>
      <w:proofErr w:type="gramEnd"/>
      <w:r w:rsidRPr="003120A1">
        <w:t xml:space="preserve"> we were doing, it would not be called research, would it</w:t>
      </w:r>
      <w:proofErr w:type="gramStart"/>
      <w:r w:rsidRPr="003120A1">
        <w:t>?"—</w:t>
      </w:r>
      <w:proofErr w:type="gramEnd"/>
      <w:r w:rsidRPr="003120A1">
        <w:t xml:space="preserve">a sentiment that </w:t>
      </w:r>
      <w:r w:rsidR="00CB15C4">
        <w:t>I clung to throughout this challenging yet rewarding</w:t>
      </w:r>
      <w:r w:rsidRPr="003120A1">
        <w:t xml:space="preserve"> journey</w:t>
      </w:r>
      <w:r w:rsidR="00CB15C4">
        <w:t xml:space="preserve">. Again, </w:t>
      </w:r>
      <w:r w:rsidR="004A2447">
        <w:t>thank you all, and as always, onwards and upwards!</w:t>
      </w:r>
    </w:p>
    <w:p w14:paraId="0EC56165" w14:textId="77777777" w:rsidR="00904969" w:rsidRPr="00DF7C87" w:rsidRDefault="00904969" w:rsidP="00574AFF">
      <w:pPr>
        <w:spacing w:line="360" w:lineRule="auto"/>
        <w:rPr>
          <w:rFonts w:cs="Times New Roman"/>
        </w:rPr>
      </w:pPr>
    </w:p>
    <w:p w14:paraId="0EC56167" w14:textId="77777777" w:rsidR="00904969" w:rsidRPr="00DF7C87" w:rsidRDefault="00904969" w:rsidP="00574AFF">
      <w:pPr>
        <w:spacing w:line="360" w:lineRule="auto"/>
        <w:rPr>
          <w:rFonts w:cs="Times New Roman"/>
        </w:rPr>
      </w:pPr>
    </w:p>
    <w:p w14:paraId="0EC56169" w14:textId="33C12A03" w:rsidR="00060A6A" w:rsidRPr="00FE51F8" w:rsidRDefault="0085757D" w:rsidP="00574AFF">
      <w:pPr>
        <w:pStyle w:val="Title"/>
        <w:spacing w:line="360" w:lineRule="auto"/>
        <w:rPr>
          <w:rFonts w:cs="Times New Roman"/>
          <w:sz w:val="24"/>
        </w:rPr>
      </w:pPr>
      <w:r w:rsidRPr="00DF7C87">
        <w:rPr>
          <w:rFonts w:cs="Times New Roman"/>
          <w:sz w:val="24"/>
        </w:rPr>
        <w:br w:type="page"/>
      </w:r>
      <w:r w:rsidR="00236E6D" w:rsidRPr="00FE51F8">
        <w:rPr>
          <w:rFonts w:cs="Times New Roman"/>
          <w:sz w:val="24"/>
        </w:rPr>
        <w:lastRenderedPageBreak/>
        <w:t>ABSTRACT</w:t>
      </w:r>
    </w:p>
    <w:p w14:paraId="0EC56171" w14:textId="0DD3D7F4" w:rsidR="0085757D" w:rsidRPr="00DF7C87" w:rsidRDefault="005E1E99" w:rsidP="005E1E99">
      <w:pPr>
        <w:spacing w:line="360" w:lineRule="auto"/>
        <w:ind w:firstLine="720"/>
        <w:rPr>
          <w:rFonts w:cs="Times New Roman"/>
        </w:rPr>
      </w:pPr>
      <w:r w:rsidRPr="005E1E99">
        <w:t xml:space="preserve">Tetflupyrolimet, a new herbicide developed by FMC Corporation, targets dihydroorotate dehydrogenase (DHODH), effectively inhibiting de novo pyrimidine biosynthesis in various grass species. This </w:t>
      </w:r>
      <w:r>
        <w:t>dissertation</w:t>
      </w:r>
      <w:r w:rsidRPr="005E1E99">
        <w:t xml:space="preserve"> synthesizes findings from field</w:t>
      </w:r>
      <w:r w:rsidR="00173781">
        <w:t>, greenhouse, and laboratory</w:t>
      </w:r>
      <w:r w:rsidRPr="005E1E99">
        <w:t xml:space="preserve"> trials conducted between 2021 and 2024, aimed at </w:t>
      </w:r>
      <w:r>
        <w:t xml:space="preserve">better understanding the applications of tetflupyrolimet in turfgrass systems. First, this included </w:t>
      </w:r>
      <w:r w:rsidRPr="005E1E99">
        <w:t xml:space="preserve">assessing turfgrass tolerance to tetflupyrolimet in controlling problematic species such as </w:t>
      </w:r>
      <w:r w:rsidRPr="005E1E99">
        <w:rPr>
          <w:i/>
          <w:iCs/>
        </w:rPr>
        <w:t>Poa annua</w:t>
      </w:r>
      <w:r w:rsidRPr="005E1E99">
        <w:t xml:space="preserve"> and smooth crabgrass (</w:t>
      </w:r>
      <w:r w:rsidRPr="005E1E99">
        <w:rPr>
          <w:i/>
          <w:iCs/>
        </w:rPr>
        <w:t>Digitaria ischaemum</w:t>
      </w:r>
      <w:r w:rsidRPr="005E1E99">
        <w:t>)</w:t>
      </w:r>
      <w:r w:rsidR="00403546">
        <w:t>. F</w:t>
      </w:r>
      <w:r w:rsidR="00421DE8">
        <w:t>ive</w:t>
      </w:r>
      <w:r w:rsidRPr="005E1E99">
        <w:t xml:space="preserve"> turfgrass species</w:t>
      </w:r>
      <w:r w:rsidR="00421DE8">
        <w:t xml:space="preserve"> relevant to Tennessee </w:t>
      </w:r>
      <w:r w:rsidRPr="005E1E99">
        <w:t>were assessed at cutting heights ranging from 3.8 to 12.5 mm across different seasons</w:t>
      </w:r>
      <w:r w:rsidR="00403546">
        <w:t>,</w:t>
      </w:r>
      <w:r w:rsidRPr="005E1E99">
        <w:t xml:space="preserve"> revealing that warm-season turfgrasses exhibited no adverse effects</w:t>
      </w:r>
      <w:r w:rsidR="00173781">
        <w:t xml:space="preserve"> to as high as 3200 g ha</w:t>
      </w:r>
      <w:r w:rsidR="00173781" w:rsidRPr="00113A7D">
        <w:rPr>
          <w:vertAlign w:val="superscript"/>
        </w:rPr>
        <w:t>-1</w:t>
      </w:r>
      <w:r w:rsidR="00173781">
        <w:t>.</w:t>
      </w:r>
      <w:r w:rsidRPr="005E1E99">
        <w:t xml:space="preserve"> </w:t>
      </w:r>
      <w:r w:rsidR="00173781">
        <w:t>R</w:t>
      </w:r>
      <w:r w:rsidRPr="005E1E99">
        <w:t>esponse of cool-season grasses varied</w:t>
      </w:r>
      <w:r w:rsidR="00173781">
        <w:t xml:space="preserve"> with an overall trend for cool-season species to be more</w:t>
      </w:r>
      <w:r w:rsidRPr="005E1E99">
        <w:t xml:space="preserve"> toleran</w:t>
      </w:r>
      <w:r w:rsidR="00173781">
        <w:t>t to applications made</w:t>
      </w:r>
      <w:r w:rsidRPr="005E1E99">
        <w:t xml:space="preserve"> in spring than fall. Efficacy </w:t>
      </w:r>
      <w:r w:rsidR="00403546">
        <w:t xml:space="preserve">for preemergence (PRE) </w:t>
      </w:r>
      <w:r w:rsidRPr="005E1E99">
        <w:t>control</w:t>
      </w:r>
      <w:r w:rsidR="00403546">
        <w:t xml:space="preserve"> of</w:t>
      </w:r>
      <w:r w:rsidRPr="005E1E99">
        <w:t xml:space="preserve"> smooth crabgrass</w:t>
      </w:r>
      <w:r w:rsidR="00403546">
        <w:t xml:space="preserve"> </w:t>
      </w:r>
      <w:r w:rsidRPr="005E1E99">
        <w:t xml:space="preserve">fluctuated yearly, but </w:t>
      </w:r>
      <w:r w:rsidR="00421DE8">
        <w:t>tetflupyrolimet</w:t>
      </w:r>
      <w:r w:rsidR="00403546">
        <w:t xml:space="preserve"> (400 g ha</w:t>
      </w:r>
      <w:r w:rsidR="00403546">
        <w:rPr>
          <w:vertAlign w:val="superscript"/>
        </w:rPr>
        <w:t>-1</w:t>
      </w:r>
      <w:r w:rsidR="00403546">
        <w:t>)</w:t>
      </w:r>
      <w:r w:rsidR="00421DE8">
        <w:t xml:space="preserve"> in mixture</w:t>
      </w:r>
      <w:r w:rsidRPr="005E1E99">
        <w:t xml:space="preserve"> with </w:t>
      </w:r>
      <w:proofErr w:type="spellStart"/>
      <w:r w:rsidRPr="005E1E99">
        <w:t>pyroxasulfone</w:t>
      </w:r>
      <w:proofErr w:type="spellEnd"/>
      <w:r w:rsidR="00403546">
        <w:t xml:space="preserve"> (128 g ha</w:t>
      </w:r>
      <w:r w:rsidR="00403546">
        <w:rPr>
          <w:vertAlign w:val="superscript"/>
        </w:rPr>
        <w:t>-1</w:t>
      </w:r>
      <w:r w:rsidR="00403546">
        <w:t xml:space="preserve">) </w:t>
      </w:r>
      <w:r w:rsidRPr="005E1E99">
        <w:t xml:space="preserve">and </w:t>
      </w:r>
      <w:proofErr w:type="spellStart"/>
      <w:r w:rsidRPr="005E1E99">
        <w:t>rimsulfuron</w:t>
      </w:r>
      <w:proofErr w:type="spellEnd"/>
      <w:r w:rsidRPr="005E1E99">
        <w:t xml:space="preserve"> </w:t>
      </w:r>
      <w:r w:rsidR="00403546">
        <w:t>(35 g ha</w:t>
      </w:r>
      <w:r w:rsidR="00403546">
        <w:rPr>
          <w:vertAlign w:val="superscript"/>
        </w:rPr>
        <w:t>-1</w:t>
      </w:r>
      <w:r w:rsidR="00403546">
        <w:t xml:space="preserve">) </w:t>
      </w:r>
      <w:r w:rsidRPr="005E1E99">
        <w:t xml:space="preserve">proved effective in </w:t>
      </w:r>
      <w:r w:rsidR="00173781">
        <w:t>controlling herbicide-resistant</w:t>
      </w:r>
      <w:r w:rsidRPr="005E1E99">
        <w:t xml:space="preserve"> </w:t>
      </w:r>
      <w:r w:rsidRPr="00421DE8">
        <w:rPr>
          <w:i/>
          <w:iCs/>
        </w:rPr>
        <w:t>P</w:t>
      </w:r>
      <w:r w:rsidR="00421DE8" w:rsidRPr="00421DE8">
        <w:rPr>
          <w:i/>
          <w:iCs/>
        </w:rPr>
        <w:t>oa</w:t>
      </w:r>
      <w:r w:rsidRPr="00421DE8">
        <w:rPr>
          <w:i/>
          <w:iCs/>
        </w:rPr>
        <w:t xml:space="preserve"> annua</w:t>
      </w:r>
      <w:r w:rsidRPr="005E1E99">
        <w:t xml:space="preserve">. Additionally, </w:t>
      </w:r>
      <w:r w:rsidR="00403546">
        <w:t>research was conducted to understand the</w:t>
      </w:r>
      <w:r w:rsidRPr="005E1E99">
        <w:t xml:space="preserve"> influence of soil texture on tetflupyrolimet activity, revealing significant variations in efficacy between sandy </w:t>
      </w:r>
      <w:r w:rsidR="00173781">
        <w:t>versus</w:t>
      </w:r>
      <w:r w:rsidR="00173781" w:rsidRPr="005E1E99">
        <w:t xml:space="preserve"> </w:t>
      </w:r>
      <w:r w:rsidRPr="005E1E99">
        <w:t xml:space="preserve">clay loam soils, with higher effectiveness </w:t>
      </w:r>
      <w:r w:rsidR="00173781">
        <w:t>with applications made to</w:t>
      </w:r>
      <w:r w:rsidR="00173781" w:rsidRPr="005E1E99">
        <w:t xml:space="preserve"> </w:t>
      </w:r>
      <w:r w:rsidR="00173781">
        <w:t>the coarser textured</w:t>
      </w:r>
      <w:r w:rsidR="00173781" w:rsidRPr="005E1E99">
        <w:t xml:space="preserve"> </w:t>
      </w:r>
      <w:r w:rsidR="00173781">
        <w:t>medium</w:t>
      </w:r>
      <w:r w:rsidR="00403546">
        <w:t xml:space="preserve">. </w:t>
      </w:r>
      <w:r w:rsidR="00173781">
        <w:t>Data collected suggest that</w:t>
      </w:r>
      <w:r w:rsidR="00403546">
        <w:t xml:space="preserve"> matric potential differences amongst soil-types </w:t>
      </w:r>
      <w:r w:rsidR="00173781">
        <w:t>may explain this response with water being more accessible to seedling weeds in coarser textured mediums with overall moisture content is fixed across soil types</w:t>
      </w:r>
      <w:r w:rsidR="00403546">
        <w:t xml:space="preserve">. Offering </w:t>
      </w:r>
      <w:r w:rsidR="00173781">
        <w:t xml:space="preserve">tetflupyrolimet </w:t>
      </w:r>
      <w:r w:rsidR="00403546">
        <w:t xml:space="preserve">application rates </w:t>
      </w:r>
      <w:r w:rsidRPr="005E1E99">
        <w:t xml:space="preserve">based on soil texture may enhance herbicide performance under various </w:t>
      </w:r>
      <w:r w:rsidR="00403546">
        <w:t>soil-</w:t>
      </w:r>
      <w:r w:rsidRPr="005E1E99">
        <w:t>moisture conditions. Furthermore, the lateral movement of tetflupyrolimet</w:t>
      </w:r>
      <w:r w:rsidR="00403546">
        <w:t xml:space="preserve"> </w:t>
      </w:r>
      <w:r w:rsidR="00173781">
        <w:t>was</w:t>
      </w:r>
      <w:r w:rsidRPr="005E1E99">
        <w:t xml:space="preserve"> investigated</w:t>
      </w:r>
      <w:r w:rsidR="00403546">
        <w:t xml:space="preserve"> under field capacity and saturated soil-conditions</w:t>
      </w:r>
      <w:r w:rsidR="00173781">
        <w:t>.</w:t>
      </w:r>
      <w:r w:rsidRPr="005E1E99">
        <w:t xml:space="preserve"> </w:t>
      </w:r>
      <w:r w:rsidR="00173781">
        <w:t>R</w:t>
      </w:r>
      <w:r w:rsidRPr="005E1E99">
        <w:t xml:space="preserve">egardless of soil moisture content, tetflupyrolimet maximum lateral movement was limited to 1.1 meters, </w:t>
      </w:r>
      <w:r w:rsidR="00173781">
        <w:t xml:space="preserve">significantly less than </w:t>
      </w:r>
      <w:proofErr w:type="spellStart"/>
      <w:r w:rsidRPr="005E1E99">
        <w:t>pronamide</w:t>
      </w:r>
      <w:proofErr w:type="spellEnd"/>
      <w:r w:rsidRPr="005E1E99">
        <w:t xml:space="preserve"> exhibited greater mobility. This </w:t>
      </w:r>
      <w:r w:rsidR="00403546">
        <w:t xml:space="preserve">experiment </w:t>
      </w:r>
      <w:r w:rsidRPr="005E1E99">
        <w:t>indicate</w:t>
      </w:r>
      <w:r w:rsidR="00173781">
        <w:t xml:space="preserve">d </w:t>
      </w:r>
      <w:r w:rsidRPr="005E1E99">
        <w:t xml:space="preserve">that maintaining a buffer of at least 1.1 meters from sensitive grass species could minimize the risk of non-target effects </w:t>
      </w:r>
      <w:r w:rsidR="00173781">
        <w:t>of</w:t>
      </w:r>
      <w:r w:rsidR="00173781" w:rsidRPr="005E1E99">
        <w:t xml:space="preserve"> </w:t>
      </w:r>
      <w:r w:rsidRPr="005E1E99">
        <w:t xml:space="preserve">tetflupyrolimet </w:t>
      </w:r>
      <w:r w:rsidR="00173781">
        <w:t>applications in turfgrass</w:t>
      </w:r>
      <w:r w:rsidRPr="005E1E99">
        <w:t xml:space="preserve">. Overall, the studies </w:t>
      </w:r>
      <w:r w:rsidR="00173781">
        <w:t>support</w:t>
      </w:r>
      <w:r w:rsidR="00173781" w:rsidRPr="005E1E99">
        <w:t xml:space="preserve"> </w:t>
      </w:r>
      <w:r w:rsidRPr="005E1E99">
        <w:t xml:space="preserve">tetflupyrolimet </w:t>
      </w:r>
      <w:r w:rsidR="00173781">
        <w:t>use in</w:t>
      </w:r>
      <w:r w:rsidRPr="005E1E99">
        <w:t xml:space="preserve"> turfgrass management</w:t>
      </w:r>
      <w:r w:rsidR="00403546">
        <w:t xml:space="preserve">, giving </w:t>
      </w:r>
      <w:r w:rsidR="00403546">
        <w:lastRenderedPageBreak/>
        <w:t xml:space="preserve">managers a novel tool in mitigating herbicide resistance </w:t>
      </w:r>
      <w:r w:rsidR="00173781">
        <w:t xml:space="preserve">within </w:t>
      </w:r>
      <w:r w:rsidR="00403546">
        <w:t>the troublesome grassy weed</w:t>
      </w:r>
      <w:r w:rsidR="00173781">
        <w:t>,</w:t>
      </w:r>
      <w:r w:rsidR="00403546">
        <w:t xml:space="preserve"> </w:t>
      </w:r>
      <w:r w:rsidR="00403546" w:rsidRPr="00403546">
        <w:rPr>
          <w:i/>
          <w:iCs/>
        </w:rPr>
        <w:t>Poa annua</w:t>
      </w:r>
      <w:r w:rsidR="00403546">
        <w:t>.</w:t>
      </w:r>
    </w:p>
    <w:p w14:paraId="0EC56173" w14:textId="77777777" w:rsidR="00236E6D" w:rsidRPr="00DF7C87" w:rsidRDefault="00236E6D" w:rsidP="00574AFF">
      <w:pPr>
        <w:spacing w:line="360" w:lineRule="auto"/>
        <w:rPr>
          <w:rFonts w:cs="Times New Roman"/>
        </w:rPr>
      </w:pPr>
      <w:r w:rsidRPr="00DF7C87">
        <w:rPr>
          <w:rFonts w:cs="Times New Roman"/>
        </w:rPr>
        <w:br w:type="page"/>
      </w:r>
    </w:p>
    <w:p w14:paraId="3B425BC1" w14:textId="7900A535" w:rsidR="00D349B0" w:rsidRPr="00D349B0" w:rsidRDefault="00D349B0" w:rsidP="000C799B">
      <w:pPr>
        <w:pStyle w:val="TOC1"/>
        <w:spacing w:line="360" w:lineRule="auto"/>
      </w:pPr>
      <w:r w:rsidRPr="0082274E">
        <w:lastRenderedPageBreak/>
        <w:t>TABLE OF CONTENTS</w:t>
      </w:r>
    </w:p>
    <w:p w14:paraId="43147A6A" w14:textId="1ED77F33" w:rsidR="00B63A91" w:rsidRPr="0082274E" w:rsidRDefault="00EA1C88" w:rsidP="000C799B">
      <w:pPr>
        <w:pStyle w:val="TOC1"/>
        <w:spacing w:line="360" w:lineRule="auto"/>
        <w:jc w:val="left"/>
        <w:rPr>
          <w:rFonts w:asciiTheme="minorHAnsi" w:eastAsiaTheme="minorEastAsia" w:hAnsiTheme="minorHAnsi" w:cstheme="minorBidi"/>
          <w:b w:val="0"/>
          <w:bCs w:val="0"/>
          <w:kern w:val="2"/>
          <w14:ligatures w14:val="standardContextual"/>
        </w:rPr>
      </w:pPr>
      <w:r w:rsidRPr="0082274E">
        <w:rPr>
          <w:rFonts w:cs="Times New Roman"/>
          <w:b w:val="0"/>
          <w:bCs w:val="0"/>
        </w:rPr>
        <w:fldChar w:fldCharType="begin"/>
      </w:r>
      <w:r w:rsidRPr="0082274E">
        <w:rPr>
          <w:rFonts w:cs="Times New Roman"/>
          <w:b w:val="0"/>
          <w:bCs w:val="0"/>
        </w:rPr>
        <w:instrText xml:space="preserve"> TOC \o "1-3" \h \z \u </w:instrText>
      </w:r>
      <w:r w:rsidRPr="0082274E">
        <w:rPr>
          <w:rFonts w:cs="Times New Roman"/>
          <w:b w:val="0"/>
          <w:bCs w:val="0"/>
        </w:rPr>
        <w:fldChar w:fldCharType="separate"/>
      </w:r>
      <w:hyperlink w:anchor="_Toc192781537" w:history="1">
        <w:r w:rsidR="00B63A91" w:rsidRPr="0082274E">
          <w:rPr>
            <w:rStyle w:val="Hyperlink"/>
            <w:rFonts w:cs="Times New Roman"/>
            <w:b w:val="0"/>
            <w:bCs w:val="0"/>
          </w:rPr>
          <w:t>I</w:t>
        </w:r>
        <w:r w:rsidR="00853459">
          <w:rPr>
            <w:rStyle w:val="Hyperlink"/>
            <w:rFonts w:cs="Times New Roman"/>
            <w:b w:val="0"/>
            <w:bCs w:val="0"/>
          </w:rPr>
          <w:t>ntroduction</w:t>
        </w:r>
        <w:r w:rsidR="00B63A91" w:rsidRPr="0082274E">
          <w:rPr>
            <w:b w:val="0"/>
            <w:bCs w:val="0"/>
            <w:webHidden/>
          </w:rPr>
          <w:tab/>
        </w:r>
        <w:r w:rsidR="00B63A91" w:rsidRPr="0082274E">
          <w:rPr>
            <w:b w:val="0"/>
            <w:bCs w:val="0"/>
            <w:webHidden/>
          </w:rPr>
          <w:fldChar w:fldCharType="begin"/>
        </w:r>
        <w:r w:rsidR="00B63A91" w:rsidRPr="0082274E">
          <w:rPr>
            <w:b w:val="0"/>
            <w:bCs w:val="0"/>
            <w:webHidden/>
          </w:rPr>
          <w:instrText xml:space="preserve"> PAGEREF _Toc192781537 \h </w:instrText>
        </w:r>
        <w:r w:rsidR="00B63A91" w:rsidRPr="0082274E">
          <w:rPr>
            <w:b w:val="0"/>
            <w:bCs w:val="0"/>
            <w:webHidden/>
          </w:rPr>
        </w:r>
        <w:r w:rsidR="00B63A91" w:rsidRPr="0082274E">
          <w:rPr>
            <w:b w:val="0"/>
            <w:bCs w:val="0"/>
            <w:webHidden/>
          </w:rPr>
          <w:fldChar w:fldCharType="separate"/>
        </w:r>
        <w:r w:rsidR="00180989">
          <w:rPr>
            <w:b w:val="0"/>
            <w:bCs w:val="0"/>
            <w:webHidden/>
          </w:rPr>
          <w:t>1</w:t>
        </w:r>
        <w:r w:rsidR="00B63A91" w:rsidRPr="0082274E">
          <w:rPr>
            <w:b w:val="0"/>
            <w:bCs w:val="0"/>
            <w:webHidden/>
          </w:rPr>
          <w:fldChar w:fldCharType="end"/>
        </w:r>
      </w:hyperlink>
    </w:p>
    <w:p w14:paraId="03A90E0D" w14:textId="438DB932" w:rsidR="00B63A91" w:rsidRPr="0082274E" w:rsidRDefault="00B63A91" w:rsidP="000C799B">
      <w:pPr>
        <w:pStyle w:val="TOC1"/>
        <w:spacing w:line="360" w:lineRule="auto"/>
        <w:jc w:val="left"/>
        <w:rPr>
          <w:rFonts w:asciiTheme="minorHAnsi" w:eastAsiaTheme="minorEastAsia" w:hAnsiTheme="minorHAnsi" w:cstheme="minorBidi"/>
          <w:b w:val="0"/>
          <w:bCs w:val="0"/>
          <w:kern w:val="2"/>
          <w14:ligatures w14:val="standardContextual"/>
        </w:rPr>
      </w:pPr>
      <w:hyperlink w:anchor="_Toc192781538" w:history="1">
        <w:r w:rsidRPr="0082274E">
          <w:rPr>
            <w:rStyle w:val="Hyperlink"/>
            <w:b w:val="0"/>
            <w:bCs w:val="0"/>
          </w:rPr>
          <w:t>C</w:t>
        </w:r>
        <w:r w:rsidR="00853459">
          <w:rPr>
            <w:rStyle w:val="Hyperlink"/>
            <w:b w:val="0"/>
            <w:bCs w:val="0"/>
          </w:rPr>
          <w:t>hapter</w:t>
        </w:r>
        <w:r w:rsidRPr="0082274E">
          <w:rPr>
            <w:rStyle w:val="Hyperlink"/>
            <w:b w:val="0"/>
            <w:bCs w:val="0"/>
          </w:rPr>
          <w:t xml:space="preserve"> I Turfgrass Tolerance to Tetflupyrolimet Applications for Preemergence Grassy Weed Control</w:t>
        </w:r>
        <w:r w:rsidRPr="0082274E">
          <w:rPr>
            <w:b w:val="0"/>
            <w:bCs w:val="0"/>
            <w:webHidden/>
          </w:rPr>
          <w:tab/>
        </w:r>
        <w:r w:rsidRPr="0082274E">
          <w:rPr>
            <w:b w:val="0"/>
            <w:bCs w:val="0"/>
            <w:webHidden/>
          </w:rPr>
          <w:fldChar w:fldCharType="begin"/>
        </w:r>
        <w:r w:rsidRPr="0082274E">
          <w:rPr>
            <w:b w:val="0"/>
            <w:bCs w:val="0"/>
            <w:webHidden/>
          </w:rPr>
          <w:instrText xml:space="preserve"> PAGEREF _Toc192781538 \h </w:instrText>
        </w:r>
        <w:r w:rsidRPr="0082274E">
          <w:rPr>
            <w:b w:val="0"/>
            <w:bCs w:val="0"/>
            <w:webHidden/>
          </w:rPr>
        </w:r>
        <w:r w:rsidRPr="0082274E">
          <w:rPr>
            <w:b w:val="0"/>
            <w:bCs w:val="0"/>
            <w:webHidden/>
          </w:rPr>
          <w:fldChar w:fldCharType="separate"/>
        </w:r>
        <w:r w:rsidR="00180989">
          <w:rPr>
            <w:b w:val="0"/>
            <w:bCs w:val="0"/>
            <w:webHidden/>
          </w:rPr>
          <w:t>2</w:t>
        </w:r>
        <w:r w:rsidRPr="0082274E">
          <w:rPr>
            <w:b w:val="0"/>
            <w:bCs w:val="0"/>
            <w:webHidden/>
          </w:rPr>
          <w:fldChar w:fldCharType="end"/>
        </w:r>
      </w:hyperlink>
    </w:p>
    <w:p w14:paraId="078CBE86" w14:textId="140CA36D"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39" w:history="1">
        <w:r w:rsidRPr="0082274E">
          <w:rPr>
            <w:rStyle w:val="Hyperlink"/>
            <w:b w:val="0"/>
            <w:bCs w:val="0"/>
          </w:rPr>
          <w:t>Abstract</w:t>
        </w:r>
        <w:r w:rsidRPr="0082274E">
          <w:rPr>
            <w:b w:val="0"/>
            <w:bCs w:val="0"/>
            <w:webHidden/>
          </w:rPr>
          <w:tab/>
        </w:r>
        <w:r w:rsidRPr="0082274E">
          <w:rPr>
            <w:b w:val="0"/>
            <w:bCs w:val="0"/>
            <w:iCs/>
            <w:webHidden/>
          </w:rPr>
          <w:fldChar w:fldCharType="begin"/>
        </w:r>
        <w:r w:rsidRPr="0082274E">
          <w:rPr>
            <w:b w:val="0"/>
            <w:bCs w:val="0"/>
            <w:webHidden/>
          </w:rPr>
          <w:instrText xml:space="preserve"> PAGEREF _Toc192781539 \h </w:instrText>
        </w:r>
        <w:r w:rsidRPr="0082274E">
          <w:rPr>
            <w:b w:val="0"/>
            <w:bCs w:val="0"/>
            <w:iCs/>
            <w:webHidden/>
          </w:rPr>
        </w:r>
        <w:r w:rsidRPr="0082274E">
          <w:rPr>
            <w:b w:val="0"/>
            <w:bCs w:val="0"/>
            <w:iCs/>
            <w:webHidden/>
          </w:rPr>
          <w:fldChar w:fldCharType="separate"/>
        </w:r>
        <w:r w:rsidR="00180989">
          <w:rPr>
            <w:b w:val="0"/>
            <w:bCs w:val="0"/>
            <w:webHidden/>
          </w:rPr>
          <w:t>4</w:t>
        </w:r>
        <w:r w:rsidRPr="0082274E">
          <w:rPr>
            <w:b w:val="0"/>
            <w:bCs w:val="0"/>
            <w:iCs/>
            <w:webHidden/>
          </w:rPr>
          <w:fldChar w:fldCharType="end"/>
        </w:r>
      </w:hyperlink>
    </w:p>
    <w:p w14:paraId="3D75DE31" w14:textId="4BF55D06"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40" w:history="1">
        <w:r w:rsidRPr="0082274E">
          <w:rPr>
            <w:rStyle w:val="Hyperlink"/>
            <w:b w:val="0"/>
            <w:bCs w:val="0"/>
          </w:rPr>
          <w:t>Introduction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_Toc192781540 \h </w:instrText>
        </w:r>
        <w:r w:rsidRPr="0082274E">
          <w:rPr>
            <w:b w:val="0"/>
            <w:bCs w:val="0"/>
            <w:iCs/>
            <w:webHidden/>
          </w:rPr>
        </w:r>
        <w:r w:rsidRPr="0082274E">
          <w:rPr>
            <w:b w:val="0"/>
            <w:bCs w:val="0"/>
            <w:iCs/>
            <w:webHidden/>
          </w:rPr>
          <w:fldChar w:fldCharType="separate"/>
        </w:r>
        <w:r w:rsidR="00180989">
          <w:rPr>
            <w:b w:val="0"/>
            <w:bCs w:val="0"/>
            <w:webHidden/>
          </w:rPr>
          <w:t>4</w:t>
        </w:r>
        <w:r w:rsidRPr="0082274E">
          <w:rPr>
            <w:b w:val="0"/>
            <w:bCs w:val="0"/>
            <w:iCs/>
            <w:webHidden/>
          </w:rPr>
          <w:fldChar w:fldCharType="end"/>
        </w:r>
      </w:hyperlink>
    </w:p>
    <w:p w14:paraId="6DD9CA86" w14:textId="58365665"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41" w:history="1">
        <w:r w:rsidRPr="0082274E">
          <w:rPr>
            <w:rStyle w:val="Hyperlink"/>
            <w:b w:val="0"/>
            <w:bCs w:val="0"/>
          </w:rPr>
          <w:t>Materials and Methods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_Toc192781541 \h </w:instrText>
        </w:r>
        <w:r w:rsidRPr="0082274E">
          <w:rPr>
            <w:b w:val="0"/>
            <w:bCs w:val="0"/>
            <w:iCs/>
            <w:webHidden/>
          </w:rPr>
        </w:r>
        <w:r w:rsidRPr="0082274E">
          <w:rPr>
            <w:b w:val="0"/>
            <w:bCs w:val="0"/>
            <w:iCs/>
            <w:webHidden/>
          </w:rPr>
          <w:fldChar w:fldCharType="separate"/>
        </w:r>
        <w:r w:rsidR="00180989">
          <w:rPr>
            <w:b w:val="0"/>
            <w:bCs w:val="0"/>
            <w:webHidden/>
          </w:rPr>
          <w:t>6</w:t>
        </w:r>
        <w:r w:rsidRPr="0082274E">
          <w:rPr>
            <w:b w:val="0"/>
            <w:bCs w:val="0"/>
            <w:iCs/>
            <w:webHidden/>
          </w:rPr>
          <w:fldChar w:fldCharType="end"/>
        </w:r>
      </w:hyperlink>
    </w:p>
    <w:p w14:paraId="573B76E2" w14:textId="5E983905"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2" w:history="1">
        <w:r w:rsidRPr="0082274E">
          <w:rPr>
            <w:rStyle w:val="Hyperlink"/>
            <w:b w:val="0"/>
            <w:bCs w:val="0"/>
            <w:i w:val="0"/>
          </w:rPr>
          <w:t>Turfgrass Tolerance</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_Toc192781542 \h </w:instrText>
        </w:r>
        <w:r w:rsidRPr="0082274E">
          <w:rPr>
            <w:b w:val="0"/>
            <w:bCs w:val="0"/>
            <w:i w:val="0"/>
            <w:webHidden/>
          </w:rPr>
        </w:r>
        <w:r w:rsidRPr="0082274E">
          <w:rPr>
            <w:b w:val="0"/>
            <w:bCs w:val="0"/>
            <w:i w:val="0"/>
            <w:webHidden/>
          </w:rPr>
          <w:fldChar w:fldCharType="separate"/>
        </w:r>
        <w:r w:rsidR="00180989">
          <w:rPr>
            <w:b w:val="0"/>
            <w:bCs w:val="0"/>
            <w:i w:val="0"/>
            <w:webHidden/>
          </w:rPr>
          <w:t>6</w:t>
        </w:r>
        <w:r w:rsidRPr="0082274E">
          <w:rPr>
            <w:b w:val="0"/>
            <w:bCs w:val="0"/>
            <w:i w:val="0"/>
            <w:webHidden/>
          </w:rPr>
          <w:fldChar w:fldCharType="end"/>
        </w:r>
      </w:hyperlink>
    </w:p>
    <w:p w14:paraId="1F4C8DDA" w14:textId="23D7DC71"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3" w:history="1">
        <w:r w:rsidRPr="0082274E">
          <w:rPr>
            <w:rStyle w:val="Hyperlink"/>
            <w:b w:val="0"/>
            <w:bCs w:val="0"/>
            <w:i w:val="0"/>
          </w:rPr>
          <w:t>Controlling Herbicide-Resistant Poa annua</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_Toc192781543 \h </w:instrText>
        </w:r>
        <w:r w:rsidRPr="0082274E">
          <w:rPr>
            <w:b w:val="0"/>
            <w:bCs w:val="0"/>
            <w:i w:val="0"/>
            <w:webHidden/>
          </w:rPr>
        </w:r>
        <w:r w:rsidRPr="0082274E">
          <w:rPr>
            <w:b w:val="0"/>
            <w:bCs w:val="0"/>
            <w:i w:val="0"/>
            <w:webHidden/>
          </w:rPr>
          <w:fldChar w:fldCharType="separate"/>
        </w:r>
        <w:r w:rsidR="00180989">
          <w:rPr>
            <w:b w:val="0"/>
            <w:bCs w:val="0"/>
            <w:i w:val="0"/>
            <w:webHidden/>
          </w:rPr>
          <w:t>8</w:t>
        </w:r>
        <w:r w:rsidRPr="0082274E">
          <w:rPr>
            <w:b w:val="0"/>
            <w:bCs w:val="0"/>
            <w:i w:val="0"/>
            <w:webHidden/>
          </w:rPr>
          <w:fldChar w:fldCharType="end"/>
        </w:r>
      </w:hyperlink>
    </w:p>
    <w:p w14:paraId="56EA9E30" w14:textId="16138E1F"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4" w:history="1">
        <w:r w:rsidRPr="0082274E">
          <w:rPr>
            <w:rStyle w:val="Hyperlink"/>
            <w:b w:val="0"/>
            <w:bCs w:val="0"/>
            <w:i w:val="0"/>
          </w:rPr>
          <w:t>Controlling Smooth Crabgrass</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_Toc192781544 \h </w:instrText>
        </w:r>
        <w:r w:rsidRPr="0082274E">
          <w:rPr>
            <w:b w:val="0"/>
            <w:bCs w:val="0"/>
            <w:i w:val="0"/>
            <w:webHidden/>
          </w:rPr>
        </w:r>
        <w:r w:rsidRPr="0082274E">
          <w:rPr>
            <w:b w:val="0"/>
            <w:bCs w:val="0"/>
            <w:i w:val="0"/>
            <w:webHidden/>
          </w:rPr>
          <w:fldChar w:fldCharType="separate"/>
        </w:r>
        <w:r w:rsidR="00180989">
          <w:rPr>
            <w:b w:val="0"/>
            <w:bCs w:val="0"/>
            <w:i w:val="0"/>
            <w:webHidden/>
          </w:rPr>
          <w:t>10</w:t>
        </w:r>
        <w:r w:rsidRPr="0082274E">
          <w:rPr>
            <w:b w:val="0"/>
            <w:bCs w:val="0"/>
            <w:i w:val="0"/>
            <w:webHidden/>
          </w:rPr>
          <w:fldChar w:fldCharType="end"/>
        </w:r>
      </w:hyperlink>
    </w:p>
    <w:p w14:paraId="01C387E9" w14:textId="6477B290"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45" w:history="1">
        <w:r w:rsidRPr="0082274E">
          <w:rPr>
            <w:rStyle w:val="Hyperlink"/>
            <w:b w:val="0"/>
            <w:bCs w:val="0"/>
          </w:rPr>
          <w:t>Results and Discussion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_Toc192781545 \h </w:instrText>
        </w:r>
        <w:r w:rsidRPr="0082274E">
          <w:rPr>
            <w:b w:val="0"/>
            <w:bCs w:val="0"/>
            <w:iCs/>
            <w:webHidden/>
          </w:rPr>
        </w:r>
        <w:r w:rsidRPr="0082274E">
          <w:rPr>
            <w:b w:val="0"/>
            <w:bCs w:val="0"/>
            <w:iCs/>
            <w:webHidden/>
          </w:rPr>
          <w:fldChar w:fldCharType="separate"/>
        </w:r>
        <w:r w:rsidR="00180989">
          <w:rPr>
            <w:b w:val="0"/>
            <w:bCs w:val="0"/>
            <w:webHidden/>
          </w:rPr>
          <w:t>10</w:t>
        </w:r>
        <w:r w:rsidRPr="0082274E">
          <w:rPr>
            <w:b w:val="0"/>
            <w:bCs w:val="0"/>
            <w:iCs/>
            <w:webHidden/>
          </w:rPr>
          <w:fldChar w:fldCharType="end"/>
        </w:r>
      </w:hyperlink>
    </w:p>
    <w:p w14:paraId="45419B69" w14:textId="6FF2A5E8"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6" w:history="1">
        <w:r w:rsidRPr="0082274E">
          <w:rPr>
            <w:rStyle w:val="Hyperlink"/>
            <w:b w:val="0"/>
            <w:bCs w:val="0"/>
            <w:i w:val="0"/>
          </w:rPr>
          <w:t>Turfgrass Tolerance</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_Toc192781546 \h </w:instrText>
        </w:r>
        <w:r w:rsidRPr="0082274E">
          <w:rPr>
            <w:b w:val="0"/>
            <w:bCs w:val="0"/>
            <w:i w:val="0"/>
            <w:webHidden/>
          </w:rPr>
        </w:r>
        <w:r w:rsidRPr="0082274E">
          <w:rPr>
            <w:b w:val="0"/>
            <w:bCs w:val="0"/>
            <w:i w:val="0"/>
            <w:webHidden/>
          </w:rPr>
          <w:fldChar w:fldCharType="separate"/>
        </w:r>
        <w:r w:rsidR="00180989">
          <w:rPr>
            <w:b w:val="0"/>
            <w:bCs w:val="0"/>
            <w:i w:val="0"/>
            <w:webHidden/>
          </w:rPr>
          <w:t>10</w:t>
        </w:r>
        <w:r w:rsidRPr="0082274E">
          <w:rPr>
            <w:b w:val="0"/>
            <w:bCs w:val="0"/>
            <w:i w:val="0"/>
            <w:webHidden/>
          </w:rPr>
          <w:fldChar w:fldCharType="end"/>
        </w:r>
      </w:hyperlink>
    </w:p>
    <w:p w14:paraId="00F3D39B" w14:textId="7C4E5835"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7" w:history="1">
        <w:r w:rsidRPr="0082274E">
          <w:rPr>
            <w:rStyle w:val="Hyperlink"/>
            <w:b w:val="0"/>
            <w:bCs w:val="0"/>
            <w:i w:val="0"/>
          </w:rPr>
          <w:t>Controlling Herbicide-Resistant Poa annua</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_Toc192781547 \h </w:instrText>
        </w:r>
        <w:r w:rsidRPr="0082274E">
          <w:rPr>
            <w:b w:val="0"/>
            <w:bCs w:val="0"/>
            <w:i w:val="0"/>
            <w:webHidden/>
          </w:rPr>
        </w:r>
        <w:r w:rsidRPr="0082274E">
          <w:rPr>
            <w:b w:val="0"/>
            <w:bCs w:val="0"/>
            <w:i w:val="0"/>
            <w:webHidden/>
          </w:rPr>
          <w:fldChar w:fldCharType="separate"/>
        </w:r>
        <w:r w:rsidR="00180989">
          <w:rPr>
            <w:b w:val="0"/>
            <w:bCs w:val="0"/>
            <w:i w:val="0"/>
            <w:webHidden/>
          </w:rPr>
          <w:t>12</w:t>
        </w:r>
        <w:r w:rsidRPr="0082274E">
          <w:rPr>
            <w:b w:val="0"/>
            <w:bCs w:val="0"/>
            <w:i w:val="0"/>
            <w:webHidden/>
          </w:rPr>
          <w:fldChar w:fldCharType="end"/>
        </w:r>
      </w:hyperlink>
    </w:p>
    <w:p w14:paraId="25099E3A" w14:textId="759865F6"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48" w:history="1">
        <w:r w:rsidRPr="0082274E">
          <w:rPr>
            <w:rStyle w:val="Hyperlink"/>
            <w:b w:val="0"/>
            <w:bCs w:val="0"/>
            <w:i w:val="0"/>
          </w:rPr>
          <w:t>Controlling Smooth Crabgrass</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_Toc192781548 \h </w:instrText>
        </w:r>
        <w:r w:rsidRPr="0082274E">
          <w:rPr>
            <w:b w:val="0"/>
            <w:bCs w:val="0"/>
            <w:i w:val="0"/>
            <w:webHidden/>
          </w:rPr>
        </w:r>
        <w:r w:rsidRPr="0082274E">
          <w:rPr>
            <w:b w:val="0"/>
            <w:bCs w:val="0"/>
            <w:i w:val="0"/>
            <w:webHidden/>
          </w:rPr>
          <w:fldChar w:fldCharType="separate"/>
        </w:r>
        <w:r w:rsidR="00180989">
          <w:rPr>
            <w:b w:val="0"/>
            <w:bCs w:val="0"/>
            <w:i w:val="0"/>
            <w:webHidden/>
          </w:rPr>
          <w:t>13</w:t>
        </w:r>
        <w:r w:rsidRPr="0082274E">
          <w:rPr>
            <w:b w:val="0"/>
            <w:bCs w:val="0"/>
            <w:i w:val="0"/>
            <w:webHidden/>
          </w:rPr>
          <w:fldChar w:fldCharType="end"/>
        </w:r>
      </w:hyperlink>
    </w:p>
    <w:p w14:paraId="7D07E465" w14:textId="19CB2A93"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49" w:history="1">
        <w:r w:rsidRPr="0082274E">
          <w:rPr>
            <w:rStyle w:val="Hyperlink"/>
            <w:b w:val="0"/>
            <w:bCs w:val="0"/>
          </w:rPr>
          <w:t>Conclusions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_Toc192781549 \h </w:instrText>
        </w:r>
        <w:r w:rsidRPr="0082274E">
          <w:rPr>
            <w:b w:val="0"/>
            <w:bCs w:val="0"/>
            <w:iCs/>
            <w:webHidden/>
          </w:rPr>
        </w:r>
        <w:r w:rsidRPr="0082274E">
          <w:rPr>
            <w:b w:val="0"/>
            <w:bCs w:val="0"/>
            <w:iCs/>
            <w:webHidden/>
          </w:rPr>
          <w:fldChar w:fldCharType="separate"/>
        </w:r>
        <w:r w:rsidR="00180989">
          <w:rPr>
            <w:b w:val="0"/>
            <w:bCs w:val="0"/>
            <w:webHidden/>
          </w:rPr>
          <w:t>14</w:t>
        </w:r>
        <w:r w:rsidRPr="0082274E">
          <w:rPr>
            <w:b w:val="0"/>
            <w:bCs w:val="0"/>
            <w:iCs/>
            <w:webHidden/>
          </w:rPr>
          <w:fldChar w:fldCharType="end"/>
        </w:r>
      </w:hyperlink>
    </w:p>
    <w:p w14:paraId="32D1ED6B" w14:textId="5616670E"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50" w:history="1">
        <w:r w:rsidRPr="0082274E">
          <w:rPr>
            <w:rStyle w:val="Hyperlink"/>
            <w:b w:val="0"/>
            <w:bCs w:val="0"/>
          </w:rPr>
          <w:t>References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_Toc192781550 \h </w:instrText>
        </w:r>
        <w:r w:rsidRPr="0082274E">
          <w:rPr>
            <w:b w:val="0"/>
            <w:bCs w:val="0"/>
            <w:iCs/>
            <w:webHidden/>
          </w:rPr>
        </w:r>
        <w:r w:rsidRPr="0082274E">
          <w:rPr>
            <w:b w:val="0"/>
            <w:bCs w:val="0"/>
            <w:iCs/>
            <w:webHidden/>
          </w:rPr>
          <w:fldChar w:fldCharType="separate"/>
        </w:r>
        <w:r w:rsidR="00180989">
          <w:rPr>
            <w:b w:val="0"/>
            <w:bCs w:val="0"/>
            <w:webHidden/>
          </w:rPr>
          <w:t>15</w:t>
        </w:r>
        <w:r w:rsidRPr="0082274E">
          <w:rPr>
            <w:b w:val="0"/>
            <w:bCs w:val="0"/>
            <w:iCs/>
            <w:webHidden/>
          </w:rPr>
          <w:fldChar w:fldCharType="end"/>
        </w:r>
      </w:hyperlink>
    </w:p>
    <w:p w14:paraId="3A8DE130" w14:textId="19847A0B"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51" w:history="1">
        <w:r w:rsidRPr="0082274E">
          <w:rPr>
            <w:rStyle w:val="Hyperlink"/>
            <w:b w:val="0"/>
            <w:bCs w:val="0"/>
            <w:shd w:val="clear" w:color="auto" w:fill="FFFFFF"/>
          </w:rPr>
          <w:t>Appendix</w:t>
        </w:r>
        <w:r w:rsidRPr="0082274E">
          <w:rPr>
            <w:b w:val="0"/>
            <w:bCs w:val="0"/>
            <w:webHidden/>
          </w:rPr>
          <w:tab/>
        </w:r>
        <w:r w:rsidRPr="0082274E">
          <w:rPr>
            <w:b w:val="0"/>
            <w:bCs w:val="0"/>
            <w:iCs/>
            <w:webHidden/>
          </w:rPr>
          <w:fldChar w:fldCharType="begin"/>
        </w:r>
        <w:r w:rsidRPr="0082274E">
          <w:rPr>
            <w:b w:val="0"/>
            <w:bCs w:val="0"/>
            <w:webHidden/>
          </w:rPr>
          <w:instrText xml:space="preserve"> PAGEREF _Toc192781551 \h </w:instrText>
        </w:r>
        <w:r w:rsidRPr="0082274E">
          <w:rPr>
            <w:b w:val="0"/>
            <w:bCs w:val="0"/>
            <w:iCs/>
            <w:webHidden/>
          </w:rPr>
        </w:r>
        <w:r w:rsidRPr="0082274E">
          <w:rPr>
            <w:b w:val="0"/>
            <w:bCs w:val="0"/>
            <w:iCs/>
            <w:webHidden/>
          </w:rPr>
          <w:fldChar w:fldCharType="separate"/>
        </w:r>
        <w:r w:rsidR="00180989">
          <w:rPr>
            <w:b w:val="0"/>
            <w:bCs w:val="0"/>
            <w:webHidden/>
          </w:rPr>
          <w:t>19</w:t>
        </w:r>
        <w:r w:rsidRPr="0082274E">
          <w:rPr>
            <w:b w:val="0"/>
            <w:bCs w:val="0"/>
            <w:iCs/>
            <w:webHidden/>
          </w:rPr>
          <w:fldChar w:fldCharType="end"/>
        </w:r>
      </w:hyperlink>
    </w:p>
    <w:p w14:paraId="7004B491" w14:textId="20DEB89E" w:rsidR="00B63A91" w:rsidRPr="0082274E" w:rsidRDefault="00B63A91" w:rsidP="000C799B">
      <w:pPr>
        <w:pStyle w:val="TOC1"/>
        <w:spacing w:line="360" w:lineRule="auto"/>
        <w:jc w:val="left"/>
        <w:rPr>
          <w:rFonts w:asciiTheme="minorHAnsi" w:eastAsiaTheme="minorEastAsia" w:hAnsiTheme="minorHAnsi" w:cstheme="minorBidi"/>
          <w:b w:val="0"/>
          <w:bCs w:val="0"/>
          <w:kern w:val="2"/>
          <w14:ligatures w14:val="standardContextual"/>
        </w:rPr>
      </w:pPr>
      <w:hyperlink w:anchor="_Toc192781552" w:history="1">
        <w:r w:rsidRPr="0082274E">
          <w:rPr>
            <w:rStyle w:val="Hyperlink"/>
            <w:b w:val="0"/>
            <w:bCs w:val="0"/>
          </w:rPr>
          <w:t>C</w:t>
        </w:r>
        <w:r w:rsidR="00853459">
          <w:rPr>
            <w:rStyle w:val="Hyperlink"/>
            <w:b w:val="0"/>
            <w:bCs w:val="0"/>
          </w:rPr>
          <w:t>hapter</w:t>
        </w:r>
        <w:r w:rsidRPr="0082274E">
          <w:rPr>
            <w:rStyle w:val="Hyperlink"/>
            <w:b w:val="0"/>
            <w:bCs w:val="0"/>
          </w:rPr>
          <w:t xml:space="preserve"> II </w:t>
        </w:r>
        <w:r w:rsidRPr="0082274E">
          <w:rPr>
            <w:rFonts w:cs="Times New Roman"/>
            <w:b w:val="0"/>
            <w:bCs w:val="0"/>
          </w:rPr>
          <w:t>Soil Texture Effects on Tetflupyrolimet Efficacy in Turfgrass</w:t>
        </w:r>
        <w:r w:rsidRPr="0082274E">
          <w:rPr>
            <w:b w:val="0"/>
            <w:bCs w:val="0"/>
            <w:webHidden/>
          </w:rPr>
          <w:tab/>
        </w:r>
        <w:r w:rsidRPr="0082274E">
          <w:rPr>
            <w:b w:val="0"/>
            <w:bCs w:val="0"/>
            <w:webHidden/>
          </w:rPr>
          <w:fldChar w:fldCharType="begin"/>
        </w:r>
        <w:r w:rsidRPr="0082274E">
          <w:rPr>
            <w:b w:val="0"/>
            <w:bCs w:val="0"/>
            <w:webHidden/>
          </w:rPr>
          <w:instrText xml:space="preserve"> PAGEREF _Toc192781552 \h </w:instrText>
        </w:r>
        <w:r w:rsidRPr="0082274E">
          <w:rPr>
            <w:b w:val="0"/>
            <w:bCs w:val="0"/>
            <w:webHidden/>
          </w:rPr>
        </w:r>
        <w:r w:rsidRPr="0082274E">
          <w:rPr>
            <w:b w:val="0"/>
            <w:bCs w:val="0"/>
            <w:webHidden/>
          </w:rPr>
          <w:fldChar w:fldCharType="separate"/>
        </w:r>
        <w:r w:rsidR="00180989">
          <w:rPr>
            <w:b w:val="0"/>
            <w:bCs w:val="0"/>
            <w:webHidden/>
          </w:rPr>
          <w:t>26</w:t>
        </w:r>
        <w:r w:rsidRPr="0082274E">
          <w:rPr>
            <w:b w:val="0"/>
            <w:bCs w:val="0"/>
            <w:webHidden/>
          </w:rPr>
          <w:fldChar w:fldCharType="end"/>
        </w:r>
      </w:hyperlink>
    </w:p>
    <w:p w14:paraId="57146E73" w14:textId="44BB9A72"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54" w:history="1">
        <w:r w:rsidRPr="0082274E">
          <w:rPr>
            <w:rStyle w:val="Hyperlink"/>
            <w:b w:val="0"/>
            <w:bCs w:val="0"/>
          </w:rPr>
          <w:t>Abstract</w:t>
        </w:r>
        <w:r w:rsidRPr="0082274E">
          <w:rPr>
            <w:b w:val="0"/>
            <w:bCs w:val="0"/>
            <w:webHidden/>
          </w:rPr>
          <w:tab/>
        </w:r>
        <w:r w:rsidRPr="0082274E">
          <w:rPr>
            <w:b w:val="0"/>
            <w:bCs w:val="0"/>
            <w:iCs/>
            <w:webHidden/>
          </w:rPr>
          <w:fldChar w:fldCharType="begin"/>
        </w:r>
        <w:r w:rsidRPr="0082274E">
          <w:rPr>
            <w:b w:val="0"/>
            <w:bCs w:val="0"/>
            <w:webHidden/>
          </w:rPr>
          <w:instrText xml:space="preserve"> PAGEREF _Toc192781554 \h </w:instrText>
        </w:r>
        <w:r w:rsidRPr="0082274E">
          <w:rPr>
            <w:b w:val="0"/>
            <w:bCs w:val="0"/>
            <w:iCs/>
            <w:webHidden/>
          </w:rPr>
        </w:r>
        <w:r w:rsidRPr="0082274E">
          <w:rPr>
            <w:b w:val="0"/>
            <w:bCs w:val="0"/>
            <w:iCs/>
            <w:webHidden/>
          </w:rPr>
          <w:fldChar w:fldCharType="separate"/>
        </w:r>
        <w:r w:rsidR="00180989">
          <w:rPr>
            <w:b w:val="0"/>
            <w:bCs w:val="0"/>
            <w:webHidden/>
          </w:rPr>
          <w:t>28</w:t>
        </w:r>
        <w:r w:rsidRPr="0082274E">
          <w:rPr>
            <w:b w:val="0"/>
            <w:bCs w:val="0"/>
            <w:iCs/>
            <w:webHidden/>
          </w:rPr>
          <w:fldChar w:fldCharType="end"/>
        </w:r>
      </w:hyperlink>
    </w:p>
    <w:p w14:paraId="45DE179B" w14:textId="058BCCB6"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55" w:history="1">
        <w:r w:rsidRPr="0082274E">
          <w:rPr>
            <w:rStyle w:val="Hyperlink"/>
            <w:b w:val="0"/>
            <w:bCs w:val="0"/>
          </w:rPr>
          <w:t>Introduction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_Toc192781555 \h </w:instrText>
        </w:r>
        <w:r w:rsidRPr="0082274E">
          <w:rPr>
            <w:b w:val="0"/>
            <w:bCs w:val="0"/>
            <w:iCs/>
            <w:webHidden/>
          </w:rPr>
        </w:r>
        <w:r w:rsidRPr="0082274E">
          <w:rPr>
            <w:b w:val="0"/>
            <w:bCs w:val="0"/>
            <w:iCs/>
            <w:webHidden/>
          </w:rPr>
          <w:fldChar w:fldCharType="separate"/>
        </w:r>
        <w:r w:rsidR="00180989">
          <w:rPr>
            <w:b w:val="0"/>
            <w:bCs w:val="0"/>
            <w:webHidden/>
          </w:rPr>
          <w:t>28</w:t>
        </w:r>
        <w:r w:rsidRPr="0082274E">
          <w:rPr>
            <w:b w:val="0"/>
            <w:bCs w:val="0"/>
            <w:iCs/>
            <w:webHidden/>
          </w:rPr>
          <w:fldChar w:fldCharType="end"/>
        </w:r>
      </w:hyperlink>
    </w:p>
    <w:p w14:paraId="743C6960" w14:textId="02812BAA"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56" w:history="1">
        <w:r w:rsidRPr="0082274E">
          <w:rPr>
            <w:rStyle w:val="Hyperlink"/>
            <w:b w:val="0"/>
            <w:bCs w:val="0"/>
          </w:rPr>
          <w:t>Materials and Methods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_Toc192781556 \h </w:instrText>
        </w:r>
        <w:r w:rsidRPr="0082274E">
          <w:rPr>
            <w:b w:val="0"/>
            <w:bCs w:val="0"/>
            <w:iCs/>
            <w:webHidden/>
          </w:rPr>
        </w:r>
        <w:r w:rsidRPr="0082274E">
          <w:rPr>
            <w:b w:val="0"/>
            <w:bCs w:val="0"/>
            <w:iCs/>
            <w:webHidden/>
          </w:rPr>
          <w:fldChar w:fldCharType="separate"/>
        </w:r>
        <w:r w:rsidR="00180989">
          <w:rPr>
            <w:b w:val="0"/>
            <w:bCs w:val="0"/>
            <w:webHidden/>
          </w:rPr>
          <w:t>30</w:t>
        </w:r>
        <w:r w:rsidRPr="0082274E">
          <w:rPr>
            <w:b w:val="0"/>
            <w:bCs w:val="0"/>
            <w:iCs/>
            <w:webHidden/>
          </w:rPr>
          <w:fldChar w:fldCharType="end"/>
        </w:r>
      </w:hyperlink>
    </w:p>
    <w:p w14:paraId="4CA3806F" w14:textId="263A2FE4"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57" w:history="1">
        <w:r w:rsidRPr="0082274E">
          <w:rPr>
            <w:rStyle w:val="Hyperlink"/>
            <w:b w:val="0"/>
            <w:bCs w:val="0"/>
            <w:i w:val="0"/>
          </w:rPr>
          <w:t>Soil Selection</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_Toc192781557 \h </w:instrText>
        </w:r>
        <w:r w:rsidRPr="0082274E">
          <w:rPr>
            <w:b w:val="0"/>
            <w:bCs w:val="0"/>
            <w:i w:val="0"/>
            <w:webHidden/>
          </w:rPr>
        </w:r>
        <w:r w:rsidRPr="0082274E">
          <w:rPr>
            <w:b w:val="0"/>
            <w:bCs w:val="0"/>
            <w:i w:val="0"/>
            <w:webHidden/>
          </w:rPr>
          <w:fldChar w:fldCharType="separate"/>
        </w:r>
        <w:r w:rsidR="00180989">
          <w:rPr>
            <w:b w:val="0"/>
            <w:bCs w:val="0"/>
            <w:i w:val="0"/>
            <w:webHidden/>
          </w:rPr>
          <w:t>30</w:t>
        </w:r>
        <w:r w:rsidRPr="0082274E">
          <w:rPr>
            <w:b w:val="0"/>
            <w:bCs w:val="0"/>
            <w:i w:val="0"/>
            <w:webHidden/>
          </w:rPr>
          <w:fldChar w:fldCharType="end"/>
        </w:r>
      </w:hyperlink>
    </w:p>
    <w:p w14:paraId="37830634" w14:textId="7C7C5AEA"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58" w:history="1">
        <w:r w:rsidRPr="0082274E">
          <w:rPr>
            <w:rStyle w:val="Hyperlink"/>
            <w:b w:val="0"/>
            <w:bCs w:val="0"/>
            <w:i w:val="0"/>
          </w:rPr>
          <w:t>Dose Reponse Studies</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_Toc192781558 \h </w:instrText>
        </w:r>
        <w:r w:rsidRPr="0082274E">
          <w:rPr>
            <w:b w:val="0"/>
            <w:bCs w:val="0"/>
            <w:i w:val="0"/>
            <w:webHidden/>
          </w:rPr>
        </w:r>
        <w:r w:rsidRPr="0082274E">
          <w:rPr>
            <w:b w:val="0"/>
            <w:bCs w:val="0"/>
            <w:i w:val="0"/>
            <w:webHidden/>
          </w:rPr>
          <w:fldChar w:fldCharType="separate"/>
        </w:r>
        <w:r w:rsidR="00180989">
          <w:rPr>
            <w:b w:val="0"/>
            <w:bCs w:val="0"/>
            <w:i w:val="0"/>
            <w:webHidden/>
          </w:rPr>
          <w:t>30</w:t>
        </w:r>
        <w:r w:rsidRPr="0082274E">
          <w:rPr>
            <w:b w:val="0"/>
            <w:bCs w:val="0"/>
            <w:i w:val="0"/>
            <w:webHidden/>
          </w:rPr>
          <w:fldChar w:fldCharType="end"/>
        </w:r>
      </w:hyperlink>
    </w:p>
    <w:p w14:paraId="3891D79A" w14:textId="492A5DFB"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59" w:history="1">
        <w:r w:rsidRPr="0082274E">
          <w:rPr>
            <w:rStyle w:val="Hyperlink"/>
            <w:b w:val="0"/>
            <w:bCs w:val="0"/>
            <w:i w:val="0"/>
          </w:rPr>
          <w:t>Soil Moisture Effects on Tetflupyrolimet</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_Toc192781559 \h </w:instrText>
        </w:r>
        <w:r w:rsidRPr="0082274E">
          <w:rPr>
            <w:b w:val="0"/>
            <w:bCs w:val="0"/>
            <w:i w:val="0"/>
            <w:webHidden/>
          </w:rPr>
        </w:r>
        <w:r w:rsidRPr="0082274E">
          <w:rPr>
            <w:b w:val="0"/>
            <w:bCs w:val="0"/>
            <w:i w:val="0"/>
            <w:webHidden/>
          </w:rPr>
          <w:fldChar w:fldCharType="separate"/>
        </w:r>
        <w:r w:rsidR="00180989">
          <w:rPr>
            <w:b w:val="0"/>
            <w:bCs w:val="0"/>
            <w:i w:val="0"/>
            <w:webHidden/>
          </w:rPr>
          <w:t>32</w:t>
        </w:r>
        <w:r w:rsidRPr="0082274E">
          <w:rPr>
            <w:b w:val="0"/>
            <w:bCs w:val="0"/>
            <w:i w:val="0"/>
            <w:webHidden/>
          </w:rPr>
          <w:fldChar w:fldCharType="end"/>
        </w:r>
      </w:hyperlink>
    </w:p>
    <w:p w14:paraId="4E08F933" w14:textId="4067C6B4"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0" w:history="1">
        <w:r w:rsidRPr="0082274E">
          <w:rPr>
            <w:rStyle w:val="Hyperlink"/>
            <w:b w:val="0"/>
            <w:bCs w:val="0"/>
          </w:rPr>
          <w:t>Results and Discussion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_Toc192781560 \h </w:instrText>
        </w:r>
        <w:r w:rsidRPr="0082274E">
          <w:rPr>
            <w:b w:val="0"/>
            <w:bCs w:val="0"/>
            <w:iCs/>
            <w:webHidden/>
          </w:rPr>
        </w:r>
        <w:r w:rsidRPr="0082274E">
          <w:rPr>
            <w:b w:val="0"/>
            <w:bCs w:val="0"/>
            <w:iCs/>
            <w:webHidden/>
          </w:rPr>
          <w:fldChar w:fldCharType="separate"/>
        </w:r>
        <w:r w:rsidR="00180989">
          <w:rPr>
            <w:b w:val="0"/>
            <w:bCs w:val="0"/>
            <w:webHidden/>
          </w:rPr>
          <w:t>32</w:t>
        </w:r>
        <w:r w:rsidRPr="0082274E">
          <w:rPr>
            <w:b w:val="0"/>
            <w:bCs w:val="0"/>
            <w:iCs/>
            <w:webHidden/>
          </w:rPr>
          <w:fldChar w:fldCharType="end"/>
        </w:r>
      </w:hyperlink>
    </w:p>
    <w:p w14:paraId="494CF397" w14:textId="4D02F7B9"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61" w:history="1">
        <w:r w:rsidRPr="0082274E">
          <w:rPr>
            <w:rStyle w:val="Hyperlink"/>
            <w:b w:val="0"/>
            <w:bCs w:val="0"/>
            <w:i w:val="0"/>
          </w:rPr>
          <w:t>Soil-Type Dose Response</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_Toc192781561 \h </w:instrText>
        </w:r>
        <w:r w:rsidRPr="0082274E">
          <w:rPr>
            <w:b w:val="0"/>
            <w:bCs w:val="0"/>
            <w:i w:val="0"/>
            <w:webHidden/>
          </w:rPr>
        </w:r>
        <w:r w:rsidRPr="0082274E">
          <w:rPr>
            <w:b w:val="0"/>
            <w:bCs w:val="0"/>
            <w:i w:val="0"/>
            <w:webHidden/>
          </w:rPr>
          <w:fldChar w:fldCharType="separate"/>
        </w:r>
        <w:r w:rsidR="00180989">
          <w:rPr>
            <w:b w:val="0"/>
            <w:bCs w:val="0"/>
            <w:i w:val="0"/>
            <w:webHidden/>
          </w:rPr>
          <w:t>32</w:t>
        </w:r>
        <w:r w:rsidRPr="0082274E">
          <w:rPr>
            <w:b w:val="0"/>
            <w:bCs w:val="0"/>
            <w:i w:val="0"/>
            <w:webHidden/>
          </w:rPr>
          <w:fldChar w:fldCharType="end"/>
        </w:r>
      </w:hyperlink>
    </w:p>
    <w:p w14:paraId="2829CE6F" w14:textId="669A7B16"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62" w:history="1">
        <w:r w:rsidRPr="0082274E">
          <w:rPr>
            <w:rStyle w:val="Hyperlink"/>
            <w:b w:val="0"/>
            <w:bCs w:val="0"/>
            <w:i w:val="0"/>
          </w:rPr>
          <w:t>Soil-Moisture Impacting Tetflupyrolimet Efficacy</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_Toc192781562 \h </w:instrText>
        </w:r>
        <w:r w:rsidRPr="0082274E">
          <w:rPr>
            <w:b w:val="0"/>
            <w:bCs w:val="0"/>
            <w:i w:val="0"/>
            <w:webHidden/>
          </w:rPr>
        </w:r>
        <w:r w:rsidRPr="0082274E">
          <w:rPr>
            <w:b w:val="0"/>
            <w:bCs w:val="0"/>
            <w:i w:val="0"/>
            <w:webHidden/>
          </w:rPr>
          <w:fldChar w:fldCharType="separate"/>
        </w:r>
        <w:r w:rsidR="00180989">
          <w:rPr>
            <w:b w:val="0"/>
            <w:bCs w:val="0"/>
            <w:i w:val="0"/>
            <w:webHidden/>
          </w:rPr>
          <w:t>33</w:t>
        </w:r>
        <w:r w:rsidRPr="0082274E">
          <w:rPr>
            <w:b w:val="0"/>
            <w:bCs w:val="0"/>
            <w:i w:val="0"/>
            <w:webHidden/>
          </w:rPr>
          <w:fldChar w:fldCharType="end"/>
        </w:r>
      </w:hyperlink>
    </w:p>
    <w:p w14:paraId="66E14559" w14:textId="131BEC48"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3" w:history="1">
        <w:r w:rsidRPr="0082274E">
          <w:rPr>
            <w:rStyle w:val="Hyperlink"/>
            <w:b w:val="0"/>
            <w:bCs w:val="0"/>
          </w:rPr>
          <w:t>Conclusions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_Toc192781563 \h </w:instrText>
        </w:r>
        <w:r w:rsidRPr="0082274E">
          <w:rPr>
            <w:b w:val="0"/>
            <w:bCs w:val="0"/>
            <w:iCs/>
            <w:webHidden/>
          </w:rPr>
        </w:r>
        <w:r w:rsidRPr="0082274E">
          <w:rPr>
            <w:b w:val="0"/>
            <w:bCs w:val="0"/>
            <w:iCs/>
            <w:webHidden/>
          </w:rPr>
          <w:fldChar w:fldCharType="separate"/>
        </w:r>
        <w:r w:rsidR="00180989">
          <w:rPr>
            <w:b w:val="0"/>
            <w:bCs w:val="0"/>
            <w:webHidden/>
          </w:rPr>
          <w:t>34</w:t>
        </w:r>
        <w:r w:rsidRPr="0082274E">
          <w:rPr>
            <w:b w:val="0"/>
            <w:bCs w:val="0"/>
            <w:iCs/>
            <w:webHidden/>
          </w:rPr>
          <w:fldChar w:fldCharType="end"/>
        </w:r>
      </w:hyperlink>
    </w:p>
    <w:p w14:paraId="6B2E5D0B" w14:textId="67BD637E"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4" w:history="1">
        <w:r w:rsidRPr="0082274E">
          <w:rPr>
            <w:rStyle w:val="Hyperlink"/>
            <w:b w:val="0"/>
            <w:bCs w:val="0"/>
          </w:rPr>
          <w:t>References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_Toc192781564 \h </w:instrText>
        </w:r>
        <w:r w:rsidRPr="0082274E">
          <w:rPr>
            <w:b w:val="0"/>
            <w:bCs w:val="0"/>
            <w:iCs/>
            <w:webHidden/>
          </w:rPr>
        </w:r>
        <w:r w:rsidRPr="0082274E">
          <w:rPr>
            <w:b w:val="0"/>
            <w:bCs w:val="0"/>
            <w:iCs/>
            <w:webHidden/>
          </w:rPr>
          <w:fldChar w:fldCharType="separate"/>
        </w:r>
        <w:r w:rsidR="00180989">
          <w:rPr>
            <w:b w:val="0"/>
            <w:bCs w:val="0"/>
            <w:webHidden/>
          </w:rPr>
          <w:t>35</w:t>
        </w:r>
        <w:r w:rsidRPr="0082274E">
          <w:rPr>
            <w:b w:val="0"/>
            <w:bCs w:val="0"/>
            <w:iCs/>
            <w:webHidden/>
          </w:rPr>
          <w:fldChar w:fldCharType="end"/>
        </w:r>
      </w:hyperlink>
    </w:p>
    <w:p w14:paraId="6CB4568B" w14:textId="5EA757C3"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5" w:history="1">
        <w:r w:rsidRPr="0082274E">
          <w:rPr>
            <w:rStyle w:val="Hyperlink"/>
            <w:b w:val="0"/>
            <w:bCs w:val="0"/>
            <w:shd w:val="clear" w:color="auto" w:fill="FFFFFF"/>
          </w:rPr>
          <w:t>Appendix</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_Toc192781565 \h </w:instrText>
        </w:r>
        <w:r w:rsidRPr="0082274E">
          <w:rPr>
            <w:b w:val="0"/>
            <w:bCs w:val="0"/>
            <w:iCs/>
            <w:webHidden/>
          </w:rPr>
        </w:r>
        <w:r w:rsidRPr="0082274E">
          <w:rPr>
            <w:b w:val="0"/>
            <w:bCs w:val="0"/>
            <w:iCs/>
            <w:webHidden/>
          </w:rPr>
          <w:fldChar w:fldCharType="separate"/>
        </w:r>
        <w:r w:rsidR="00180989">
          <w:rPr>
            <w:b w:val="0"/>
            <w:bCs w:val="0"/>
            <w:webHidden/>
          </w:rPr>
          <w:t>39</w:t>
        </w:r>
        <w:r w:rsidRPr="0082274E">
          <w:rPr>
            <w:b w:val="0"/>
            <w:bCs w:val="0"/>
            <w:iCs/>
            <w:webHidden/>
          </w:rPr>
          <w:fldChar w:fldCharType="end"/>
        </w:r>
      </w:hyperlink>
    </w:p>
    <w:p w14:paraId="5D6913BF" w14:textId="09B7EB99" w:rsidR="00B63A91" w:rsidRPr="0082274E" w:rsidRDefault="00B63A91" w:rsidP="000C799B">
      <w:pPr>
        <w:pStyle w:val="TOC1"/>
        <w:spacing w:line="360" w:lineRule="auto"/>
        <w:jc w:val="left"/>
        <w:rPr>
          <w:rFonts w:asciiTheme="minorHAnsi" w:eastAsiaTheme="minorEastAsia" w:hAnsiTheme="minorHAnsi" w:cstheme="minorBidi"/>
          <w:b w:val="0"/>
          <w:bCs w:val="0"/>
          <w:kern w:val="2"/>
          <w14:ligatures w14:val="standardContextual"/>
        </w:rPr>
      </w:pPr>
      <w:hyperlink w:anchor="_Toc192781566" w:history="1">
        <w:r w:rsidRPr="0082274E">
          <w:rPr>
            <w:rStyle w:val="Hyperlink"/>
            <w:b w:val="0"/>
            <w:bCs w:val="0"/>
          </w:rPr>
          <w:t>C</w:t>
        </w:r>
        <w:r w:rsidR="00853459">
          <w:rPr>
            <w:rStyle w:val="Hyperlink"/>
            <w:b w:val="0"/>
            <w:bCs w:val="0"/>
          </w:rPr>
          <w:t>hapter</w:t>
        </w:r>
        <w:r w:rsidRPr="0082274E">
          <w:rPr>
            <w:rStyle w:val="Hyperlink"/>
            <w:b w:val="0"/>
            <w:bCs w:val="0"/>
          </w:rPr>
          <w:t xml:space="preserve"> III </w:t>
        </w:r>
        <w:r w:rsidRPr="0082274E">
          <w:rPr>
            <w:rFonts w:cs="Times New Roman"/>
            <w:b w:val="0"/>
            <w:bCs w:val="0"/>
          </w:rPr>
          <w:t xml:space="preserve">Downslope Lateral Movement of Tetflupyrolimet and Pronamide in Turfgrass </w:t>
        </w:r>
        <w:r w:rsidRPr="0082274E">
          <w:rPr>
            <w:b w:val="0"/>
            <w:bCs w:val="0"/>
            <w:webHidden/>
          </w:rPr>
          <w:tab/>
        </w:r>
        <w:r w:rsidRPr="0082274E">
          <w:rPr>
            <w:b w:val="0"/>
            <w:bCs w:val="0"/>
            <w:webHidden/>
          </w:rPr>
          <w:fldChar w:fldCharType="begin"/>
        </w:r>
        <w:r w:rsidRPr="0082274E">
          <w:rPr>
            <w:b w:val="0"/>
            <w:bCs w:val="0"/>
            <w:webHidden/>
          </w:rPr>
          <w:instrText xml:space="preserve"> PAGEREF _Toc192781566 \h </w:instrText>
        </w:r>
        <w:r w:rsidRPr="0082274E">
          <w:rPr>
            <w:b w:val="0"/>
            <w:bCs w:val="0"/>
            <w:webHidden/>
          </w:rPr>
        </w:r>
        <w:r w:rsidRPr="0082274E">
          <w:rPr>
            <w:b w:val="0"/>
            <w:bCs w:val="0"/>
            <w:webHidden/>
          </w:rPr>
          <w:fldChar w:fldCharType="separate"/>
        </w:r>
        <w:r w:rsidR="00180989">
          <w:rPr>
            <w:b w:val="0"/>
            <w:bCs w:val="0"/>
            <w:webHidden/>
          </w:rPr>
          <w:t>46</w:t>
        </w:r>
        <w:r w:rsidRPr="0082274E">
          <w:rPr>
            <w:b w:val="0"/>
            <w:bCs w:val="0"/>
            <w:webHidden/>
          </w:rPr>
          <w:fldChar w:fldCharType="end"/>
        </w:r>
      </w:hyperlink>
    </w:p>
    <w:p w14:paraId="3A8C0CC2" w14:textId="43859006"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8" w:history="1">
        <w:r w:rsidRPr="0082274E">
          <w:rPr>
            <w:rStyle w:val="Hyperlink"/>
            <w:b w:val="0"/>
            <w:bCs w:val="0"/>
          </w:rPr>
          <w:t>Abstract</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_Toc192781568 \h </w:instrText>
        </w:r>
        <w:r w:rsidRPr="0082274E">
          <w:rPr>
            <w:b w:val="0"/>
            <w:bCs w:val="0"/>
            <w:iCs/>
            <w:webHidden/>
          </w:rPr>
        </w:r>
        <w:r w:rsidRPr="0082274E">
          <w:rPr>
            <w:b w:val="0"/>
            <w:bCs w:val="0"/>
            <w:iCs/>
            <w:webHidden/>
          </w:rPr>
          <w:fldChar w:fldCharType="separate"/>
        </w:r>
        <w:r w:rsidR="00180989">
          <w:rPr>
            <w:b w:val="0"/>
            <w:bCs w:val="0"/>
            <w:webHidden/>
          </w:rPr>
          <w:t>48</w:t>
        </w:r>
        <w:r w:rsidRPr="0082274E">
          <w:rPr>
            <w:b w:val="0"/>
            <w:bCs w:val="0"/>
            <w:iCs/>
            <w:webHidden/>
          </w:rPr>
          <w:fldChar w:fldCharType="end"/>
        </w:r>
      </w:hyperlink>
    </w:p>
    <w:p w14:paraId="29D23DD4" w14:textId="1500B595"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69" w:history="1">
        <w:r w:rsidRPr="0082274E">
          <w:rPr>
            <w:rStyle w:val="Hyperlink"/>
            <w:b w:val="0"/>
            <w:bCs w:val="0"/>
          </w:rPr>
          <w:t>Introduction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_Toc192781569 \h </w:instrText>
        </w:r>
        <w:r w:rsidRPr="0082274E">
          <w:rPr>
            <w:b w:val="0"/>
            <w:bCs w:val="0"/>
            <w:iCs/>
            <w:webHidden/>
          </w:rPr>
        </w:r>
        <w:r w:rsidRPr="0082274E">
          <w:rPr>
            <w:b w:val="0"/>
            <w:bCs w:val="0"/>
            <w:iCs/>
            <w:webHidden/>
          </w:rPr>
          <w:fldChar w:fldCharType="separate"/>
        </w:r>
        <w:r w:rsidR="00180989">
          <w:rPr>
            <w:b w:val="0"/>
            <w:bCs w:val="0"/>
            <w:webHidden/>
          </w:rPr>
          <w:t>48</w:t>
        </w:r>
        <w:r w:rsidRPr="0082274E">
          <w:rPr>
            <w:b w:val="0"/>
            <w:bCs w:val="0"/>
            <w:iCs/>
            <w:webHidden/>
          </w:rPr>
          <w:fldChar w:fldCharType="end"/>
        </w:r>
      </w:hyperlink>
    </w:p>
    <w:p w14:paraId="019AAF35" w14:textId="657EB007"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70" w:history="1">
        <w:r w:rsidRPr="0082274E">
          <w:rPr>
            <w:rStyle w:val="Hyperlink"/>
            <w:b w:val="0"/>
            <w:bCs w:val="0"/>
          </w:rPr>
          <w:t>Materials and Methods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_Toc192781570 \h </w:instrText>
        </w:r>
        <w:r w:rsidRPr="0082274E">
          <w:rPr>
            <w:b w:val="0"/>
            <w:bCs w:val="0"/>
            <w:iCs/>
            <w:webHidden/>
          </w:rPr>
        </w:r>
        <w:r w:rsidRPr="0082274E">
          <w:rPr>
            <w:b w:val="0"/>
            <w:bCs w:val="0"/>
            <w:iCs/>
            <w:webHidden/>
          </w:rPr>
          <w:fldChar w:fldCharType="separate"/>
        </w:r>
        <w:r w:rsidR="00180989">
          <w:rPr>
            <w:b w:val="0"/>
            <w:bCs w:val="0"/>
            <w:webHidden/>
          </w:rPr>
          <w:t>50</w:t>
        </w:r>
        <w:r w:rsidRPr="0082274E">
          <w:rPr>
            <w:b w:val="0"/>
            <w:bCs w:val="0"/>
            <w:iCs/>
            <w:webHidden/>
          </w:rPr>
          <w:fldChar w:fldCharType="end"/>
        </w:r>
      </w:hyperlink>
    </w:p>
    <w:p w14:paraId="264038C8" w14:textId="2269D4A9"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71" w:history="1">
        <w:r w:rsidRPr="0082274E">
          <w:rPr>
            <w:rStyle w:val="Hyperlink"/>
            <w:b w:val="0"/>
            <w:bCs w:val="0"/>
            <w:i w:val="0"/>
          </w:rPr>
          <w:t>Site Preparation</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_Toc192781571 \h </w:instrText>
        </w:r>
        <w:r w:rsidRPr="0082274E">
          <w:rPr>
            <w:b w:val="0"/>
            <w:bCs w:val="0"/>
            <w:i w:val="0"/>
            <w:webHidden/>
          </w:rPr>
        </w:r>
        <w:r w:rsidRPr="0082274E">
          <w:rPr>
            <w:b w:val="0"/>
            <w:bCs w:val="0"/>
            <w:i w:val="0"/>
            <w:webHidden/>
          </w:rPr>
          <w:fldChar w:fldCharType="separate"/>
        </w:r>
        <w:r w:rsidR="00180989">
          <w:rPr>
            <w:b w:val="0"/>
            <w:bCs w:val="0"/>
            <w:i w:val="0"/>
            <w:webHidden/>
          </w:rPr>
          <w:t>50</w:t>
        </w:r>
        <w:r w:rsidRPr="0082274E">
          <w:rPr>
            <w:b w:val="0"/>
            <w:bCs w:val="0"/>
            <w:i w:val="0"/>
            <w:webHidden/>
          </w:rPr>
          <w:fldChar w:fldCharType="end"/>
        </w:r>
      </w:hyperlink>
    </w:p>
    <w:p w14:paraId="08CF10CD" w14:textId="03F0C3FD"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72" w:history="1">
        <w:r w:rsidRPr="0082274E">
          <w:rPr>
            <w:rStyle w:val="Hyperlink"/>
            <w:b w:val="0"/>
            <w:bCs w:val="0"/>
            <w:i w:val="0"/>
          </w:rPr>
          <w:t>Downslope Lateral Movement</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_Toc192781572 \h </w:instrText>
        </w:r>
        <w:r w:rsidRPr="0082274E">
          <w:rPr>
            <w:b w:val="0"/>
            <w:bCs w:val="0"/>
            <w:i w:val="0"/>
            <w:webHidden/>
          </w:rPr>
        </w:r>
        <w:r w:rsidRPr="0082274E">
          <w:rPr>
            <w:b w:val="0"/>
            <w:bCs w:val="0"/>
            <w:i w:val="0"/>
            <w:webHidden/>
          </w:rPr>
          <w:fldChar w:fldCharType="separate"/>
        </w:r>
        <w:r w:rsidR="00180989">
          <w:rPr>
            <w:b w:val="0"/>
            <w:bCs w:val="0"/>
            <w:i w:val="0"/>
            <w:webHidden/>
          </w:rPr>
          <w:t>50</w:t>
        </w:r>
        <w:r w:rsidRPr="0082274E">
          <w:rPr>
            <w:b w:val="0"/>
            <w:bCs w:val="0"/>
            <w:i w:val="0"/>
            <w:webHidden/>
          </w:rPr>
          <w:fldChar w:fldCharType="end"/>
        </w:r>
      </w:hyperlink>
    </w:p>
    <w:p w14:paraId="0AC433AC" w14:textId="2BDF806E"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73" w:history="1">
        <w:r w:rsidRPr="0082274E">
          <w:rPr>
            <w:rStyle w:val="Hyperlink"/>
            <w:b w:val="0"/>
            <w:bCs w:val="0"/>
            <w:i w:val="0"/>
          </w:rPr>
          <w:t>Experimental Design</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_Toc192781573 \h </w:instrText>
        </w:r>
        <w:r w:rsidRPr="0082274E">
          <w:rPr>
            <w:b w:val="0"/>
            <w:bCs w:val="0"/>
            <w:i w:val="0"/>
            <w:webHidden/>
          </w:rPr>
        </w:r>
        <w:r w:rsidRPr="0082274E">
          <w:rPr>
            <w:b w:val="0"/>
            <w:bCs w:val="0"/>
            <w:i w:val="0"/>
            <w:webHidden/>
          </w:rPr>
          <w:fldChar w:fldCharType="separate"/>
        </w:r>
        <w:r w:rsidR="00180989">
          <w:rPr>
            <w:b w:val="0"/>
            <w:bCs w:val="0"/>
            <w:i w:val="0"/>
            <w:webHidden/>
          </w:rPr>
          <w:t>51</w:t>
        </w:r>
        <w:r w:rsidRPr="0082274E">
          <w:rPr>
            <w:b w:val="0"/>
            <w:bCs w:val="0"/>
            <w:i w:val="0"/>
            <w:webHidden/>
          </w:rPr>
          <w:fldChar w:fldCharType="end"/>
        </w:r>
      </w:hyperlink>
    </w:p>
    <w:p w14:paraId="23FF093E" w14:textId="28C8DE52" w:rsidR="00B63A91" w:rsidRPr="0082274E" w:rsidRDefault="00B63A91" w:rsidP="000C799B">
      <w:pPr>
        <w:pStyle w:val="TOC3"/>
        <w:spacing w:line="360" w:lineRule="auto"/>
        <w:rPr>
          <w:rFonts w:asciiTheme="minorHAnsi" w:eastAsiaTheme="minorEastAsia" w:hAnsiTheme="minorHAnsi" w:cstheme="minorBidi"/>
          <w:b w:val="0"/>
          <w:bCs w:val="0"/>
          <w:i w:val="0"/>
          <w:kern w:val="2"/>
          <w14:ligatures w14:val="standardContextual"/>
        </w:rPr>
      </w:pPr>
      <w:hyperlink w:anchor="_Toc192781574" w:history="1">
        <w:r w:rsidRPr="0082274E">
          <w:rPr>
            <w:rStyle w:val="Hyperlink"/>
            <w:b w:val="0"/>
            <w:bCs w:val="0"/>
            <w:i w:val="0"/>
          </w:rPr>
          <w:t>Data Analysis</w:t>
        </w:r>
        <w:r w:rsidRPr="0082274E">
          <w:rPr>
            <w:b w:val="0"/>
            <w:bCs w:val="0"/>
            <w:i w:val="0"/>
            <w:webHidden/>
          </w:rPr>
          <w:tab/>
        </w:r>
        <w:r w:rsidRPr="0082274E">
          <w:rPr>
            <w:b w:val="0"/>
            <w:bCs w:val="0"/>
            <w:i w:val="0"/>
            <w:webHidden/>
          </w:rPr>
          <w:fldChar w:fldCharType="begin"/>
        </w:r>
        <w:r w:rsidRPr="0082274E">
          <w:rPr>
            <w:b w:val="0"/>
            <w:bCs w:val="0"/>
            <w:i w:val="0"/>
            <w:webHidden/>
          </w:rPr>
          <w:instrText xml:space="preserve"> PAGEREF _Toc192781574 \h </w:instrText>
        </w:r>
        <w:r w:rsidRPr="0082274E">
          <w:rPr>
            <w:b w:val="0"/>
            <w:bCs w:val="0"/>
            <w:i w:val="0"/>
            <w:webHidden/>
          </w:rPr>
        </w:r>
        <w:r w:rsidRPr="0082274E">
          <w:rPr>
            <w:b w:val="0"/>
            <w:bCs w:val="0"/>
            <w:i w:val="0"/>
            <w:webHidden/>
          </w:rPr>
          <w:fldChar w:fldCharType="separate"/>
        </w:r>
        <w:r w:rsidR="00180989">
          <w:rPr>
            <w:b w:val="0"/>
            <w:bCs w:val="0"/>
            <w:i w:val="0"/>
            <w:webHidden/>
          </w:rPr>
          <w:t>51</w:t>
        </w:r>
        <w:r w:rsidRPr="0082274E">
          <w:rPr>
            <w:b w:val="0"/>
            <w:bCs w:val="0"/>
            <w:i w:val="0"/>
            <w:webHidden/>
          </w:rPr>
          <w:fldChar w:fldCharType="end"/>
        </w:r>
      </w:hyperlink>
    </w:p>
    <w:p w14:paraId="0A1250C1" w14:textId="50B2754B"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75" w:history="1">
        <w:r w:rsidRPr="0082274E">
          <w:rPr>
            <w:rStyle w:val="Hyperlink"/>
            <w:b w:val="0"/>
            <w:bCs w:val="0"/>
          </w:rPr>
          <w:t>Results and Discussion</w:t>
        </w:r>
        <w:r w:rsidRPr="0082274E">
          <w:rPr>
            <w:b w:val="0"/>
            <w:bCs w:val="0"/>
            <w:webHidden/>
          </w:rPr>
          <w:tab/>
        </w:r>
        <w:r w:rsidRPr="0082274E">
          <w:rPr>
            <w:b w:val="0"/>
            <w:bCs w:val="0"/>
            <w:iCs/>
            <w:webHidden/>
          </w:rPr>
          <w:fldChar w:fldCharType="begin"/>
        </w:r>
        <w:r w:rsidRPr="0082274E">
          <w:rPr>
            <w:b w:val="0"/>
            <w:bCs w:val="0"/>
            <w:webHidden/>
          </w:rPr>
          <w:instrText xml:space="preserve"> PAGEREF _Toc192781575 \h </w:instrText>
        </w:r>
        <w:r w:rsidRPr="0082274E">
          <w:rPr>
            <w:b w:val="0"/>
            <w:bCs w:val="0"/>
            <w:iCs/>
            <w:webHidden/>
          </w:rPr>
        </w:r>
        <w:r w:rsidRPr="0082274E">
          <w:rPr>
            <w:b w:val="0"/>
            <w:bCs w:val="0"/>
            <w:iCs/>
            <w:webHidden/>
          </w:rPr>
          <w:fldChar w:fldCharType="separate"/>
        </w:r>
        <w:r w:rsidR="00180989">
          <w:rPr>
            <w:b w:val="0"/>
            <w:bCs w:val="0"/>
            <w:webHidden/>
          </w:rPr>
          <w:t>52</w:t>
        </w:r>
        <w:r w:rsidRPr="0082274E">
          <w:rPr>
            <w:b w:val="0"/>
            <w:bCs w:val="0"/>
            <w:iCs/>
            <w:webHidden/>
          </w:rPr>
          <w:fldChar w:fldCharType="end"/>
        </w:r>
      </w:hyperlink>
    </w:p>
    <w:p w14:paraId="7BB0A0F0" w14:textId="6F465A5F"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76" w:history="1">
        <w:r w:rsidRPr="0082274E">
          <w:rPr>
            <w:rStyle w:val="Hyperlink"/>
            <w:b w:val="0"/>
            <w:bCs w:val="0"/>
          </w:rPr>
          <w:t>Conclusions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_Toc192781576 \h </w:instrText>
        </w:r>
        <w:r w:rsidRPr="0082274E">
          <w:rPr>
            <w:b w:val="0"/>
            <w:bCs w:val="0"/>
            <w:iCs/>
            <w:webHidden/>
          </w:rPr>
        </w:r>
        <w:r w:rsidRPr="0082274E">
          <w:rPr>
            <w:b w:val="0"/>
            <w:bCs w:val="0"/>
            <w:iCs/>
            <w:webHidden/>
          </w:rPr>
          <w:fldChar w:fldCharType="separate"/>
        </w:r>
        <w:r w:rsidR="00180989">
          <w:rPr>
            <w:b w:val="0"/>
            <w:bCs w:val="0"/>
            <w:webHidden/>
          </w:rPr>
          <w:t>54</w:t>
        </w:r>
        <w:r w:rsidRPr="0082274E">
          <w:rPr>
            <w:b w:val="0"/>
            <w:bCs w:val="0"/>
            <w:iCs/>
            <w:webHidden/>
          </w:rPr>
          <w:fldChar w:fldCharType="end"/>
        </w:r>
      </w:hyperlink>
    </w:p>
    <w:p w14:paraId="421B0ED0" w14:textId="06B0BC38"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77" w:history="1">
        <w:r w:rsidRPr="0082274E">
          <w:rPr>
            <w:rStyle w:val="Hyperlink"/>
            <w:b w:val="0"/>
            <w:bCs w:val="0"/>
          </w:rPr>
          <w:t>References</w:t>
        </w:r>
        <w:r w:rsidRPr="0082274E">
          <w:rPr>
            <w:b w:val="0"/>
            <w:bCs w:val="0"/>
            <w:webHidden/>
          </w:rPr>
          <w:tab/>
        </w:r>
        <w:r w:rsidRPr="0082274E">
          <w:rPr>
            <w:b w:val="0"/>
            <w:bCs w:val="0"/>
            <w:iCs/>
            <w:webHidden/>
          </w:rPr>
          <w:fldChar w:fldCharType="begin"/>
        </w:r>
        <w:r w:rsidRPr="0082274E">
          <w:rPr>
            <w:b w:val="0"/>
            <w:bCs w:val="0"/>
            <w:webHidden/>
          </w:rPr>
          <w:instrText xml:space="preserve"> PAGEREF _Toc192781577 \h </w:instrText>
        </w:r>
        <w:r w:rsidRPr="0082274E">
          <w:rPr>
            <w:b w:val="0"/>
            <w:bCs w:val="0"/>
            <w:iCs/>
            <w:webHidden/>
          </w:rPr>
        </w:r>
        <w:r w:rsidRPr="0082274E">
          <w:rPr>
            <w:b w:val="0"/>
            <w:bCs w:val="0"/>
            <w:iCs/>
            <w:webHidden/>
          </w:rPr>
          <w:fldChar w:fldCharType="separate"/>
        </w:r>
        <w:r w:rsidR="00180989">
          <w:rPr>
            <w:b w:val="0"/>
            <w:bCs w:val="0"/>
            <w:webHidden/>
          </w:rPr>
          <w:t>55</w:t>
        </w:r>
        <w:r w:rsidRPr="0082274E">
          <w:rPr>
            <w:b w:val="0"/>
            <w:bCs w:val="0"/>
            <w:iCs/>
            <w:webHidden/>
          </w:rPr>
          <w:fldChar w:fldCharType="end"/>
        </w:r>
      </w:hyperlink>
    </w:p>
    <w:p w14:paraId="231407C6" w14:textId="182FD161" w:rsidR="00B63A91" w:rsidRPr="0082274E" w:rsidRDefault="00B63A91" w:rsidP="000C799B">
      <w:pPr>
        <w:pStyle w:val="TOC2"/>
        <w:spacing w:line="360" w:lineRule="auto"/>
        <w:rPr>
          <w:rFonts w:asciiTheme="minorHAnsi" w:eastAsiaTheme="minorEastAsia" w:hAnsiTheme="minorHAnsi" w:cstheme="minorBidi"/>
          <w:b w:val="0"/>
          <w:bCs w:val="0"/>
          <w:iCs/>
          <w:kern w:val="2"/>
          <w14:ligatures w14:val="standardContextual"/>
        </w:rPr>
      </w:pPr>
      <w:hyperlink w:anchor="_Toc192781578" w:history="1">
        <w:r w:rsidRPr="0082274E">
          <w:rPr>
            <w:rStyle w:val="Hyperlink"/>
            <w:b w:val="0"/>
            <w:bCs w:val="0"/>
          </w:rPr>
          <w:t>Appendix</w:t>
        </w:r>
        <w:r w:rsidRPr="0082274E">
          <w:rPr>
            <w:b w:val="0"/>
            <w:bCs w:val="0"/>
            <w:webHidden/>
          </w:rPr>
          <w:tab/>
        </w:r>
        <w:r w:rsidRPr="0082274E">
          <w:rPr>
            <w:b w:val="0"/>
            <w:bCs w:val="0"/>
            <w:iCs/>
            <w:webHidden/>
          </w:rPr>
          <w:fldChar w:fldCharType="begin"/>
        </w:r>
        <w:r w:rsidRPr="0082274E">
          <w:rPr>
            <w:b w:val="0"/>
            <w:bCs w:val="0"/>
            <w:webHidden/>
          </w:rPr>
          <w:instrText xml:space="preserve"> PAGEREF _Toc192781578 \h </w:instrText>
        </w:r>
        <w:r w:rsidRPr="0082274E">
          <w:rPr>
            <w:b w:val="0"/>
            <w:bCs w:val="0"/>
            <w:iCs/>
            <w:webHidden/>
          </w:rPr>
        </w:r>
        <w:r w:rsidRPr="0082274E">
          <w:rPr>
            <w:b w:val="0"/>
            <w:bCs w:val="0"/>
            <w:iCs/>
            <w:webHidden/>
          </w:rPr>
          <w:fldChar w:fldCharType="separate"/>
        </w:r>
        <w:r w:rsidR="00180989">
          <w:rPr>
            <w:b w:val="0"/>
            <w:bCs w:val="0"/>
            <w:webHidden/>
          </w:rPr>
          <w:t>57</w:t>
        </w:r>
        <w:r w:rsidRPr="0082274E">
          <w:rPr>
            <w:b w:val="0"/>
            <w:bCs w:val="0"/>
            <w:iCs/>
            <w:webHidden/>
          </w:rPr>
          <w:fldChar w:fldCharType="end"/>
        </w:r>
      </w:hyperlink>
    </w:p>
    <w:p w14:paraId="527AF1F9" w14:textId="73468D5A" w:rsidR="00B63A91" w:rsidRPr="0082274E" w:rsidRDefault="00B63A91" w:rsidP="000C799B">
      <w:pPr>
        <w:pStyle w:val="TOC1"/>
        <w:spacing w:line="360" w:lineRule="auto"/>
        <w:jc w:val="left"/>
        <w:rPr>
          <w:rFonts w:asciiTheme="minorHAnsi" w:eastAsiaTheme="minorEastAsia" w:hAnsiTheme="minorHAnsi" w:cstheme="minorBidi"/>
          <w:b w:val="0"/>
          <w:bCs w:val="0"/>
          <w:kern w:val="2"/>
          <w14:ligatures w14:val="standardContextual"/>
        </w:rPr>
      </w:pPr>
      <w:hyperlink w:anchor="_Toc192781579" w:history="1">
        <w:r w:rsidRPr="0082274E">
          <w:rPr>
            <w:rStyle w:val="Hyperlink"/>
            <w:rFonts w:cs="Times New Roman"/>
            <w:b w:val="0"/>
            <w:bCs w:val="0"/>
          </w:rPr>
          <w:t>V</w:t>
        </w:r>
        <w:r w:rsidR="00853459">
          <w:rPr>
            <w:rStyle w:val="Hyperlink"/>
            <w:rFonts w:cs="Times New Roman"/>
            <w:b w:val="0"/>
            <w:bCs w:val="0"/>
          </w:rPr>
          <w:t>ita</w:t>
        </w:r>
        <w:r w:rsidRPr="0082274E">
          <w:rPr>
            <w:b w:val="0"/>
            <w:bCs w:val="0"/>
            <w:webHidden/>
          </w:rPr>
          <w:tab/>
        </w:r>
        <w:r w:rsidRPr="0082274E">
          <w:rPr>
            <w:b w:val="0"/>
            <w:bCs w:val="0"/>
            <w:webHidden/>
          </w:rPr>
          <w:fldChar w:fldCharType="begin"/>
        </w:r>
        <w:r w:rsidRPr="0082274E">
          <w:rPr>
            <w:b w:val="0"/>
            <w:bCs w:val="0"/>
            <w:webHidden/>
          </w:rPr>
          <w:instrText xml:space="preserve"> PAGEREF _Toc192781579 \h </w:instrText>
        </w:r>
        <w:r w:rsidRPr="0082274E">
          <w:rPr>
            <w:b w:val="0"/>
            <w:bCs w:val="0"/>
            <w:webHidden/>
          </w:rPr>
        </w:r>
        <w:r w:rsidRPr="0082274E">
          <w:rPr>
            <w:b w:val="0"/>
            <w:bCs w:val="0"/>
            <w:webHidden/>
          </w:rPr>
          <w:fldChar w:fldCharType="separate"/>
        </w:r>
        <w:r w:rsidR="00180989">
          <w:rPr>
            <w:b w:val="0"/>
            <w:bCs w:val="0"/>
            <w:webHidden/>
          </w:rPr>
          <w:t>63</w:t>
        </w:r>
        <w:r w:rsidRPr="0082274E">
          <w:rPr>
            <w:b w:val="0"/>
            <w:bCs w:val="0"/>
            <w:webHidden/>
          </w:rPr>
          <w:fldChar w:fldCharType="end"/>
        </w:r>
      </w:hyperlink>
    </w:p>
    <w:p w14:paraId="0EC56192" w14:textId="2B2D30C5" w:rsidR="00387656" w:rsidRPr="00DF7C87" w:rsidRDefault="00EA1C88" w:rsidP="000C799B">
      <w:pPr>
        <w:spacing w:line="360" w:lineRule="auto"/>
        <w:rPr>
          <w:rFonts w:cs="Times New Roman"/>
        </w:rPr>
      </w:pPr>
      <w:r w:rsidRPr="0082274E">
        <w:rPr>
          <w:rFonts w:cs="Times New Roman"/>
        </w:rPr>
        <w:fldChar w:fldCharType="end"/>
      </w:r>
    </w:p>
    <w:p w14:paraId="0EC56193" w14:textId="77777777" w:rsidR="00387656" w:rsidRPr="00DF7C87" w:rsidRDefault="009C755C" w:rsidP="00574AFF">
      <w:pPr>
        <w:pStyle w:val="Title"/>
        <w:spacing w:line="360" w:lineRule="auto"/>
        <w:rPr>
          <w:rFonts w:cs="Times New Roman"/>
          <w:sz w:val="24"/>
        </w:rPr>
      </w:pPr>
      <w:r w:rsidRPr="00DF7C87">
        <w:rPr>
          <w:rFonts w:cs="Times New Roman"/>
          <w:sz w:val="24"/>
        </w:rPr>
        <w:br w:type="page"/>
      </w:r>
    </w:p>
    <w:p w14:paraId="0EC56195" w14:textId="28FEA14C" w:rsidR="00387656" w:rsidRPr="000C799B" w:rsidRDefault="00387656" w:rsidP="000C799B">
      <w:pPr>
        <w:pStyle w:val="Title"/>
        <w:spacing w:line="360" w:lineRule="auto"/>
        <w:rPr>
          <w:rFonts w:cs="Times New Roman"/>
          <w:sz w:val="24"/>
        </w:rPr>
      </w:pPr>
      <w:r w:rsidRPr="00AF3BDF">
        <w:rPr>
          <w:rFonts w:cs="Times New Roman"/>
          <w:sz w:val="24"/>
        </w:rPr>
        <w:lastRenderedPageBreak/>
        <w:t>LIST OF TABLES</w:t>
      </w:r>
    </w:p>
    <w:p w14:paraId="1333FAFE" w14:textId="667D549F" w:rsidR="0029247A" w:rsidRDefault="00387656"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r w:rsidRPr="00DF7C87">
        <w:rPr>
          <w:rFonts w:cs="Times New Roman"/>
        </w:rPr>
        <w:fldChar w:fldCharType="begin"/>
      </w:r>
      <w:r w:rsidRPr="00DF7C87">
        <w:rPr>
          <w:rFonts w:cs="Times New Roman"/>
        </w:rPr>
        <w:instrText xml:space="preserve"> TOC \h \z \c "Table" </w:instrText>
      </w:r>
      <w:r w:rsidRPr="00DF7C87">
        <w:rPr>
          <w:rFonts w:cs="Times New Roman"/>
        </w:rPr>
        <w:fldChar w:fldCharType="separate"/>
      </w:r>
      <w:hyperlink w:anchor="_Toc192846038" w:history="1">
        <w:r w:rsidR="0029247A" w:rsidRPr="00232B3F">
          <w:rPr>
            <w:rStyle w:val="Hyperlink"/>
            <w:noProof/>
          </w:rPr>
          <w:t xml:space="preserve">Table 1.1. </w:t>
        </w:r>
        <w:r w:rsidR="0029247A" w:rsidRPr="00232B3F">
          <w:rPr>
            <w:rStyle w:val="Hyperlink"/>
            <w:rFonts w:cs="Times New Roman"/>
            <w:noProof/>
          </w:rPr>
          <w:t>Growing conditions during fall and spring experiments evaluating tolerance of five turfgrass species to tetflupyrolimet (Dodhylex</w:t>
        </w:r>
        <w:r w:rsidR="0029247A" w:rsidRPr="00232B3F">
          <w:rPr>
            <w:rStyle w:val="Hyperlink"/>
            <w:rFonts w:cs="Times New Roman"/>
            <w:b/>
            <w:bCs/>
            <w:noProof/>
          </w:rPr>
          <w:sym w:font="Symbol" w:char="F0D4"/>
        </w:r>
        <w:r w:rsidR="0029247A" w:rsidRPr="00232B3F">
          <w:rPr>
            <w:rStyle w:val="Hyperlink"/>
            <w:rFonts w:cs="Times New Roman"/>
            <w:noProof/>
          </w:rPr>
          <w:t xml:space="preserve"> Active. FMC Corporation. Philadelphia, PA) conducted in Knoxville, TN. Fall experiments were initiated on 28 September 2022 and 30 September 2023. Spring experiments were initiated on 28 February 2023 and 29 February 2024. In all studies, data were collected for 180 days. All weather data obtained from the mesur.io Earthstream</w:t>
        </w:r>
        <w:r w:rsidR="0029247A" w:rsidRPr="00232B3F">
          <w:rPr>
            <w:rStyle w:val="Hyperlink"/>
            <w:rFonts w:cs="Times New Roman"/>
            <w:noProof/>
            <w:vertAlign w:val="superscript"/>
          </w:rPr>
          <w:t>®</w:t>
        </w:r>
        <w:r w:rsidR="0029247A" w:rsidRPr="00232B3F">
          <w:rPr>
            <w:rStyle w:val="Hyperlink"/>
            <w:rFonts w:cs="Times New Roman"/>
            <w:noProof/>
          </w:rPr>
          <w:t xml:space="preserve"> platform (mesur.io, Yanceyville, NC).</w:t>
        </w:r>
        <w:r w:rsidR="0029247A">
          <w:rPr>
            <w:noProof/>
            <w:webHidden/>
          </w:rPr>
          <w:tab/>
        </w:r>
        <w:r w:rsidR="0029247A">
          <w:rPr>
            <w:noProof/>
            <w:webHidden/>
          </w:rPr>
          <w:fldChar w:fldCharType="begin"/>
        </w:r>
        <w:r w:rsidR="0029247A">
          <w:rPr>
            <w:noProof/>
            <w:webHidden/>
          </w:rPr>
          <w:instrText xml:space="preserve"> PAGEREF _Toc192846038 \h </w:instrText>
        </w:r>
        <w:r w:rsidR="0029247A">
          <w:rPr>
            <w:noProof/>
            <w:webHidden/>
          </w:rPr>
        </w:r>
        <w:r w:rsidR="0029247A">
          <w:rPr>
            <w:noProof/>
            <w:webHidden/>
          </w:rPr>
          <w:fldChar w:fldCharType="separate"/>
        </w:r>
        <w:r w:rsidR="00180989">
          <w:rPr>
            <w:noProof/>
            <w:webHidden/>
          </w:rPr>
          <w:t>19</w:t>
        </w:r>
        <w:r w:rsidR="0029247A">
          <w:rPr>
            <w:noProof/>
            <w:webHidden/>
          </w:rPr>
          <w:fldChar w:fldCharType="end"/>
        </w:r>
      </w:hyperlink>
    </w:p>
    <w:p w14:paraId="4C30A688" w14:textId="7D8313DD"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39" w:history="1">
        <w:r w:rsidRPr="00232B3F">
          <w:rPr>
            <w:rStyle w:val="Hyperlink"/>
            <w:noProof/>
          </w:rPr>
          <w:t xml:space="preserve">Table 1.2. </w:t>
        </w:r>
        <w:r w:rsidRPr="00232B3F">
          <w:rPr>
            <w:rStyle w:val="Hyperlink"/>
            <w:rFonts w:cs="Times New Roman"/>
            <w:noProof/>
          </w:rPr>
          <w:t>Physical and chemical properties of the soils in place for all experimental trial work evaluating efficacy and tolerance of tetflupyrolimet (Dodhylex</w:t>
        </w:r>
        <w:r w:rsidRPr="00232B3F">
          <w:rPr>
            <w:rStyle w:val="Hyperlink"/>
            <w:rFonts w:cs="Times New Roman"/>
            <w:b/>
            <w:bCs/>
            <w:noProof/>
          </w:rPr>
          <w:sym w:font="Symbol" w:char="F0D4"/>
        </w:r>
        <w:r w:rsidRPr="00232B3F">
          <w:rPr>
            <w:rStyle w:val="Hyperlink"/>
            <w:rFonts w:cs="Times New Roman"/>
            <w:noProof/>
          </w:rPr>
          <w:t xml:space="preserve"> Active. FMC Corporation. Philadelphia, PA) at Montgomery Bell State Park Golf Course (Burns, TN) and the East Tennessee Research and Education Center (ETREC) – Plant Science Unit (Knoxville, TN).</w:t>
        </w:r>
        <w:r>
          <w:rPr>
            <w:noProof/>
            <w:webHidden/>
          </w:rPr>
          <w:tab/>
        </w:r>
        <w:r>
          <w:rPr>
            <w:noProof/>
            <w:webHidden/>
          </w:rPr>
          <w:fldChar w:fldCharType="begin"/>
        </w:r>
        <w:r>
          <w:rPr>
            <w:noProof/>
            <w:webHidden/>
          </w:rPr>
          <w:instrText xml:space="preserve"> PAGEREF _Toc192846039 \h </w:instrText>
        </w:r>
        <w:r>
          <w:rPr>
            <w:noProof/>
            <w:webHidden/>
          </w:rPr>
        </w:r>
        <w:r>
          <w:rPr>
            <w:noProof/>
            <w:webHidden/>
          </w:rPr>
          <w:fldChar w:fldCharType="separate"/>
        </w:r>
        <w:r w:rsidR="00180989">
          <w:rPr>
            <w:noProof/>
            <w:webHidden/>
          </w:rPr>
          <w:t>20</w:t>
        </w:r>
        <w:r>
          <w:rPr>
            <w:noProof/>
            <w:webHidden/>
          </w:rPr>
          <w:fldChar w:fldCharType="end"/>
        </w:r>
      </w:hyperlink>
    </w:p>
    <w:p w14:paraId="01719B75" w14:textId="01A8930A"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0" w:history="1">
        <w:r w:rsidRPr="00232B3F">
          <w:rPr>
            <w:rStyle w:val="Hyperlink"/>
            <w:noProof/>
          </w:rPr>
          <w:t>Table 1.3.</w:t>
        </w:r>
        <w:r w:rsidRPr="00232B3F">
          <w:rPr>
            <w:rStyle w:val="Hyperlink"/>
            <w:rFonts w:cs="Times New Roman"/>
            <w:noProof/>
          </w:rPr>
          <w:t xml:space="preserve"> Rate of tetflupyrolimet (Dodhylex</w:t>
        </w:r>
        <w:r w:rsidRPr="00232B3F">
          <w:rPr>
            <w:rStyle w:val="Hyperlink"/>
            <w:rFonts w:cs="Times New Roman"/>
            <w:b/>
            <w:bCs/>
            <w:noProof/>
          </w:rPr>
          <w:sym w:font="Symbol" w:char="F0D4"/>
        </w:r>
        <w:r w:rsidRPr="00232B3F">
          <w:rPr>
            <w:rStyle w:val="Hyperlink"/>
            <w:rFonts w:cs="Times New Roman"/>
            <w:noProof/>
          </w:rPr>
          <w:t xml:space="preserve"> Active. FMC Corporation. Philadelphia, PA) to induce 25% injury (EC</w:t>
        </w:r>
        <w:r w:rsidRPr="00232B3F">
          <w:rPr>
            <w:rStyle w:val="Hyperlink"/>
            <w:rFonts w:cs="Times New Roman"/>
            <w:noProof/>
            <w:vertAlign w:val="subscript"/>
          </w:rPr>
          <w:t>25</w:t>
        </w:r>
        <w:r w:rsidRPr="00232B3F">
          <w:rPr>
            <w:rStyle w:val="Hyperlink"/>
            <w:rFonts w:cs="Times New Roman"/>
            <w:noProof/>
          </w:rPr>
          <w:t>) at 95 days after treatment on Kentucky bluegrass (</w:t>
        </w:r>
        <w:r w:rsidRPr="00232B3F">
          <w:rPr>
            <w:rStyle w:val="Hyperlink"/>
            <w:rFonts w:cs="Times New Roman"/>
            <w:i/>
            <w:iCs/>
            <w:noProof/>
          </w:rPr>
          <w:t>Poa pratensis</w:t>
        </w:r>
        <w:r w:rsidRPr="00232B3F">
          <w:rPr>
            <w:rStyle w:val="Hyperlink"/>
            <w:rFonts w:cs="Times New Roman"/>
            <w:noProof/>
          </w:rPr>
          <w:t xml:space="preserve"> L., cv., ‘HGT’), creeping bentgrass (</w:t>
        </w:r>
        <w:r w:rsidRPr="00232B3F">
          <w:rPr>
            <w:rStyle w:val="Hyperlink"/>
            <w:rFonts w:cs="Times New Roman"/>
            <w:i/>
            <w:iCs/>
            <w:noProof/>
          </w:rPr>
          <w:t>Agrostis stolonifera</w:t>
        </w:r>
        <w:r w:rsidRPr="00232B3F">
          <w:rPr>
            <w:rStyle w:val="Hyperlink"/>
            <w:rFonts w:cs="Times New Roman"/>
            <w:noProof/>
          </w:rPr>
          <w:t xml:space="preserve"> L., cv. ‘L-93XD’), and tall fescue (</w:t>
        </w:r>
        <w:r w:rsidRPr="00232B3F">
          <w:rPr>
            <w:rStyle w:val="Hyperlink"/>
            <w:rFonts w:cs="Times New Roman"/>
            <w:i/>
            <w:iCs/>
            <w:noProof/>
          </w:rPr>
          <w:t>Festuca arundinacea</w:t>
        </w:r>
        <w:r w:rsidRPr="00232B3F">
          <w:rPr>
            <w:rStyle w:val="Hyperlink"/>
            <w:rFonts w:cs="Times New Roman"/>
            <w:noProof/>
          </w:rPr>
          <w:t xml:space="preserve"> Schreb., cv. ‘Lebanon Winning Colors Plus’) during fall and spring. Fall tolerance experiments were initiated on 28 September 2022 and 30 September 2023, while spring experiments were initiated on 28 February 2023 and 29 February 2024. All studies were collected at the East Tennessee AgResearch and Education Center – Plant Sciences Unit (Knoxville, TN).</w:t>
        </w:r>
        <w:r>
          <w:rPr>
            <w:noProof/>
            <w:webHidden/>
          </w:rPr>
          <w:tab/>
        </w:r>
        <w:r>
          <w:rPr>
            <w:noProof/>
            <w:webHidden/>
          </w:rPr>
          <w:fldChar w:fldCharType="begin"/>
        </w:r>
        <w:r>
          <w:rPr>
            <w:noProof/>
            <w:webHidden/>
          </w:rPr>
          <w:instrText xml:space="preserve"> PAGEREF _Toc192846040 \h </w:instrText>
        </w:r>
        <w:r>
          <w:rPr>
            <w:noProof/>
            <w:webHidden/>
          </w:rPr>
        </w:r>
        <w:r>
          <w:rPr>
            <w:noProof/>
            <w:webHidden/>
          </w:rPr>
          <w:fldChar w:fldCharType="separate"/>
        </w:r>
        <w:r w:rsidR="00180989">
          <w:rPr>
            <w:noProof/>
            <w:webHidden/>
          </w:rPr>
          <w:t>21</w:t>
        </w:r>
        <w:r>
          <w:rPr>
            <w:noProof/>
            <w:webHidden/>
          </w:rPr>
          <w:fldChar w:fldCharType="end"/>
        </w:r>
      </w:hyperlink>
    </w:p>
    <w:p w14:paraId="7E658821" w14:textId="0847CC69"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1" w:history="1">
        <w:r w:rsidRPr="00232B3F">
          <w:rPr>
            <w:rStyle w:val="Hyperlink"/>
            <w:noProof/>
          </w:rPr>
          <w:t xml:space="preserve">Table 1.4. </w:t>
        </w:r>
        <w:r w:rsidRPr="00232B3F">
          <w:rPr>
            <w:rStyle w:val="Hyperlink"/>
            <w:rFonts w:cs="Times New Roman"/>
            <w:i/>
            <w:iCs/>
            <w:noProof/>
          </w:rPr>
          <w:t>Poa annua</w:t>
        </w:r>
        <w:r w:rsidRPr="00232B3F">
          <w:rPr>
            <w:rStyle w:val="Hyperlink"/>
            <w:rFonts w:cs="Times New Roman"/>
            <w:noProof/>
          </w:rPr>
          <w:t xml:space="preserve"> control with PRE and early postemergence (EPOST) applications of tetflupyrolimet (Dodhylex</w:t>
        </w:r>
        <w:r w:rsidRPr="00232B3F">
          <w:rPr>
            <w:rStyle w:val="Hyperlink"/>
            <w:rFonts w:cs="Times New Roman"/>
            <w:b/>
            <w:bCs/>
            <w:noProof/>
          </w:rPr>
          <w:sym w:font="Symbol" w:char="F0D4"/>
        </w:r>
        <w:r w:rsidRPr="00232B3F">
          <w:rPr>
            <w:rStyle w:val="Hyperlink"/>
            <w:rFonts w:cs="Times New Roman"/>
            <w:noProof/>
          </w:rPr>
          <w:t xml:space="preserve"> Active. FMC Corporation. Philadelphia, PA) alone and in mixtures. Applications made to a hybrid bermudagrass (</w:t>
        </w:r>
        <w:r w:rsidRPr="00232B3F">
          <w:rPr>
            <w:rStyle w:val="Hyperlink"/>
            <w:rFonts w:cs="Times New Roman"/>
            <w:i/>
            <w:iCs/>
            <w:noProof/>
          </w:rPr>
          <w:t xml:space="preserve">C. dactylon </w:t>
        </w:r>
        <w:r w:rsidRPr="00232B3F">
          <w:rPr>
            <w:rStyle w:val="Hyperlink"/>
            <w:rFonts w:cs="Times New Roman"/>
            <w:noProof/>
          </w:rPr>
          <w:t xml:space="preserve">x </w:t>
        </w:r>
        <w:r w:rsidRPr="00232B3F">
          <w:rPr>
            <w:rStyle w:val="Hyperlink"/>
            <w:rFonts w:cs="Times New Roman"/>
            <w:i/>
            <w:iCs/>
            <w:noProof/>
          </w:rPr>
          <w:t>C. transvaalensis</w:t>
        </w:r>
        <w:r w:rsidRPr="00232B3F">
          <w:rPr>
            <w:rStyle w:val="Hyperlink"/>
            <w:rFonts w:cs="Times New Roman"/>
            <w:noProof/>
          </w:rPr>
          <w:t xml:space="preserve">, cv. ’Tifway’) golf course fairway at Montgomery Bell State Park Golf Course (Burns, TN) infested with herbicide-resistant </w:t>
        </w:r>
        <w:r w:rsidRPr="00232B3F">
          <w:rPr>
            <w:rStyle w:val="Hyperlink"/>
            <w:rFonts w:cs="Times New Roman"/>
            <w:i/>
            <w:iCs/>
            <w:noProof/>
          </w:rPr>
          <w:t>Poa annua</w:t>
        </w:r>
        <w:r w:rsidRPr="00232B3F">
          <w:rPr>
            <w:rStyle w:val="Hyperlink"/>
            <w:rFonts w:cs="Times New Roman"/>
            <w:noProof/>
          </w:rPr>
          <w:t>.</w:t>
        </w:r>
        <w:r>
          <w:rPr>
            <w:noProof/>
            <w:webHidden/>
          </w:rPr>
          <w:tab/>
        </w:r>
        <w:r>
          <w:rPr>
            <w:noProof/>
            <w:webHidden/>
          </w:rPr>
          <w:fldChar w:fldCharType="begin"/>
        </w:r>
        <w:r>
          <w:rPr>
            <w:noProof/>
            <w:webHidden/>
          </w:rPr>
          <w:instrText xml:space="preserve"> PAGEREF _Toc192846041 \h </w:instrText>
        </w:r>
        <w:r>
          <w:rPr>
            <w:noProof/>
            <w:webHidden/>
          </w:rPr>
        </w:r>
        <w:r>
          <w:rPr>
            <w:noProof/>
            <w:webHidden/>
          </w:rPr>
          <w:fldChar w:fldCharType="separate"/>
        </w:r>
        <w:r w:rsidR="00180989">
          <w:rPr>
            <w:noProof/>
            <w:webHidden/>
          </w:rPr>
          <w:t>24</w:t>
        </w:r>
        <w:r>
          <w:rPr>
            <w:noProof/>
            <w:webHidden/>
          </w:rPr>
          <w:fldChar w:fldCharType="end"/>
        </w:r>
      </w:hyperlink>
    </w:p>
    <w:p w14:paraId="182455C6" w14:textId="1CC4F437"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2" w:history="1">
        <w:r w:rsidRPr="00232B3F">
          <w:rPr>
            <w:rStyle w:val="Hyperlink"/>
            <w:noProof/>
          </w:rPr>
          <w:t xml:space="preserve">Table 1.5. </w:t>
        </w:r>
        <w:r w:rsidRPr="00232B3F">
          <w:rPr>
            <w:rStyle w:val="Hyperlink"/>
            <w:rFonts w:cs="Times New Roman"/>
            <w:noProof/>
          </w:rPr>
          <w:t>Smooth crabgrass (</w:t>
        </w:r>
        <w:r w:rsidRPr="00232B3F">
          <w:rPr>
            <w:rStyle w:val="Hyperlink"/>
            <w:rFonts w:cs="Times New Roman"/>
            <w:i/>
            <w:iCs/>
            <w:noProof/>
          </w:rPr>
          <w:t>Digitaria ischaemum</w:t>
        </w:r>
        <w:r w:rsidRPr="00232B3F">
          <w:rPr>
            <w:rStyle w:val="Hyperlink"/>
            <w:rFonts w:cs="Times New Roman"/>
            <w:noProof/>
          </w:rPr>
          <w:t>) control with PRE applications of tetflupyrolimet (Dodhylex</w:t>
        </w:r>
        <w:r w:rsidRPr="00232B3F">
          <w:rPr>
            <w:rStyle w:val="Hyperlink"/>
            <w:rFonts w:cs="Times New Roman"/>
            <w:b/>
            <w:bCs/>
            <w:noProof/>
          </w:rPr>
          <w:sym w:font="Symbol" w:char="F0D4"/>
        </w:r>
        <w:r w:rsidRPr="00232B3F">
          <w:rPr>
            <w:rStyle w:val="Hyperlink"/>
            <w:rFonts w:cs="Times New Roman"/>
            <w:noProof/>
          </w:rPr>
          <w:t xml:space="preserve"> Active. FMC Corporation. Philadelphia, PA) compared </w:t>
        </w:r>
        <w:r w:rsidRPr="00232B3F">
          <w:rPr>
            <w:rStyle w:val="Hyperlink"/>
            <w:rFonts w:cs="Times New Roman"/>
            <w:noProof/>
          </w:rPr>
          <w:lastRenderedPageBreak/>
          <w:t>to industry standards. Applications made to a bermudagrass (</w:t>
        </w:r>
        <w:r w:rsidRPr="00232B3F">
          <w:rPr>
            <w:rStyle w:val="Hyperlink"/>
            <w:rFonts w:cs="Times New Roman"/>
            <w:i/>
            <w:iCs/>
            <w:noProof/>
          </w:rPr>
          <w:t>Cynodon dactylon</w:t>
        </w:r>
        <w:r w:rsidRPr="00232B3F">
          <w:rPr>
            <w:rStyle w:val="Hyperlink"/>
            <w:rFonts w:cs="Times New Roman"/>
            <w:noProof/>
          </w:rPr>
          <w:t>, cv. ’Yukon’) stand, maintained as a golf course fairway at East Tennessee Research and Education Center – Plant Science Unit (Knoxville, TN).</w:t>
        </w:r>
        <w:r>
          <w:rPr>
            <w:noProof/>
            <w:webHidden/>
          </w:rPr>
          <w:tab/>
        </w:r>
        <w:r>
          <w:rPr>
            <w:noProof/>
            <w:webHidden/>
          </w:rPr>
          <w:fldChar w:fldCharType="begin"/>
        </w:r>
        <w:r>
          <w:rPr>
            <w:noProof/>
            <w:webHidden/>
          </w:rPr>
          <w:instrText xml:space="preserve"> PAGEREF _Toc192846042 \h </w:instrText>
        </w:r>
        <w:r>
          <w:rPr>
            <w:noProof/>
            <w:webHidden/>
          </w:rPr>
        </w:r>
        <w:r>
          <w:rPr>
            <w:noProof/>
            <w:webHidden/>
          </w:rPr>
          <w:fldChar w:fldCharType="separate"/>
        </w:r>
        <w:r w:rsidR="00180989">
          <w:rPr>
            <w:noProof/>
            <w:webHidden/>
          </w:rPr>
          <w:t>25</w:t>
        </w:r>
        <w:r>
          <w:rPr>
            <w:noProof/>
            <w:webHidden/>
          </w:rPr>
          <w:fldChar w:fldCharType="end"/>
        </w:r>
      </w:hyperlink>
    </w:p>
    <w:p w14:paraId="44FB4EA4" w14:textId="614AACE9"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3" w:history="1">
        <w:r w:rsidRPr="00232B3F">
          <w:rPr>
            <w:rStyle w:val="Hyperlink"/>
            <w:noProof/>
          </w:rPr>
          <w:t>Table 2.1. Physical and chemical properties of soils used in glasshouse and laboratory experiments exploring effects of various edaphic factors on tetflupyrolimet (Dodhylex™ Active) efficacy for grassy weed control. Organic matter, total exchange capcity, and pH analyses conducted by Brookside Laboratories (New Bremen, OH). Soil texture, porosity, and saturated hydraulic conductivity analyses conducted by A. McNitt &amp; SerenSoil (State College, PA).</w:t>
        </w:r>
        <w:r>
          <w:rPr>
            <w:noProof/>
            <w:webHidden/>
          </w:rPr>
          <w:tab/>
        </w:r>
        <w:r>
          <w:rPr>
            <w:noProof/>
            <w:webHidden/>
          </w:rPr>
          <w:fldChar w:fldCharType="begin"/>
        </w:r>
        <w:r>
          <w:rPr>
            <w:noProof/>
            <w:webHidden/>
          </w:rPr>
          <w:instrText xml:space="preserve"> PAGEREF _Toc192846043 \h </w:instrText>
        </w:r>
        <w:r>
          <w:rPr>
            <w:noProof/>
            <w:webHidden/>
          </w:rPr>
        </w:r>
        <w:r>
          <w:rPr>
            <w:noProof/>
            <w:webHidden/>
          </w:rPr>
          <w:fldChar w:fldCharType="separate"/>
        </w:r>
        <w:r w:rsidR="00180989">
          <w:rPr>
            <w:noProof/>
            <w:webHidden/>
          </w:rPr>
          <w:t>39</w:t>
        </w:r>
        <w:r>
          <w:rPr>
            <w:noProof/>
            <w:webHidden/>
          </w:rPr>
          <w:fldChar w:fldCharType="end"/>
        </w:r>
      </w:hyperlink>
    </w:p>
    <w:p w14:paraId="7804CEE1" w14:textId="294EE08D"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4" w:history="1">
        <w:r w:rsidRPr="00232B3F">
          <w:rPr>
            <w:rStyle w:val="Hyperlink"/>
            <w:noProof/>
          </w:rPr>
          <w:t>Table 2.2. Nutrient analyses of soils used in glasshouse and laboratory experiments exploring effects of various edaphic factors on tetflupyrolimet (Dodhylex™ Active) efficacy for grassy weed control. Analysis was conducted by Brookside Laboratories (New Bremen, OH).</w:t>
        </w:r>
        <w:r>
          <w:rPr>
            <w:noProof/>
            <w:webHidden/>
          </w:rPr>
          <w:tab/>
        </w:r>
        <w:r>
          <w:rPr>
            <w:noProof/>
            <w:webHidden/>
          </w:rPr>
          <w:fldChar w:fldCharType="begin"/>
        </w:r>
        <w:r>
          <w:rPr>
            <w:noProof/>
            <w:webHidden/>
          </w:rPr>
          <w:instrText xml:space="preserve"> PAGEREF _Toc192846044 \h </w:instrText>
        </w:r>
        <w:r>
          <w:rPr>
            <w:noProof/>
            <w:webHidden/>
          </w:rPr>
        </w:r>
        <w:r>
          <w:rPr>
            <w:noProof/>
            <w:webHidden/>
          </w:rPr>
          <w:fldChar w:fldCharType="separate"/>
        </w:r>
        <w:r w:rsidR="00180989">
          <w:rPr>
            <w:noProof/>
            <w:webHidden/>
          </w:rPr>
          <w:t>41</w:t>
        </w:r>
        <w:r>
          <w:rPr>
            <w:noProof/>
            <w:webHidden/>
          </w:rPr>
          <w:fldChar w:fldCharType="end"/>
        </w:r>
      </w:hyperlink>
    </w:p>
    <w:p w14:paraId="6B817DC1" w14:textId="3F7FA748"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5" w:history="1">
        <w:r w:rsidRPr="00232B3F">
          <w:rPr>
            <w:rStyle w:val="Hyperlink"/>
            <w:noProof/>
          </w:rPr>
          <w:t xml:space="preserve">Table 2.3. Conditions inside glasshouses during dose response experiments evaluating efficacy of  tetflupyrolimet (Dodhylex™ Active) for preemergence control of herbicide-susceptible </w:t>
        </w:r>
        <w:r w:rsidRPr="00232B3F">
          <w:rPr>
            <w:rStyle w:val="Hyperlink"/>
            <w:i/>
            <w:iCs/>
            <w:noProof/>
          </w:rPr>
          <w:t>Poa annua</w:t>
        </w:r>
        <w:r w:rsidRPr="00232B3F">
          <w:rPr>
            <w:rStyle w:val="Hyperlink"/>
            <w:noProof/>
          </w:rPr>
          <w:t xml:space="preserve"> L. in two soil types. Experiments conducted in Knoxville, TN (35.94 N, -83.93 W) during spring 2023.</w:t>
        </w:r>
        <w:r>
          <w:rPr>
            <w:noProof/>
            <w:webHidden/>
          </w:rPr>
          <w:tab/>
        </w:r>
        <w:r>
          <w:rPr>
            <w:noProof/>
            <w:webHidden/>
          </w:rPr>
          <w:fldChar w:fldCharType="begin"/>
        </w:r>
        <w:r>
          <w:rPr>
            <w:noProof/>
            <w:webHidden/>
          </w:rPr>
          <w:instrText xml:space="preserve"> PAGEREF _Toc192846045 \h </w:instrText>
        </w:r>
        <w:r>
          <w:rPr>
            <w:noProof/>
            <w:webHidden/>
          </w:rPr>
        </w:r>
        <w:r>
          <w:rPr>
            <w:noProof/>
            <w:webHidden/>
          </w:rPr>
          <w:fldChar w:fldCharType="separate"/>
        </w:r>
        <w:r w:rsidR="00180989">
          <w:rPr>
            <w:noProof/>
            <w:webHidden/>
          </w:rPr>
          <w:t>43</w:t>
        </w:r>
        <w:r>
          <w:rPr>
            <w:noProof/>
            <w:webHidden/>
          </w:rPr>
          <w:fldChar w:fldCharType="end"/>
        </w:r>
      </w:hyperlink>
    </w:p>
    <w:p w14:paraId="61C2443B" w14:textId="31F7A167"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6" w:history="1">
        <w:r w:rsidRPr="00232B3F">
          <w:rPr>
            <w:rStyle w:val="Hyperlink"/>
            <w:noProof/>
          </w:rPr>
          <w:t>Table 2.4. Rate of tetflupyrolimet (Dodhylex</w:t>
        </w:r>
        <w:r w:rsidRPr="00232B3F">
          <w:rPr>
            <w:rStyle w:val="Hyperlink"/>
            <w:b/>
            <w:bCs/>
            <w:noProof/>
          </w:rPr>
          <w:sym w:font="Symbol" w:char="F0D4"/>
        </w:r>
        <w:r w:rsidRPr="00232B3F">
          <w:rPr>
            <w:rStyle w:val="Hyperlink"/>
            <w:noProof/>
          </w:rPr>
          <w:t xml:space="preserve"> Active. FMC Corporation. Philadelphia, PA) to achieve 90% </w:t>
        </w:r>
        <w:r w:rsidRPr="00232B3F">
          <w:rPr>
            <w:rStyle w:val="Hyperlink"/>
            <w:i/>
            <w:iCs/>
            <w:noProof/>
          </w:rPr>
          <w:t>Poa annua</w:t>
        </w:r>
        <w:r w:rsidRPr="00232B3F">
          <w:rPr>
            <w:rStyle w:val="Hyperlink"/>
            <w:noProof/>
          </w:rPr>
          <w:t xml:space="preserve"> control or 90% reductions in </w:t>
        </w:r>
        <w:r w:rsidRPr="00232B3F">
          <w:rPr>
            <w:rStyle w:val="Hyperlink"/>
            <w:i/>
            <w:iCs/>
            <w:noProof/>
          </w:rPr>
          <w:t xml:space="preserve">Poa annua </w:t>
        </w:r>
        <w:r w:rsidRPr="00232B3F">
          <w:rPr>
            <w:rStyle w:val="Hyperlink"/>
            <w:noProof/>
          </w:rPr>
          <w:t>biomass (EC</w:t>
        </w:r>
        <w:r w:rsidRPr="00232B3F">
          <w:rPr>
            <w:rStyle w:val="Hyperlink"/>
            <w:noProof/>
            <w:vertAlign w:val="subscript"/>
          </w:rPr>
          <w:t>90</w:t>
        </w:r>
        <w:r w:rsidRPr="00232B3F">
          <w:rPr>
            <w:rStyle w:val="Hyperlink"/>
            <w:noProof/>
          </w:rPr>
          <w:t>) in glasshouse experiments conducted in Knoxville, TN (35.94 N, -83.93 W) during spring 2023.</w:t>
        </w:r>
        <w:r>
          <w:rPr>
            <w:noProof/>
            <w:webHidden/>
          </w:rPr>
          <w:tab/>
        </w:r>
        <w:r>
          <w:rPr>
            <w:noProof/>
            <w:webHidden/>
          </w:rPr>
          <w:fldChar w:fldCharType="begin"/>
        </w:r>
        <w:r>
          <w:rPr>
            <w:noProof/>
            <w:webHidden/>
          </w:rPr>
          <w:instrText xml:space="preserve"> PAGEREF _Toc192846046 \h </w:instrText>
        </w:r>
        <w:r>
          <w:rPr>
            <w:noProof/>
            <w:webHidden/>
          </w:rPr>
        </w:r>
        <w:r>
          <w:rPr>
            <w:noProof/>
            <w:webHidden/>
          </w:rPr>
          <w:fldChar w:fldCharType="separate"/>
        </w:r>
        <w:r w:rsidR="00180989">
          <w:rPr>
            <w:noProof/>
            <w:webHidden/>
          </w:rPr>
          <w:t>44</w:t>
        </w:r>
        <w:r>
          <w:rPr>
            <w:noProof/>
            <w:webHidden/>
          </w:rPr>
          <w:fldChar w:fldCharType="end"/>
        </w:r>
      </w:hyperlink>
    </w:p>
    <w:p w14:paraId="74C073A8" w14:textId="17A26DC2"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7" w:history="1">
        <w:r w:rsidRPr="00232B3F">
          <w:rPr>
            <w:rStyle w:val="Hyperlink"/>
            <w:noProof/>
          </w:rPr>
          <w:t>Table 3.1. Physical and chemical properties of the native soil on the sloped (9.5%) hybrid bermudagrass (</w:t>
        </w:r>
        <w:r w:rsidRPr="00232B3F">
          <w:rPr>
            <w:rStyle w:val="Hyperlink"/>
            <w:i/>
            <w:iCs/>
            <w:noProof/>
          </w:rPr>
          <w:t>C. dactylon</w:t>
        </w:r>
        <w:r w:rsidRPr="00232B3F">
          <w:rPr>
            <w:rStyle w:val="Hyperlink"/>
            <w:noProof/>
          </w:rPr>
          <w:t xml:space="preserve"> L. Pers. x </w:t>
        </w:r>
        <w:r w:rsidRPr="00232B3F">
          <w:rPr>
            <w:rStyle w:val="Hyperlink"/>
            <w:i/>
            <w:iCs/>
            <w:noProof/>
          </w:rPr>
          <w:t>C. transvaalensis</w:t>
        </w:r>
        <w:r w:rsidRPr="00232B3F">
          <w:rPr>
            <w:rStyle w:val="Hyperlink"/>
            <w:noProof/>
          </w:rPr>
          <w:t xml:space="preserve"> Burtt-Davy) plot where tetflupyrolimet (Dodhylex™ Active) was evaluated for downslope lateral movement compared to pronamide. Experiments were conducted at the North Carolina State University Lake Wheeler Turfgrass Field Lab (Raleigh, NC). Soil analyses were conducted by Brookside Laboratories (New Bremen, OH).</w:t>
        </w:r>
        <w:r>
          <w:rPr>
            <w:noProof/>
            <w:webHidden/>
          </w:rPr>
          <w:tab/>
        </w:r>
        <w:r>
          <w:rPr>
            <w:noProof/>
            <w:webHidden/>
          </w:rPr>
          <w:fldChar w:fldCharType="begin"/>
        </w:r>
        <w:r>
          <w:rPr>
            <w:noProof/>
            <w:webHidden/>
          </w:rPr>
          <w:instrText xml:space="preserve"> PAGEREF _Toc192846047 \h </w:instrText>
        </w:r>
        <w:r>
          <w:rPr>
            <w:noProof/>
            <w:webHidden/>
          </w:rPr>
        </w:r>
        <w:r>
          <w:rPr>
            <w:noProof/>
            <w:webHidden/>
          </w:rPr>
          <w:fldChar w:fldCharType="separate"/>
        </w:r>
        <w:r w:rsidR="00180989">
          <w:rPr>
            <w:noProof/>
            <w:webHidden/>
          </w:rPr>
          <w:t>57</w:t>
        </w:r>
        <w:r>
          <w:rPr>
            <w:noProof/>
            <w:webHidden/>
          </w:rPr>
          <w:fldChar w:fldCharType="end"/>
        </w:r>
      </w:hyperlink>
    </w:p>
    <w:p w14:paraId="1621E746" w14:textId="54C6C513" w:rsidR="0029247A" w:rsidRDefault="0029247A"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46048" w:history="1">
        <w:r w:rsidRPr="00232B3F">
          <w:rPr>
            <w:rStyle w:val="Hyperlink"/>
            <w:noProof/>
          </w:rPr>
          <w:t xml:space="preserve">Table 3.2. Statistical parameters for predicting the lateral movement distance of herbicides in perennial ryegrass at 8 weeks after treatment under field capacity or saturated soil-moisture conditions at NC State University Lake Wheeler Turfgrass </w:t>
        </w:r>
        <w:r w:rsidRPr="00232B3F">
          <w:rPr>
            <w:rStyle w:val="Hyperlink"/>
            <w:noProof/>
          </w:rPr>
          <w:lastRenderedPageBreak/>
          <w:t>Center Raleigh, NC, following applications of tetflupyrolimet (400 g ha</w:t>
        </w:r>
        <w:r w:rsidRPr="00232B3F">
          <w:rPr>
            <w:rStyle w:val="Hyperlink"/>
            <w:noProof/>
            <w:vertAlign w:val="superscript"/>
          </w:rPr>
          <w:t>-1</w:t>
        </w:r>
        <w:r w:rsidRPr="00232B3F">
          <w:rPr>
            <w:rStyle w:val="Hyperlink"/>
            <w:noProof/>
          </w:rPr>
          <w:t>) and pronamide (1160 g ha</w:t>
        </w:r>
        <w:r w:rsidRPr="00232B3F">
          <w:rPr>
            <w:rStyle w:val="Hyperlink"/>
            <w:noProof/>
            <w:vertAlign w:val="superscript"/>
          </w:rPr>
          <w:t>-1</w:t>
        </w:r>
        <w:r w:rsidRPr="00232B3F">
          <w:rPr>
            <w:rStyle w:val="Hyperlink"/>
            <w:noProof/>
          </w:rPr>
          <w:t>). Injury</w:t>
        </w:r>
        <w:r w:rsidRPr="00232B3F">
          <w:rPr>
            <w:rStyle w:val="Hyperlink"/>
            <w:noProof/>
            <w:vertAlign w:val="subscript"/>
          </w:rPr>
          <w:t xml:space="preserve">50 </w:t>
        </w:r>
        <w:r w:rsidRPr="00232B3F">
          <w:rPr>
            <w:rStyle w:val="Hyperlink"/>
            <w:noProof/>
          </w:rPr>
          <w:t>is thelateral movement distance corresponding to a 50% probability of perennial ryegrass injury.</w:t>
        </w:r>
        <w:r>
          <w:rPr>
            <w:noProof/>
            <w:webHidden/>
          </w:rPr>
          <w:tab/>
        </w:r>
        <w:r>
          <w:rPr>
            <w:noProof/>
            <w:webHidden/>
          </w:rPr>
          <w:fldChar w:fldCharType="begin"/>
        </w:r>
        <w:r>
          <w:rPr>
            <w:noProof/>
            <w:webHidden/>
          </w:rPr>
          <w:instrText xml:space="preserve"> PAGEREF _Toc192846048 \h </w:instrText>
        </w:r>
        <w:r>
          <w:rPr>
            <w:noProof/>
            <w:webHidden/>
          </w:rPr>
        </w:r>
        <w:r>
          <w:rPr>
            <w:noProof/>
            <w:webHidden/>
          </w:rPr>
          <w:fldChar w:fldCharType="separate"/>
        </w:r>
        <w:r w:rsidR="00180989">
          <w:rPr>
            <w:noProof/>
            <w:webHidden/>
          </w:rPr>
          <w:t>58</w:t>
        </w:r>
        <w:r>
          <w:rPr>
            <w:noProof/>
            <w:webHidden/>
          </w:rPr>
          <w:fldChar w:fldCharType="end"/>
        </w:r>
      </w:hyperlink>
    </w:p>
    <w:p w14:paraId="0EC5619D" w14:textId="2DB229D8" w:rsidR="0085757D" w:rsidRPr="00FB516D" w:rsidRDefault="00387656" w:rsidP="000C799B">
      <w:pPr>
        <w:spacing w:line="360" w:lineRule="auto"/>
        <w:rPr>
          <w:b/>
          <w:bCs/>
        </w:rPr>
      </w:pPr>
      <w:r w:rsidRPr="00DF7C87">
        <w:rPr>
          <w:rFonts w:cs="Times New Roman"/>
        </w:rPr>
        <w:fldChar w:fldCharType="end"/>
      </w:r>
    </w:p>
    <w:p w14:paraId="0EC5619E" w14:textId="77777777" w:rsidR="0085757D" w:rsidRPr="00DF7C87" w:rsidRDefault="0085757D" w:rsidP="000C799B">
      <w:pPr>
        <w:spacing w:line="360" w:lineRule="auto"/>
        <w:rPr>
          <w:rFonts w:cs="Times New Roman"/>
        </w:rPr>
      </w:pPr>
    </w:p>
    <w:p w14:paraId="0EC5619F" w14:textId="77777777" w:rsidR="0085757D" w:rsidRPr="00DF7C87" w:rsidRDefault="0085757D" w:rsidP="000C799B">
      <w:pPr>
        <w:spacing w:line="360" w:lineRule="auto"/>
        <w:rPr>
          <w:rFonts w:cs="Times New Roman"/>
        </w:rPr>
      </w:pPr>
    </w:p>
    <w:p w14:paraId="0EC561A0" w14:textId="77777777" w:rsidR="0085757D" w:rsidRPr="00DF7C87" w:rsidRDefault="0085757D" w:rsidP="000C799B">
      <w:pPr>
        <w:spacing w:line="360" w:lineRule="auto"/>
        <w:rPr>
          <w:rFonts w:cs="Times New Roman"/>
        </w:rPr>
      </w:pPr>
    </w:p>
    <w:p w14:paraId="0EC561A2" w14:textId="74539972" w:rsidR="00C30D60" w:rsidRPr="000C799B" w:rsidRDefault="00236E6D" w:rsidP="000C799B">
      <w:pPr>
        <w:pStyle w:val="Title"/>
        <w:spacing w:line="360" w:lineRule="auto"/>
        <w:rPr>
          <w:rFonts w:cs="Times New Roman"/>
          <w:sz w:val="24"/>
        </w:rPr>
      </w:pPr>
      <w:r w:rsidRPr="00DF7C87">
        <w:rPr>
          <w:rFonts w:cs="Times New Roman"/>
          <w:sz w:val="24"/>
        </w:rPr>
        <w:br w:type="page"/>
      </w:r>
      <w:r w:rsidR="00904969" w:rsidRPr="00AF3BDF">
        <w:rPr>
          <w:rFonts w:cs="Times New Roman"/>
          <w:sz w:val="24"/>
        </w:rPr>
        <w:lastRenderedPageBreak/>
        <w:t>LIST OF FIGURES</w:t>
      </w:r>
    </w:p>
    <w:p w14:paraId="4094F154" w14:textId="4B48771B" w:rsidR="00121E11" w:rsidRDefault="00710892"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r>
        <w:rPr>
          <w:rFonts w:cs="Times New Roman"/>
        </w:rPr>
        <w:fldChar w:fldCharType="begin"/>
      </w:r>
      <w:r>
        <w:rPr>
          <w:rFonts w:cs="Times New Roman"/>
        </w:rPr>
        <w:instrText xml:space="preserve"> TOC \h \z \c "Figure" </w:instrText>
      </w:r>
      <w:r>
        <w:rPr>
          <w:rFonts w:cs="Times New Roman"/>
        </w:rPr>
        <w:fldChar w:fldCharType="separate"/>
      </w:r>
      <w:hyperlink w:anchor="_Toc192868770" w:history="1">
        <w:r w:rsidR="00121E11" w:rsidRPr="00644417">
          <w:rPr>
            <w:rStyle w:val="Hyperlink"/>
            <w:noProof/>
          </w:rPr>
          <w:t xml:space="preserve">Figure 1.1. </w:t>
        </w:r>
        <w:r w:rsidR="00121E11" w:rsidRPr="00644417">
          <w:rPr>
            <w:rStyle w:val="Hyperlink"/>
            <w:rFonts w:cs="Times New Roman"/>
            <w:noProof/>
          </w:rPr>
          <w:t>Dose response curves for Kentucky bluegrass (</w:t>
        </w:r>
        <w:r w:rsidR="00121E11" w:rsidRPr="00644417">
          <w:rPr>
            <w:rStyle w:val="Hyperlink"/>
            <w:rFonts w:cs="Times New Roman"/>
            <w:i/>
            <w:iCs/>
            <w:noProof/>
          </w:rPr>
          <w:t>Poa pratensis</w:t>
        </w:r>
        <w:r w:rsidR="00121E11" w:rsidRPr="00644417">
          <w:rPr>
            <w:rStyle w:val="Hyperlink"/>
            <w:rFonts w:cs="Times New Roman"/>
            <w:noProof/>
          </w:rPr>
          <w:t xml:space="preserve"> L., cv., ‘HGT’), creeping bentgrass (</w:t>
        </w:r>
        <w:r w:rsidR="00121E11" w:rsidRPr="00644417">
          <w:rPr>
            <w:rStyle w:val="Hyperlink"/>
            <w:rFonts w:cs="Times New Roman"/>
            <w:i/>
            <w:iCs/>
            <w:noProof/>
          </w:rPr>
          <w:t>Agrostis stolonifera</w:t>
        </w:r>
        <w:r w:rsidR="00121E11" w:rsidRPr="00644417">
          <w:rPr>
            <w:rStyle w:val="Hyperlink"/>
            <w:rFonts w:cs="Times New Roman"/>
            <w:noProof/>
          </w:rPr>
          <w:t xml:space="preserve"> L., cv. ‘L-93XD’), and tall fescue (</w:t>
        </w:r>
        <w:r w:rsidR="00121E11" w:rsidRPr="00644417">
          <w:rPr>
            <w:rStyle w:val="Hyperlink"/>
            <w:rFonts w:cs="Times New Roman"/>
            <w:i/>
            <w:iCs/>
            <w:noProof/>
          </w:rPr>
          <w:t>Festuca arundinacea</w:t>
        </w:r>
        <w:r w:rsidR="00121E11" w:rsidRPr="00644417">
          <w:rPr>
            <w:rStyle w:val="Hyperlink"/>
            <w:rFonts w:cs="Times New Roman"/>
            <w:noProof/>
          </w:rPr>
          <w:t xml:space="preserve"> Schreb., cv. ‘Lebanon Winning Colors Plus’) treated with increasing rates of tetflupyrolimet (Dodhylex</w:t>
        </w:r>
        <w:r w:rsidR="00121E11" w:rsidRPr="00644417">
          <w:rPr>
            <w:rStyle w:val="Hyperlink"/>
            <w:rFonts w:cs="Times New Roman"/>
            <w:noProof/>
          </w:rPr>
          <w:sym w:font="Symbol" w:char="F0D4"/>
        </w:r>
        <w:r w:rsidR="00121E11" w:rsidRPr="00644417">
          <w:rPr>
            <w:rStyle w:val="Hyperlink"/>
            <w:rFonts w:cs="Times New Roman"/>
            <w:noProof/>
          </w:rPr>
          <w:t xml:space="preserve"> Active. FMC Corporation. Philadelphia, PA). Panels A and B present responses from applications made in fall of 2022 and 2023, respectively, in Knoxville, TN. Panels C and D present responses from applications made in spring of 2023 and 2024, respectively, in Knoxville, TN.</w:t>
        </w:r>
        <w:r w:rsidR="00121E11">
          <w:rPr>
            <w:noProof/>
            <w:webHidden/>
          </w:rPr>
          <w:tab/>
        </w:r>
        <w:r w:rsidR="00121E11">
          <w:rPr>
            <w:noProof/>
            <w:webHidden/>
          </w:rPr>
          <w:fldChar w:fldCharType="begin"/>
        </w:r>
        <w:r w:rsidR="00121E11">
          <w:rPr>
            <w:noProof/>
            <w:webHidden/>
          </w:rPr>
          <w:instrText xml:space="preserve"> PAGEREF _Toc192868770 \h </w:instrText>
        </w:r>
        <w:r w:rsidR="00121E11">
          <w:rPr>
            <w:noProof/>
            <w:webHidden/>
          </w:rPr>
        </w:r>
        <w:r w:rsidR="00121E11">
          <w:rPr>
            <w:noProof/>
            <w:webHidden/>
          </w:rPr>
          <w:fldChar w:fldCharType="separate"/>
        </w:r>
        <w:r w:rsidR="00180989">
          <w:rPr>
            <w:noProof/>
            <w:webHidden/>
          </w:rPr>
          <w:t>22</w:t>
        </w:r>
        <w:r w:rsidR="00121E11">
          <w:rPr>
            <w:noProof/>
            <w:webHidden/>
          </w:rPr>
          <w:fldChar w:fldCharType="end"/>
        </w:r>
      </w:hyperlink>
    </w:p>
    <w:p w14:paraId="2CFB0706" w14:textId="7E97DD62"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1" w:history="1">
        <w:r w:rsidRPr="00644417">
          <w:rPr>
            <w:rStyle w:val="Hyperlink"/>
            <w:noProof/>
          </w:rPr>
          <w:t xml:space="preserve">Figure 1.2. </w:t>
        </w:r>
        <w:r w:rsidRPr="00644417">
          <w:rPr>
            <w:rStyle w:val="Hyperlink"/>
            <w:rFonts w:cs="Times New Roman"/>
            <w:noProof/>
          </w:rPr>
          <w:t>Temperature based growth potential (%) for cool-season turfgrasses during trials evaluating tolerance to increasing rates of tetflupyrolimet (Dodhylex</w:t>
        </w:r>
        <w:r w:rsidRPr="00644417">
          <w:rPr>
            <w:rStyle w:val="Hyperlink"/>
            <w:rFonts w:cs="Times New Roman"/>
            <w:noProof/>
          </w:rPr>
          <w:sym w:font="Symbol" w:char="F0D4"/>
        </w:r>
        <w:r w:rsidRPr="00644417">
          <w:rPr>
            <w:rStyle w:val="Hyperlink"/>
            <w:rFonts w:cs="Times New Roman"/>
            <w:noProof/>
          </w:rPr>
          <w:t xml:space="preserve"> Active. FMC Corporation. Philadelphia, PA) at East Tennessee Research and Education Center – Plant Science Unit (Knoxville, TN) in fall and spring. Fall tolerance trials on these cool-season grasses were initiated on 28 September 2022 and 30 September 2023; spring tolerance trials were initiated on 28 February 2023 and 29 February 2024. Panel A presents growth potential (%) three months prior to and after applications of tetflupyrolimet in fall 2022 and 2023; Panel B presents growth potential (%) three months prior to and after applications of tetflupyrolimet in spring 2023 and 2024.</w:t>
        </w:r>
        <w:r>
          <w:rPr>
            <w:noProof/>
            <w:webHidden/>
          </w:rPr>
          <w:tab/>
        </w:r>
        <w:r>
          <w:rPr>
            <w:noProof/>
            <w:webHidden/>
          </w:rPr>
          <w:fldChar w:fldCharType="begin"/>
        </w:r>
        <w:r>
          <w:rPr>
            <w:noProof/>
            <w:webHidden/>
          </w:rPr>
          <w:instrText xml:space="preserve"> PAGEREF _Toc192868771 \h </w:instrText>
        </w:r>
        <w:r>
          <w:rPr>
            <w:noProof/>
            <w:webHidden/>
          </w:rPr>
        </w:r>
        <w:r>
          <w:rPr>
            <w:noProof/>
            <w:webHidden/>
          </w:rPr>
          <w:fldChar w:fldCharType="separate"/>
        </w:r>
        <w:r w:rsidR="00180989">
          <w:rPr>
            <w:noProof/>
            <w:webHidden/>
          </w:rPr>
          <w:t>23</w:t>
        </w:r>
        <w:r>
          <w:rPr>
            <w:noProof/>
            <w:webHidden/>
          </w:rPr>
          <w:fldChar w:fldCharType="end"/>
        </w:r>
      </w:hyperlink>
    </w:p>
    <w:p w14:paraId="35492D0C" w14:textId="099E74A5"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2" w:history="1">
        <w:r w:rsidRPr="00644417">
          <w:rPr>
            <w:rStyle w:val="Hyperlink"/>
            <w:noProof/>
          </w:rPr>
          <w:t xml:space="preserve">Figure 2.1. Soil moisture retention curves for the two soils used in in glasshouse and laboratory experiments exploring effects of various edaphic factor on tetflupyrolimet (Dodhylex™ Active) efficacy for grassy weed control. Soil moisture retention curves generated by Turf &amp; Soil Diagnostics (Trumansburg, NY) using ASTM D6836. Data were fit to a one-phase exponential decay model in GraphPad Prism (v.10.1.1. Graphpad Prism. LaJolla, CA) and compared using a global sums-of-squares F-test at </w:t>
        </w:r>
        <w:r w:rsidRPr="00644417">
          <w:rPr>
            <w:rStyle w:val="Hyperlink"/>
            <w:noProof/>
          </w:rPr>
          <w:sym w:font="Symbol" w:char="F061"/>
        </w:r>
        <w:r w:rsidRPr="00644417">
          <w:rPr>
            <w:rStyle w:val="Hyperlink"/>
            <w:noProof/>
          </w:rPr>
          <w:t xml:space="preserve"> = 0.05.</w:t>
        </w:r>
        <w:r>
          <w:rPr>
            <w:noProof/>
            <w:webHidden/>
          </w:rPr>
          <w:tab/>
        </w:r>
        <w:r>
          <w:rPr>
            <w:noProof/>
            <w:webHidden/>
          </w:rPr>
          <w:fldChar w:fldCharType="begin"/>
        </w:r>
        <w:r>
          <w:rPr>
            <w:noProof/>
            <w:webHidden/>
          </w:rPr>
          <w:instrText xml:space="preserve"> PAGEREF _Toc192868772 \h </w:instrText>
        </w:r>
        <w:r>
          <w:rPr>
            <w:noProof/>
            <w:webHidden/>
          </w:rPr>
        </w:r>
        <w:r>
          <w:rPr>
            <w:noProof/>
            <w:webHidden/>
          </w:rPr>
          <w:fldChar w:fldCharType="separate"/>
        </w:r>
        <w:r w:rsidR="00180989">
          <w:rPr>
            <w:noProof/>
            <w:webHidden/>
          </w:rPr>
          <w:t>40</w:t>
        </w:r>
        <w:r>
          <w:rPr>
            <w:noProof/>
            <w:webHidden/>
          </w:rPr>
          <w:fldChar w:fldCharType="end"/>
        </w:r>
      </w:hyperlink>
    </w:p>
    <w:p w14:paraId="53520438" w14:textId="79F0030A"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3" w:history="1">
        <w:r w:rsidRPr="00644417">
          <w:rPr>
            <w:rStyle w:val="Hyperlink"/>
            <w:noProof/>
          </w:rPr>
          <w:t xml:space="preserve">Figure 2.2. </w:t>
        </w:r>
        <w:r w:rsidRPr="00644417">
          <w:rPr>
            <w:rStyle w:val="Hyperlink"/>
            <w:i/>
            <w:iCs/>
            <w:noProof/>
          </w:rPr>
          <w:t>Poa annua</w:t>
        </w:r>
        <w:r w:rsidRPr="00644417">
          <w:rPr>
            <w:rStyle w:val="Hyperlink"/>
            <w:noProof/>
          </w:rPr>
          <w:t xml:space="preserve"> control (A) and aboveground biomass (B) response to increasing doses of tetflupyrolimet (Dodhylex™ Active, FMC Corporation, Philadelphia, PA) applied preemergence to herbicide susceptible </w:t>
        </w:r>
        <w:r w:rsidRPr="00644417">
          <w:rPr>
            <w:rStyle w:val="Hyperlink"/>
            <w:i/>
            <w:iCs/>
            <w:noProof/>
          </w:rPr>
          <w:t>Poa annua</w:t>
        </w:r>
        <w:r w:rsidRPr="00644417">
          <w:rPr>
            <w:rStyle w:val="Hyperlink"/>
            <w:noProof/>
          </w:rPr>
          <w:t xml:space="preserve"> planted in a sand that conformed to United States Golf Association specifications, as well as a clay loam </w:t>
        </w:r>
        <w:r w:rsidRPr="00644417">
          <w:rPr>
            <w:rStyle w:val="Hyperlink"/>
            <w:noProof/>
          </w:rPr>
          <w:lastRenderedPageBreak/>
          <w:t>soil native to Knoxville, TN. Edaphic factors for each soil type are presented in Table 2.1. Bars represent standard error of each mean.</w:t>
        </w:r>
        <w:r>
          <w:rPr>
            <w:noProof/>
            <w:webHidden/>
          </w:rPr>
          <w:tab/>
        </w:r>
        <w:r>
          <w:rPr>
            <w:noProof/>
            <w:webHidden/>
          </w:rPr>
          <w:fldChar w:fldCharType="begin"/>
        </w:r>
        <w:r>
          <w:rPr>
            <w:noProof/>
            <w:webHidden/>
          </w:rPr>
          <w:instrText xml:space="preserve"> PAGEREF _Toc192868773 \h </w:instrText>
        </w:r>
        <w:r>
          <w:rPr>
            <w:noProof/>
            <w:webHidden/>
          </w:rPr>
        </w:r>
        <w:r>
          <w:rPr>
            <w:noProof/>
            <w:webHidden/>
          </w:rPr>
          <w:fldChar w:fldCharType="separate"/>
        </w:r>
        <w:r w:rsidR="00180989">
          <w:rPr>
            <w:noProof/>
            <w:webHidden/>
          </w:rPr>
          <w:t>42</w:t>
        </w:r>
        <w:r>
          <w:rPr>
            <w:noProof/>
            <w:webHidden/>
          </w:rPr>
          <w:fldChar w:fldCharType="end"/>
        </w:r>
      </w:hyperlink>
    </w:p>
    <w:p w14:paraId="0C78B08A" w14:textId="41895FAA"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4" w:history="1">
        <w:r w:rsidRPr="00644417">
          <w:rPr>
            <w:rStyle w:val="Hyperlink"/>
            <w:noProof/>
          </w:rPr>
          <w:t>Figure 2.3. Effect of tetflupyrolimet (50 g ha</w:t>
        </w:r>
        <w:r w:rsidRPr="00644417">
          <w:rPr>
            <w:rStyle w:val="Hyperlink"/>
            <w:noProof/>
            <w:vertAlign w:val="superscript"/>
          </w:rPr>
          <w:t>-1</w:t>
        </w:r>
        <w:r w:rsidRPr="00644417">
          <w:rPr>
            <w:rStyle w:val="Hyperlink"/>
            <w:noProof/>
          </w:rPr>
          <w:t>) on perennial ryegrass (</w:t>
        </w:r>
        <w:r w:rsidRPr="00644417">
          <w:rPr>
            <w:rStyle w:val="Hyperlink"/>
            <w:i/>
            <w:iCs/>
            <w:noProof/>
          </w:rPr>
          <w:t>Lolium perenne</w:t>
        </w:r>
        <w:r w:rsidRPr="00644417">
          <w:rPr>
            <w:rStyle w:val="Hyperlink"/>
            <w:noProof/>
          </w:rPr>
          <w:t xml:space="preserve"> L.) germination in clay loam soil or sand varying in moisture content during repeated growth chamber experiments conducted in Knoxville, TN during 2024. Bars represent standard error of each mean.</w:t>
        </w:r>
        <w:r>
          <w:rPr>
            <w:noProof/>
            <w:webHidden/>
          </w:rPr>
          <w:tab/>
        </w:r>
        <w:r>
          <w:rPr>
            <w:noProof/>
            <w:webHidden/>
          </w:rPr>
          <w:fldChar w:fldCharType="begin"/>
        </w:r>
        <w:r>
          <w:rPr>
            <w:noProof/>
            <w:webHidden/>
          </w:rPr>
          <w:instrText xml:space="preserve"> PAGEREF _Toc192868774 \h </w:instrText>
        </w:r>
        <w:r>
          <w:rPr>
            <w:noProof/>
            <w:webHidden/>
          </w:rPr>
        </w:r>
        <w:r>
          <w:rPr>
            <w:noProof/>
            <w:webHidden/>
          </w:rPr>
          <w:fldChar w:fldCharType="separate"/>
        </w:r>
        <w:r w:rsidR="00180989">
          <w:rPr>
            <w:noProof/>
            <w:webHidden/>
          </w:rPr>
          <w:t>45</w:t>
        </w:r>
        <w:r>
          <w:rPr>
            <w:noProof/>
            <w:webHidden/>
          </w:rPr>
          <w:fldChar w:fldCharType="end"/>
        </w:r>
      </w:hyperlink>
    </w:p>
    <w:p w14:paraId="0D194998" w14:textId="25508F43"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5" w:history="1">
        <w:r w:rsidRPr="00644417">
          <w:rPr>
            <w:rStyle w:val="Hyperlink"/>
            <w:noProof/>
          </w:rPr>
          <w:t>Figure 3.1. Lateral movement assessment of perennial ryegrass (</w:t>
        </w:r>
        <w:r w:rsidRPr="00644417">
          <w:rPr>
            <w:rStyle w:val="Hyperlink"/>
            <w:i/>
            <w:iCs/>
            <w:noProof/>
          </w:rPr>
          <w:t>Lolium perenne</w:t>
        </w:r>
        <w:r w:rsidRPr="00644417">
          <w:rPr>
            <w:rStyle w:val="Hyperlink"/>
            <w:noProof/>
          </w:rPr>
          <w:t xml:space="preserve"> L.) mortality (within 15 cm</w:t>
        </w:r>
        <w:r w:rsidRPr="00644417">
          <w:rPr>
            <w:rStyle w:val="Hyperlink"/>
            <w:noProof/>
            <w:vertAlign w:val="superscript"/>
          </w:rPr>
          <w:t>2</w:t>
        </w:r>
        <w:r w:rsidRPr="00644417">
          <w:rPr>
            <w:rStyle w:val="Hyperlink"/>
            <w:noProof/>
          </w:rPr>
          <w:t xml:space="preserve"> grids) at 8 weeks after treatment (WAT) in 2023 under field capacity soil-moisture conditions at NC State University Lake Wheeler Turfgrass Center Raleigh, NC, following applications of tetflupyrolimet (400 g ha</w:t>
        </w:r>
        <w:r w:rsidRPr="00644417">
          <w:rPr>
            <w:rStyle w:val="Hyperlink"/>
            <w:noProof/>
            <w:vertAlign w:val="superscript"/>
          </w:rPr>
          <w:t>-1</w:t>
        </w:r>
        <w:r w:rsidRPr="00644417">
          <w:rPr>
            <w:rStyle w:val="Hyperlink"/>
            <w:noProof/>
          </w:rPr>
          <w:t>) and pronamide (1160 g ha</w:t>
        </w:r>
        <w:r w:rsidRPr="00644417">
          <w:rPr>
            <w:rStyle w:val="Hyperlink"/>
            <w:noProof/>
            <w:vertAlign w:val="superscript"/>
          </w:rPr>
          <w:t>-1</w:t>
        </w:r>
        <w:r w:rsidRPr="00644417">
          <w:rPr>
            <w:rStyle w:val="Hyperlink"/>
            <w:noProof/>
          </w:rPr>
          <w:t>). Data was analyzed and then presented using heat maps created in Prism (Version 10.2.3. GraphPad Prism. Boston, MA, USA). Solid lines represent the mean distances for 50% likelihood of perennial ryegrass mortality (Mortality</w:t>
        </w:r>
        <w:r w:rsidRPr="00644417">
          <w:rPr>
            <w:rStyle w:val="Hyperlink"/>
            <w:noProof/>
            <w:vertAlign w:val="subscript"/>
          </w:rPr>
          <w:t>50</w:t>
        </w:r>
        <w:r w:rsidRPr="00644417">
          <w:rPr>
            <w:rStyle w:val="Hyperlink"/>
            <w:noProof/>
          </w:rPr>
          <w:t>) and dashed lines represent 95% confidence intervals. Treatments are not significantly different if Mortality</w:t>
        </w:r>
        <w:r w:rsidRPr="00644417">
          <w:rPr>
            <w:rStyle w:val="Hyperlink"/>
            <w:noProof/>
            <w:vertAlign w:val="subscript"/>
          </w:rPr>
          <w:t>50</w:t>
        </w:r>
        <w:r w:rsidRPr="00644417">
          <w:rPr>
            <w:rStyle w:val="Hyperlink"/>
            <w:noProof/>
          </w:rPr>
          <w:t xml:space="preserve"> confidence intervals are overlapping.</w:t>
        </w:r>
        <w:r>
          <w:rPr>
            <w:noProof/>
            <w:webHidden/>
          </w:rPr>
          <w:tab/>
        </w:r>
        <w:r>
          <w:rPr>
            <w:noProof/>
            <w:webHidden/>
          </w:rPr>
          <w:fldChar w:fldCharType="begin"/>
        </w:r>
        <w:r>
          <w:rPr>
            <w:noProof/>
            <w:webHidden/>
          </w:rPr>
          <w:instrText xml:space="preserve"> PAGEREF _Toc192868775 \h </w:instrText>
        </w:r>
        <w:r>
          <w:rPr>
            <w:noProof/>
            <w:webHidden/>
          </w:rPr>
        </w:r>
        <w:r>
          <w:rPr>
            <w:noProof/>
            <w:webHidden/>
          </w:rPr>
          <w:fldChar w:fldCharType="separate"/>
        </w:r>
        <w:r w:rsidR="00180989">
          <w:rPr>
            <w:noProof/>
            <w:webHidden/>
          </w:rPr>
          <w:t>59</w:t>
        </w:r>
        <w:r>
          <w:rPr>
            <w:noProof/>
            <w:webHidden/>
          </w:rPr>
          <w:fldChar w:fldCharType="end"/>
        </w:r>
      </w:hyperlink>
    </w:p>
    <w:p w14:paraId="1E290D2F" w14:textId="421FA862"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6" w:history="1">
        <w:r w:rsidRPr="00644417">
          <w:rPr>
            <w:rStyle w:val="Hyperlink"/>
            <w:noProof/>
          </w:rPr>
          <w:t>Figure 3.2. Lateral movement assessment of perennial ryegrass (</w:t>
        </w:r>
        <w:r w:rsidRPr="00644417">
          <w:rPr>
            <w:rStyle w:val="Hyperlink"/>
            <w:i/>
            <w:iCs/>
            <w:noProof/>
          </w:rPr>
          <w:t>Lolium perenne</w:t>
        </w:r>
        <w:r w:rsidRPr="00644417">
          <w:rPr>
            <w:rStyle w:val="Hyperlink"/>
            <w:noProof/>
          </w:rPr>
          <w:t xml:space="preserve"> L.) (within 15 cm</w:t>
        </w:r>
        <w:r w:rsidRPr="00644417">
          <w:rPr>
            <w:rStyle w:val="Hyperlink"/>
            <w:noProof/>
            <w:vertAlign w:val="superscript"/>
          </w:rPr>
          <w:t>2</w:t>
        </w:r>
        <w:r w:rsidRPr="00644417">
          <w:rPr>
            <w:rStyle w:val="Hyperlink"/>
            <w:noProof/>
          </w:rPr>
          <w:t xml:space="preserve"> grids) mortality at 8 weeks after treatment (WAT) in 2024 under field capacity soil-moisture conditions at NC State University Lake Wheeler Turfgrass Center Raleigh, NC, following applications of tetflupyrolimet (400 g ha</w:t>
        </w:r>
        <w:r w:rsidRPr="00644417">
          <w:rPr>
            <w:rStyle w:val="Hyperlink"/>
            <w:noProof/>
            <w:vertAlign w:val="superscript"/>
          </w:rPr>
          <w:t>-1</w:t>
        </w:r>
        <w:r w:rsidRPr="00644417">
          <w:rPr>
            <w:rStyle w:val="Hyperlink"/>
            <w:noProof/>
          </w:rPr>
          <w:t>) and pronamide (1160 g ha</w:t>
        </w:r>
        <w:r w:rsidRPr="00644417">
          <w:rPr>
            <w:rStyle w:val="Hyperlink"/>
            <w:noProof/>
            <w:vertAlign w:val="superscript"/>
          </w:rPr>
          <w:t>-1</w:t>
        </w:r>
        <w:r w:rsidRPr="00644417">
          <w:rPr>
            <w:rStyle w:val="Hyperlink"/>
            <w:noProof/>
          </w:rPr>
          <w:t>). Data was analyzed and then presented using heat maps created in Prism (Version 10.2.3. GraphPad Prism. Boston, MA, USA). Solid lines represent the mean distances for 50% likelihood of perennial ryegrass mortality (Mortality</w:t>
        </w:r>
        <w:r w:rsidRPr="00644417">
          <w:rPr>
            <w:rStyle w:val="Hyperlink"/>
            <w:noProof/>
            <w:vertAlign w:val="subscript"/>
          </w:rPr>
          <w:t>50</w:t>
        </w:r>
        <w:r w:rsidRPr="00644417">
          <w:rPr>
            <w:rStyle w:val="Hyperlink"/>
            <w:noProof/>
          </w:rPr>
          <w:t>) and dashed lines represent 95% confidence intervals. Treatments are not significantly different if Mortality</w:t>
        </w:r>
        <w:r w:rsidRPr="00644417">
          <w:rPr>
            <w:rStyle w:val="Hyperlink"/>
            <w:noProof/>
            <w:vertAlign w:val="subscript"/>
          </w:rPr>
          <w:t>50</w:t>
        </w:r>
        <w:r w:rsidRPr="00644417">
          <w:rPr>
            <w:rStyle w:val="Hyperlink"/>
            <w:noProof/>
          </w:rPr>
          <w:t xml:space="preserve"> confidence intervals are overlapping.</w:t>
        </w:r>
        <w:r>
          <w:rPr>
            <w:noProof/>
            <w:webHidden/>
          </w:rPr>
          <w:tab/>
        </w:r>
        <w:r>
          <w:rPr>
            <w:noProof/>
            <w:webHidden/>
          </w:rPr>
          <w:fldChar w:fldCharType="begin"/>
        </w:r>
        <w:r>
          <w:rPr>
            <w:noProof/>
            <w:webHidden/>
          </w:rPr>
          <w:instrText xml:space="preserve"> PAGEREF _Toc192868776 \h </w:instrText>
        </w:r>
        <w:r>
          <w:rPr>
            <w:noProof/>
            <w:webHidden/>
          </w:rPr>
        </w:r>
        <w:r>
          <w:rPr>
            <w:noProof/>
            <w:webHidden/>
          </w:rPr>
          <w:fldChar w:fldCharType="separate"/>
        </w:r>
        <w:r w:rsidR="00180989">
          <w:rPr>
            <w:noProof/>
            <w:webHidden/>
          </w:rPr>
          <w:t>60</w:t>
        </w:r>
        <w:r>
          <w:rPr>
            <w:noProof/>
            <w:webHidden/>
          </w:rPr>
          <w:fldChar w:fldCharType="end"/>
        </w:r>
      </w:hyperlink>
    </w:p>
    <w:p w14:paraId="27EB8A0F" w14:textId="529204F2"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7" w:history="1">
        <w:r w:rsidRPr="00644417">
          <w:rPr>
            <w:rStyle w:val="Hyperlink"/>
            <w:noProof/>
          </w:rPr>
          <w:t>Figure 3.3. Lateral movement assessment of perennial ryegrass mortality (within 15 cm</w:t>
        </w:r>
        <w:r w:rsidRPr="00644417">
          <w:rPr>
            <w:rStyle w:val="Hyperlink"/>
            <w:noProof/>
            <w:vertAlign w:val="superscript"/>
          </w:rPr>
          <w:t>2</w:t>
        </w:r>
        <w:r w:rsidRPr="00644417">
          <w:rPr>
            <w:rStyle w:val="Hyperlink"/>
            <w:noProof/>
          </w:rPr>
          <w:t xml:space="preserve"> grids) at 8 weeks after treatment in 2023 under saturated soil-moisture conditions at NC State University Lake Wheeler Turfgrass Center Raleigh, NC, following applications of tetflupyrolimet (400 g ha</w:t>
        </w:r>
        <w:r w:rsidRPr="00644417">
          <w:rPr>
            <w:rStyle w:val="Hyperlink"/>
            <w:noProof/>
            <w:vertAlign w:val="superscript"/>
          </w:rPr>
          <w:t>-1</w:t>
        </w:r>
        <w:r w:rsidRPr="00644417">
          <w:rPr>
            <w:rStyle w:val="Hyperlink"/>
            <w:noProof/>
          </w:rPr>
          <w:t>) and pronamide (1160 g ha</w:t>
        </w:r>
        <w:r w:rsidRPr="00644417">
          <w:rPr>
            <w:rStyle w:val="Hyperlink"/>
            <w:noProof/>
            <w:vertAlign w:val="superscript"/>
          </w:rPr>
          <w:t>-1</w:t>
        </w:r>
        <w:r w:rsidRPr="00644417">
          <w:rPr>
            <w:rStyle w:val="Hyperlink"/>
            <w:noProof/>
          </w:rPr>
          <w:t xml:space="preserve">). Data was analyzed and then presented using heat maps created in Prism (Version 10.2.3. GraphPad Prism. Boston, MA, USA). Solid lines represent the mean distances for </w:t>
        </w:r>
        <w:r w:rsidRPr="00644417">
          <w:rPr>
            <w:rStyle w:val="Hyperlink"/>
            <w:noProof/>
          </w:rPr>
          <w:lastRenderedPageBreak/>
          <w:t>50% likelihood of perennial ryegrass mortality (Mortality</w:t>
        </w:r>
        <w:r w:rsidRPr="00644417">
          <w:rPr>
            <w:rStyle w:val="Hyperlink"/>
            <w:noProof/>
            <w:vertAlign w:val="subscript"/>
          </w:rPr>
          <w:t>50</w:t>
        </w:r>
        <w:r w:rsidRPr="00644417">
          <w:rPr>
            <w:rStyle w:val="Hyperlink"/>
            <w:noProof/>
          </w:rPr>
          <w:t>) and dashed lines represent 95% confidence intervals. Treatments are not significantly different if Mortality</w:t>
        </w:r>
        <w:r w:rsidRPr="00644417">
          <w:rPr>
            <w:rStyle w:val="Hyperlink"/>
            <w:noProof/>
            <w:vertAlign w:val="subscript"/>
          </w:rPr>
          <w:t>50</w:t>
        </w:r>
        <w:r w:rsidRPr="00644417">
          <w:rPr>
            <w:rStyle w:val="Hyperlink"/>
            <w:noProof/>
          </w:rPr>
          <w:t xml:space="preserve"> confidence intervals are overlapping.</w:t>
        </w:r>
        <w:r>
          <w:rPr>
            <w:noProof/>
            <w:webHidden/>
          </w:rPr>
          <w:tab/>
        </w:r>
        <w:r>
          <w:rPr>
            <w:noProof/>
            <w:webHidden/>
          </w:rPr>
          <w:fldChar w:fldCharType="begin"/>
        </w:r>
        <w:r>
          <w:rPr>
            <w:noProof/>
            <w:webHidden/>
          </w:rPr>
          <w:instrText xml:space="preserve"> PAGEREF _Toc192868777 \h </w:instrText>
        </w:r>
        <w:r>
          <w:rPr>
            <w:noProof/>
            <w:webHidden/>
          </w:rPr>
        </w:r>
        <w:r>
          <w:rPr>
            <w:noProof/>
            <w:webHidden/>
          </w:rPr>
          <w:fldChar w:fldCharType="separate"/>
        </w:r>
        <w:r w:rsidR="00180989">
          <w:rPr>
            <w:noProof/>
            <w:webHidden/>
          </w:rPr>
          <w:t>61</w:t>
        </w:r>
        <w:r>
          <w:rPr>
            <w:noProof/>
            <w:webHidden/>
          </w:rPr>
          <w:fldChar w:fldCharType="end"/>
        </w:r>
      </w:hyperlink>
    </w:p>
    <w:p w14:paraId="121C2DF4" w14:textId="40D4C0D5" w:rsidR="00121E11" w:rsidRDefault="00121E11" w:rsidP="000C799B">
      <w:pPr>
        <w:pStyle w:val="TableofFigures"/>
        <w:tabs>
          <w:tab w:val="right" w:leader="dot" w:pos="8630"/>
        </w:tabs>
        <w:spacing w:line="360" w:lineRule="auto"/>
        <w:rPr>
          <w:rFonts w:asciiTheme="minorHAnsi" w:eastAsiaTheme="minorEastAsia" w:hAnsiTheme="minorHAnsi" w:cstheme="minorBidi"/>
          <w:noProof/>
          <w:kern w:val="2"/>
          <w14:ligatures w14:val="standardContextual"/>
        </w:rPr>
      </w:pPr>
      <w:hyperlink w:anchor="_Toc192868778" w:history="1">
        <w:r w:rsidRPr="00644417">
          <w:rPr>
            <w:rStyle w:val="Hyperlink"/>
            <w:noProof/>
          </w:rPr>
          <w:t>Figure 3.4. Lateral movement assessment of perennial ryegrass (</w:t>
        </w:r>
        <w:r w:rsidRPr="00644417">
          <w:rPr>
            <w:rStyle w:val="Hyperlink"/>
            <w:i/>
            <w:iCs/>
            <w:noProof/>
          </w:rPr>
          <w:t>Lolium perenne</w:t>
        </w:r>
        <w:r w:rsidRPr="00644417">
          <w:rPr>
            <w:rStyle w:val="Hyperlink"/>
            <w:noProof/>
          </w:rPr>
          <w:t xml:space="preserve"> L.) mortality (within 15 cm</w:t>
        </w:r>
        <w:r w:rsidRPr="00644417">
          <w:rPr>
            <w:rStyle w:val="Hyperlink"/>
            <w:noProof/>
            <w:vertAlign w:val="superscript"/>
          </w:rPr>
          <w:t>2</w:t>
        </w:r>
        <w:r w:rsidRPr="00644417">
          <w:rPr>
            <w:rStyle w:val="Hyperlink"/>
            <w:noProof/>
          </w:rPr>
          <w:t xml:space="preserve"> grids) at 8 weeks after treatment in 2024 under saturated soil-moisture conditions at NC State University Lake Wheeler Turfgrass Center Raleigh, NC, following applications of tetflupyrolimet (400 g ha</w:t>
        </w:r>
        <w:r w:rsidRPr="00644417">
          <w:rPr>
            <w:rStyle w:val="Hyperlink"/>
            <w:noProof/>
            <w:vertAlign w:val="superscript"/>
          </w:rPr>
          <w:t>-1</w:t>
        </w:r>
        <w:r w:rsidRPr="00644417">
          <w:rPr>
            <w:rStyle w:val="Hyperlink"/>
            <w:noProof/>
          </w:rPr>
          <w:t>) and pronamide (1160 g ha</w:t>
        </w:r>
        <w:r w:rsidRPr="00644417">
          <w:rPr>
            <w:rStyle w:val="Hyperlink"/>
            <w:noProof/>
            <w:vertAlign w:val="superscript"/>
          </w:rPr>
          <w:t>-1</w:t>
        </w:r>
        <w:r w:rsidRPr="00644417">
          <w:rPr>
            <w:rStyle w:val="Hyperlink"/>
            <w:noProof/>
          </w:rPr>
          <w:t>). Data was analyzed and then presented using heat maps created in Prism (Version 10.2.3. GraphPad Prism. Boston, MA, USA). Solid lines represent the mean distances for 50% likelihood of perennial ryegrass mortality (Mortality</w:t>
        </w:r>
        <w:r w:rsidRPr="00644417">
          <w:rPr>
            <w:rStyle w:val="Hyperlink"/>
            <w:noProof/>
            <w:vertAlign w:val="subscript"/>
          </w:rPr>
          <w:t>50</w:t>
        </w:r>
        <w:r w:rsidRPr="00644417">
          <w:rPr>
            <w:rStyle w:val="Hyperlink"/>
            <w:noProof/>
          </w:rPr>
          <w:t>) and dashed lines represent 95% confidence intervals. Treatments are not significantly different if Mortality</w:t>
        </w:r>
        <w:r w:rsidRPr="00644417">
          <w:rPr>
            <w:rStyle w:val="Hyperlink"/>
            <w:noProof/>
            <w:vertAlign w:val="subscript"/>
          </w:rPr>
          <w:t>50</w:t>
        </w:r>
        <w:r w:rsidRPr="00644417">
          <w:rPr>
            <w:rStyle w:val="Hyperlink"/>
            <w:noProof/>
          </w:rPr>
          <w:t xml:space="preserve"> confidence intervals are overlapping.</w:t>
        </w:r>
        <w:r>
          <w:rPr>
            <w:noProof/>
            <w:webHidden/>
          </w:rPr>
          <w:tab/>
        </w:r>
        <w:r>
          <w:rPr>
            <w:noProof/>
            <w:webHidden/>
          </w:rPr>
          <w:fldChar w:fldCharType="begin"/>
        </w:r>
        <w:r>
          <w:rPr>
            <w:noProof/>
            <w:webHidden/>
          </w:rPr>
          <w:instrText xml:space="preserve"> PAGEREF _Toc192868778 \h </w:instrText>
        </w:r>
        <w:r>
          <w:rPr>
            <w:noProof/>
            <w:webHidden/>
          </w:rPr>
        </w:r>
        <w:r>
          <w:rPr>
            <w:noProof/>
            <w:webHidden/>
          </w:rPr>
          <w:fldChar w:fldCharType="separate"/>
        </w:r>
        <w:r w:rsidR="00180989">
          <w:rPr>
            <w:noProof/>
            <w:webHidden/>
          </w:rPr>
          <w:t>62</w:t>
        </w:r>
        <w:r>
          <w:rPr>
            <w:noProof/>
            <w:webHidden/>
          </w:rPr>
          <w:fldChar w:fldCharType="end"/>
        </w:r>
      </w:hyperlink>
    </w:p>
    <w:p w14:paraId="0EC561AA" w14:textId="5E1BAE93" w:rsidR="0085757D" w:rsidRPr="00AA63D7" w:rsidRDefault="00710892" w:rsidP="000C799B">
      <w:pPr>
        <w:pStyle w:val="Title"/>
        <w:spacing w:line="360" w:lineRule="auto"/>
        <w:jc w:val="left"/>
        <w:rPr>
          <w:rFonts w:cs="Times New Roman"/>
          <w:sz w:val="24"/>
        </w:rPr>
        <w:sectPr w:rsidR="0085757D" w:rsidRPr="00AA63D7" w:rsidSect="001D4908">
          <w:footerReference w:type="default" r:id="rId11"/>
          <w:pgSz w:w="12240" w:h="15840" w:code="1"/>
          <w:pgMar w:top="1440" w:right="1800" w:bottom="1872" w:left="1800" w:header="720" w:footer="1440" w:gutter="0"/>
          <w:pgNumType w:fmt="lowerRoman" w:start="1"/>
          <w:cols w:space="720"/>
          <w:noEndnote/>
          <w:titlePg/>
        </w:sectPr>
      </w:pPr>
      <w:r>
        <w:rPr>
          <w:rFonts w:cs="Times New Roman"/>
          <w:sz w:val="24"/>
          <w:lang w:val="en-US"/>
        </w:rPr>
        <w:fldChar w:fldCharType="end"/>
      </w:r>
    </w:p>
    <w:p w14:paraId="7113B54A" w14:textId="4698BCC1" w:rsidR="000F0A61" w:rsidRDefault="00526151" w:rsidP="00965EA3">
      <w:pPr>
        <w:pStyle w:val="Heading1"/>
        <w:spacing w:line="360" w:lineRule="auto"/>
        <w:rPr>
          <w:rFonts w:cs="Times New Roman"/>
        </w:rPr>
      </w:pPr>
      <w:bookmarkStart w:id="0" w:name="_Toc289175819"/>
      <w:bookmarkStart w:id="1" w:name="_Toc192766936"/>
      <w:bookmarkStart w:id="2" w:name="_Toc192781537"/>
      <w:r w:rsidRPr="00F837B8">
        <w:rPr>
          <w:rFonts w:cs="Times New Roman"/>
        </w:rPr>
        <w:lastRenderedPageBreak/>
        <w:t>INTRODUCTION</w:t>
      </w:r>
      <w:bookmarkEnd w:id="0"/>
      <w:bookmarkEnd w:id="1"/>
      <w:bookmarkEnd w:id="2"/>
      <w:r w:rsidR="00EE334C" w:rsidRPr="00F837B8">
        <w:rPr>
          <w:rFonts w:cs="Times New Roman"/>
        </w:rPr>
        <w:t xml:space="preserve"> </w:t>
      </w:r>
      <w:bookmarkStart w:id="3" w:name="_Toc289175825"/>
    </w:p>
    <w:p w14:paraId="7CBDF2CF" w14:textId="2E8DEA51" w:rsidR="009E23F0" w:rsidRDefault="000F0A61" w:rsidP="00965EA3">
      <w:pPr>
        <w:spacing w:line="360" w:lineRule="auto"/>
        <w:ind w:firstLine="720"/>
        <w:rPr>
          <w:rFonts w:cs="Times New Roman"/>
          <w:b/>
          <w:bCs/>
          <w:caps/>
        </w:rPr>
      </w:pPr>
      <w:r w:rsidRPr="000F0A61">
        <w:rPr>
          <w:rFonts w:cs="Times New Roman"/>
        </w:rPr>
        <w:t xml:space="preserve">This dissertation is structured into three peer-reviewed journal articles, each serving as a chapter within the document. As such, it does not include a stand-alone literature review. Instead, the relevant literature and foundational content have been integrated into the introduction sections of each respective chapter, providing the necessary context and background integral to understanding the research presented. This approach ensures that each chapter </w:t>
      </w:r>
      <w:r>
        <w:rPr>
          <w:rFonts w:cs="Times New Roman"/>
        </w:rPr>
        <w:t xml:space="preserve">has the appropriate material relevant to the experiments contained within </w:t>
      </w:r>
      <w:r w:rsidRPr="000F0A61">
        <w:rPr>
          <w:rFonts w:cs="Times New Roman"/>
        </w:rPr>
        <w:t>and</w:t>
      </w:r>
      <w:r>
        <w:rPr>
          <w:rFonts w:cs="Times New Roman"/>
        </w:rPr>
        <w:t xml:space="preserve"> allows it to be</w:t>
      </w:r>
      <w:r w:rsidRPr="000F0A61">
        <w:rPr>
          <w:rFonts w:cs="Times New Roman"/>
        </w:rPr>
        <w:t xml:space="preserve"> ready for submission to academic journals.</w:t>
      </w:r>
      <w:r w:rsidR="009E23F0">
        <w:rPr>
          <w:rFonts w:cs="Times New Roman"/>
        </w:rPr>
        <w:br w:type="page"/>
      </w:r>
    </w:p>
    <w:p w14:paraId="0EC561BF" w14:textId="31A5E97F" w:rsidR="00060A6A" w:rsidRPr="00493F8A" w:rsidRDefault="003C7FC5" w:rsidP="000C799B">
      <w:pPr>
        <w:pStyle w:val="Heading1"/>
        <w:spacing w:line="360" w:lineRule="auto"/>
      </w:pPr>
      <w:bookmarkStart w:id="4" w:name="_Toc192766937"/>
      <w:bookmarkStart w:id="5" w:name="_Toc192781538"/>
      <w:r w:rsidRPr="00493F8A">
        <w:lastRenderedPageBreak/>
        <w:t>CHAPTER I</w:t>
      </w:r>
      <w:r w:rsidR="00FF1665" w:rsidRPr="00493F8A">
        <w:br/>
      </w:r>
      <w:bookmarkEnd w:id="3"/>
      <w:r w:rsidR="00D45EA9" w:rsidRPr="00493F8A">
        <w:t xml:space="preserve">Turfgrass Tolerance to </w:t>
      </w:r>
      <w:r w:rsidR="00AE64F9" w:rsidRPr="00493F8A">
        <w:t>T</w:t>
      </w:r>
      <w:r w:rsidR="00D45EA9" w:rsidRPr="00493F8A">
        <w:t xml:space="preserve">etflupyrolimet </w:t>
      </w:r>
      <w:r w:rsidR="00AE64F9" w:rsidRPr="00493F8A">
        <w:t>A</w:t>
      </w:r>
      <w:r w:rsidR="00D45EA9" w:rsidRPr="00493F8A">
        <w:t xml:space="preserve">pplications for </w:t>
      </w:r>
      <w:r w:rsidR="00AE64F9" w:rsidRPr="00493F8A">
        <w:t>P</w:t>
      </w:r>
      <w:r w:rsidR="00D45EA9" w:rsidRPr="00493F8A">
        <w:t xml:space="preserve">reemergence </w:t>
      </w:r>
      <w:r w:rsidR="00AE64F9" w:rsidRPr="00493F8A">
        <w:t>G</w:t>
      </w:r>
      <w:r w:rsidR="00D45EA9" w:rsidRPr="00493F8A">
        <w:t xml:space="preserve">rassy </w:t>
      </w:r>
      <w:r w:rsidR="00AE64F9" w:rsidRPr="00493F8A">
        <w:t>W</w:t>
      </w:r>
      <w:r w:rsidR="00D45EA9" w:rsidRPr="00493F8A">
        <w:t xml:space="preserve">eed </w:t>
      </w:r>
      <w:r w:rsidR="00AE64F9" w:rsidRPr="00493F8A">
        <w:t>C</w:t>
      </w:r>
      <w:r w:rsidR="00D45EA9" w:rsidRPr="00493F8A">
        <w:t>ontrol</w:t>
      </w:r>
      <w:bookmarkEnd w:id="4"/>
      <w:bookmarkEnd w:id="5"/>
    </w:p>
    <w:p w14:paraId="0EC561C1" w14:textId="77777777" w:rsidR="00003F6A" w:rsidRPr="00DF7C87" w:rsidRDefault="00003F6A" w:rsidP="00574AFF">
      <w:pPr>
        <w:pStyle w:val="Heading3"/>
        <w:spacing w:line="360" w:lineRule="auto"/>
        <w:rPr>
          <w:rFonts w:cs="Times New Roman"/>
          <w:szCs w:val="24"/>
        </w:rPr>
      </w:pPr>
      <w:r w:rsidRPr="00DF7C87">
        <w:rPr>
          <w:rFonts w:cs="Times New Roman"/>
          <w:szCs w:val="24"/>
        </w:rPr>
        <w:br w:type="page"/>
      </w:r>
    </w:p>
    <w:p w14:paraId="0EC561C2" w14:textId="65C6190E" w:rsidR="00FA75A5" w:rsidRPr="00DF7C87" w:rsidRDefault="00FA75A5" w:rsidP="00574AFF">
      <w:pPr>
        <w:spacing w:line="360" w:lineRule="auto"/>
        <w:rPr>
          <w:rFonts w:cs="Times New Roman"/>
        </w:rPr>
      </w:pPr>
      <w:r w:rsidRPr="00DF7C87">
        <w:rPr>
          <w:rFonts w:cs="Times New Roman"/>
        </w:rPr>
        <w:lastRenderedPageBreak/>
        <w:tab/>
        <w:t xml:space="preserve">A version of this chapter was originally published </w:t>
      </w:r>
      <w:r w:rsidR="00A825CC">
        <w:rPr>
          <w:rFonts w:cs="Times New Roman"/>
        </w:rPr>
        <w:t xml:space="preserve">online </w:t>
      </w:r>
      <w:r w:rsidR="0002749A">
        <w:rPr>
          <w:rFonts w:cs="Times New Roman"/>
        </w:rPr>
        <w:t>20 December 2024</w:t>
      </w:r>
      <w:r w:rsidR="00A825CC">
        <w:rPr>
          <w:rFonts w:cs="Times New Roman"/>
        </w:rPr>
        <w:t xml:space="preserve"> and print in </w:t>
      </w:r>
      <w:r w:rsidR="006C7675">
        <w:rPr>
          <w:rFonts w:cs="Times New Roman"/>
        </w:rPr>
        <w:t>202</w:t>
      </w:r>
      <w:r w:rsidR="00AC70B8">
        <w:rPr>
          <w:rFonts w:cs="Times New Roman"/>
        </w:rPr>
        <w:t>5</w:t>
      </w:r>
      <w:r w:rsidR="006C7675">
        <w:rPr>
          <w:rFonts w:cs="Times New Roman"/>
        </w:rPr>
        <w:t xml:space="preserve"> </w:t>
      </w:r>
      <w:r w:rsidR="0002749A">
        <w:rPr>
          <w:rFonts w:cs="Times New Roman"/>
        </w:rPr>
        <w:t>by Benjamin D. Pritchard, Greg K. Breeden, Rebecca G. Bowling, Travis W. Gannon, Kendall C. Hutto, and James T. Brosnan:</w:t>
      </w:r>
    </w:p>
    <w:p w14:paraId="0EC561C4" w14:textId="0FE44F8F" w:rsidR="00387656" w:rsidRPr="00DF7C87" w:rsidRDefault="00FA75A5" w:rsidP="0002749A">
      <w:pPr>
        <w:spacing w:line="360" w:lineRule="auto"/>
        <w:rPr>
          <w:rFonts w:cs="Times New Roman"/>
        </w:rPr>
      </w:pPr>
      <w:r w:rsidRPr="00DF7C87">
        <w:rPr>
          <w:rFonts w:cs="Times New Roman"/>
        </w:rPr>
        <w:tab/>
      </w:r>
      <w:r w:rsidR="006E24CF" w:rsidRPr="00201176">
        <w:rPr>
          <w:rFonts w:cs="Times New Roman"/>
          <w:color w:val="222222"/>
          <w:shd w:val="clear" w:color="auto" w:fill="FFFFFF"/>
        </w:rPr>
        <w:t>Pritchard BD, Breeden GK, Bowling RG, Gannon TW, Hutto KC, &amp; Brosnan JT</w:t>
      </w:r>
      <w:r w:rsidR="006E24CF">
        <w:rPr>
          <w:rFonts w:cs="Times New Roman"/>
          <w:color w:val="222222"/>
          <w:shd w:val="clear" w:color="auto" w:fill="FFFFFF"/>
        </w:rPr>
        <w:t xml:space="preserve"> (202</w:t>
      </w:r>
      <w:r w:rsidR="006C7675">
        <w:rPr>
          <w:rFonts w:cs="Times New Roman"/>
          <w:color w:val="222222"/>
          <w:shd w:val="clear" w:color="auto" w:fill="FFFFFF"/>
        </w:rPr>
        <w:t>5</w:t>
      </w:r>
      <w:r w:rsidR="006E24CF">
        <w:rPr>
          <w:rFonts w:cs="Times New Roman"/>
          <w:color w:val="222222"/>
          <w:shd w:val="clear" w:color="auto" w:fill="FFFFFF"/>
        </w:rPr>
        <w:t>)</w:t>
      </w:r>
      <w:r w:rsidR="006E24CF" w:rsidRPr="00201176">
        <w:rPr>
          <w:rFonts w:cs="Times New Roman"/>
          <w:color w:val="222222"/>
          <w:shd w:val="clear" w:color="auto" w:fill="FFFFFF"/>
        </w:rPr>
        <w:t>. Turfgrass Tolerance to Tetflupyrolimet Applications for Preemergence Grassy Weed Control.</w:t>
      </w:r>
      <w:r w:rsidR="006E24CF" w:rsidRPr="003012A9">
        <w:rPr>
          <w:rFonts w:cs="Times New Roman"/>
          <w:i/>
          <w:iCs/>
        </w:rPr>
        <w:t xml:space="preserve"> Weed Science</w:t>
      </w:r>
      <w:r w:rsidR="006E24CF" w:rsidRPr="003012A9">
        <w:rPr>
          <w:rFonts w:cs="Times New Roman"/>
        </w:rPr>
        <w:t>, </w:t>
      </w:r>
      <w:r w:rsidR="006E24CF" w:rsidRPr="003012A9">
        <w:rPr>
          <w:rFonts w:cs="Times New Roman"/>
          <w:i/>
          <w:iCs/>
        </w:rPr>
        <w:t>73</w:t>
      </w:r>
      <w:r w:rsidR="006E24CF" w:rsidRPr="003012A9">
        <w:rPr>
          <w:rFonts w:cs="Times New Roman"/>
        </w:rPr>
        <w:t>, e17. doi:10.1017/wsc.2024.97</w:t>
      </w:r>
    </w:p>
    <w:p w14:paraId="4AC0C190" w14:textId="28AABB46" w:rsidR="00591DC4" w:rsidRPr="00902C28" w:rsidRDefault="0002749A" w:rsidP="00902C28">
      <w:pPr>
        <w:spacing w:line="360" w:lineRule="auto"/>
        <w:ind w:firstLine="720"/>
        <w:rPr>
          <w:rFonts w:cs="Times New Roman"/>
        </w:rPr>
      </w:pPr>
      <w:bookmarkStart w:id="6" w:name="_Toc289175826"/>
      <w:r w:rsidRPr="0002749A">
        <w:rPr>
          <w:rFonts w:cs="Times New Roman"/>
        </w:rPr>
        <w:t>The publishing of this article involved an extensive peer-review process that</w:t>
      </w:r>
      <w:r w:rsidR="00902C28">
        <w:rPr>
          <w:rFonts w:cs="Times New Roman"/>
        </w:rPr>
        <w:t xml:space="preserve"> </w:t>
      </w:r>
      <w:r w:rsidRPr="0002749A">
        <w:rPr>
          <w:rFonts w:cs="Times New Roman"/>
        </w:rPr>
        <w:t>improved the quality of the manuscript and allowed the authors to develop deeper</w:t>
      </w:r>
      <w:r w:rsidR="00902C28">
        <w:rPr>
          <w:rFonts w:cs="Times New Roman"/>
        </w:rPr>
        <w:t xml:space="preserve"> </w:t>
      </w:r>
      <w:r w:rsidRPr="0002749A">
        <w:rPr>
          <w:rFonts w:cs="Times New Roman"/>
        </w:rPr>
        <w:t>hypotheses</w:t>
      </w:r>
      <w:r w:rsidR="00902C28">
        <w:rPr>
          <w:rFonts w:cs="Times New Roman"/>
        </w:rPr>
        <w:t xml:space="preserve">, </w:t>
      </w:r>
      <w:r w:rsidRPr="0002749A">
        <w:rPr>
          <w:rFonts w:cs="Times New Roman"/>
        </w:rPr>
        <w:t>arguments</w:t>
      </w:r>
      <w:r w:rsidR="00902C28">
        <w:rPr>
          <w:rFonts w:cs="Times New Roman"/>
        </w:rPr>
        <w:t>, and quality research methodology</w:t>
      </w:r>
      <w:r w:rsidRPr="0002749A">
        <w:rPr>
          <w:rFonts w:cs="Times New Roman"/>
        </w:rPr>
        <w:t>. The publishing of this article involved six authors from the</w:t>
      </w:r>
      <w:r w:rsidR="00902C28">
        <w:rPr>
          <w:rFonts w:cs="Times New Roman"/>
        </w:rPr>
        <w:t xml:space="preserve"> </w:t>
      </w:r>
      <w:r w:rsidRPr="0002749A">
        <w:rPr>
          <w:rFonts w:cs="Times New Roman"/>
        </w:rPr>
        <w:t xml:space="preserve">University of Tennessee </w:t>
      </w:r>
      <w:r>
        <w:rPr>
          <w:rFonts w:cs="Times New Roman"/>
        </w:rPr>
        <w:t>D</w:t>
      </w:r>
      <w:r w:rsidRPr="0002749A">
        <w:rPr>
          <w:rFonts w:cs="Times New Roman"/>
        </w:rPr>
        <w:t>epartment of Plant Sciences</w:t>
      </w:r>
      <w:r>
        <w:rPr>
          <w:rFonts w:cs="Times New Roman"/>
        </w:rPr>
        <w:t>, North Carolina State University Department of Crop and Soil Science, and</w:t>
      </w:r>
      <w:r w:rsidR="00902C28">
        <w:rPr>
          <w:rFonts w:cs="Times New Roman"/>
        </w:rPr>
        <w:t xml:space="preserve"> FMC Global Specialty Solutions. </w:t>
      </w:r>
      <w:r w:rsidRPr="0002749A">
        <w:rPr>
          <w:rFonts w:cs="Times New Roman"/>
        </w:rPr>
        <w:t>All authors made conceptual or technical contributions relative to their area of</w:t>
      </w:r>
      <w:r w:rsidR="00902C28">
        <w:rPr>
          <w:rFonts w:cs="Times New Roman"/>
        </w:rPr>
        <w:t xml:space="preserve"> </w:t>
      </w:r>
      <w:r w:rsidRPr="0002749A">
        <w:rPr>
          <w:rFonts w:cs="Times New Roman"/>
        </w:rPr>
        <w:t>expertise. My primary contributions to this paper include (</w:t>
      </w:r>
      <w:proofErr w:type="spellStart"/>
      <w:r w:rsidRPr="0002749A">
        <w:rPr>
          <w:rFonts w:cs="Times New Roman"/>
        </w:rPr>
        <w:t>i</w:t>
      </w:r>
      <w:proofErr w:type="spellEnd"/>
      <w:r w:rsidRPr="0002749A">
        <w:rPr>
          <w:rFonts w:cs="Times New Roman"/>
        </w:rPr>
        <w:t>) reading literature, (ii) writing</w:t>
      </w:r>
      <w:r w:rsidR="00902C28">
        <w:rPr>
          <w:rFonts w:cs="Times New Roman"/>
        </w:rPr>
        <w:t xml:space="preserve"> </w:t>
      </w:r>
      <w:r w:rsidRPr="0002749A">
        <w:rPr>
          <w:rFonts w:cs="Times New Roman"/>
        </w:rPr>
        <w:t xml:space="preserve">the manuscript, (iii) </w:t>
      </w:r>
      <w:r w:rsidR="00902C28">
        <w:rPr>
          <w:rFonts w:cs="Times New Roman"/>
        </w:rPr>
        <w:t xml:space="preserve">conducting the research, (iv) </w:t>
      </w:r>
      <w:proofErr w:type="spellStart"/>
      <w:r w:rsidR="00902C28">
        <w:rPr>
          <w:rFonts w:cs="Times New Roman"/>
        </w:rPr>
        <w:t>analysing</w:t>
      </w:r>
      <w:proofErr w:type="spellEnd"/>
      <w:r w:rsidR="00902C28">
        <w:rPr>
          <w:rFonts w:cs="Times New Roman"/>
        </w:rPr>
        <w:t xml:space="preserve"> data, and (v) </w:t>
      </w:r>
      <w:r w:rsidRPr="0002749A">
        <w:rPr>
          <w:rFonts w:cs="Times New Roman"/>
        </w:rPr>
        <w:t>revising during the review process.</w:t>
      </w:r>
      <w:r w:rsidR="00591DC4">
        <w:rPr>
          <w:rFonts w:cs="Times New Roman"/>
        </w:rPr>
        <w:br w:type="page"/>
      </w:r>
    </w:p>
    <w:p w14:paraId="5BCEAF64" w14:textId="168EE8A9" w:rsidR="00AE64F9" w:rsidRPr="00AE64F9" w:rsidRDefault="00FA75A5" w:rsidP="000C799B">
      <w:pPr>
        <w:pStyle w:val="Heading2"/>
        <w:spacing w:before="0" w:after="0" w:line="360" w:lineRule="auto"/>
        <w:rPr>
          <w:rFonts w:cs="Times New Roman"/>
          <w:szCs w:val="24"/>
        </w:rPr>
      </w:pPr>
      <w:bookmarkStart w:id="7" w:name="_Toc192766938"/>
      <w:bookmarkStart w:id="8" w:name="_Toc192781539"/>
      <w:r w:rsidRPr="002B7360">
        <w:rPr>
          <w:rFonts w:cs="Times New Roman"/>
          <w:szCs w:val="24"/>
        </w:rPr>
        <w:lastRenderedPageBreak/>
        <w:t>A</w:t>
      </w:r>
      <w:r w:rsidR="00FF1665" w:rsidRPr="002B7360">
        <w:rPr>
          <w:rFonts w:cs="Times New Roman"/>
          <w:szCs w:val="24"/>
        </w:rPr>
        <w:t>bstract</w:t>
      </w:r>
      <w:bookmarkStart w:id="9" w:name="_Toc289175827"/>
      <w:bookmarkEnd w:id="6"/>
      <w:bookmarkEnd w:id="7"/>
      <w:bookmarkEnd w:id="8"/>
    </w:p>
    <w:p w14:paraId="0380614F" w14:textId="77777777" w:rsidR="00AE64F9" w:rsidRDefault="00AE64F9" w:rsidP="000C799B">
      <w:pPr>
        <w:pStyle w:val="Heading2"/>
        <w:spacing w:before="0" w:after="0" w:line="360" w:lineRule="auto"/>
        <w:ind w:firstLine="720"/>
        <w:jc w:val="left"/>
        <w:rPr>
          <w:rFonts w:cs="Times New Roman"/>
          <w:b w:val="0"/>
          <w:bCs w:val="0"/>
          <w:szCs w:val="24"/>
          <w:shd w:val="clear" w:color="auto" w:fill="FFFFFF"/>
        </w:rPr>
        <w:sectPr w:rsidR="00AE64F9" w:rsidSect="001A7C9B">
          <w:pgSz w:w="12240" w:h="15840"/>
          <w:pgMar w:top="1440" w:right="1440" w:bottom="1440" w:left="1440" w:header="720" w:footer="720" w:gutter="0"/>
          <w:pgNumType w:start="1"/>
          <w:cols w:space="720"/>
          <w:docGrid w:linePitch="360"/>
        </w:sectPr>
      </w:pPr>
    </w:p>
    <w:p w14:paraId="3D5CBAA0" w14:textId="181119F6" w:rsidR="002B7360" w:rsidRPr="000C799B" w:rsidRDefault="002B7360" w:rsidP="000C799B">
      <w:pPr>
        <w:spacing w:line="360" w:lineRule="auto"/>
        <w:ind w:firstLine="720"/>
        <w:rPr>
          <w:b/>
          <w:bCs/>
        </w:rPr>
      </w:pPr>
      <w:bookmarkStart w:id="10" w:name="_Toc192766939"/>
      <w:proofErr w:type="spellStart"/>
      <w:r w:rsidRPr="002B7360">
        <w:rPr>
          <w:shd w:val="clear" w:color="auto" w:fill="FFFFFF"/>
        </w:rPr>
        <w:t>Tetflupyrolimet</w:t>
      </w:r>
      <w:proofErr w:type="spellEnd"/>
      <w:r w:rsidRPr="002B7360">
        <w:rPr>
          <w:shd w:val="clear" w:color="auto" w:fill="FFFFFF"/>
        </w:rPr>
        <w:t xml:space="preserve"> </w:t>
      </w:r>
      <w:r w:rsidRPr="002B7360">
        <w:t>(</w:t>
      </w:r>
      <w:proofErr w:type="spellStart"/>
      <w:r w:rsidRPr="002B7360">
        <w:t>Dodhylex</w:t>
      </w:r>
      <w:proofErr w:type="spellEnd"/>
      <w:r w:rsidRPr="002B7360">
        <w:sym w:font="Symbol" w:char="F0D4"/>
      </w:r>
      <w:r w:rsidRPr="002B7360">
        <w:t xml:space="preserve"> Active. FMC Corporation)</w:t>
      </w:r>
      <w:r w:rsidRPr="002B7360">
        <w:rPr>
          <w:shd w:val="clear" w:color="auto" w:fill="FFFFFF"/>
        </w:rPr>
        <w:t xml:space="preserve"> is a novel herbicide inhibiting de novo pyrimidine biosynthesis that</w:t>
      </w:r>
      <w:r w:rsidRPr="002B7360">
        <w:t xml:space="preserve"> controls grassy weeds preemergence in rice (</w:t>
      </w:r>
      <w:r w:rsidRPr="002B7360">
        <w:rPr>
          <w:i/>
        </w:rPr>
        <w:t>Oryza sativa</w:t>
      </w:r>
      <w:r w:rsidRPr="002B7360">
        <w:t xml:space="preserve"> L.) production. Field trials were conducted from 2021-2024 to evaluate turfgrass tolerance to tetflupyrolimet applications for annual bluegrass (</w:t>
      </w:r>
      <w:r w:rsidRPr="002B7360">
        <w:rPr>
          <w:i/>
        </w:rPr>
        <w:t xml:space="preserve">Poa annua </w:t>
      </w:r>
      <w:r w:rsidRPr="002B7360">
        <w:t>L.</w:t>
      </w:r>
      <w:r w:rsidRPr="002B7360">
        <w:rPr>
          <w:i/>
        </w:rPr>
        <w:t>)</w:t>
      </w:r>
      <w:r w:rsidRPr="002B7360">
        <w:t xml:space="preserve"> and smooth crabgrass </w:t>
      </w:r>
      <w:r w:rsidRPr="002B7360">
        <w:rPr>
          <w:color w:val="000000" w:themeColor="text1"/>
        </w:rPr>
        <w:t>[</w:t>
      </w:r>
      <w:proofErr w:type="spellStart"/>
      <w:r w:rsidRPr="002B7360">
        <w:rPr>
          <w:i/>
          <w:color w:val="000000" w:themeColor="text1"/>
        </w:rPr>
        <w:t>Digitaria</w:t>
      </w:r>
      <w:proofErr w:type="spellEnd"/>
      <w:r w:rsidRPr="002B7360">
        <w:rPr>
          <w:i/>
          <w:color w:val="000000" w:themeColor="text1"/>
        </w:rPr>
        <w:t xml:space="preserve"> </w:t>
      </w:r>
      <w:proofErr w:type="spellStart"/>
      <w:r w:rsidRPr="002B7360">
        <w:rPr>
          <w:i/>
          <w:color w:val="000000" w:themeColor="text1"/>
        </w:rPr>
        <w:t>ischaemum</w:t>
      </w:r>
      <w:proofErr w:type="spellEnd"/>
      <w:r w:rsidRPr="002B7360">
        <w:rPr>
          <w:color w:val="000000" w:themeColor="text1"/>
        </w:rPr>
        <w:t xml:space="preserve"> (</w:t>
      </w:r>
      <w:proofErr w:type="spellStart"/>
      <w:r w:rsidRPr="002B7360">
        <w:rPr>
          <w:color w:val="000000" w:themeColor="text1"/>
        </w:rPr>
        <w:t>Schreb</w:t>
      </w:r>
      <w:proofErr w:type="spellEnd"/>
      <w:r w:rsidRPr="002B7360">
        <w:rPr>
          <w:color w:val="000000" w:themeColor="text1"/>
        </w:rPr>
        <w:t xml:space="preserve">.) </w:t>
      </w:r>
      <w:proofErr w:type="spellStart"/>
      <w:r w:rsidRPr="002B7360">
        <w:rPr>
          <w:color w:val="000000" w:themeColor="text1"/>
        </w:rPr>
        <w:t>Schreb</w:t>
      </w:r>
      <w:proofErr w:type="spellEnd"/>
      <w:r w:rsidRPr="002B7360">
        <w:rPr>
          <w:color w:val="000000" w:themeColor="text1"/>
        </w:rPr>
        <w:t xml:space="preserve">. </w:t>
      </w:r>
      <w:proofErr w:type="spellStart"/>
      <w:r w:rsidRPr="002B7360">
        <w:rPr>
          <w:color w:val="000000" w:themeColor="text1"/>
        </w:rPr>
        <w:t>ex Muhl</w:t>
      </w:r>
      <w:proofErr w:type="spellEnd"/>
      <w:r w:rsidRPr="002B7360">
        <w:rPr>
          <w:color w:val="000000" w:themeColor="text1"/>
        </w:rPr>
        <w:t>.]</w:t>
      </w:r>
      <w:r w:rsidRPr="002B7360">
        <w:rPr>
          <w:i/>
        </w:rPr>
        <w:t xml:space="preserve"> </w:t>
      </w:r>
      <w:r w:rsidRPr="002B7360">
        <w:t>control. Tolerance was evaluated on seven turfgrass species, including creeping bentgrass (</w:t>
      </w:r>
      <w:r w:rsidRPr="002B7360">
        <w:rPr>
          <w:i/>
        </w:rPr>
        <w:t>Agrostis stolonifera</w:t>
      </w:r>
      <w:r w:rsidRPr="002B7360">
        <w:t xml:space="preserve"> L.), Kentucky bluegrass (</w:t>
      </w:r>
      <w:r w:rsidRPr="002B7360">
        <w:rPr>
          <w:i/>
        </w:rPr>
        <w:t>Poa pratensis</w:t>
      </w:r>
      <w:r w:rsidRPr="002B7360">
        <w:t xml:space="preserve"> L.), tall fescue (</w:t>
      </w:r>
      <w:r w:rsidRPr="002B7360">
        <w:rPr>
          <w:i/>
        </w:rPr>
        <w:t>Festuca arundinacea</w:t>
      </w:r>
      <w:r w:rsidRPr="002B7360">
        <w:t xml:space="preserve"> </w:t>
      </w:r>
      <w:proofErr w:type="spellStart"/>
      <w:r w:rsidRPr="002B7360">
        <w:t>Schreb</w:t>
      </w:r>
      <w:proofErr w:type="spellEnd"/>
      <w:r w:rsidRPr="002B7360">
        <w:t xml:space="preserve">.), hybrid bermudagrass </w:t>
      </w:r>
      <w:r w:rsidRPr="002B7360">
        <w:rPr>
          <w:color w:val="000000" w:themeColor="text1"/>
        </w:rPr>
        <w:t>[</w:t>
      </w:r>
      <w:r w:rsidRPr="002B7360">
        <w:rPr>
          <w:i/>
          <w:color w:val="000000" w:themeColor="text1"/>
        </w:rPr>
        <w:t>C. dactylon</w:t>
      </w:r>
      <w:r w:rsidRPr="002B7360">
        <w:rPr>
          <w:color w:val="000000" w:themeColor="text1"/>
        </w:rPr>
        <w:t xml:space="preserve"> (L.) Pers. x </w:t>
      </w:r>
      <w:r w:rsidRPr="002B7360">
        <w:rPr>
          <w:i/>
          <w:color w:val="000000" w:themeColor="text1"/>
        </w:rPr>
        <w:t xml:space="preserve">C. </w:t>
      </w:r>
      <w:proofErr w:type="spellStart"/>
      <w:r w:rsidRPr="002B7360">
        <w:rPr>
          <w:i/>
          <w:color w:val="000000" w:themeColor="text1"/>
        </w:rPr>
        <w:t>transvaalensis</w:t>
      </w:r>
      <w:proofErr w:type="spellEnd"/>
      <w:r w:rsidRPr="002B7360">
        <w:rPr>
          <w:color w:val="000000" w:themeColor="text1"/>
        </w:rPr>
        <w:t xml:space="preserve"> Burtt-Davy]</w:t>
      </w:r>
      <w:r w:rsidRPr="002B7360">
        <w:t xml:space="preserve">, and </w:t>
      </w:r>
      <w:proofErr w:type="spellStart"/>
      <w:r w:rsidRPr="002B7360">
        <w:t>manilagrass</w:t>
      </w:r>
      <w:proofErr w:type="spellEnd"/>
      <w:r w:rsidRPr="002B7360">
        <w:t xml:space="preserve"> </w:t>
      </w:r>
      <w:r w:rsidRPr="002B7360">
        <w:rPr>
          <w:color w:val="000000" w:themeColor="text1"/>
        </w:rPr>
        <w:t>(</w:t>
      </w:r>
      <w:r w:rsidRPr="002B7360">
        <w:rPr>
          <w:i/>
          <w:color w:val="000000" w:themeColor="text1"/>
        </w:rPr>
        <w:t xml:space="preserve">Zoysia </w:t>
      </w:r>
      <w:proofErr w:type="spellStart"/>
      <w:r w:rsidRPr="002B7360">
        <w:rPr>
          <w:i/>
          <w:color w:val="000000" w:themeColor="text1"/>
        </w:rPr>
        <w:t>matrella</w:t>
      </w:r>
      <w:proofErr w:type="spellEnd"/>
      <w:r w:rsidRPr="002B7360">
        <w:rPr>
          <w:color w:val="000000" w:themeColor="text1"/>
        </w:rPr>
        <w:t xml:space="preserve"> L. </w:t>
      </w:r>
      <w:proofErr w:type="spellStart"/>
      <w:r w:rsidRPr="002B7360">
        <w:rPr>
          <w:color w:val="000000" w:themeColor="text1"/>
        </w:rPr>
        <w:t>Merr</w:t>
      </w:r>
      <w:proofErr w:type="spellEnd"/>
      <w:r w:rsidRPr="002B7360">
        <w:rPr>
          <w:color w:val="000000" w:themeColor="text1"/>
        </w:rPr>
        <w:t xml:space="preserve">.) </w:t>
      </w:r>
      <w:r w:rsidRPr="002B7360">
        <w:t xml:space="preserve">at various mowing heights ranging from 3.8 to 12.5 mm. Separate experiments were conducted on each turfgrass species to evaluate tolerance in both fall and spring. </w:t>
      </w:r>
      <w:r w:rsidRPr="002B7360">
        <w:rPr>
          <w:color w:val="000000" w:themeColor="text1"/>
        </w:rPr>
        <w:t>Tetflupyrolimet was applied at rates of 0, 25, 50, 100, 200, 400, 800, 1600, 3200, or 6400 g ha</w:t>
      </w:r>
      <w:r w:rsidRPr="002B7360">
        <w:rPr>
          <w:color w:val="000000" w:themeColor="text1"/>
          <w:vertAlign w:val="superscript"/>
        </w:rPr>
        <w:t>-1</w:t>
      </w:r>
      <w:r w:rsidRPr="002B7360">
        <w:rPr>
          <w:color w:val="000000" w:themeColor="text1"/>
        </w:rPr>
        <w:t>. No injury was observed on any warm-season turfgrass species in either season, whereas cool-season grass tolerance varied among species each season; however, cool-season turfgrass tolerance for all species was greater in spring than fall. While efficacy of tetflupyrolimet (400 g ha</w:t>
      </w:r>
      <w:r w:rsidRPr="002B7360">
        <w:rPr>
          <w:color w:val="000000" w:themeColor="text1"/>
          <w:vertAlign w:val="superscript"/>
        </w:rPr>
        <w:t>-1</w:t>
      </w:r>
      <w:r w:rsidRPr="002B7360">
        <w:rPr>
          <w:color w:val="000000" w:themeColor="text1"/>
        </w:rPr>
        <w:t>) for PRE smooth crabgrass control varied among years, mixtures of tetflupyrolimet (400 g ha</w:t>
      </w:r>
      <w:r w:rsidRPr="002B7360">
        <w:rPr>
          <w:color w:val="000000" w:themeColor="text1"/>
          <w:vertAlign w:val="superscript"/>
        </w:rPr>
        <w:t>-1</w:t>
      </w:r>
      <w:r w:rsidRPr="002B7360">
        <w:rPr>
          <w:color w:val="000000" w:themeColor="text1"/>
        </w:rPr>
        <w:t xml:space="preserve">), </w:t>
      </w:r>
      <w:proofErr w:type="spellStart"/>
      <w:r w:rsidRPr="002B7360">
        <w:rPr>
          <w:color w:val="000000" w:themeColor="text1"/>
        </w:rPr>
        <w:t>pyroxasulfone</w:t>
      </w:r>
      <w:proofErr w:type="spellEnd"/>
      <w:r w:rsidRPr="002B7360">
        <w:rPr>
          <w:color w:val="000000" w:themeColor="text1"/>
        </w:rPr>
        <w:t xml:space="preserve"> (128 g ha</w:t>
      </w:r>
      <w:r w:rsidRPr="002B7360">
        <w:rPr>
          <w:color w:val="000000" w:themeColor="text1"/>
          <w:vertAlign w:val="superscript"/>
        </w:rPr>
        <w:t>-1</w:t>
      </w:r>
      <w:r w:rsidRPr="002B7360">
        <w:rPr>
          <w:color w:val="000000" w:themeColor="text1"/>
        </w:rPr>
        <w:t xml:space="preserve">), and </w:t>
      </w:r>
      <w:proofErr w:type="spellStart"/>
      <w:r w:rsidRPr="002B7360">
        <w:rPr>
          <w:color w:val="000000" w:themeColor="text1"/>
        </w:rPr>
        <w:t>rimsulfuron</w:t>
      </w:r>
      <w:proofErr w:type="spellEnd"/>
      <w:r w:rsidRPr="002B7360">
        <w:rPr>
          <w:color w:val="000000" w:themeColor="text1"/>
        </w:rPr>
        <w:t xml:space="preserve"> (35 g ha</w:t>
      </w:r>
      <w:r w:rsidRPr="002B7360">
        <w:rPr>
          <w:color w:val="000000" w:themeColor="text1"/>
          <w:vertAlign w:val="superscript"/>
        </w:rPr>
        <w:t>-1</w:t>
      </w:r>
      <w:r w:rsidRPr="002B7360">
        <w:rPr>
          <w:color w:val="000000" w:themeColor="text1"/>
        </w:rPr>
        <w:t xml:space="preserve">) applied PRE or early POST effectively controlled multiple resistant </w:t>
      </w:r>
      <w:r w:rsidRPr="002B7360">
        <w:rPr>
          <w:i/>
          <w:color w:val="000000" w:themeColor="text1"/>
        </w:rPr>
        <w:t>Poa annua</w:t>
      </w:r>
      <w:r w:rsidRPr="002B7360">
        <w:rPr>
          <w:color w:val="000000" w:themeColor="text1"/>
        </w:rPr>
        <w:t xml:space="preserve"> in both seasons. Overall, these findings highlight that </w:t>
      </w:r>
      <w:proofErr w:type="gramStart"/>
      <w:r w:rsidRPr="002B7360">
        <w:rPr>
          <w:color w:val="000000" w:themeColor="text1"/>
          <w:kern w:val="2"/>
          <w14:ligatures w14:val="standardContextual"/>
        </w:rPr>
        <w:t>warm-season</w:t>
      </w:r>
      <w:proofErr w:type="gramEnd"/>
      <w:r w:rsidRPr="002B7360">
        <w:rPr>
          <w:color w:val="000000" w:themeColor="text1"/>
          <w:kern w:val="2"/>
          <w14:ligatures w14:val="standardContextual"/>
        </w:rPr>
        <w:t xml:space="preserve"> turfgrasses are highly tolerant of tetflupyrolimet applications for </w:t>
      </w:r>
      <w:r w:rsidRPr="002B7360">
        <w:rPr>
          <w:i/>
          <w:color w:val="000000" w:themeColor="text1"/>
        </w:rPr>
        <w:t>Poa annua</w:t>
      </w:r>
      <w:r w:rsidRPr="002B7360">
        <w:rPr>
          <w:color w:val="000000" w:themeColor="text1"/>
          <w:kern w:val="2"/>
          <w14:ligatures w14:val="standardContextual"/>
        </w:rPr>
        <w:t xml:space="preserve"> or smooth crabgrass control.</w:t>
      </w:r>
      <w:bookmarkEnd w:id="10"/>
    </w:p>
    <w:p w14:paraId="0EC561CB" w14:textId="134DB490" w:rsidR="003C7FC5" w:rsidRPr="002B7360" w:rsidRDefault="002B7360" w:rsidP="000C799B">
      <w:pPr>
        <w:pStyle w:val="Heading2"/>
        <w:spacing w:before="0" w:after="0" w:line="360" w:lineRule="auto"/>
        <w:rPr>
          <w:rFonts w:cs="Times New Roman"/>
          <w:szCs w:val="24"/>
        </w:rPr>
      </w:pPr>
      <w:bookmarkStart w:id="11" w:name="_Toc192766940"/>
      <w:bookmarkStart w:id="12" w:name="_Toc192781540"/>
      <w:r w:rsidRPr="002B7360">
        <w:rPr>
          <w:rFonts w:cs="Times New Roman"/>
          <w:szCs w:val="24"/>
        </w:rPr>
        <w:t>Introduction</w:t>
      </w:r>
      <w:bookmarkEnd w:id="9"/>
      <w:bookmarkEnd w:id="11"/>
      <w:bookmarkEnd w:id="12"/>
    </w:p>
    <w:p w14:paraId="6F21B2DE" w14:textId="77777777" w:rsidR="00EC6AAB" w:rsidRDefault="00EC6AAB" w:rsidP="000C799B">
      <w:pPr>
        <w:spacing w:line="360" w:lineRule="auto"/>
        <w:rPr>
          <w:rFonts w:cs="Times New Roman"/>
        </w:rPr>
        <w:sectPr w:rsidR="00EC6AAB" w:rsidSect="00AE64F9">
          <w:type w:val="continuous"/>
          <w:pgSz w:w="12240" w:h="15840"/>
          <w:pgMar w:top="1440" w:right="1440" w:bottom="1440" w:left="1440" w:header="720" w:footer="720" w:gutter="0"/>
          <w:cols w:space="720"/>
          <w:docGrid w:linePitch="360"/>
        </w:sectPr>
      </w:pPr>
      <w:bookmarkStart w:id="13" w:name="_Toc420995897"/>
      <w:bookmarkStart w:id="14" w:name="_Toc422997484"/>
      <w:bookmarkStart w:id="15" w:name="_Toc427156467"/>
      <w:bookmarkStart w:id="16" w:name="_Toc428278474"/>
    </w:p>
    <w:p w14:paraId="12461F1E" w14:textId="77777777" w:rsidR="002B7360" w:rsidRPr="0064799F" w:rsidRDefault="002B7360" w:rsidP="000C799B">
      <w:pPr>
        <w:spacing w:line="360" w:lineRule="auto"/>
        <w:ind w:firstLine="720"/>
        <w:rPr>
          <w:rFonts w:cs="Times New Roman"/>
        </w:rPr>
      </w:pPr>
      <w:r w:rsidRPr="0064799F">
        <w:rPr>
          <w:rFonts w:cs="Times New Roman"/>
        </w:rPr>
        <w:t xml:space="preserve">Tetflupyrolimet is a novel mode-of-action herbicide inhibiting de novo pyrimidine biosynthesis, a process essential to the production of both DNA and RNA, as well as phospholipids and glycoproteins (Kang et al. 2023). Tetflupyrolimet binds to dihydroorotate dehydrogenase (DHODH), an enzyme located on the outer surface of the inner mitochondrial membrane (Reis et al. 2017), impeding ubiquinone-mediated oxidation of </w:t>
      </w:r>
      <w:proofErr w:type="spellStart"/>
      <w:r w:rsidRPr="0064799F">
        <w:rPr>
          <w:rFonts w:cs="Times New Roman"/>
        </w:rPr>
        <w:t>dihydroorate</w:t>
      </w:r>
      <w:proofErr w:type="spellEnd"/>
      <w:r w:rsidRPr="0064799F">
        <w:rPr>
          <w:rFonts w:cs="Times New Roman"/>
        </w:rPr>
        <w:t xml:space="preserve"> to orotate (</w:t>
      </w:r>
      <w:proofErr w:type="spellStart"/>
      <w:r w:rsidRPr="0064799F">
        <w:rPr>
          <w:rFonts w:cs="Times New Roman"/>
        </w:rPr>
        <w:t>Zrenner</w:t>
      </w:r>
      <w:proofErr w:type="spellEnd"/>
      <w:r w:rsidRPr="0064799F">
        <w:rPr>
          <w:rFonts w:cs="Times New Roman"/>
        </w:rPr>
        <w:t xml:space="preserve"> et al. 2006).</w:t>
      </w:r>
    </w:p>
    <w:p w14:paraId="2724832A" w14:textId="77777777" w:rsidR="002B7360" w:rsidRPr="0064799F" w:rsidRDefault="002B7360" w:rsidP="000C799B">
      <w:pPr>
        <w:spacing w:line="360" w:lineRule="auto"/>
        <w:ind w:firstLine="720"/>
        <w:rPr>
          <w:rFonts w:cs="Times New Roman"/>
        </w:rPr>
      </w:pPr>
      <w:r w:rsidRPr="0064799F">
        <w:rPr>
          <w:rFonts w:cs="Times New Roman"/>
        </w:rPr>
        <w:t xml:space="preserve">Pyrimidine biosynthesis via DHODH inhibition has been explored as a treatment for both cancers and viruses that are characterized by rapid cell proliferation (Zhou et al. 2021; Luban et al. 2021). Human inhibitors of DHODH are ineffective on plant-DHODH due to differences in amino acid sequence and structure that affect binding (Ullrich et al. 2002). For example, DHODH sequences from </w:t>
      </w:r>
      <w:r w:rsidRPr="0064799F">
        <w:rPr>
          <w:rFonts w:cs="Times New Roman"/>
          <w:i/>
          <w:iCs/>
        </w:rPr>
        <w:t>Homo sapiens</w:t>
      </w:r>
      <w:r w:rsidRPr="0064799F">
        <w:rPr>
          <w:rFonts w:cs="Times New Roman"/>
        </w:rPr>
        <w:t xml:space="preserve"> and </w:t>
      </w:r>
      <w:r w:rsidRPr="0064799F">
        <w:rPr>
          <w:rFonts w:cs="Times New Roman"/>
          <w:i/>
          <w:iCs/>
        </w:rPr>
        <w:t xml:space="preserve">Arabidopsis thaliana </w:t>
      </w:r>
      <w:r w:rsidRPr="0064799F">
        <w:rPr>
          <w:rFonts w:cs="Times New Roman"/>
        </w:rPr>
        <w:t>were only 63.6% similar</w:t>
      </w:r>
      <w:r w:rsidRPr="0064799F">
        <w:rPr>
          <w:rFonts w:cs="Times New Roman"/>
          <w:i/>
          <w:iCs/>
        </w:rPr>
        <w:t xml:space="preserve"> </w:t>
      </w:r>
      <w:r w:rsidRPr="0064799F">
        <w:rPr>
          <w:rFonts w:cs="Times New Roman"/>
        </w:rPr>
        <w:lastRenderedPageBreak/>
        <w:t xml:space="preserve">(Ullrich et al. 2002). In regards to tetflupyrolimet, Kang et al. (2023) reported </w:t>
      </w:r>
      <w:r w:rsidRPr="0064799F">
        <w:rPr>
          <w:rFonts w:cs="Times New Roman"/>
          <w:i/>
          <w:iCs/>
        </w:rPr>
        <w:t>in vitro</w:t>
      </w:r>
      <w:r w:rsidRPr="0064799F">
        <w:rPr>
          <w:rFonts w:cs="Times New Roman"/>
        </w:rPr>
        <w:t xml:space="preserve"> I</w:t>
      </w:r>
      <w:r w:rsidRPr="0064799F">
        <w:rPr>
          <w:rFonts w:cs="Times New Roman"/>
          <w:vertAlign w:val="subscript"/>
        </w:rPr>
        <w:t>50</w:t>
      </w:r>
      <w:r w:rsidRPr="0064799F">
        <w:rPr>
          <w:rFonts w:cs="Times New Roman"/>
        </w:rPr>
        <w:t xml:space="preserve"> values of 4.3 and 380 </w:t>
      </w:r>
      <w:proofErr w:type="spellStart"/>
      <w:r w:rsidRPr="0064799F">
        <w:rPr>
          <w:rFonts w:cs="Times New Roman"/>
        </w:rPr>
        <w:t>nM</w:t>
      </w:r>
      <w:proofErr w:type="spellEnd"/>
      <w:r w:rsidRPr="0064799F">
        <w:rPr>
          <w:rFonts w:cs="Times New Roman"/>
        </w:rPr>
        <w:t xml:space="preserve"> for </w:t>
      </w:r>
      <w:proofErr w:type="spellStart"/>
      <w:r w:rsidRPr="0064799F">
        <w:rPr>
          <w:rFonts w:cs="Times New Roman"/>
          <w:i/>
          <w:iCs/>
        </w:rPr>
        <w:t>Setaria</w:t>
      </w:r>
      <w:proofErr w:type="spellEnd"/>
      <w:r w:rsidRPr="0064799F">
        <w:rPr>
          <w:rFonts w:cs="Times New Roman"/>
          <w:i/>
          <w:iCs/>
        </w:rPr>
        <w:t xml:space="preserve"> italica </w:t>
      </w:r>
      <w:r w:rsidRPr="0064799F">
        <w:rPr>
          <w:rFonts w:cs="Times New Roman"/>
        </w:rPr>
        <w:t>and</w:t>
      </w:r>
      <w:r w:rsidRPr="0064799F">
        <w:rPr>
          <w:rFonts w:cs="Times New Roman"/>
          <w:i/>
          <w:iCs/>
        </w:rPr>
        <w:t xml:space="preserve"> Homo sapiens</w:t>
      </w:r>
      <w:r w:rsidRPr="0064799F">
        <w:rPr>
          <w:rFonts w:cs="Times New Roman"/>
        </w:rPr>
        <w:t>, respectively</w:t>
      </w:r>
      <w:r w:rsidRPr="0064799F">
        <w:rPr>
          <w:rFonts w:cs="Times New Roman"/>
          <w:i/>
          <w:iCs/>
        </w:rPr>
        <w:t xml:space="preserve">. </w:t>
      </w:r>
      <w:r w:rsidRPr="0064799F">
        <w:rPr>
          <w:rFonts w:cs="Times New Roman"/>
        </w:rPr>
        <w:t xml:space="preserve">Similarly, fungicides targeting DHODH, particularly </w:t>
      </w:r>
      <w:proofErr w:type="spellStart"/>
      <w:r w:rsidRPr="0064799F">
        <w:rPr>
          <w:rFonts w:cs="Times New Roman"/>
        </w:rPr>
        <w:t>ipflufenoquin</w:t>
      </w:r>
      <w:proofErr w:type="spellEnd"/>
      <w:r w:rsidRPr="0064799F">
        <w:rPr>
          <w:rFonts w:cs="Times New Roman"/>
        </w:rPr>
        <w:t xml:space="preserve">, have little effect on pyrimidine biosynthesis in plants given less than 40% sequence identity between orthologs from </w:t>
      </w:r>
      <w:proofErr w:type="spellStart"/>
      <w:r w:rsidRPr="0064799F">
        <w:rPr>
          <w:rFonts w:cs="Times New Roman"/>
          <w:i/>
          <w:iCs/>
        </w:rPr>
        <w:t>Setaria</w:t>
      </w:r>
      <w:proofErr w:type="spellEnd"/>
      <w:r w:rsidRPr="0064799F">
        <w:rPr>
          <w:rFonts w:cs="Times New Roman"/>
          <w:i/>
          <w:iCs/>
        </w:rPr>
        <w:t xml:space="preserve"> italica</w:t>
      </w:r>
      <w:r w:rsidRPr="0064799F">
        <w:rPr>
          <w:rFonts w:cs="Times New Roman"/>
        </w:rPr>
        <w:t xml:space="preserve"> and fungal pathogens such as </w:t>
      </w:r>
      <w:r w:rsidRPr="0064799F">
        <w:rPr>
          <w:rFonts w:cs="Times New Roman"/>
          <w:i/>
          <w:iCs/>
        </w:rPr>
        <w:t>Aspergillus fumigatus</w:t>
      </w:r>
      <w:r w:rsidRPr="0064799F">
        <w:rPr>
          <w:rFonts w:cs="Times New Roman"/>
        </w:rPr>
        <w:t xml:space="preserve"> or </w:t>
      </w:r>
      <w:r w:rsidRPr="0064799F">
        <w:rPr>
          <w:rFonts w:cs="Times New Roman"/>
          <w:i/>
          <w:iCs/>
        </w:rPr>
        <w:t xml:space="preserve">Cryptococcus </w:t>
      </w:r>
      <w:r w:rsidRPr="0064799F">
        <w:rPr>
          <w:rFonts w:cs="Times New Roman"/>
        </w:rPr>
        <w:t xml:space="preserve">spp. (Kang et al. 2023). In the field, </w:t>
      </w:r>
      <w:proofErr w:type="spellStart"/>
      <w:r w:rsidRPr="0064799F">
        <w:rPr>
          <w:rFonts w:cs="Times New Roman"/>
        </w:rPr>
        <w:t>ipflufenoquin</w:t>
      </w:r>
      <w:proofErr w:type="spellEnd"/>
      <w:r w:rsidRPr="0064799F">
        <w:rPr>
          <w:rFonts w:cs="Times New Roman"/>
        </w:rPr>
        <w:t xml:space="preserve"> exhibits no efficacy for weed control and tetflupyrolimet exhibits no efficacy against </w:t>
      </w:r>
      <w:r w:rsidRPr="0064799F">
        <w:rPr>
          <w:rFonts w:cs="Times New Roman"/>
          <w:i/>
          <w:iCs/>
        </w:rPr>
        <w:t>Aspergillus fumigatus</w:t>
      </w:r>
      <w:r w:rsidRPr="0064799F">
        <w:rPr>
          <w:rFonts w:cs="Times New Roman"/>
        </w:rPr>
        <w:t xml:space="preserve"> (Kang et al. 2023</w:t>
      </w:r>
      <w:r>
        <w:rPr>
          <w:rFonts w:cs="Times New Roman"/>
        </w:rPr>
        <w:t>;</w:t>
      </w:r>
      <w:r w:rsidRPr="0064799F">
        <w:rPr>
          <w:rFonts w:cs="Times New Roman"/>
        </w:rPr>
        <w:t xml:space="preserve"> van </w:t>
      </w:r>
      <w:proofErr w:type="spellStart"/>
      <w:r w:rsidRPr="0064799F">
        <w:rPr>
          <w:rFonts w:cs="Times New Roman"/>
        </w:rPr>
        <w:t>Rhijn</w:t>
      </w:r>
      <w:proofErr w:type="spellEnd"/>
      <w:r w:rsidRPr="0064799F">
        <w:rPr>
          <w:rFonts w:cs="Times New Roman"/>
        </w:rPr>
        <w:t xml:space="preserve"> et al. 2024).</w:t>
      </w:r>
    </w:p>
    <w:p w14:paraId="3EC89DC0" w14:textId="77777777" w:rsidR="002B7360" w:rsidRPr="0064799F" w:rsidRDefault="002B7360" w:rsidP="00965EA3">
      <w:pPr>
        <w:spacing w:line="360" w:lineRule="auto"/>
        <w:rPr>
          <w:rFonts w:cs="Times New Roman"/>
        </w:rPr>
      </w:pPr>
      <w:r w:rsidRPr="0064799F">
        <w:rPr>
          <w:rFonts w:cs="Times New Roman"/>
        </w:rPr>
        <w:tab/>
        <w:t>Tetflupyrolimet is an effective preemergence (PRE) herbicide to control troublesome grass weeds in rice (</w:t>
      </w:r>
      <w:r w:rsidRPr="0064799F">
        <w:rPr>
          <w:rFonts w:cs="Times New Roman"/>
          <w:i/>
          <w:iCs/>
        </w:rPr>
        <w:t xml:space="preserve">Oryza sativa </w:t>
      </w:r>
      <w:r w:rsidRPr="0064799F">
        <w:rPr>
          <w:rFonts w:cs="Times New Roman"/>
        </w:rPr>
        <w:t xml:space="preserve">L.), particularly </w:t>
      </w:r>
      <w:proofErr w:type="spellStart"/>
      <w:r w:rsidRPr="0064799F">
        <w:rPr>
          <w:rFonts w:cs="Times New Roman"/>
        </w:rPr>
        <w:t>barnyardgrass</w:t>
      </w:r>
      <w:proofErr w:type="spellEnd"/>
      <w:r w:rsidRPr="0064799F">
        <w:rPr>
          <w:rFonts w:cs="Times New Roman"/>
        </w:rPr>
        <w:t xml:space="preserve"> [</w:t>
      </w:r>
      <w:proofErr w:type="spellStart"/>
      <w:r w:rsidRPr="0064799F">
        <w:rPr>
          <w:rFonts w:cs="Times New Roman"/>
          <w:i/>
          <w:iCs/>
        </w:rPr>
        <w:t>Echinochloa</w:t>
      </w:r>
      <w:proofErr w:type="spellEnd"/>
      <w:r w:rsidRPr="0064799F">
        <w:rPr>
          <w:rFonts w:cs="Times New Roman"/>
          <w:i/>
          <w:iCs/>
        </w:rPr>
        <w:t xml:space="preserve"> crus-galli </w:t>
      </w:r>
      <w:r w:rsidRPr="0064799F">
        <w:rPr>
          <w:rFonts w:cs="Times New Roman"/>
        </w:rPr>
        <w:t xml:space="preserve">(L.) P. </w:t>
      </w:r>
      <w:proofErr w:type="spellStart"/>
      <w:r w:rsidRPr="0064799F">
        <w:rPr>
          <w:rFonts w:cs="Times New Roman"/>
        </w:rPr>
        <w:t>Beauv</w:t>
      </w:r>
      <w:proofErr w:type="spellEnd"/>
      <w:r w:rsidRPr="0064799F">
        <w:rPr>
          <w:rFonts w:cs="Times New Roman"/>
        </w:rPr>
        <w:t>.</w:t>
      </w:r>
      <w:r w:rsidRPr="0064799F">
        <w:rPr>
          <w:rFonts w:cs="Times New Roman"/>
        </w:rPr>
        <w:sym w:font="Symbol" w:char="F05D"/>
      </w:r>
      <w:r w:rsidRPr="0064799F">
        <w:rPr>
          <w:rFonts w:cs="Times New Roman"/>
        </w:rPr>
        <w:t xml:space="preserve"> and </w:t>
      </w:r>
      <w:proofErr w:type="spellStart"/>
      <w:r w:rsidRPr="0064799F">
        <w:rPr>
          <w:rFonts w:cs="Times New Roman"/>
        </w:rPr>
        <w:t>junglerice</w:t>
      </w:r>
      <w:proofErr w:type="spellEnd"/>
      <w:r w:rsidRPr="0064799F">
        <w:rPr>
          <w:rFonts w:cs="Times New Roman"/>
        </w:rPr>
        <w:t xml:space="preserve"> [</w:t>
      </w:r>
      <w:proofErr w:type="spellStart"/>
      <w:r w:rsidRPr="0064799F">
        <w:rPr>
          <w:rFonts w:cs="Times New Roman"/>
          <w:i/>
          <w:iCs/>
        </w:rPr>
        <w:t>Echinochloa</w:t>
      </w:r>
      <w:proofErr w:type="spellEnd"/>
      <w:r w:rsidRPr="0064799F">
        <w:rPr>
          <w:rFonts w:cs="Times New Roman"/>
          <w:i/>
          <w:iCs/>
        </w:rPr>
        <w:t xml:space="preserve"> </w:t>
      </w:r>
      <w:proofErr w:type="spellStart"/>
      <w:r w:rsidRPr="0064799F">
        <w:rPr>
          <w:rFonts w:cs="Times New Roman"/>
          <w:i/>
          <w:iCs/>
        </w:rPr>
        <w:t>colona</w:t>
      </w:r>
      <w:proofErr w:type="spellEnd"/>
      <w:r w:rsidRPr="0064799F">
        <w:rPr>
          <w:rFonts w:cs="Times New Roman"/>
        </w:rPr>
        <w:t xml:space="preserve"> (L.) Link] (Castner et al. 2024a</w:t>
      </w:r>
      <w:r>
        <w:rPr>
          <w:rFonts w:cs="Times New Roman"/>
        </w:rPr>
        <w:t xml:space="preserve">; </w:t>
      </w:r>
      <w:r w:rsidRPr="0064799F">
        <w:rPr>
          <w:rFonts w:cs="Times New Roman"/>
        </w:rPr>
        <w:t>Whitt et al. 2024). In rice, tetflupyrolimet has been mixed with other active ingredients (e.g., clomazone) to expand weed control spectrum, particularly versus dicot weeds (</w:t>
      </w:r>
      <w:proofErr w:type="spellStart"/>
      <w:r w:rsidRPr="0064799F">
        <w:rPr>
          <w:rFonts w:cs="Times New Roman"/>
        </w:rPr>
        <w:t>Acrement</w:t>
      </w:r>
      <w:proofErr w:type="spellEnd"/>
      <w:r w:rsidRPr="0064799F">
        <w:rPr>
          <w:rFonts w:cs="Times New Roman"/>
        </w:rPr>
        <w:t xml:space="preserve"> 2024a). However, a mixture of </w:t>
      </w:r>
      <w:proofErr w:type="spellStart"/>
      <w:r w:rsidRPr="0064799F">
        <w:rPr>
          <w:rFonts w:cs="Times New Roman"/>
        </w:rPr>
        <w:t>tetflupyrolimet</w:t>
      </w:r>
      <w:proofErr w:type="spellEnd"/>
      <w:r w:rsidRPr="0064799F">
        <w:rPr>
          <w:rFonts w:cs="Times New Roman"/>
        </w:rPr>
        <w:t xml:space="preserve"> and </w:t>
      </w:r>
      <w:proofErr w:type="spellStart"/>
      <w:r w:rsidRPr="0064799F">
        <w:rPr>
          <w:rFonts w:cs="Times New Roman"/>
        </w:rPr>
        <w:t>saflufenacil</w:t>
      </w:r>
      <w:proofErr w:type="spellEnd"/>
      <w:r w:rsidRPr="0064799F">
        <w:rPr>
          <w:rFonts w:cs="Times New Roman"/>
        </w:rPr>
        <w:t xml:space="preserve"> (70 g ha</w:t>
      </w:r>
      <w:r w:rsidRPr="0064799F">
        <w:rPr>
          <w:rFonts w:cs="Times New Roman"/>
          <w:vertAlign w:val="superscript"/>
        </w:rPr>
        <w:t>-1</w:t>
      </w:r>
      <w:r w:rsidRPr="0064799F">
        <w:rPr>
          <w:rFonts w:cs="Times New Roman"/>
        </w:rPr>
        <w:t>) was antagonistic on spreading dayflower [</w:t>
      </w:r>
      <w:proofErr w:type="spellStart"/>
      <w:r w:rsidRPr="0064799F">
        <w:rPr>
          <w:rFonts w:cs="Times New Roman"/>
          <w:i/>
          <w:iCs/>
        </w:rPr>
        <w:t>Commelina</w:t>
      </w:r>
      <w:proofErr w:type="spellEnd"/>
      <w:r w:rsidRPr="0064799F">
        <w:rPr>
          <w:rFonts w:cs="Times New Roman"/>
          <w:i/>
          <w:iCs/>
        </w:rPr>
        <w:t xml:space="preserve"> </w:t>
      </w:r>
      <w:proofErr w:type="spellStart"/>
      <w:r w:rsidRPr="0064799F">
        <w:rPr>
          <w:rFonts w:cs="Times New Roman"/>
          <w:i/>
          <w:iCs/>
        </w:rPr>
        <w:t>diffusa</w:t>
      </w:r>
      <w:proofErr w:type="spellEnd"/>
      <w:r w:rsidRPr="0064799F">
        <w:rPr>
          <w:rFonts w:cs="Times New Roman"/>
        </w:rPr>
        <w:t xml:space="preserve"> Burm. f.]. When applied to silt loam, carryover potential with tetflupyrolimet is low (Castner et al. 2024b), in part due to its chemical properties [</w:t>
      </w:r>
      <w:proofErr w:type="spellStart"/>
      <w:r w:rsidRPr="0064799F">
        <w:rPr>
          <w:rFonts w:cs="Times New Roman"/>
        </w:rPr>
        <w:t>pKa</w:t>
      </w:r>
      <w:proofErr w:type="spellEnd"/>
      <w:r w:rsidRPr="0064799F">
        <w:rPr>
          <w:rFonts w:cs="Times New Roman"/>
        </w:rPr>
        <w:t xml:space="preserve"> = 12.8, K</w:t>
      </w:r>
      <w:r w:rsidRPr="0064799F">
        <w:rPr>
          <w:rFonts w:cs="Times New Roman"/>
          <w:vertAlign w:val="subscript"/>
        </w:rPr>
        <w:t>SP</w:t>
      </w:r>
      <w:r w:rsidRPr="0064799F">
        <w:rPr>
          <w:rFonts w:cs="Times New Roman"/>
        </w:rPr>
        <w:t xml:space="preserve"> = 4.7 mg L</w:t>
      </w:r>
      <w:r w:rsidRPr="0064799F">
        <w:rPr>
          <w:rFonts w:cs="Times New Roman"/>
          <w:vertAlign w:val="superscript"/>
        </w:rPr>
        <w:t>-1</w:t>
      </w:r>
      <w:r w:rsidRPr="0064799F">
        <w:rPr>
          <w:rFonts w:cs="Times New Roman"/>
        </w:rPr>
        <w:t>, K</w:t>
      </w:r>
      <w:r w:rsidRPr="0064799F">
        <w:rPr>
          <w:rFonts w:cs="Times New Roman"/>
          <w:vertAlign w:val="subscript"/>
        </w:rPr>
        <w:t>OC</w:t>
      </w:r>
      <w:r w:rsidRPr="0064799F">
        <w:rPr>
          <w:rFonts w:cs="Times New Roman"/>
        </w:rPr>
        <w:t xml:space="preserve"> = 658 to 1131 mL g</w:t>
      </w:r>
      <w:r w:rsidRPr="0064799F">
        <w:rPr>
          <w:rFonts w:cs="Times New Roman"/>
          <w:vertAlign w:val="superscript"/>
        </w:rPr>
        <w:t>-1</w:t>
      </w:r>
      <w:r w:rsidRPr="0064799F">
        <w:rPr>
          <w:rFonts w:cs="Times New Roman"/>
        </w:rPr>
        <w:t xml:space="preserve"> (A. Puri, personal communication)</w:t>
      </w:r>
      <w:r w:rsidRPr="0064799F">
        <w:rPr>
          <w:rFonts w:cs="Times New Roman"/>
        </w:rPr>
        <w:sym w:font="Symbol" w:char="F05D"/>
      </w:r>
      <w:r w:rsidRPr="0064799F">
        <w:rPr>
          <w:rFonts w:cs="Times New Roman"/>
        </w:rPr>
        <w:t xml:space="preserve">. </w:t>
      </w:r>
    </w:p>
    <w:p w14:paraId="3158B122" w14:textId="77777777" w:rsidR="002B7360" w:rsidRPr="0064799F" w:rsidRDefault="002B7360" w:rsidP="00965EA3">
      <w:pPr>
        <w:spacing w:line="360" w:lineRule="auto"/>
        <w:rPr>
          <w:rFonts w:cs="Times New Roman"/>
        </w:rPr>
      </w:pPr>
      <w:r w:rsidRPr="0064799F">
        <w:rPr>
          <w:rFonts w:cs="Times New Roman"/>
        </w:rPr>
        <w:tab/>
        <w:t xml:space="preserve">Similar to </w:t>
      </w:r>
      <w:proofErr w:type="spellStart"/>
      <w:r w:rsidRPr="0064799F">
        <w:rPr>
          <w:rFonts w:cs="Times New Roman"/>
          <w:i/>
          <w:iCs/>
        </w:rPr>
        <w:t>Echinochloa</w:t>
      </w:r>
      <w:proofErr w:type="spellEnd"/>
      <w:r w:rsidRPr="0064799F">
        <w:rPr>
          <w:rFonts w:cs="Times New Roman"/>
          <w:i/>
          <w:iCs/>
        </w:rPr>
        <w:t xml:space="preserve"> </w:t>
      </w:r>
      <w:r w:rsidRPr="0064799F">
        <w:rPr>
          <w:rFonts w:cs="Times New Roman"/>
        </w:rPr>
        <w:t xml:space="preserve">spp. in rice, herbicide resistance in </w:t>
      </w:r>
      <w:r w:rsidRPr="0064799F">
        <w:rPr>
          <w:rFonts w:cs="Times New Roman"/>
          <w:i/>
          <w:iCs/>
        </w:rPr>
        <w:t>Poa annua</w:t>
      </w:r>
      <w:r w:rsidRPr="0064799F">
        <w:rPr>
          <w:rFonts w:cs="Times New Roman"/>
        </w:rPr>
        <w:t xml:space="preserve"> populations of turfgrass is widespread (Heap 2024; Brosnan et al. 2020a).</w:t>
      </w:r>
      <w:r w:rsidRPr="0064799F">
        <w:rPr>
          <w:rFonts w:cs="Times New Roman"/>
          <w:i/>
          <w:iCs/>
        </w:rPr>
        <w:t xml:space="preserve"> </w:t>
      </w:r>
      <w:r w:rsidRPr="0064799F">
        <w:rPr>
          <w:rFonts w:cs="Times New Roman"/>
        </w:rPr>
        <w:t xml:space="preserve">A national survey of herbicide resistance within </w:t>
      </w:r>
      <w:r w:rsidRPr="0064799F">
        <w:rPr>
          <w:rFonts w:cs="Times New Roman"/>
          <w:i/>
          <w:iCs/>
        </w:rPr>
        <w:t>Poa annua</w:t>
      </w:r>
      <w:r w:rsidRPr="0064799F">
        <w:rPr>
          <w:rFonts w:cs="Times New Roman"/>
        </w:rPr>
        <w:t xml:space="preserve"> populations of turfgrass reported that 42% of 1,349 populations collected exhibited putative resistance to at least one mode-of-action (McCurdy et al. 2023). At the state level, 25% of </w:t>
      </w:r>
      <w:r w:rsidRPr="0064799F">
        <w:rPr>
          <w:rFonts w:cs="Times New Roman"/>
          <w:i/>
          <w:iCs/>
        </w:rPr>
        <w:t>Poa annua</w:t>
      </w:r>
      <w:r w:rsidRPr="0064799F">
        <w:rPr>
          <w:rFonts w:cs="Times New Roman"/>
        </w:rPr>
        <w:t xml:space="preserve"> collected from golf courses across Tennessee was resistant to at least two herbicides (Brosnan et al. 2020b), with certain populations resistant to multiple mode-of-action groups including HRAC Groups #2, #3, #5, #29 (Brosnan et al. 2020c). Similar to previous reports in commodity agriculture (Schroeder et al. 2018), there is a strong desire amongst turfgrass managers for new herbicides to control herbicide-resistant </w:t>
      </w:r>
      <w:r w:rsidRPr="0064799F">
        <w:rPr>
          <w:rFonts w:cs="Times New Roman"/>
          <w:i/>
          <w:iCs/>
        </w:rPr>
        <w:t>Poa annua</w:t>
      </w:r>
      <w:r w:rsidRPr="0064799F">
        <w:rPr>
          <w:rFonts w:cs="Times New Roman"/>
        </w:rPr>
        <w:t xml:space="preserve"> (Allen et al. 2022), particularly in the southeastern United States where the issue is most prevalent (McCurdy et al. 2023; Rutland et al. 2023).</w:t>
      </w:r>
    </w:p>
    <w:p w14:paraId="606F8ACD" w14:textId="69176C6B" w:rsidR="00EC6AAB" w:rsidRDefault="002B7360" w:rsidP="000C799B">
      <w:pPr>
        <w:spacing w:line="360" w:lineRule="auto"/>
        <w:ind w:firstLine="720"/>
        <w:rPr>
          <w:rFonts w:cs="Times New Roman"/>
        </w:rPr>
      </w:pPr>
      <w:r w:rsidRPr="0064799F">
        <w:rPr>
          <w:rFonts w:cs="Times New Roman"/>
        </w:rPr>
        <w:t xml:space="preserve">The first novel mode-of-action </w:t>
      </w:r>
      <w:r>
        <w:rPr>
          <w:rFonts w:cs="Times New Roman"/>
        </w:rPr>
        <w:t xml:space="preserve">commercialized in </w:t>
      </w:r>
      <w:bookmarkStart w:id="17" w:name="OLE_LINK3"/>
      <w:r>
        <w:rPr>
          <w:rFonts w:cs="Times New Roman"/>
        </w:rPr>
        <w:t xml:space="preserve">decades, </w:t>
      </w:r>
      <w:r w:rsidRPr="0064799F">
        <w:rPr>
          <w:rFonts w:cs="Times New Roman"/>
        </w:rPr>
        <w:t xml:space="preserve">tetflupyrolimet could provide turfgrass managers a valuable tool for managing herbicide resistance in </w:t>
      </w:r>
      <w:r w:rsidRPr="0064799F">
        <w:rPr>
          <w:rFonts w:cs="Times New Roman"/>
          <w:i/>
          <w:iCs/>
        </w:rPr>
        <w:t>Poa annua.</w:t>
      </w:r>
      <w:bookmarkEnd w:id="17"/>
      <w:r w:rsidRPr="0064799F">
        <w:rPr>
          <w:rFonts w:cs="Times New Roman"/>
          <w:i/>
          <w:iCs/>
        </w:rPr>
        <w:t xml:space="preserve"> </w:t>
      </w:r>
      <w:r w:rsidRPr="0064799F">
        <w:rPr>
          <w:rFonts w:cs="Times New Roman"/>
        </w:rPr>
        <w:t xml:space="preserve">However, there is minimal information available regarding </w:t>
      </w:r>
      <w:r>
        <w:rPr>
          <w:rFonts w:cs="Times New Roman"/>
        </w:rPr>
        <w:t xml:space="preserve">the </w:t>
      </w:r>
      <w:r w:rsidRPr="0064799F">
        <w:rPr>
          <w:rFonts w:cs="Times New Roman"/>
        </w:rPr>
        <w:t xml:space="preserve">tolerance of commonly used warm- and cool-season turfgrass to tetflupyrolimet applications for controlling </w:t>
      </w:r>
      <w:r w:rsidRPr="0064799F">
        <w:rPr>
          <w:rFonts w:cs="Times New Roman"/>
          <w:i/>
          <w:iCs/>
        </w:rPr>
        <w:t>Poa annua</w:t>
      </w:r>
      <w:r w:rsidRPr="0064799F">
        <w:rPr>
          <w:rFonts w:cs="Times New Roman"/>
        </w:rPr>
        <w:t xml:space="preserve"> and </w:t>
      </w:r>
      <w:r w:rsidRPr="0064799F">
        <w:rPr>
          <w:rFonts w:cs="Times New Roman"/>
          <w:i/>
          <w:iCs/>
        </w:rPr>
        <w:t>Digitaria</w:t>
      </w:r>
      <w:r w:rsidRPr="0064799F">
        <w:rPr>
          <w:rFonts w:cs="Times New Roman"/>
        </w:rPr>
        <w:t xml:space="preserve"> </w:t>
      </w:r>
      <w:r w:rsidRPr="0064799F">
        <w:rPr>
          <w:rFonts w:cs="Times New Roman"/>
        </w:rPr>
        <w:lastRenderedPageBreak/>
        <w:t>spp.</w:t>
      </w:r>
      <w:r w:rsidR="002C2627">
        <w:rPr>
          <w:rFonts w:cs="Times New Roman"/>
        </w:rPr>
        <w:t>,</w:t>
      </w:r>
      <w:r w:rsidRPr="0064799F">
        <w:rPr>
          <w:rFonts w:cs="Times New Roman"/>
        </w:rPr>
        <w:t xml:space="preserve"> which are both regarded as troublesome grassy weeds (Van </w:t>
      </w:r>
      <w:proofErr w:type="spellStart"/>
      <w:r w:rsidRPr="0064799F">
        <w:rPr>
          <w:rFonts w:cs="Times New Roman"/>
        </w:rPr>
        <w:t>Wychen</w:t>
      </w:r>
      <w:proofErr w:type="spellEnd"/>
      <w:r w:rsidRPr="0064799F">
        <w:rPr>
          <w:rFonts w:cs="Times New Roman"/>
        </w:rPr>
        <w:t xml:space="preserve"> 2020). This paper presents </w:t>
      </w:r>
      <w:r>
        <w:rPr>
          <w:rFonts w:cs="Times New Roman"/>
        </w:rPr>
        <w:t xml:space="preserve">the </w:t>
      </w:r>
      <w:r w:rsidRPr="0064799F">
        <w:rPr>
          <w:rFonts w:cs="Times New Roman"/>
        </w:rPr>
        <w:t>results of several replicated trials conducted in Tennessee with a central objective of evaluating turfgrass tolerance and weed control efficacy following tetflupyrolimet applications for grassy weed control in fall and spring.</w:t>
      </w:r>
      <w:bookmarkStart w:id="18" w:name="_Toc192766941"/>
      <w:bookmarkStart w:id="19" w:name="_Toc192781541"/>
    </w:p>
    <w:p w14:paraId="7AD7DE10" w14:textId="2385D600" w:rsidR="00AE64F9" w:rsidRPr="00EC6AAB" w:rsidRDefault="002B7360" w:rsidP="00EC6AAB">
      <w:pPr>
        <w:spacing w:line="360" w:lineRule="auto"/>
        <w:ind w:firstLine="720"/>
        <w:jc w:val="center"/>
        <w:rPr>
          <w:rFonts w:cs="Times New Roman"/>
        </w:rPr>
        <w:sectPr w:rsidR="00AE64F9" w:rsidRPr="00EC6AAB" w:rsidSect="00AE64F9">
          <w:type w:val="continuous"/>
          <w:pgSz w:w="12240" w:h="15840"/>
          <w:pgMar w:top="1440" w:right="1440" w:bottom="1440" w:left="1440" w:header="720" w:footer="720" w:gutter="0"/>
          <w:cols w:space="720"/>
          <w:docGrid w:linePitch="360"/>
        </w:sectPr>
      </w:pPr>
      <w:r>
        <w:rPr>
          <w:rFonts w:cs="Times New Roman"/>
          <w:b/>
          <w:bCs/>
          <w:iCs/>
        </w:rPr>
        <w:t>Materials and Method</w:t>
      </w:r>
      <w:bookmarkStart w:id="20" w:name="_Toc420995898"/>
      <w:bookmarkStart w:id="21" w:name="_Toc422997485"/>
      <w:bookmarkStart w:id="22" w:name="_Toc427156468"/>
      <w:bookmarkStart w:id="23" w:name="_Toc428278475"/>
      <w:bookmarkEnd w:id="13"/>
      <w:bookmarkEnd w:id="14"/>
      <w:bookmarkEnd w:id="15"/>
      <w:bookmarkEnd w:id="16"/>
      <w:bookmarkEnd w:id="18"/>
      <w:bookmarkEnd w:id="19"/>
      <w:r w:rsidR="00EC6AAB">
        <w:rPr>
          <w:rFonts w:cs="Times New Roman"/>
          <w:b/>
          <w:bCs/>
          <w:iCs/>
        </w:rPr>
        <w:t>s</w:t>
      </w:r>
    </w:p>
    <w:p w14:paraId="538917D3" w14:textId="3BFA5C85" w:rsidR="00181B21" w:rsidRPr="00181B21" w:rsidRDefault="003043B4" w:rsidP="00965EA3">
      <w:pPr>
        <w:keepNext/>
        <w:numPr>
          <w:ilvl w:val="2"/>
          <w:numId w:val="0"/>
        </w:numPr>
        <w:spacing w:line="360" w:lineRule="auto"/>
        <w:outlineLvl w:val="2"/>
        <w:rPr>
          <w:rFonts w:cs="Times New Roman"/>
          <w:b/>
          <w:bCs/>
          <w:i/>
        </w:rPr>
      </w:pPr>
      <w:bookmarkStart w:id="24" w:name="_Toc192766942"/>
      <w:bookmarkStart w:id="25" w:name="_Toc192781542"/>
      <w:r>
        <w:rPr>
          <w:rFonts w:cs="Times New Roman"/>
          <w:b/>
          <w:bCs/>
          <w:i/>
        </w:rPr>
        <w:t>Turfgrass Tolerance</w:t>
      </w:r>
      <w:bookmarkEnd w:id="20"/>
      <w:bookmarkEnd w:id="21"/>
      <w:bookmarkEnd w:id="22"/>
      <w:bookmarkEnd w:id="23"/>
      <w:bookmarkEnd w:id="24"/>
      <w:bookmarkEnd w:id="25"/>
    </w:p>
    <w:p w14:paraId="42130B9C" w14:textId="6AD9B44D" w:rsidR="003043B4" w:rsidRPr="0064799F" w:rsidRDefault="003043B4" w:rsidP="00965EA3">
      <w:pPr>
        <w:spacing w:line="360" w:lineRule="auto"/>
        <w:ind w:firstLine="720"/>
        <w:contextualSpacing/>
        <w:rPr>
          <w:rFonts w:cs="Times New Roman"/>
          <w:color w:val="000000" w:themeColor="text1"/>
        </w:rPr>
      </w:pPr>
      <w:bookmarkStart w:id="26" w:name="_Toc420995899"/>
      <w:bookmarkStart w:id="27" w:name="_Toc422997486"/>
      <w:bookmarkStart w:id="28" w:name="_Toc427156469"/>
      <w:bookmarkStart w:id="29" w:name="_Toc428278476"/>
      <w:r w:rsidRPr="0064799F">
        <w:rPr>
          <w:rFonts w:cs="Times New Roman"/>
        </w:rPr>
        <w:t xml:space="preserve">Field experiments to evaluate the tolerance of five turfgrass species to </w:t>
      </w:r>
      <w:proofErr w:type="spellStart"/>
      <w:r w:rsidRPr="0064799F">
        <w:rPr>
          <w:rFonts w:cs="Times New Roman"/>
        </w:rPr>
        <w:t>tetflupyrolimet</w:t>
      </w:r>
      <w:proofErr w:type="spellEnd"/>
      <w:r>
        <w:rPr>
          <w:rFonts w:cs="Times New Roman"/>
        </w:rPr>
        <w:t xml:space="preserve"> </w:t>
      </w:r>
      <w:r w:rsidRPr="0064799F">
        <w:rPr>
          <w:rFonts w:cs="Times New Roman"/>
        </w:rPr>
        <w:t>(</w:t>
      </w:r>
      <w:proofErr w:type="spellStart"/>
      <w:r w:rsidRPr="0064799F">
        <w:rPr>
          <w:rFonts w:cs="Times New Roman"/>
        </w:rPr>
        <w:t>Dodhylex</w:t>
      </w:r>
      <w:proofErr w:type="spellEnd"/>
      <w:r w:rsidRPr="0064799F">
        <w:rPr>
          <w:rFonts w:cs="Times New Roman"/>
        </w:rPr>
        <w:sym w:font="Symbol" w:char="F0D4"/>
      </w:r>
      <w:r w:rsidRPr="0064799F">
        <w:rPr>
          <w:rFonts w:cs="Times New Roman"/>
        </w:rPr>
        <w:t xml:space="preserve"> Active. FMC Corporation. Philadelphia, PA) were conducted </w:t>
      </w:r>
      <w:r w:rsidRPr="0064799F">
        <w:rPr>
          <w:rFonts w:cs="Times New Roman"/>
          <w:color w:val="000000" w:themeColor="text1"/>
        </w:rPr>
        <w:t xml:space="preserve">at the East Tennessee </w:t>
      </w:r>
      <w:proofErr w:type="spellStart"/>
      <w:r w:rsidRPr="0064799F">
        <w:rPr>
          <w:rFonts w:cs="Times New Roman"/>
          <w:color w:val="000000" w:themeColor="text1"/>
        </w:rPr>
        <w:t>AgResearch</w:t>
      </w:r>
      <w:proofErr w:type="spellEnd"/>
      <w:r w:rsidRPr="0064799F">
        <w:rPr>
          <w:rFonts w:cs="Times New Roman"/>
          <w:color w:val="000000" w:themeColor="text1"/>
        </w:rPr>
        <w:t xml:space="preserve"> and Education Center – Plant Sciences Unit (Knoxville, TN) during both fall and spring. Experiments exploring turfgrass tolerance to tetflupyrolimet in fall were initiated on 28 September 2022 and 30 September 2023. Experiments exploring turfgrass tolerance to tetflupyrolimet in spring were initiated on 28 February 2023 and 29 February 2024. Plots (1.2 by 1.2 m) in all studies were arranged in a randomized complete block design with four replications. Growing conditions during these experiments are presented in </w:t>
      </w:r>
      <w:r w:rsidRPr="00BD540D">
        <w:rPr>
          <w:rFonts w:cs="Times New Roman"/>
          <w:b/>
          <w:bCs/>
          <w:color w:val="000000" w:themeColor="text1"/>
        </w:rPr>
        <w:t xml:space="preserve">Table </w:t>
      </w:r>
      <w:r w:rsidR="002C2627" w:rsidRPr="00BD540D">
        <w:rPr>
          <w:rFonts w:cs="Times New Roman"/>
          <w:b/>
          <w:bCs/>
          <w:color w:val="000000" w:themeColor="text1"/>
        </w:rPr>
        <w:t>1.</w:t>
      </w:r>
      <w:r w:rsidRPr="00BD540D">
        <w:rPr>
          <w:rFonts w:cs="Times New Roman"/>
          <w:b/>
          <w:bCs/>
          <w:color w:val="000000" w:themeColor="text1"/>
        </w:rPr>
        <w:t>1</w:t>
      </w:r>
      <w:r w:rsidR="006C64CA">
        <w:rPr>
          <w:rFonts w:cs="Times New Roman"/>
          <w:color w:val="000000" w:themeColor="text1"/>
        </w:rPr>
        <w:t xml:space="preserve"> (All tables and figures can be found in the appendix at the end of the chapter)</w:t>
      </w:r>
      <w:r w:rsidRPr="0064799F">
        <w:rPr>
          <w:rFonts w:cs="Times New Roman"/>
          <w:color w:val="000000" w:themeColor="text1"/>
        </w:rPr>
        <w:t>.</w:t>
      </w:r>
    </w:p>
    <w:p w14:paraId="6FB14772" w14:textId="5514E909" w:rsidR="003043B4" w:rsidRPr="0064799F" w:rsidRDefault="003043B4" w:rsidP="00965EA3">
      <w:pPr>
        <w:spacing w:line="360" w:lineRule="auto"/>
        <w:ind w:firstLine="720"/>
        <w:contextualSpacing/>
        <w:rPr>
          <w:rFonts w:cs="Times New Roman"/>
          <w:color w:val="000000" w:themeColor="text1"/>
        </w:rPr>
      </w:pPr>
      <w:r w:rsidRPr="0064799F">
        <w:rPr>
          <w:rFonts w:cs="Times New Roman"/>
          <w:color w:val="000000" w:themeColor="text1"/>
        </w:rPr>
        <w:t>Separate experiments were conducted on cool- and warm-season turfgrass species commonly used on golf courses throughout the United States (Shaddox et al. 2023). These species included Kentucky bluegrass (</w:t>
      </w:r>
      <w:r w:rsidRPr="0064799F">
        <w:rPr>
          <w:rFonts w:cs="Times New Roman"/>
          <w:i/>
          <w:iCs/>
          <w:color w:val="000000" w:themeColor="text1"/>
        </w:rPr>
        <w:t>Poa pratensis</w:t>
      </w:r>
      <w:r w:rsidRPr="0064799F">
        <w:rPr>
          <w:rFonts w:cs="Times New Roman"/>
          <w:color w:val="000000" w:themeColor="text1"/>
        </w:rPr>
        <w:t xml:space="preserve"> L., cv., ‘HGT’), creeping bentgrass (</w:t>
      </w:r>
      <w:r w:rsidRPr="0064799F">
        <w:rPr>
          <w:rFonts w:cs="Times New Roman"/>
          <w:i/>
          <w:iCs/>
          <w:color w:val="000000" w:themeColor="text1"/>
        </w:rPr>
        <w:t>Agrostis stolonifera</w:t>
      </w:r>
      <w:r w:rsidRPr="0064799F">
        <w:rPr>
          <w:rFonts w:cs="Times New Roman"/>
          <w:color w:val="000000" w:themeColor="text1"/>
        </w:rPr>
        <w:t xml:space="preserve"> L., cv. ‘L-93XD’), tall fescue (</w:t>
      </w:r>
      <w:r w:rsidRPr="0064799F">
        <w:rPr>
          <w:rFonts w:cs="Times New Roman"/>
          <w:i/>
          <w:iCs/>
          <w:color w:val="000000" w:themeColor="text1"/>
        </w:rPr>
        <w:t>Festuca arundinacea</w:t>
      </w:r>
      <w:r w:rsidRPr="0064799F">
        <w:rPr>
          <w:rFonts w:cs="Times New Roman"/>
          <w:color w:val="000000" w:themeColor="text1"/>
        </w:rPr>
        <w:t xml:space="preserve"> </w:t>
      </w:r>
      <w:proofErr w:type="spellStart"/>
      <w:r w:rsidRPr="0064799F">
        <w:rPr>
          <w:rFonts w:cs="Times New Roman"/>
          <w:color w:val="000000" w:themeColor="text1"/>
        </w:rPr>
        <w:t>Schreb</w:t>
      </w:r>
      <w:proofErr w:type="spellEnd"/>
      <w:r w:rsidRPr="0064799F">
        <w:rPr>
          <w:rFonts w:cs="Times New Roman"/>
          <w:color w:val="000000" w:themeColor="text1"/>
        </w:rPr>
        <w:t xml:space="preserve">., cv. ‘Lebanon Winning Colors </w:t>
      </w:r>
      <w:proofErr w:type="spellStart"/>
      <w:r w:rsidRPr="0064799F">
        <w:rPr>
          <w:rFonts w:cs="Times New Roman"/>
          <w:color w:val="000000" w:themeColor="text1"/>
        </w:rPr>
        <w:t>Plus’</w:t>
      </w:r>
      <w:proofErr w:type="spellEnd"/>
      <w:r w:rsidRPr="0064799F">
        <w:rPr>
          <w:rFonts w:cs="Times New Roman"/>
          <w:color w:val="000000" w:themeColor="text1"/>
        </w:rPr>
        <w:t xml:space="preserve">), </w:t>
      </w:r>
      <w:proofErr w:type="spellStart"/>
      <w:r w:rsidRPr="0064799F">
        <w:rPr>
          <w:rFonts w:cs="Times New Roman"/>
          <w:color w:val="000000" w:themeColor="text1"/>
        </w:rPr>
        <w:t>manilagrass</w:t>
      </w:r>
      <w:proofErr w:type="spellEnd"/>
      <w:r w:rsidRPr="0064799F">
        <w:rPr>
          <w:rFonts w:cs="Times New Roman"/>
          <w:color w:val="000000" w:themeColor="text1"/>
        </w:rPr>
        <w:t xml:space="preserve"> (</w:t>
      </w:r>
      <w:r w:rsidRPr="0064799F">
        <w:rPr>
          <w:rFonts w:cs="Times New Roman"/>
          <w:i/>
          <w:iCs/>
          <w:color w:val="000000" w:themeColor="text1"/>
        </w:rPr>
        <w:t xml:space="preserve">Zoysia </w:t>
      </w:r>
      <w:proofErr w:type="spellStart"/>
      <w:r w:rsidRPr="0064799F">
        <w:rPr>
          <w:rFonts w:cs="Times New Roman"/>
          <w:i/>
          <w:iCs/>
          <w:color w:val="000000" w:themeColor="text1"/>
        </w:rPr>
        <w:t>matrella</w:t>
      </w:r>
      <w:proofErr w:type="spellEnd"/>
      <w:r w:rsidRPr="0064799F">
        <w:rPr>
          <w:rFonts w:cs="Times New Roman"/>
          <w:color w:val="000000" w:themeColor="text1"/>
        </w:rPr>
        <w:t xml:space="preserve"> L. </w:t>
      </w:r>
      <w:proofErr w:type="spellStart"/>
      <w:r w:rsidRPr="0064799F">
        <w:rPr>
          <w:rFonts w:cs="Times New Roman"/>
          <w:color w:val="000000" w:themeColor="text1"/>
        </w:rPr>
        <w:t>Merr</w:t>
      </w:r>
      <w:proofErr w:type="spellEnd"/>
      <w:r w:rsidRPr="0064799F">
        <w:rPr>
          <w:rFonts w:cs="Times New Roman"/>
          <w:color w:val="000000" w:themeColor="text1"/>
        </w:rPr>
        <w:t>., cv. ‘Trinity’) and hybrid bermudagrass [</w:t>
      </w:r>
      <w:r w:rsidRPr="0064799F">
        <w:rPr>
          <w:rFonts w:cs="Times New Roman"/>
          <w:i/>
          <w:iCs/>
          <w:color w:val="000000" w:themeColor="text1"/>
        </w:rPr>
        <w:t>C. dactylon</w:t>
      </w:r>
      <w:r w:rsidRPr="0064799F">
        <w:rPr>
          <w:rFonts w:cs="Times New Roman"/>
          <w:color w:val="000000" w:themeColor="text1"/>
        </w:rPr>
        <w:t xml:space="preserve"> (L.) Pers. x </w:t>
      </w:r>
      <w:r w:rsidRPr="0064799F">
        <w:rPr>
          <w:rFonts w:cs="Times New Roman"/>
          <w:i/>
          <w:iCs/>
          <w:color w:val="000000" w:themeColor="text1"/>
        </w:rPr>
        <w:t>C. transvaalensis</w:t>
      </w:r>
      <w:r w:rsidRPr="0064799F">
        <w:rPr>
          <w:rFonts w:cs="Times New Roman"/>
          <w:color w:val="000000" w:themeColor="text1"/>
        </w:rPr>
        <w:t xml:space="preserve"> Burtt-Davy, cv. ‘Latitude 36’]. These species were established atop a clay loam (fine-loamy, siliceous, semiactive, thermic humic Hapludult) that is characterized in detail in </w:t>
      </w:r>
      <w:r w:rsidRPr="00BD540D">
        <w:rPr>
          <w:rFonts w:cs="Times New Roman"/>
          <w:b/>
          <w:bCs/>
          <w:color w:val="000000" w:themeColor="text1"/>
        </w:rPr>
        <w:t xml:space="preserve">Table </w:t>
      </w:r>
      <w:r w:rsidR="002C2627" w:rsidRPr="00BD540D">
        <w:rPr>
          <w:rFonts w:cs="Times New Roman"/>
          <w:b/>
          <w:bCs/>
          <w:color w:val="000000" w:themeColor="text1"/>
        </w:rPr>
        <w:t>1.</w:t>
      </w:r>
      <w:r w:rsidRPr="00BD540D">
        <w:rPr>
          <w:rFonts w:cs="Times New Roman"/>
          <w:b/>
          <w:bCs/>
          <w:color w:val="000000" w:themeColor="text1"/>
        </w:rPr>
        <w:t>2</w:t>
      </w:r>
      <w:r w:rsidRPr="0064799F">
        <w:rPr>
          <w:rFonts w:cs="Times New Roman"/>
          <w:color w:val="000000" w:themeColor="text1"/>
        </w:rPr>
        <w:t xml:space="preserve">. </w:t>
      </w:r>
    </w:p>
    <w:p w14:paraId="7F0ED034" w14:textId="77777777" w:rsidR="003043B4" w:rsidRPr="0064799F" w:rsidRDefault="003043B4" w:rsidP="00965EA3">
      <w:pPr>
        <w:spacing w:line="360" w:lineRule="auto"/>
        <w:ind w:firstLine="720"/>
        <w:contextualSpacing/>
        <w:rPr>
          <w:rFonts w:cs="Times New Roman"/>
          <w:b/>
          <w:bCs/>
        </w:rPr>
      </w:pPr>
      <w:r w:rsidRPr="0064799F">
        <w:rPr>
          <w:rFonts w:cs="Times New Roman"/>
          <w:color w:val="000000" w:themeColor="text1"/>
        </w:rPr>
        <w:t>The Kentucky bluegrass and tall fescue sites were maintained with a rotary mower (</w:t>
      </w:r>
      <w:proofErr w:type="spellStart"/>
      <w:r w:rsidRPr="0064799F">
        <w:rPr>
          <w:rFonts w:cs="Times New Roman"/>
          <w:color w:val="000000" w:themeColor="text1"/>
        </w:rPr>
        <w:t>ZTrak</w:t>
      </w:r>
      <w:proofErr w:type="spellEnd"/>
      <w:r w:rsidRPr="0064799F">
        <w:rPr>
          <w:rFonts w:cs="Times New Roman"/>
          <w:color w:val="000000" w:themeColor="text1"/>
        </w:rPr>
        <w:t>™ Z915E. John Deere. Moline, Il 1.5 cutting width) at 75 and 100 mm, respectively. Slow-release nitrogen (GAL-</w:t>
      </w:r>
      <w:proofErr w:type="spellStart"/>
      <w:r w:rsidRPr="0064799F">
        <w:rPr>
          <w:rFonts w:cs="Times New Roman"/>
          <w:color w:val="000000" w:themeColor="text1"/>
        </w:rPr>
        <w:t>Xe</w:t>
      </w:r>
      <w:r w:rsidRPr="0064799F">
        <w:rPr>
          <w:rFonts w:cs="Times New Roman"/>
          <w:color w:val="000000" w:themeColor="text1"/>
          <w:vertAlign w:val="superscript"/>
        </w:rPr>
        <w:t>ONE</w:t>
      </w:r>
      <w:proofErr w:type="spellEnd"/>
      <w:r w:rsidRPr="0064799F">
        <w:rPr>
          <w:rFonts w:cs="Times New Roman"/>
          <w:color w:val="000000" w:themeColor="text1"/>
          <w:vertAlign w:val="superscript"/>
        </w:rPr>
        <w:t>®</w:t>
      </w:r>
      <w:r w:rsidRPr="0064799F">
        <w:rPr>
          <w:rFonts w:cs="Times New Roman"/>
          <w:color w:val="000000" w:themeColor="text1"/>
        </w:rPr>
        <w:t xml:space="preserve"> Polymer</w:t>
      </w:r>
      <w:r w:rsidRPr="0064799F">
        <w:rPr>
          <w:rFonts w:cs="Times New Roman"/>
        </w:rPr>
        <w:t xml:space="preserve"> Coated Controlled Release Fertilizer. J.R. Simplot Company. Boise, ID</w:t>
      </w:r>
      <w:r w:rsidRPr="0064799F">
        <w:rPr>
          <w:rFonts w:cs="Times New Roman"/>
          <w:color w:val="000000" w:themeColor="text1"/>
        </w:rPr>
        <w:t>) was applied to these sites at 73 kg N ha</w:t>
      </w:r>
      <w:r w:rsidRPr="0064799F">
        <w:rPr>
          <w:rFonts w:cs="Times New Roman"/>
          <w:color w:val="000000" w:themeColor="text1"/>
          <w:vertAlign w:val="superscript"/>
        </w:rPr>
        <w:t>-1</w:t>
      </w:r>
      <w:r w:rsidRPr="0064799F">
        <w:rPr>
          <w:rFonts w:cs="Times New Roman"/>
          <w:color w:val="000000" w:themeColor="text1"/>
        </w:rPr>
        <w:t xml:space="preserve"> in spring and 49 kg N ha</w:t>
      </w:r>
      <w:r w:rsidRPr="0064799F">
        <w:rPr>
          <w:rFonts w:cs="Times New Roman"/>
          <w:color w:val="000000" w:themeColor="text1"/>
          <w:vertAlign w:val="superscript"/>
        </w:rPr>
        <w:t>-1</w:t>
      </w:r>
      <w:r w:rsidRPr="0064799F">
        <w:rPr>
          <w:rFonts w:cs="Times New Roman"/>
          <w:color w:val="000000" w:themeColor="text1"/>
        </w:rPr>
        <w:t xml:space="preserve"> in fall. Cyazofamid (Segway</w:t>
      </w:r>
      <w:r w:rsidRPr="0064799F">
        <w:rPr>
          <w:rFonts w:cs="Times New Roman"/>
          <w:color w:val="000000" w:themeColor="text1"/>
          <w:vertAlign w:val="superscript"/>
        </w:rPr>
        <w:t>®</w:t>
      </w:r>
      <w:r w:rsidRPr="0064799F">
        <w:rPr>
          <w:rFonts w:cs="Times New Roman"/>
          <w:color w:val="000000" w:themeColor="text1"/>
        </w:rPr>
        <w:t xml:space="preserve"> SC. PBI-Gordon Corporation. Shawnee, KS) was applied at 1150 g ha</w:t>
      </w:r>
      <w:r w:rsidRPr="0064799F">
        <w:rPr>
          <w:rFonts w:cs="Times New Roman"/>
          <w:color w:val="000000" w:themeColor="text1"/>
          <w:vertAlign w:val="superscript"/>
        </w:rPr>
        <w:t>-1</w:t>
      </w:r>
      <w:r w:rsidRPr="0064799F">
        <w:rPr>
          <w:rFonts w:cs="Times New Roman"/>
          <w:color w:val="000000" w:themeColor="text1"/>
        </w:rPr>
        <w:t xml:space="preserve"> to the tall fescue site to manage </w:t>
      </w:r>
      <w:r w:rsidRPr="0064799F">
        <w:rPr>
          <w:rFonts w:cs="Times New Roman"/>
          <w:i/>
          <w:iCs/>
          <w:color w:val="000000" w:themeColor="text1"/>
        </w:rPr>
        <w:t xml:space="preserve">Pythium </w:t>
      </w:r>
      <w:proofErr w:type="spellStart"/>
      <w:r w:rsidRPr="0064799F">
        <w:rPr>
          <w:rFonts w:cs="Times New Roman"/>
          <w:i/>
          <w:iCs/>
          <w:color w:val="000000" w:themeColor="text1"/>
        </w:rPr>
        <w:t>aphanidermatum</w:t>
      </w:r>
      <w:proofErr w:type="spellEnd"/>
      <w:r w:rsidRPr="0064799F">
        <w:rPr>
          <w:rFonts w:cs="Times New Roman"/>
          <w:color w:val="000000" w:themeColor="text1"/>
        </w:rPr>
        <w:t xml:space="preserve"> during summer both years. Once soil temperatures (5 cm depth) measured ≥ 18.3˚C, pyraclostrobin (Insignia</w:t>
      </w:r>
      <w:r w:rsidRPr="0064799F">
        <w:rPr>
          <w:rFonts w:cs="Times New Roman"/>
          <w:color w:val="000000" w:themeColor="text1"/>
          <w:vertAlign w:val="superscript"/>
        </w:rPr>
        <w:t>®</w:t>
      </w:r>
      <w:r w:rsidRPr="0064799F">
        <w:rPr>
          <w:rFonts w:cs="Times New Roman"/>
          <w:color w:val="000000" w:themeColor="text1"/>
        </w:rPr>
        <w:t xml:space="preserve"> SC Intrinsic Brand Fungicide. BASF Corporation. Research Triangle Park, NC) was applied at 556 g ha</w:t>
      </w:r>
      <w:r w:rsidRPr="0064799F">
        <w:rPr>
          <w:rFonts w:cs="Times New Roman"/>
          <w:color w:val="000000" w:themeColor="text1"/>
          <w:vertAlign w:val="superscript"/>
        </w:rPr>
        <w:t>-1</w:t>
      </w:r>
      <w:r w:rsidRPr="0064799F">
        <w:rPr>
          <w:rFonts w:cs="Times New Roman"/>
          <w:color w:val="000000" w:themeColor="text1"/>
        </w:rPr>
        <w:t xml:space="preserve"> every 28 d </w:t>
      </w:r>
      <w:r w:rsidRPr="0064799F">
        <w:rPr>
          <w:rFonts w:cs="Times New Roman"/>
          <w:color w:val="000000" w:themeColor="text1"/>
        </w:rPr>
        <w:lastRenderedPageBreak/>
        <w:t xml:space="preserve">through August to manage </w:t>
      </w:r>
      <w:r w:rsidRPr="0064799F">
        <w:rPr>
          <w:rFonts w:cs="Times New Roman"/>
          <w:i/>
          <w:iCs/>
          <w:color w:val="000000" w:themeColor="text1"/>
        </w:rPr>
        <w:t xml:space="preserve">Rhizoctonia </w:t>
      </w:r>
      <w:proofErr w:type="spellStart"/>
      <w:r w:rsidRPr="0064799F">
        <w:rPr>
          <w:rFonts w:cs="Times New Roman"/>
          <w:i/>
          <w:iCs/>
          <w:color w:val="000000" w:themeColor="text1"/>
        </w:rPr>
        <w:t>solani</w:t>
      </w:r>
      <w:proofErr w:type="spellEnd"/>
      <w:r w:rsidRPr="0064799F">
        <w:rPr>
          <w:rFonts w:cs="Times New Roman"/>
          <w:color w:val="000000" w:themeColor="text1"/>
        </w:rPr>
        <w:t>. No other herbicides or plant growth regulators were applied to the tall fescue or Kentucky bluegrass sites throughout the experimental period.</w:t>
      </w:r>
    </w:p>
    <w:p w14:paraId="76565B64" w14:textId="77777777" w:rsidR="003043B4" w:rsidRPr="0064799F" w:rsidRDefault="003043B4" w:rsidP="00965EA3">
      <w:pPr>
        <w:spacing w:line="360" w:lineRule="auto"/>
        <w:ind w:firstLine="720"/>
        <w:contextualSpacing/>
        <w:rPr>
          <w:rFonts w:cs="Times New Roman"/>
          <w:color w:val="000000" w:themeColor="text1"/>
        </w:rPr>
      </w:pPr>
      <w:r w:rsidRPr="0064799F">
        <w:rPr>
          <w:rFonts w:cs="Times New Roman"/>
          <w:color w:val="000000" w:themeColor="text1"/>
        </w:rPr>
        <w:t xml:space="preserve">The creeping </w:t>
      </w:r>
      <w:proofErr w:type="spellStart"/>
      <w:r w:rsidRPr="0064799F">
        <w:rPr>
          <w:rFonts w:cs="Times New Roman"/>
          <w:color w:val="000000" w:themeColor="text1"/>
        </w:rPr>
        <w:t>bentgrass</w:t>
      </w:r>
      <w:proofErr w:type="spellEnd"/>
      <w:r w:rsidRPr="0064799F">
        <w:rPr>
          <w:rFonts w:cs="Times New Roman"/>
          <w:color w:val="000000" w:themeColor="text1"/>
        </w:rPr>
        <w:t xml:space="preserve">, </w:t>
      </w:r>
      <w:proofErr w:type="spellStart"/>
      <w:r w:rsidRPr="0064799F">
        <w:rPr>
          <w:rFonts w:cs="Times New Roman"/>
          <w:color w:val="000000" w:themeColor="text1"/>
        </w:rPr>
        <w:t>manilagrass</w:t>
      </w:r>
      <w:proofErr w:type="spellEnd"/>
      <w:r w:rsidRPr="0064799F">
        <w:rPr>
          <w:rFonts w:cs="Times New Roman"/>
          <w:color w:val="000000" w:themeColor="text1"/>
        </w:rPr>
        <w:t xml:space="preserve">, and hybrid bermudagrass sites were maintained as golf course fairways using a reel mower (7700A </w:t>
      </w:r>
      <w:proofErr w:type="spellStart"/>
      <w:r w:rsidRPr="0064799F">
        <w:rPr>
          <w:rFonts w:cs="Times New Roman"/>
          <w:color w:val="000000" w:themeColor="text1"/>
        </w:rPr>
        <w:t>PrecisionCut</w:t>
      </w:r>
      <w:proofErr w:type="spellEnd"/>
      <w:r w:rsidRPr="0064799F">
        <w:rPr>
          <w:rFonts w:cs="Times New Roman"/>
          <w:color w:val="000000" w:themeColor="text1"/>
        </w:rPr>
        <w:t>™. John Deere. Moline, Il 2.54 cutting width) at a 12.</w:t>
      </w:r>
      <w:r>
        <w:rPr>
          <w:rFonts w:cs="Times New Roman"/>
          <w:color w:val="000000" w:themeColor="text1"/>
        </w:rPr>
        <w:t>7</w:t>
      </w:r>
      <w:r w:rsidRPr="0064799F">
        <w:rPr>
          <w:rFonts w:cs="Times New Roman"/>
          <w:color w:val="000000" w:themeColor="text1"/>
        </w:rPr>
        <w:t xml:space="preserve"> mm height of cut. All fairways received slow-release nitrogen (73 kg N ha</w:t>
      </w:r>
      <w:r w:rsidRPr="0064799F">
        <w:rPr>
          <w:rFonts w:cs="Times New Roman"/>
          <w:color w:val="000000" w:themeColor="text1"/>
          <w:vertAlign w:val="superscript"/>
        </w:rPr>
        <w:t>-1</w:t>
      </w:r>
      <w:r w:rsidRPr="0064799F">
        <w:rPr>
          <w:rFonts w:cs="Times New Roman"/>
          <w:i/>
          <w:iCs/>
          <w:color w:val="000000" w:themeColor="text1"/>
        </w:rPr>
        <w:t>)</w:t>
      </w:r>
      <w:r w:rsidRPr="0064799F">
        <w:rPr>
          <w:rFonts w:cs="Times New Roman"/>
          <w:color w:val="000000" w:themeColor="text1"/>
        </w:rPr>
        <w:t xml:space="preserve"> in the spring. Additionally, creeping bentgrass received 12 kg N ha</w:t>
      </w:r>
      <w:r w:rsidRPr="0064799F">
        <w:rPr>
          <w:rFonts w:cs="Times New Roman"/>
          <w:color w:val="000000" w:themeColor="text1"/>
          <w:vertAlign w:val="superscript"/>
        </w:rPr>
        <w:t>-1</w:t>
      </w:r>
      <w:r w:rsidRPr="0064799F">
        <w:rPr>
          <w:rFonts w:cs="Times New Roman"/>
          <w:color w:val="000000" w:themeColor="text1"/>
        </w:rPr>
        <w:t xml:space="preserve"> (Turf &amp; Ornamentals</w:t>
      </w:r>
      <w:r w:rsidRPr="0064799F">
        <w:rPr>
          <w:rFonts w:cs="Times New Roman"/>
          <w:color w:val="000000" w:themeColor="text1"/>
          <w:vertAlign w:val="superscript"/>
        </w:rPr>
        <w:t>™</w:t>
      </w:r>
      <w:r w:rsidRPr="0064799F">
        <w:rPr>
          <w:rFonts w:cs="Times New Roman"/>
          <w:color w:val="000000" w:themeColor="text1"/>
        </w:rPr>
        <w:t xml:space="preserve"> 18 N – 3 P</w:t>
      </w:r>
      <w:r w:rsidRPr="0064799F">
        <w:rPr>
          <w:rFonts w:cs="Times New Roman"/>
          <w:color w:val="000000" w:themeColor="text1"/>
          <w:vertAlign w:val="subscript"/>
        </w:rPr>
        <w:t>2</w:t>
      </w:r>
      <w:r w:rsidRPr="0064799F">
        <w:rPr>
          <w:rFonts w:cs="Times New Roman"/>
          <w:color w:val="000000" w:themeColor="text1"/>
        </w:rPr>
        <w:t>O</w:t>
      </w:r>
      <w:r w:rsidRPr="0064799F">
        <w:rPr>
          <w:rFonts w:cs="Times New Roman"/>
          <w:color w:val="000000" w:themeColor="text1"/>
          <w:vertAlign w:val="subscript"/>
        </w:rPr>
        <w:t xml:space="preserve">5 – </w:t>
      </w:r>
      <w:r w:rsidRPr="0064799F">
        <w:rPr>
          <w:rFonts w:cs="Times New Roman"/>
          <w:color w:val="000000" w:themeColor="text1"/>
        </w:rPr>
        <w:t>6 K</w:t>
      </w:r>
      <w:r w:rsidRPr="0064799F">
        <w:rPr>
          <w:rFonts w:cs="Times New Roman"/>
          <w:color w:val="000000" w:themeColor="text1"/>
          <w:vertAlign w:val="subscript"/>
        </w:rPr>
        <w:t>2</w:t>
      </w:r>
      <w:r w:rsidRPr="0064799F">
        <w:rPr>
          <w:rFonts w:cs="Times New Roman"/>
          <w:color w:val="000000" w:themeColor="text1"/>
        </w:rPr>
        <w:t>O UMAXX</w:t>
      </w:r>
      <w:r w:rsidRPr="0064799F">
        <w:rPr>
          <w:rFonts w:cs="Times New Roman"/>
          <w:color w:val="000000" w:themeColor="text1"/>
          <w:vertAlign w:val="superscript"/>
        </w:rPr>
        <w:t>®</w:t>
      </w:r>
      <w:r w:rsidRPr="0064799F">
        <w:rPr>
          <w:rFonts w:cs="Times New Roman"/>
        </w:rPr>
        <w:t>. J.R. Simplot Company. Boise, ID</w:t>
      </w:r>
      <w:r w:rsidRPr="0064799F">
        <w:rPr>
          <w:rFonts w:cs="Times New Roman"/>
          <w:color w:val="000000" w:themeColor="text1"/>
        </w:rPr>
        <w:t>) from April through August, as well as 49 kg N ha</w:t>
      </w:r>
      <w:r w:rsidRPr="0064799F">
        <w:rPr>
          <w:rFonts w:cs="Times New Roman"/>
          <w:color w:val="000000" w:themeColor="text1"/>
          <w:vertAlign w:val="superscript"/>
        </w:rPr>
        <w:t>-1</w:t>
      </w:r>
      <w:r w:rsidRPr="0064799F">
        <w:rPr>
          <w:rFonts w:cs="Times New Roman"/>
          <w:color w:val="000000" w:themeColor="text1"/>
        </w:rPr>
        <w:t xml:space="preserve"> (GAL-</w:t>
      </w:r>
      <w:proofErr w:type="spellStart"/>
      <w:r w:rsidRPr="0064799F">
        <w:rPr>
          <w:rFonts w:cs="Times New Roman"/>
          <w:color w:val="000000" w:themeColor="text1"/>
        </w:rPr>
        <w:t>Xe</w:t>
      </w:r>
      <w:r w:rsidRPr="0064799F">
        <w:rPr>
          <w:rFonts w:cs="Times New Roman"/>
          <w:color w:val="000000" w:themeColor="text1"/>
          <w:vertAlign w:val="superscript"/>
        </w:rPr>
        <w:t>ONE</w:t>
      </w:r>
      <w:proofErr w:type="spellEnd"/>
      <w:r w:rsidRPr="0064799F">
        <w:rPr>
          <w:rFonts w:cs="Times New Roman"/>
          <w:color w:val="000000" w:themeColor="text1"/>
          <w:vertAlign w:val="superscript"/>
        </w:rPr>
        <w:t>®</w:t>
      </w:r>
      <w:r w:rsidRPr="0064799F">
        <w:rPr>
          <w:rFonts w:cs="Times New Roman"/>
          <w:color w:val="000000" w:themeColor="text1"/>
        </w:rPr>
        <w:t xml:space="preserve"> Polymer</w:t>
      </w:r>
      <w:r w:rsidRPr="0064799F">
        <w:rPr>
          <w:rFonts w:cs="Times New Roman"/>
        </w:rPr>
        <w:t xml:space="preserve"> Coated Controlled Release Fertilizer. J.R. Simplot Company. Boise, ID</w:t>
      </w:r>
      <w:r w:rsidRPr="0064799F">
        <w:rPr>
          <w:rFonts w:cs="Times New Roman"/>
          <w:color w:val="000000" w:themeColor="text1"/>
        </w:rPr>
        <w:t xml:space="preserve">) in the fall. </w:t>
      </w:r>
      <w:proofErr w:type="spellStart"/>
      <w:r w:rsidRPr="0064799F">
        <w:rPr>
          <w:rFonts w:cs="Times New Roman"/>
          <w:color w:val="000000" w:themeColor="text1"/>
        </w:rPr>
        <w:t>Isofetamid</w:t>
      </w:r>
      <w:proofErr w:type="spellEnd"/>
      <w:r w:rsidRPr="0064799F">
        <w:rPr>
          <w:rFonts w:cs="Times New Roman"/>
          <w:color w:val="000000" w:themeColor="text1"/>
        </w:rPr>
        <w:t xml:space="preserve"> (Kabuto</w:t>
      </w:r>
      <w:r w:rsidRPr="0064799F">
        <w:rPr>
          <w:rFonts w:cs="Times New Roman"/>
          <w:color w:val="000000" w:themeColor="text1"/>
          <w:vertAlign w:val="superscript"/>
        </w:rPr>
        <w:t>®</w:t>
      </w:r>
      <w:r w:rsidRPr="0064799F">
        <w:rPr>
          <w:rFonts w:cs="Times New Roman"/>
          <w:color w:val="000000" w:themeColor="text1"/>
        </w:rPr>
        <w:t xml:space="preserve"> Fungicide SC. PBI-Gordon Corporation. Shawnee, KS) was applied at 4100 g ha</w:t>
      </w:r>
      <w:r w:rsidRPr="0064799F">
        <w:rPr>
          <w:rFonts w:cs="Times New Roman"/>
          <w:color w:val="000000" w:themeColor="text1"/>
          <w:vertAlign w:val="superscript"/>
        </w:rPr>
        <w:t>-1</w:t>
      </w:r>
      <w:r w:rsidRPr="0064799F">
        <w:rPr>
          <w:rFonts w:cs="Times New Roman"/>
          <w:color w:val="000000" w:themeColor="text1"/>
        </w:rPr>
        <w:t xml:space="preserve"> on </w:t>
      </w:r>
      <w:proofErr w:type="spellStart"/>
      <w:r w:rsidRPr="0064799F">
        <w:rPr>
          <w:rFonts w:cs="Times New Roman"/>
          <w:color w:val="000000" w:themeColor="text1"/>
        </w:rPr>
        <w:t>manilagrass</w:t>
      </w:r>
      <w:proofErr w:type="spellEnd"/>
      <w:r w:rsidRPr="0064799F">
        <w:rPr>
          <w:rFonts w:cs="Times New Roman"/>
          <w:color w:val="000000" w:themeColor="text1"/>
        </w:rPr>
        <w:t xml:space="preserve"> and hybrid bermudagrass sites once soil temperatures (5 cm depth) were &lt; 18.3˚C to prevent spring dead spot (</w:t>
      </w:r>
      <w:proofErr w:type="spellStart"/>
      <w:r w:rsidRPr="0064799F">
        <w:rPr>
          <w:rFonts w:cs="Times New Roman"/>
          <w:i/>
          <w:iCs/>
          <w:color w:val="000000" w:themeColor="text1"/>
        </w:rPr>
        <w:t>Ophiosphaerella</w:t>
      </w:r>
      <w:proofErr w:type="spellEnd"/>
      <w:r w:rsidRPr="0064799F">
        <w:rPr>
          <w:rFonts w:cs="Times New Roman"/>
          <w:i/>
          <w:iCs/>
          <w:color w:val="000000" w:themeColor="text1"/>
        </w:rPr>
        <w:t xml:space="preserve"> </w:t>
      </w:r>
      <w:proofErr w:type="spellStart"/>
      <w:r w:rsidRPr="0064799F">
        <w:rPr>
          <w:rFonts w:cs="Times New Roman"/>
          <w:i/>
          <w:iCs/>
          <w:color w:val="000000" w:themeColor="text1"/>
        </w:rPr>
        <w:t>herpotricha</w:t>
      </w:r>
      <w:proofErr w:type="spellEnd"/>
      <w:r w:rsidRPr="0064799F">
        <w:rPr>
          <w:rFonts w:cs="Times New Roman"/>
          <w:color w:val="000000" w:themeColor="text1"/>
        </w:rPr>
        <w:t xml:space="preserve">). The creeping bentgrass site was treated with a preventative fungicide program that delivered two applications per month from April through August. Aluminum-tris (Signature™ XTRA </w:t>
      </w:r>
      <w:proofErr w:type="spellStart"/>
      <w:r w:rsidRPr="0064799F">
        <w:rPr>
          <w:rFonts w:cs="Times New Roman"/>
          <w:color w:val="000000" w:themeColor="text1"/>
        </w:rPr>
        <w:t>Stressguard</w:t>
      </w:r>
      <w:proofErr w:type="spellEnd"/>
      <w:r w:rsidRPr="0064799F">
        <w:rPr>
          <w:rFonts w:cs="Times New Roman"/>
          <w:color w:val="000000" w:themeColor="text1"/>
          <w:vertAlign w:val="superscript"/>
        </w:rPr>
        <w:t>®</w:t>
      </w:r>
      <w:r w:rsidRPr="0064799F">
        <w:rPr>
          <w:rFonts w:cs="Times New Roman"/>
          <w:color w:val="000000" w:themeColor="text1"/>
        </w:rPr>
        <w:t xml:space="preserve">.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 and triadimefon1-(4-Chlorophenoxy)-3,3-dimethyl-1-(1H-1,2,4-triazol-1-yl)-2-butanone (</w:t>
      </w:r>
      <w:proofErr w:type="spellStart"/>
      <w:r w:rsidRPr="0064799F">
        <w:rPr>
          <w:rFonts w:cs="Times New Roman"/>
          <w:color w:val="000000" w:themeColor="text1"/>
        </w:rPr>
        <w:t>Bayleton</w:t>
      </w:r>
      <w:proofErr w:type="spellEnd"/>
      <w:r w:rsidRPr="0064799F">
        <w:rPr>
          <w:rFonts w:cs="Times New Roman"/>
          <w:color w:val="000000" w:themeColor="text1"/>
          <w:vertAlign w:val="superscript"/>
        </w:rPr>
        <w:t>®</w:t>
      </w:r>
      <w:r w:rsidRPr="0064799F">
        <w:rPr>
          <w:rFonts w:cs="Times New Roman"/>
          <w:color w:val="000000" w:themeColor="text1"/>
        </w:rPr>
        <w:t xml:space="preserve"> Flo.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 were applied in April and May at 1200 g ha</w:t>
      </w:r>
      <w:r w:rsidRPr="0064799F">
        <w:rPr>
          <w:rFonts w:cs="Times New Roman"/>
          <w:color w:val="000000" w:themeColor="text1"/>
          <w:vertAlign w:val="superscript"/>
        </w:rPr>
        <w:t xml:space="preserve">-1 </w:t>
      </w:r>
      <w:r w:rsidRPr="0064799F">
        <w:rPr>
          <w:rFonts w:cs="Times New Roman"/>
          <w:color w:val="000000" w:themeColor="text1"/>
        </w:rPr>
        <w:t>and 1590 g ha</w:t>
      </w:r>
      <w:r w:rsidRPr="0064799F">
        <w:rPr>
          <w:rFonts w:cs="Times New Roman"/>
          <w:color w:val="000000" w:themeColor="text1"/>
          <w:vertAlign w:val="superscript"/>
        </w:rPr>
        <w:t>-1</w:t>
      </w:r>
      <w:r w:rsidRPr="0064799F">
        <w:rPr>
          <w:rFonts w:cs="Times New Roman"/>
          <w:color w:val="000000" w:themeColor="text1"/>
        </w:rPr>
        <w:t>, respectively. Aluminum-tris (1200 g ha</w:t>
      </w:r>
      <w:r w:rsidRPr="0064799F">
        <w:rPr>
          <w:rFonts w:cs="Times New Roman"/>
          <w:color w:val="000000" w:themeColor="text1"/>
          <w:vertAlign w:val="superscript"/>
        </w:rPr>
        <w:t>-1</w:t>
      </w:r>
      <w:r w:rsidRPr="0064799F">
        <w:rPr>
          <w:rFonts w:cs="Times New Roman"/>
          <w:color w:val="000000" w:themeColor="text1"/>
        </w:rPr>
        <w:t>) and cyazofamid (1150 g ha</w:t>
      </w:r>
      <w:r w:rsidRPr="0064799F">
        <w:rPr>
          <w:rFonts w:cs="Times New Roman"/>
          <w:color w:val="000000" w:themeColor="text1"/>
          <w:vertAlign w:val="superscript"/>
        </w:rPr>
        <w:t>-1</w:t>
      </w:r>
      <w:r w:rsidRPr="0064799F">
        <w:rPr>
          <w:rFonts w:cs="Times New Roman"/>
          <w:color w:val="000000" w:themeColor="text1"/>
        </w:rPr>
        <w:t xml:space="preserve">) + a commercially formulated mixture of </w:t>
      </w:r>
      <w:proofErr w:type="spellStart"/>
      <w:r w:rsidRPr="0064799F">
        <w:rPr>
          <w:rFonts w:cs="Times New Roman"/>
          <w:color w:val="000000" w:themeColor="text1"/>
        </w:rPr>
        <w:t>fluopyram</w:t>
      </w:r>
      <w:proofErr w:type="spellEnd"/>
      <w:r w:rsidRPr="0064799F">
        <w:rPr>
          <w:rFonts w:cs="Times New Roman"/>
          <w:color w:val="000000" w:themeColor="text1"/>
        </w:rPr>
        <w:t xml:space="preserve"> + </w:t>
      </w:r>
      <w:proofErr w:type="spellStart"/>
      <w:r w:rsidRPr="0064799F">
        <w:rPr>
          <w:rFonts w:cs="Times New Roman"/>
          <w:color w:val="000000" w:themeColor="text1"/>
        </w:rPr>
        <w:t>trifloxystrobin</w:t>
      </w:r>
      <w:proofErr w:type="spellEnd"/>
      <w:r w:rsidRPr="0064799F">
        <w:rPr>
          <w:rFonts w:cs="Times New Roman"/>
          <w:color w:val="000000" w:themeColor="text1"/>
        </w:rPr>
        <w:t xml:space="preserve"> [</w:t>
      </w:r>
      <w:proofErr w:type="spellStart"/>
      <w:r w:rsidRPr="0064799F">
        <w:rPr>
          <w:rFonts w:cs="Times New Roman"/>
          <w:color w:val="000000" w:themeColor="text1"/>
        </w:rPr>
        <w:t>Exteris</w:t>
      </w:r>
      <w:proofErr w:type="spellEnd"/>
      <w:r w:rsidRPr="0064799F">
        <w:rPr>
          <w:rFonts w:cs="Times New Roman"/>
          <w:color w:val="000000" w:themeColor="text1"/>
          <w:vertAlign w:val="superscript"/>
        </w:rPr>
        <w:t>®</w:t>
      </w:r>
      <w:r w:rsidRPr="0064799F">
        <w:rPr>
          <w:rFonts w:cs="Times New Roman"/>
          <w:color w:val="000000" w:themeColor="text1"/>
        </w:rPr>
        <w:t xml:space="preserve"> </w:t>
      </w:r>
      <w:proofErr w:type="spellStart"/>
      <w:r w:rsidRPr="0064799F">
        <w:rPr>
          <w:rFonts w:cs="Times New Roman"/>
          <w:color w:val="000000" w:themeColor="text1"/>
        </w:rPr>
        <w:t>Stressguard</w:t>
      </w:r>
      <w:proofErr w:type="spellEnd"/>
      <w:r w:rsidRPr="0064799F">
        <w:rPr>
          <w:rFonts w:cs="Times New Roman"/>
          <w:color w:val="000000" w:themeColor="text1"/>
          <w:vertAlign w:val="superscript"/>
        </w:rPr>
        <w:t>®</w:t>
      </w:r>
      <w:r w:rsidRPr="0064799F">
        <w:rPr>
          <w:rFonts w:cs="Times New Roman"/>
          <w:color w:val="000000" w:themeColor="text1"/>
        </w:rPr>
        <w:t xml:space="preserve">.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 (38.9 and 62.4 g ha</w:t>
      </w:r>
      <w:r w:rsidRPr="0064799F">
        <w:rPr>
          <w:rFonts w:cs="Times New Roman"/>
          <w:color w:val="000000" w:themeColor="text1"/>
          <w:vertAlign w:val="superscript"/>
        </w:rPr>
        <w:t>-1</w:t>
      </w:r>
      <w:r w:rsidRPr="0064799F">
        <w:rPr>
          <w:rFonts w:cs="Times New Roman"/>
          <w:color w:val="000000" w:themeColor="text1"/>
        </w:rPr>
        <w:t xml:space="preserve">, respectively)] were applied in June, July, and August. No herbicides or plant growth regulators were applied to the creeping </w:t>
      </w:r>
      <w:proofErr w:type="spellStart"/>
      <w:r w:rsidRPr="0064799F">
        <w:rPr>
          <w:rFonts w:cs="Times New Roman"/>
          <w:color w:val="000000" w:themeColor="text1"/>
        </w:rPr>
        <w:t>bentgrass</w:t>
      </w:r>
      <w:proofErr w:type="spellEnd"/>
      <w:r w:rsidRPr="0064799F">
        <w:rPr>
          <w:rFonts w:cs="Times New Roman"/>
          <w:color w:val="000000" w:themeColor="text1"/>
        </w:rPr>
        <w:t xml:space="preserve">, </w:t>
      </w:r>
      <w:proofErr w:type="spellStart"/>
      <w:r w:rsidRPr="0064799F">
        <w:rPr>
          <w:rFonts w:cs="Times New Roman"/>
          <w:color w:val="000000" w:themeColor="text1"/>
        </w:rPr>
        <w:t>manilagrass</w:t>
      </w:r>
      <w:proofErr w:type="spellEnd"/>
      <w:r w:rsidRPr="0064799F">
        <w:rPr>
          <w:rFonts w:cs="Times New Roman"/>
          <w:color w:val="000000" w:themeColor="text1"/>
        </w:rPr>
        <w:t>, or hybrid bermudagrass sites throughout the experimental period.</w:t>
      </w:r>
    </w:p>
    <w:p w14:paraId="69FCF8F2" w14:textId="01BDBC80" w:rsidR="003043B4" w:rsidRPr="0064799F" w:rsidRDefault="003043B4" w:rsidP="00965EA3">
      <w:pPr>
        <w:spacing w:line="360" w:lineRule="auto"/>
        <w:ind w:firstLine="720"/>
        <w:contextualSpacing/>
        <w:rPr>
          <w:rFonts w:cs="Times New Roman"/>
          <w:color w:val="000000" w:themeColor="text1"/>
        </w:rPr>
      </w:pPr>
      <w:r w:rsidRPr="0064799F">
        <w:rPr>
          <w:rFonts w:cs="Times New Roman"/>
          <w:color w:val="000000" w:themeColor="text1"/>
        </w:rPr>
        <w:t xml:space="preserve">Tolerance of </w:t>
      </w:r>
      <w:proofErr w:type="spellStart"/>
      <w:r w:rsidRPr="0064799F">
        <w:rPr>
          <w:rFonts w:cs="Times New Roman"/>
          <w:color w:val="000000" w:themeColor="text1"/>
        </w:rPr>
        <w:t>manilagrass</w:t>
      </w:r>
      <w:proofErr w:type="spellEnd"/>
      <w:r w:rsidRPr="0064799F">
        <w:rPr>
          <w:rFonts w:cs="Times New Roman"/>
          <w:color w:val="000000" w:themeColor="text1"/>
        </w:rPr>
        <w:t xml:space="preserve"> (cv. ‘Prizm’) and hybrid bermudagrass (cv. ‘Mach 1’) maintained as golf course putting greens was also evaluated in fall and spring each year. These species were maintained using a reel mower (</w:t>
      </w:r>
      <w:proofErr w:type="spellStart"/>
      <w:r w:rsidRPr="0064799F">
        <w:rPr>
          <w:rFonts w:cs="Times New Roman"/>
          <w:color w:val="000000" w:themeColor="text1"/>
        </w:rPr>
        <w:t>Greensmaster</w:t>
      </w:r>
      <w:proofErr w:type="spellEnd"/>
      <w:r w:rsidRPr="0064799F">
        <w:rPr>
          <w:rFonts w:cs="Times New Roman"/>
          <w:color w:val="000000" w:themeColor="text1"/>
        </w:rPr>
        <w:t xml:space="preserve">® </w:t>
      </w:r>
      <w:proofErr w:type="spellStart"/>
      <w:r w:rsidRPr="0064799F">
        <w:rPr>
          <w:rFonts w:cs="Times New Roman"/>
          <w:color w:val="000000" w:themeColor="text1"/>
        </w:rPr>
        <w:t>TriFlex</w:t>
      </w:r>
      <w:proofErr w:type="spellEnd"/>
      <w:r w:rsidRPr="0064799F">
        <w:rPr>
          <w:rFonts w:cs="Times New Roman"/>
          <w:color w:val="000000" w:themeColor="text1"/>
        </w:rPr>
        <w:t xml:space="preserve">™ 3300. </w:t>
      </w:r>
      <w:r w:rsidRPr="0064799F">
        <w:rPr>
          <w:rFonts w:cs="Times New Roman"/>
          <w:iCs/>
        </w:rPr>
        <w:t>The Toro Company. Bloomington, MN 1.5 m cutting width</w:t>
      </w:r>
      <w:r w:rsidRPr="0064799F">
        <w:rPr>
          <w:rFonts w:cs="Times New Roman"/>
          <w:color w:val="000000" w:themeColor="text1"/>
        </w:rPr>
        <w:t>) at 3.8 mm on sand-based rootzones (</w:t>
      </w:r>
      <w:r w:rsidRPr="009B11CE">
        <w:rPr>
          <w:rFonts w:cs="Times New Roman"/>
          <w:b/>
          <w:bCs/>
          <w:color w:val="000000" w:themeColor="text1"/>
        </w:rPr>
        <w:t xml:space="preserve">Table </w:t>
      </w:r>
      <w:r w:rsidR="002C2627" w:rsidRPr="009B11CE">
        <w:rPr>
          <w:rFonts w:cs="Times New Roman"/>
          <w:b/>
          <w:bCs/>
          <w:color w:val="000000" w:themeColor="text1"/>
        </w:rPr>
        <w:t>1.</w:t>
      </w:r>
      <w:r w:rsidRPr="009B11CE">
        <w:rPr>
          <w:rFonts w:cs="Times New Roman"/>
          <w:b/>
          <w:bCs/>
          <w:color w:val="000000" w:themeColor="text1"/>
        </w:rPr>
        <w:t>2</w:t>
      </w:r>
      <w:r w:rsidRPr="0064799F">
        <w:rPr>
          <w:rFonts w:cs="Times New Roman"/>
          <w:color w:val="000000" w:themeColor="text1"/>
        </w:rPr>
        <w:t xml:space="preserve">). </w:t>
      </w:r>
      <w:r w:rsidRPr="009D3579">
        <w:rPr>
          <w:rFonts w:cs="Times New Roman"/>
          <w:color w:val="000000" w:themeColor="text1"/>
          <w:lang w:val="pt-BR"/>
        </w:rPr>
        <w:t>These sites received 12.2 kg N ha</w:t>
      </w:r>
      <w:r w:rsidRPr="009D3579">
        <w:rPr>
          <w:rFonts w:cs="Times New Roman"/>
          <w:color w:val="000000" w:themeColor="text1"/>
          <w:vertAlign w:val="superscript"/>
          <w:lang w:val="pt-BR"/>
        </w:rPr>
        <w:t>-1</w:t>
      </w:r>
      <w:r w:rsidRPr="009D3579">
        <w:rPr>
          <w:rFonts w:cs="Times New Roman"/>
          <w:color w:val="000000" w:themeColor="text1"/>
          <w:lang w:val="pt-BR"/>
        </w:rPr>
        <w:t xml:space="preserve"> from a complete fertilizer (Turf &amp; Ornamentals</w:t>
      </w:r>
      <w:r w:rsidRPr="009D3579">
        <w:rPr>
          <w:rFonts w:cs="Times New Roman"/>
          <w:color w:val="000000" w:themeColor="text1"/>
          <w:vertAlign w:val="superscript"/>
          <w:lang w:val="pt-BR"/>
        </w:rPr>
        <w:t>™</w:t>
      </w:r>
      <w:r w:rsidRPr="009D3579">
        <w:rPr>
          <w:rFonts w:cs="Times New Roman"/>
          <w:color w:val="000000" w:themeColor="text1"/>
          <w:lang w:val="pt-BR"/>
        </w:rPr>
        <w:t xml:space="preserve"> 18 N – 3 P</w:t>
      </w:r>
      <w:r w:rsidRPr="009D3579">
        <w:rPr>
          <w:rFonts w:cs="Times New Roman"/>
          <w:color w:val="000000" w:themeColor="text1"/>
          <w:vertAlign w:val="subscript"/>
          <w:lang w:val="pt-BR"/>
        </w:rPr>
        <w:t>2</w:t>
      </w:r>
      <w:r w:rsidRPr="009D3579">
        <w:rPr>
          <w:rFonts w:cs="Times New Roman"/>
          <w:color w:val="000000" w:themeColor="text1"/>
          <w:lang w:val="pt-BR"/>
        </w:rPr>
        <w:t>O</w:t>
      </w:r>
      <w:r w:rsidRPr="009D3579">
        <w:rPr>
          <w:rFonts w:cs="Times New Roman"/>
          <w:color w:val="000000" w:themeColor="text1"/>
          <w:vertAlign w:val="subscript"/>
          <w:lang w:val="pt-BR"/>
        </w:rPr>
        <w:t xml:space="preserve">5 – </w:t>
      </w:r>
      <w:r w:rsidRPr="009D3579">
        <w:rPr>
          <w:rFonts w:cs="Times New Roman"/>
          <w:color w:val="000000" w:themeColor="text1"/>
          <w:lang w:val="pt-BR"/>
        </w:rPr>
        <w:t>6 K</w:t>
      </w:r>
      <w:r w:rsidRPr="009D3579">
        <w:rPr>
          <w:rFonts w:cs="Times New Roman"/>
          <w:color w:val="000000" w:themeColor="text1"/>
          <w:vertAlign w:val="subscript"/>
          <w:lang w:val="pt-BR"/>
        </w:rPr>
        <w:t>2</w:t>
      </w:r>
      <w:r w:rsidRPr="009D3579">
        <w:rPr>
          <w:rFonts w:cs="Times New Roman"/>
          <w:color w:val="000000" w:themeColor="text1"/>
          <w:lang w:val="pt-BR"/>
        </w:rPr>
        <w:t>O UMAXX</w:t>
      </w:r>
      <w:r w:rsidRPr="009D3579">
        <w:rPr>
          <w:rFonts w:cs="Times New Roman"/>
          <w:color w:val="000000" w:themeColor="text1"/>
          <w:vertAlign w:val="superscript"/>
          <w:lang w:val="pt-BR"/>
        </w:rPr>
        <w:t>®</w:t>
      </w:r>
      <w:r w:rsidRPr="009D3579">
        <w:rPr>
          <w:rFonts w:cs="Times New Roman"/>
          <w:lang w:val="pt-BR"/>
        </w:rPr>
        <w:t xml:space="preserve">. </w:t>
      </w:r>
      <w:r w:rsidRPr="0064799F">
        <w:rPr>
          <w:rFonts w:cs="Times New Roman"/>
        </w:rPr>
        <w:t>J.R. Simplot Company. Boise, ID</w:t>
      </w:r>
      <w:r w:rsidRPr="0064799F">
        <w:rPr>
          <w:rFonts w:cs="Times New Roman"/>
          <w:color w:val="000000" w:themeColor="text1"/>
        </w:rPr>
        <w:t xml:space="preserve">) every 14 d from April through October each year. Both putting green sites were treated with a preventative fungicide program that delivered two applications per month. From April through August, commercially formulated mixtures of </w:t>
      </w:r>
      <w:proofErr w:type="spellStart"/>
      <w:r w:rsidRPr="0064799F">
        <w:rPr>
          <w:rFonts w:cs="Times New Roman"/>
          <w:color w:val="000000" w:themeColor="text1"/>
        </w:rPr>
        <w:t>fluopyram</w:t>
      </w:r>
      <w:proofErr w:type="spellEnd"/>
      <w:r w:rsidRPr="0064799F">
        <w:rPr>
          <w:rFonts w:cs="Times New Roman"/>
          <w:color w:val="000000" w:themeColor="text1"/>
        </w:rPr>
        <w:t xml:space="preserve"> (38.9 g ha</w:t>
      </w:r>
      <w:r w:rsidRPr="0064799F">
        <w:rPr>
          <w:rFonts w:cs="Times New Roman"/>
          <w:color w:val="000000" w:themeColor="text1"/>
          <w:vertAlign w:val="superscript"/>
        </w:rPr>
        <w:t>-1</w:t>
      </w:r>
      <w:r w:rsidRPr="0064799F">
        <w:rPr>
          <w:rFonts w:cs="Times New Roman"/>
          <w:color w:val="000000" w:themeColor="text1"/>
        </w:rPr>
        <w:t xml:space="preserve">) + </w:t>
      </w:r>
      <w:proofErr w:type="spellStart"/>
      <w:r w:rsidRPr="0064799F">
        <w:rPr>
          <w:rFonts w:cs="Times New Roman"/>
          <w:color w:val="000000" w:themeColor="text1"/>
        </w:rPr>
        <w:t>trifloxystrobin</w:t>
      </w:r>
      <w:proofErr w:type="spellEnd"/>
      <w:r w:rsidRPr="0064799F">
        <w:rPr>
          <w:rFonts w:cs="Times New Roman"/>
          <w:color w:val="000000" w:themeColor="text1"/>
        </w:rPr>
        <w:t xml:space="preserve"> (62.4 g ha</w:t>
      </w:r>
      <w:r w:rsidRPr="0064799F">
        <w:rPr>
          <w:rFonts w:cs="Times New Roman"/>
          <w:color w:val="000000" w:themeColor="text1"/>
          <w:vertAlign w:val="superscript"/>
        </w:rPr>
        <w:t>-1</w:t>
      </w:r>
      <w:r w:rsidRPr="0064799F">
        <w:rPr>
          <w:rFonts w:cs="Times New Roman"/>
          <w:color w:val="000000" w:themeColor="text1"/>
        </w:rPr>
        <w:t>) or pyraclostrobin (556 g ha</w:t>
      </w:r>
      <w:r w:rsidRPr="0064799F">
        <w:rPr>
          <w:rFonts w:cs="Times New Roman"/>
          <w:color w:val="000000" w:themeColor="text1"/>
          <w:vertAlign w:val="superscript"/>
        </w:rPr>
        <w:t>-1</w:t>
      </w:r>
      <w:r w:rsidRPr="0064799F">
        <w:rPr>
          <w:rFonts w:cs="Times New Roman"/>
          <w:color w:val="000000" w:themeColor="text1"/>
        </w:rPr>
        <w:t>) + aluminum-tris (1200 g ha</w:t>
      </w:r>
      <w:r w:rsidRPr="0064799F">
        <w:rPr>
          <w:rFonts w:cs="Times New Roman"/>
          <w:color w:val="000000" w:themeColor="text1"/>
          <w:vertAlign w:val="superscript"/>
        </w:rPr>
        <w:t>-1</w:t>
      </w:r>
      <w:r w:rsidRPr="0064799F">
        <w:rPr>
          <w:rFonts w:cs="Times New Roman"/>
          <w:color w:val="000000" w:themeColor="text1"/>
        </w:rPr>
        <w:t>) were applied, whereas cyazofamid (1150 g ha</w:t>
      </w:r>
      <w:r w:rsidRPr="0064799F">
        <w:rPr>
          <w:rFonts w:cs="Times New Roman"/>
          <w:color w:val="000000" w:themeColor="text1"/>
          <w:vertAlign w:val="superscript"/>
        </w:rPr>
        <w:t>-1</w:t>
      </w:r>
      <w:r w:rsidRPr="0064799F">
        <w:rPr>
          <w:rFonts w:cs="Times New Roman"/>
          <w:color w:val="000000" w:themeColor="text1"/>
        </w:rPr>
        <w:t xml:space="preserve">) + aluminum-tris </w:t>
      </w:r>
      <w:r w:rsidRPr="0064799F">
        <w:rPr>
          <w:rFonts w:cs="Times New Roman"/>
          <w:color w:val="000000" w:themeColor="text1"/>
        </w:rPr>
        <w:lastRenderedPageBreak/>
        <w:t>(1200 g ha</w:t>
      </w:r>
      <w:r w:rsidRPr="0064799F">
        <w:rPr>
          <w:rFonts w:cs="Times New Roman"/>
          <w:color w:val="000000" w:themeColor="text1"/>
          <w:vertAlign w:val="superscript"/>
        </w:rPr>
        <w:t>-1</w:t>
      </w:r>
      <w:r w:rsidRPr="0064799F">
        <w:rPr>
          <w:rFonts w:cs="Times New Roman"/>
          <w:color w:val="000000" w:themeColor="text1"/>
        </w:rPr>
        <w:t>) or aluminum-tris (1200 g ha</w:t>
      </w:r>
      <w:r w:rsidRPr="0064799F">
        <w:rPr>
          <w:rFonts w:cs="Times New Roman"/>
          <w:color w:val="000000" w:themeColor="text1"/>
          <w:vertAlign w:val="superscript"/>
        </w:rPr>
        <w:t>-1</w:t>
      </w:r>
      <w:r w:rsidRPr="0064799F">
        <w:rPr>
          <w:rFonts w:cs="Times New Roman"/>
          <w:color w:val="000000" w:themeColor="text1"/>
        </w:rPr>
        <w:t xml:space="preserve">) + commercially formulated mixture of </w:t>
      </w:r>
      <w:proofErr w:type="spellStart"/>
      <w:r w:rsidRPr="0064799F">
        <w:rPr>
          <w:rFonts w:cs="Times New Roman"/>
          <w:color w:val="000000" w:themeColor="text1"/>
        </w:rPr>
        <w:t>benzovindiflupyr</w:t>
      </w:r>
      <w:proofErr w:type="spellEnd"/>
      <w:r w:rsidRPr="0064799F">
        <w:rPr>
          <w:rFonts w:cs="Times New Roman"/>
          <w:color w:val="000000" w:themeColor="text1"/>
        </w:rPr>
        <w:t xml:space="preserve"> + difenoconazole [</w:t>
      </w:r>
      <w:proofErr w:type="spellStart"/>
      <w:r w:rsidRPr="0064799F">
        <w:rPr>
          <w:rFonts w:cs="Times New Roman"/>
          <w:color w:val="000000" w:themeColor="text1"/>
        </w:rPr>
        <w:t>Ascernity</w:t>
      </w:r>
      <w:proofErr w:type="spellEnd"/>
      <w:r w:rsidRPr="0064799F">
        <w:rPr>
          <w:rFonts w:cs="Times New Roman"/>
          <w:color w:val="000000" w:themeColor="text1"/>
          <w:vertAlign w:val="superscript"/>
        </w:rPr>
        <w:t>®</w:t>
      </w:r>
      <w:r w:rsidRPr="0064799F">
        <w:rPr>
          <w:rFonts w:cs="Times New Roman"/>
          <w:color w:val="000000" w:themeColor="text1"/>
        </w:rPr>
        <w:t>. Syngenta Crop Protection. Greensboro, NC (12.5 and 42.2 g ha</w:t>
      </w:r>
      <w:r w:rsidRPr="0064799F">
        <w:rPr>
          <w:rFonts w:cs="Times New Roman"/>
          <w:color w:val="000000" w:themeColor="text1"/>
          <w:vertAlign w:val="superscript"/>
        </w:rPr>
        <w:t>-1</w:t>
      </w:r>
      <w:r w:rsidRPr="0064799F">
        <w:rPr>
          <w:rFonts w:cs="Times New Roman"/>
          <w:color w:val="000000" w:themeColor="text1"/>
        </w:rPr>
        <w:t xml:space="preserve">, respectively) was applied from September through November. No plant growth regulators were applied to the </w:t>
      </w:r>
      <w:proofErr w:type="spellStart"/>
      <w:r w:rsidRPr="0064799F">
        <w:rPr>
          <w:rFonts w:cs="Times New Roman"/>
          <w:color w:val="000000" w:themeColor="text1"/>
        </w:rPr>
        <w:t>manilagrass</w:t>
      </w:r>
      <w:proofErr w:type="spellEnd"/>
      <w:r w:rsidRPr="0064799F">
        <w:rPr>
          <w:rFonts w:cs="Times New Roman"/>
          <w:color w:val="000000" w:themeColor="text1"/>
        </w:rPr>
        <w:t xml:space="preserve"> or hybrid bermudagrass putting green sites.</w:t>
      </w:r>
    </w:p>
    <w:p w14:paraId="4D4A4DA4" w14:textId="3D06807D" w:rsidR="003043B4" w:rsidRPr="0064799F" w:rsidRDefault="003043B4" w:rsidP="00965EA3">
      <w:pPr>
        <w:spacing w:line="360" w:lineRule="auto"/>
        <w:contextualSpacing/>
        <w:rPr>
          <w:rFonts w:cs="Times New Roman"/>
          <w:color w:val="000000" w:themeColor="text1"/>
        </w:rPr>
      </w:pPr>
      <w:r w:rsidRPr="0064799F">
        <w:rPr>
          <w:rFonts w:cs="Times New Roman"/>
          <w:color w:val="000000" w:themeColor="text1"/>
        </w:rPr>
        <w:tab/>
        <w:t>In each experiment, turfgrass was subjected to increasing doses of tetflupyrolimet using a CO</w:t>
      </w:r>
      <w:r w:rsidRPr="0064799F">
        <w:rPr>
          <w:rFonts w:cs="Times New Roman"/>
          <w:color w:val="000000" w:themeColor="text1"/>
          <w:vertAlign w:val="subscript"/>
        </w:rPr>
        <w:t>2</w:t>
      </w:r>
      <w:r w:rsidRPr="0064799F">
        <w:rPr>
          <w:rFonts w:cs="Times New Roman"/>
          <w:color w:val="000000" w:themeColor="text1"/>
        </w:rPr>
        <w:t>-pressurized sprayer at 374 L ha</w:t>
      </w:r>
      <w:r w:rsidRPr="0064799F">
        <w:rPr>
          <w:rFonts w:cs="Times New Roman"/>
          <w:color w:val="000000" w:themeColor="text1"/>
          <w:vertAlign w:val="superscript"/>
        </w:rPr>
        <w:t>-1</w:t>
      </w:r>
      <w:r w:rsidRPr="0064799F">
        <w:rPr>
          <w:rFonts w:cs="Times New Roman"/>
          <w:color w:val="000000" w:themeColor="text1"/>
        </w:rPr>
        <w:t xml:space="preserve"> via flat-fan nozzle tips (XR8002. </w:t>
      </w:r>
      <w:proofErr w:type="spellStart"/>
      <w:r w:rsidRPr="0064799F">
        <w:rPr>
          <w:rFonts w:cs="Times New Roman"/>
          <w:color w:val="000000" w:themeColor="text1"/>
        </w:rPr>
        <w:t>TeeJet</w:t>
      </w:r>
      <w:proofErr w:type="spellEnd"/>
      <w:r w:rsidRPr="0064799F">
        <w:rPr>
          <w:rFonts w:cs="Times New Roman"/>
          <w:color w:val="000000" w:themeColor="text1"/>
        </w:rPr>
        <w:t xml:space="preserve"> Technologies. Wheaton, IL). </w:t>
      </w:r>
      <w:proofErr w:type="spellStart"/>
      <w:r w:rsidRPr="0064799F">
        <w:rPr>
          <w:rFonts w:cs="Times New Roman"/>
          <w:color w:val="000000" w:themeColor="text1"/>
        </w:rPr>
        <w:t>Tetflupyrolimet</w:t>
      </w:r>
      <w:proofErr w:type="spellEnd"/>
      <w:r w:rsidRPr="0064799F">
        <w:rPr>
          <w:rFonts w:cs="Times New Roman"/>
          <w:color w:val="000000" w:themeColor="text1"/>
        </w:rPr>
        <w:t xml:space="preserve"> (</w:t>
      </w:r>
      <w:proofErr w:type="spellStart"/>
      <w:r w:rsidRPr="0064799F">
        <w:rPr>
          <w:rFonts w:cs="Times New Roman"/>
          <w:color w:val="000000" w:themeColor="text1"/>
        </w:rPr>
        <w:t>Dodhylex</w:t>
      </w:r>
      <w:proofErr w:type="spellEnd"/>
      <w:r w:rsidRPr="0064799F">
        <w:rPr>
          <w:rFonts w:cs="Times New Roman"/>
          <w:color w:val="000000" w:themeColor="text1"/>
        </w:rPr>
        <w:sym w:font="Symbol" w:char="F0D4"/>
      </w:r>
      <w:r w:rsidRPr="0064799F">
        <w:rPr>
          <w:rFonts w:cs="Times New Roman"/>
          <w:color w:val="000000" w:themeColor="text1"/>
        </w:rPr>
        <w:t xml:space="preserve"> Active. FMC Corporation. Philadelphia, PA) application rates were 0, 25, 50, 100, 200, 400, 800, 1600, 3200, or 6400 g ha</w:t>
      </w:r>
      <w:r w:rsidRPr="0064799F">
        <w:rPr>
          <w:rFonts w:cs="Times New Roman"/>
          <w:color w:val="000000" w:themeColor="text1"/>
          <w:vertAlign w:val="superscript"/>
        </w:rPr>
        <w:t>-1</w:t>
      </w:r>
      <w:r w:rsidRPr="0064799F">
        <w:rPr>
          <w:rFonts w:cs="Times New Roman"/>
          <w:color w:val="000000" w:themeColor="text1"/>
        </w:rPr>
        <w:t>. Overhead irrigation (5 mm) was applied within one hour of application in both fall and spring to ensure herbicide activation in the soil. Turfgrass injury was visually evaluated 14, 35, 95, and 180 days after treatment (DAT) relative to non-treated check plots (i.e., 0 g ha</w:t>
      </w:r>
      <w:r w:rsidRPr="0064799F">
        <w:rPr>
          <w:rFonts w:cs="Times New Roman"/>
          <w:color w:val="000000" w:themeColor="text1"/>
          <w:vertAlign w:val="superscript"/>
        </w:rPr>
        <w:t>-1</w:t>
      </w:r>
      <w:r w:rsidRPr="0064799F">
        <w:rPr>
          <w:rFonts w:cs="Times New Roman"/>
          <w:color w:val="000000" w:themeColor="text1"/>
        </w:rPr>
        <w:t xml:space="preserve"> tetflupyrolimet) in each replication using a 0 (i.e., no phytotoxicity) to 100% (i.e., complete plant kill) scale.</w:t>
      </w:r>
    </w:p>
    <w:p w14:paraId="1D4B5165" w14:textId="42A72BC0" w:rsidR="003043B4" w:rsidRPr="000C799B" w:rsidRDefault="003043B4" w:rsidP="000C799B">
      <w:pPr>
        <w:spacing w:line="360" w:lineRule="auto"/>
      </w:pPr>
      <w:r w:rsidRPr="0064799F">
        <w:tab/>
      </w:r>
      <w:bookmarkStart w:id="30" w:name="_Toc192766943"/>
      <w:r w:rsidRPr="0064799F">
        <w:t xml:space="preserve">Separate analyses were conducted to determine turfgrass tolerance to tetflupyrolimet in fall and spring on each species. Within a season (i.e., fall or spring trials), turfgrass injury data from a single species were subjected to combined analysis of variance (ANOVA) in R (v.4.2.2) using expected mean squares of McIntosh (1983) to determine if years could be combined. Non-linear regression analysis was conducted in GraphPad Prism (v.10.1.1. </w:t>
      </w:r>
      <w:proofErr w:type="spellStart"/>
      <w:r w:rsidRPr="0064799F">
        <w:t>Graphpad</w:t>
      </w:r>
      <w:proofErr w:type="spellEnd"/>
      <w:r w:rsidRPr="0064799F">
        <w:t xml:space="preserve"> Prism. </w:t>
      </w:r>
      <w:proofErr w:type="spellStart"/>
      <w:r w:rsidRPr="0064799F">
        <w:t>LaJolla</w:t>
      </w:r>
      <w:proofErr w:type="spellEnd"/>
      <w:r w:rsidRPr="0064799F">
        <w:t>, CA) using injury data collected 95 DAT. An ‘EC anything’ model was used to calculate the dose of tetflupyrolimet required to generate 25% turfgrass injury (EC</w:t>
      </w:r>
      <w:r w:rsidRPr="0064799F">
        <w:rPr>
          <w:vertAlign w:val="subscript"/>
        </w:rPr>
        <w:t>25</w:t>
      </w:r>
      <w:r w:rsidRPr="0064799F">
        <w:t xml:space="preserve"> values) on each turfgrass species in fall or spring. EC</w:t>
      </w:r>
      <w:r w:rsidRPr="0064799F">
        <w:rPr>
          <w:vertAlign w:val="subscript"/>
        </w:rPr>
        <w:t>25</w:t>
      </w:r>
      <w:r w:rsidRPr="0064799F">
        <w:t xml:space="preserve"> values were compared using 95% confidence intervals.</w:t>
      </w:r>
      <w:bookmarkEnd w:id="30"/>
    </w:p>
    <w:p w14:paraId="09989BBE" w14:textId="0A8B52FA" w:rsidR="00181B21" w:rsidRPr="00181B21" w:rsidRDefault="003043B4" w:rsidP="00965EA3">
      <w:pPr>
        <w:keepNext/>
        <w:numPr>
          <w:ilvl w:val="2"/>
          <w:numId w:val="0"/>
        </w:numPr>
        <w:spacing w:line="360" w:lineRule="auto"/>
        <w:outlineLvl w:val="2"/>
        <w:rPr>
          <w:rFonts w:cs="Times New Roman"/>
          <w:b/>
          <w:bCs/>
          <w:i/>
        </w:rPr>
      </w:pPr>
      <w:bookmarkStart w:id="31" w:name="_Toc192766944"/>
      <w:bookmarkStart w:id="32" w:name="_Toc192781543"/>
      <w:r>
        <w:rPr>
          <w:rFonts w:cs="Times New Roman"/>
          <w:b/>
          <w:bCs/>
          <w:i/>
        </w:rPr>
        <w:t>Controlling Herbicide-Resistant Poa annua</w:t>
      </w:r>
      <w:bookmarkEnd w:id="26"/>
      <w:bookmarkEnd w:id="27"/>
      <w:bookmarkEnd w:id="28"/>
      <w:bookmarkEnd w:id="29"/>
      <w:bookmarkEnd w:id="31"/>
      <w:bookmarkEnd w:id="32"/>
      <w:r w:rsidR="00181B21" w:rsidRPr="00181B21">
        <w:rPr>
          <w:rFonts w:cs="Times New Roman"/>
          <w:b/>
          <w:bCs/>
          <w:i/>
        </w:rPr>
        <w:tab/>
      </w:r>
      <w:r w:rsidR="00181B21" w:rsidRPr="00181B21">
        <w:rPr>
          <w:rFonts w:cs="Times New Roman"/>
          <w:b/>
          <w:bCs/>
          <w:i/>
        </w:rPr>
        <w:tab/>
      </w:r>
    </w:p>
    <w:p w14:paraId="55ACE07E" w14:textId="41A56919" w:rsidR="003043B4" w:rsidRPr="0064799F" w:rsidRDefault="003043B4" w:rsidP="00965EA3">
      <w:pPr>
        <w:spacing w:line="360" w:lineRule="auto"/>
        <w:ind w:firstLine="720"/>
        <w:contextualSpacing/>
        <w:rPr>
          <w:rFonts w:cs="Times New Roman"/>
          <w:color w:val="000000" w:themeColor="text1"/>
        </w:rPr>
      </w:pPr>
      <w:bookmarkStart w:id="33" w:name="_Toc289175830"/>
      <w:r w:rsidRPr="0064799F">
        <w:rPr>
          <w:rFonts w:cs="Times New Roman"/>
          <w:color w:val="000000" w:themeColor="text1"/>
        </w:rPr>
        <w:t xml:space="preserve">Field experiments were conducted on a hybrid bermudagrass (cv. ’Tifway’) golf course fairway at Montgomery Bell State Park Golf Course (Burns, TN) during 2022 and 2023. Non-target site resistance is suspected in </w:t>
      </w:r>
      <w:r w:rsidRPr="0064799F">
        <w:rPr>
          <w:rFonts w:cs="Times New Roman"/>
          <w:i/>
          <w:iCs/>
          <w:color w:val="000000" w:themeColor="text1"/>
        </w:rPr>
        <w:t>Poa annua</w:t>
      </w:r>
      <w:r w:rsidRPr="0064799F">
        <w:rPr>
          <w:rFonts w:cs="Times New Roman"/>
          <w:color w:val="000000" w:themeColor="text1"/>
        </w:rPr>
        <w:t xml:space="preserve"> from this location as resistance to multiple mode-of-action groups has been associated with elevated cytochrome P450 expression (</w:t>
      </w:r>
      <w:r>
        <w:rPr>
          <w:rFonts w:cs="Times New Roman"/>
          <w:color w:val="000000" w:themeColor="text1"/>
        </w:rPr>
        <w:t xml:space="preserve">E. </w:t>
      </w:r>
      <w:r w:rsidRPr="0064799F">
        <w:rPr>
          <w:rFonts w:cs="Times New Roman"/>
          <w:color w:val="000000" w:themeColor="text1"/>
        </w:rPr>
        <w:t xml:space="preserve">Patterson and </w:t>
      </w:r>
      <w:r>
        <w:rPr>
          <w:rFonts w:cs="Times New Roman"/>
          <w:color w:val="000000" w:themeColor="text1"/>
        </w:rPr>
        <w:t xml:space="preserve">M. </w:t>
      </w:r>
      <w:proofErr w:type="spellStart"/>
      <w:r w:rsidRPr="0064799F">
        <w:rPr>
          <w:rFonts w:cs="Times New Roman"/>
          <w:color w:val="000000" w:themeColor="text1"/>
        </w:rPr>
        <w:t>Mahey</w:t>
      </w:r>
      <w:proofErr w:type="spellEnd"/>
      <w:r w:rsidRPr="0064799F">
        <w:rPr>
          <w:rFonts w:cs="Times New Roman"/>
          <w:color w:val="000000" w:themeColor="text1"/>
        </w:rPr>
        <w:t>, personal communication). Hybrid bermudagrass at this location was maintained at 1.3 cm during periods of active growth each year. Plots (</w:t>
      </w:r>
      <w:r>
        <w:rPr>
          <w:rFonts w:cs="Times New Roman"/>
          <w:color w:val="000000" w:themeColor="text1"/>
        </w:rPr>
        <w:t xml:space="preserve">measuring </w:t>
      </w:r>
      <w:r w:rsidRPr="0064799F">
        <w:rPr>
          <w:rFonts w:cs="Times New Roman"/>
          <w:color w:val="000000" w:themeColor="text1"/>
        </w:rPr>
        <w:t xml:space="preserve">1.5 by 1.5 m) were arranged in a randomized complete block design with four replications. The soil series at this location was 9.6% Hawthorne (loamy-skeletal, siliceous, semiactive, thermic Typic </w:t>
      </w:r>
      <w:proofErr w:type="spellStart"/>
      <w:r w:rsidRPr="0064799F">
        <w:rPr>
          <w:rFonts w:cs="Times New Roman"/>
          <w:color w:val="000000" w:themeColor="text1"/>
        </w:rPr>
        <w:t>Dystrudepts</w:t>
      </w:r>
      <w:proofErr w:type="spellEnd"/>
      <w:r w:rsidRPr="0064799F">
        <w:rPr>
          <w:rFonts w:cs="Times New Roman"/>
          <w:color w:val="000000" w:themeColor="text1"/>
        </w:rPr>
        <w:t>)–</w:t>
      </w:r>
      <w:proofErr w:type="spellStart"/>
      <w:r w:rsidRPr="0064799F">
        <w:rPr>
          <w:rFonts w:cs="Times New Roman"/>
          <w:color w:val="000000" w:themeColor="text1"/>
        </w:rPr>
        <w:t>Sulphura</w:t>
      </w:r>
      <w:proofErr w:type="spellEnd"/>
      <w:r w:rsidRPr="0064799F">
        <w:rPr>
          <w:rFonts w:cs="Times New Roman"/>
          <w:color w:val="000000" w:themeColor="text1"/>
        </w:rPr>
        <w:t xml:space="preserve"> (loamy-skeletal, siliceous, semiactive, thermic Typic </w:t>
      </w:r>
      <w:proofErr w:type="spellStart"/>
      <w:r w:rsidRPr="0064799F">
        <w:rPr>
          <w:rFonts w:cs="Times New Roman"/>
          <w:color w:val="000000" w:themeColor="text1"/>
        </w:rPr>
        <w:t>Dystrudepts</w:t>
      </w:r>
      <w:proofErr w:type="spellEnd"/>
      <w:r w:rsidRPr="0064799F">
        <w:rPr>
          <w:rFonts w:cs="Times New Roman"/>
          <w:color w:val="000000" w:themeColor="text1"/>
        </w:rPr>
        <w:t xml:space="preserve">) association + 90.4% </w:t>
      </w:r>
      <w:proofErr w:type="spellStart"/>
      <w:r w:rsidRPr="0064799F">
        <w:rPr>
          <w:rFonts w:cs="Times New Roman"/>
          <w:color w:val="000000" w:themeColor="text1"/>
        </w:rPr>
        <w:t>Sengtown</w:t>
      </w:r>
      <w:proofErr w:type="spellEnd"/>
      <w:r w:rsidRPr="0064799F">
        <w:rPr>
          <w:rFonts w:cs="Times New Roman"/>
          <w:color w:val="000000" w:themeColor="text1"/>
        </w:rPr>
        <w:t xml:space="preserve"> gravelly silt loam (fine, mixed, semiactive, thermic Typic </w:t>
      </w:r>
      <w:proofErr w:type="spellStart"/>
      <w:r w:rsidRPr="0064799F">
        <w:rPr>
          <w:rFonts w:cs="Times New Roman"/>
          <w:color w:val="000000" w:themeColor="text1"/>
        </w:rPr>
        <w:lastRenderedPageBreak/>
        <w:t>Paleudalfs</w:t>
      </w:r>
      <w:proofErr w:type="spellEnd"/>
      <w:r w:rsidRPr="0064799F">
        <w:rPr>
          <w:rFonts w:cs="Times New Roman"/>
          <w:color w:val="000000" w:themeColor="text1"/>
        </w:rPr>
        <w:t>) with a pH of 5.5 (</w:t>
      </w:r>
      <w:r w:rsidRPr="009B11CE">
        <w:rPr>
          <w:rFonts w:cs="Times New Roman"/>
          <w:b/>
          <w:bCs/>
          <w:color w:val="000000" w:themeColor="text1"/>
        </w:rPr>
        <w:t xml:space="preserve">Table </w:t>
      </w:r>
      <w:r w:rsidR="002C2627" w:rsidRPr="009B11CE">
        <w:rPr>
          <w:rFonts w:cs="Times New Roman"/>
          <w:b/>
          <w:bCs/>
          <w:color w:val="000000" w:themeColor="text1"/>
        </w:rPr>
        <w:t>1.</w:t>
      </w:r>
      <w:r w:rsidRPr="009B11CE">
        <w:rPr>
          <w:rFonts w:cs="Times New Roman"/>
          <w:b/>
          <w:bCs/>
          <w:color w:val="000000" w:themeColor="text1"/>
        </w:rPr>
        <w:t>2</w:t>
      </w:r>
      <w:r w:rsidRPr="0064799F">
        <w:rPr>
          <w:rFonts w:cs="Times New Roman"/>
          <w:color w:val="000000" w:themeColor="text1"/>
        </w:rPr>
        <w:t>). No supplemental nutrition was applied during the course of the study and the site was only irrigated via rainfall. This site received 70.4 cm of rainfall during the data collection period in 2022 compared to 63.7 cm in 2023.</w:t>
      </w:r>
    </w:p>
    <w:p w14:paraId="642D27F9" w14:textId="77777777" w:rsidR="003043B4" w:rsidRPr="0064799F" w:rsidRDefault="003043B4" w:rsidP="00965EA3">
      <w:pPr>
        <w:spacing w:line="360" w:lineRule="auto"/>
        <w:contextualSpacing/>
        <w:rPr>
          <w:rFonts w:cs="Times New Roman"/>
          <w:color w:val="000000" w:themeColor="text1"/>
        </w:rPr>
      </w:pPr>
      <w:r w:rsidRPr="0064799F">
        <w:rPr>
          <w:rFonts w:cs="Times New Roman"/>
          <w:color w:val="000000" w:themeColor="text1"/>
        </w:rPr>
        <w:tab/>
        <w:t xml:space="preserve">A </w:t>
      </w:r>
      <w:r w:rsidRPr="0064799F">
        <w:rPr>
          <w:rFonts w:cs="Times New Roman"/>
          <w:i/>
          <w:iCs/>
          <w:color w:val="000000" w:themeColor="text1"/>
        </w:rPr>
        <w:t>Poa annua</w:t>
      </w:r>
      <w:r w:rsidRPr="0064799F">
        <w:rPr>
          <w:rFonts w:cs="Times New Roman"/>
          <w:color w:val="000000" w:themeColor="text1"/>
        </w:rPr>
        <w:t xml:space="preserve"> emergence model developed by Taylor et al. (2021) was used to time PRE and early-postemergence (EPOST) herbicide applications each year. In 2022, treatments were applied PRE on 14 September and EPOST on 8 November. The 7-d average soil temperature (5 mm depth) on these dates was 23.6˚C and 17.1˚C, respectively. In 2023, treatments were applied PRE on 26 September and EPOST on 24 October. The 7-d average soil temperatures were 18.5˚C and 14.8˚C, respectively. No </w:t>
      </w:r>
      <w:r w:rsidRPr="0064799F">
        <w:rPr>
          <w:rFonts w:cs="Times New Roman"/>
          <w:i/>
          <w:iCs/>
          <w:color w:val="000000" w:themeColor="text1"/>
        </w:rPr>
        <w:t>Poa annua</w:t>
      </w:r>
      <w:r w:rsidRPr="0064799F">
        <w:rPr>
          <w:rFonts w:cs="Times New Roman"/>
          <w:color w:val="000000" w:themeColor="text1"/>
        </w:rPr>
        <w:t xml:space="preserve"> plants were visible above the hybrid bermudagrass canopy when EPOST treatments were applied either year. </w:t>
      </w:r>
    </w:p>
    <w:p w14:paraId="3363725F" w14:textId="77777777" w:rsidR="003043B4" w:rsidRPr="0064799F" w:rsidRDefault="003043B4" w:rsidP="00965EA3">
      <w:pPr>
        <w:spacing w:line="360" w:lineRule="auto"/>
        <w:contextualSpacing/>
        <w:rPr>
          <w:rFonts w:cs="Times New Roman"/>
          <w:color w:val="000000" w:themeColor="text1"/>
        </w:rPr>
      </w:pPr>
      <w:r w:rsidRPr="0064799F">
        <w:rPr>
          <w:rFonts w:cs="Times New Roman"/>
          <w:color w:val="000000" w:themeColor="text1"/>
        </w:rPr>
        <w:tab/>
        <w:t>Herbicides were applied with a CO</w:t>
      </w:r>
      <w:r w:rsidRPr="0064799F">
        <w:rPr>
          <w:rFonts w:cs="Times New Roman"/>
          <w:color w:val="000000" w:themeColor="text1"/>
          <w:vertAlign w:val="subscript"/>
        </w:rPr>
        <w:t>2</w:t>
      </w:r>
      <w:r w:rsidRPr="0064799F">
        <w:rPr>
          <w:rFonts w:cs="Times New Roman"/>
          <w:color w:val="000000" w:themeColor="text1"/>
        </w:rPr>
        <w:t>-pressurized sprayer at 374 L ha</w:t>
      </w:r>
      <w:r w:rsidRPr="0064799F">
        <w:rPr>
          <w:rFonts w:cs="Times New Roman"/>
          <w:color w:val="000000" w:themeColor="text1"/>
          <w:vertAlign w:val="superscript"/>
        </w:rPr>
        <w:t>-1</w:t>
      </w:r>
      <w:r w:rsidRPr="0064799F">
        <w:rPr>
          <w:rFonts w:cs="Times New Roman"/>
          <w:color w:val="000000" w:themeColor="text1"/>
        </w:rPr>
        <w:t xml:space="preserve"> via flat-fan nozzle tips (XR8002. </w:t>
      </w:r>
      <w:proofErr w:type="spellStart"/>
      <w:r w:rsidRPr="0064799F">
        <w:rPr>
          <w:rFonts w:cs="Times New Roman"/>
          <w:color w:val="000000" w:themeColor="text1"/>
        </w:rPr>
        <w:t>TeeJet</w:t>
      </w:r>
      <w:proofErr w:type="spellEnd"/>
      <w:r w:rsidRPr="0064799F">
        <w:rPr>
          <w:rFonts w:cs="Times New Roman"/>
          <w:color w:val="000000" w:themeColor="text1"/>
        </w:rPr>
        <w:t xml:space="preserve"> Technologies, Wheaton, IL). Preemergence treatments included tetflupyrolimet at 400 g ha</w:t>
      </w:r>
      <w:r w:rsidRPr="0064799F">
        <w:rPr>
          <w:rFonts w:cs="Times New Roman"/>
          <w:color w:val="000000" w:themeColor="text1"/>
          <w:vertAlign w:val="superscript"/>
        </w:rPr>
        <w:t>-1</w:t>
      </w:r>
      <w:r w:rsidRPr="0064799F">
        <w:rPr>
          <w:rFonts w:cs="Times New Roman"/>
          <w:color w:val="000000" w:themeColor="text1"/>
        </w:rPr>
        <w:t xml:space="preserve">, </w:t>
      </w:r>
      <w:proofErr w:type="spellStart"/>
      <w:r w:rsidRPr="0064799F">
        <w:rPr>
          <w:rFonts w:cs="Times New Roman"/>
          <w:color w:val="000000" w:themeColor="text1"/>
        </w:rPr>
        <w:t>pyroxasulfone</w:t>
      </w:r>
      <w:proofErr w:type="spellEnd"/>
      <w:r w:rsidRPr="0064799F">
        <w:rPr>
          <w:rFonts w:cs="Times New Roman"/>
          <w:color w:val="000000" w:themeColor="text1"/>
        </w:rPr>
        <w:t xml:space="preserve"> (</w:t>
      </w:r>
      <w:proofErr w:type="spellStart"/>
      <w:r w:rsidRPr="0064799F">
        <w:rPr>
          <w:rFonts w:cs="Times New Roman"/>
          <w:color w:val="000000" w:themeColor="text1"/>
        </w:rPr>
        <w:t>Zidua</w:t>
      </w:r>
      <w:proofErr w:type="spellEnd"/>
      <w:r w:rsidRPr="0064799F">
        <w:rPr>
          <w:rFonts w:cs="Times New Roman"/>
          <w:color w:val="000000" w:themeColor="text1"/>
        </w:rPr>
        <w:t xml:space="preserve"> SC. BASF Corporation. Research Triangle Park, NC) at 128 g ha</w:t>
      </w:r>
      <w:r w:rsidRPr="0064799F">
        <w:rPr>
          <w:rFonts w:cs="Times New Roman"/>
          <w:color w:val="000000" w:themeColor="text1"/>
          <w:vertAlign w:val="superscript"/>
        </w:rPr>
        <w:t>-1</w:t>
      </w:r>
      <w:r w:rsidRPr="0064799F">
        <w:rPr>
          <w:rFonts w:cs="Times New Roman"/>
          <w:color w:val="000000" w:themeColor="text1"/>
        </w:rPr>
        <w:t>, tetflupyrolimet (400 g ha</w:t>
      </w:r>
      <w:r w:rsidRPr="0064799F">
        <w:rPr>
          <w:rFonts w:cs="Times New Roman"/>
          <w:color w:val="000000" w:themeColor="text1"/>
          <w:vertAlign w:val="superscript"/>
        </w:rPr>
        <w:t>-1</w:t>
      </w:r>
      <w:r w:rsidRPr="0064799F">
        <w:rPr>
          <w:rFonts w:cs="Times New Roman"/>
          <w:color w:val="000000" w:themeColor="text1"/>
        </w:rPr>
        <w:t xml:space="preserve">) + </w:t>
      </w:r>
      <w:proofErr w:type="spellStart"/>
      <w:r w:rsidRPr="0064799F">
        <w:rPr>
          <w:rFonts w:cs="Times New Roman"/>
          <w:color w:val="000000" w:themeColor="text1"/>
        </w:rPr>
        <w:t>pyroxasulfone</w:t>
      </w:r>
      <w:proofErr w:type="spellEnd"/>
      <w:r w:rsidRPr="0064799F">
        <w:rPr>
          <w:rFonts w:cs="Times New Roman"/>
          <w:color w:val="000000" w:themeColor="text1"/>
        </w:rPr>
        <w:t xml:space="preserve"> (128 g ha</w:t>
      </w:r>
      <w:r w:rsidRPr="0064799F">
        <w:rPr>
          <w:rFonts w:cs="Times New Roman"/>
          <w:color w:val="000000" w:themeColor="text1"/>
          <w:vertAlign w:val="superscript"/>
        </w:rPr>
        <w:t>-1</w:t>
      </w:r>
      <w:r w:rsidRPr="0064799F">
        <w:rPr>
          <w:rFonts w:cs="Times New Roman"/>
          <w:color w:val="000000" w:themeColor="text1"/>
        </w:rPr>
        <w:t xml:space="preserve">), and </w:t>
      </w:r>
      <w:proofErr w:type="spellStart"/>
      <w:r w:rsidRPr="0064799F">
        <w:rPr>
          <w:rFonts w:cs="Times New Roman"/>
          <w:color w:val="000000" w:themeColor="text1"/>
        </w:rPr>
        <w:t>indaziflam</w:t>
      </w:r>
      <w:proofErr w:type="spellEnd"/>
      <w:r w:rsidRPr="0064799F">
        <w:rPr>
          <w:rFonts w:cs="Times New Roman"/>
          <w:color w:val="000000" w:themeColor="text1"/>
        </w:rPr>
        <w:t xml:space="preserve"> (</w:t>
      </w:r>
      <w:proofErr w:type="spellStart"/>
      <w:r w:rsidRPr="0064799F">
        <w:rPr>
          <w:rFonts w:cs="Times New Roman"/>
          <w:color w:val="000000" w:themeColor="text1"/>
        </w:rPr>
        <w:t>Specticle</w:t>
      </w:r>
      <w:proofErr w:type="spellEnd"/>
      <w:r w:rsidRPr="0064799F">
        <w:rPr>
          <w:rFonts w:cs="Times New Roman"/>
          <w:color w:val="000000" w:themeColor="text1"/>
        </w:rPr>
        <w:t xml:space="preserve"> Flo.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 at 45 g ha</w:t>
      </w:r>
      <w:r w:rsidRPr="0064799F">
        <w:rPr>
          <w:rFonts w:cs="Times New Roman"/>
          <w:color w:val="000000" w:themeColor="text1"/>
          <w:vertAlign w:val="superscript"/>
        </w:rPr>
        <w:t>-1</w:t>
      </w:r>
      <w:r w:rsidRPr="0064799F">
        <w:rPr>
          <w:rFonts w:cs="Times New Roman"/>
          <w:color w:val="000000" w:themeColor="text1"/>
        </w:rPr>
        <w:t>. Early-postemergence treatments included tetflupyrolimet (400 g ha</w:t>
      </w:r>
      <w:r w:rsidRPr="0064799F">
        <w:rPr>
          <w:rFonts w:cs="Times New Roman"/>
          <w:color w:val="000000" w:themeColor="text1"/>
          <w:vertAlign w:val="superscript"/>
        </w:rPr>
        <w:t>-1</w:t>
      </w:r>
      <w:r w:rsidRPr="0064799F">
        <w:rPr>
          <w:rFonts w:cs="Times New Roman"/>
          <w:color w:val="000000" w:themeColor="text1"/>
        </w:rPr>
        <w:t xml:space="preserve">), </w:t>
      </w:r>
      <w:proofErr w:type="spellStart"/>
      <w:r w:rsidRPr="0064799F">
        <w:rPr>
          <w:rFonts w:cs="Times New Roman"/>
          <w:color w:val="000000" w:themeColor="text1"/>
        </w:rPr>
        <w:t>pyroxasulfone</w:t>
      </w:r>
      <w:proofErr w:type="spellEnd"/>
      <w:r w:rsidRPr="0064799F">
        <w:rPr>
          <w:rFonts w:cs="Times New Roman"/>
          <w:color w:val="000000" w:themeColor="text1"/>
        </w:rPr>
        <w:t xml:space="preserve"> (128 g ha</w:t>
      </w:r>
      <w:r w:rsidRPr="0064799F">
        <w:rPr>
          <w:rFonts w:cs="Times New Roman"/>
          <w:color w:val="000000" w:themeColor="text1"/>
          <w:vertAlign w:val="superscript"/>
        </w:rPr>
        <w:t>-1</w:t>
      </w:r>
      <w:r w:rsidRPr="0064799F">
        <w:rPr>
          <w:rFonts w:cs="Times New Roman"/>
          <w:color w:val="000000" w:themeColor="text1"/>
        </w:rPr>
        <w:t xml:space="preserve">), </w:t>
      </w:r>
      <w:proofErr w:type="spellStart"/>
      <w:r w:rsidRPr="0064799F">
        <w:rPr>
          <w:rFonts w:cs="Times New Roman"/>
          <w:color w:val="000000" w:themeColor="text1"/>
        </w:rPr>
        <w:t>tetflupyrolimet</w:t>
      </w:r>
      <w:proofErr w:type="spellEnd"/>
      <w:r w:rsidRPr="0064799F">
        <w:rPr>
          <w:rFonts w:cs="Times New Roman"/>
          <w:color w:val="000000" w:themeColor="text1"/>
        </w:rPr>
        <w:t xml:space="preserve"> + </w:t>
      </w:r>
      <w:proofErr w:type="spellStart"/>
      <w:r w:rsidRPr="0064799F">
        <w:rPr>
          <w:rFonts w:cs="Times New Roman"/>
          <w:color w:val="000000" w:themeColor="text1"/>
        </w:rPr>
        <w:t>pyroxasulfone</w:t>
      </w:r>
      <w:proofErr w:type="spellEnd"/>
      <w:r w:rsidRPr="0064799F">
        <w:rPr>
          <w:rFonts w:cs="Times New Roman"/>
          <w:color w:val="000000" w:themeColor="text1"/>
        </w:rPr>
        <w:t xml:space="preserve"> (400 g ha</w:t>
      </w:r>
      <w:r w:rsidRPr="0064799F">
        <w:rPr>
          <w:rFonts w:cs="Times New Roman"/>
          <w:color w:val="000000" w:themeColor="text1"/>
          <w:vertAlign w:val="superscript"/>
        </w:rPr>
        <w:t>-1</w:t>
      </w:r>
      <w:r w:rsidRPr="0064799F">
        <w:rPr>
          <w:rFonts w:cs="Times New Roman"/>
          <w:color w:val="000000" w:themeColor="text1"/>
        </w:rPr>
        <w:t xml:space="preserve"> + 128 g ha</w:t>
      </w:r>
      <w:r w:rsidRPr="0064799F">
        <w:rPr>
          <w:rFonts w:cs="Times New Roman"/>
          <w:color w:val="000000" w:themeColor="text1"/>
          <w:vertAlign w:val="superscript"/>
        </w:rPr>
        <w:t>-1</w:t>
      </w:r>
      <w:r w:rsidRPr="0064799F">
        <w:rPr>
          <w:rFonts w:cs="Times New Roman"/>
          <w:color w:val="000000" w:themeColor="text1"/>
        </w:rPr>
        <w:t>), and indaziflam + simazine (</w:t>
      </w:r>
      <w:proofErr w:type="spellStart"/>
      <w:r w:rsidRPr="0064799F">
        <w:rPr>
          <w:rFonts w:cs="Times New Roman"/>
          <w:color w:val="000000" w:themeColor="text1"/>
        </w:rPr>
        <w:t>Princep</w:t>
      </w:r>
      <w:proofErr w:type="spellEnd"/>
      <w:r w:rsidRPr="0064799F">
        <w:rPr>
          <w:rFonts w:cs="Times New Roman"/>
          <w:color w:val="000000" w:themeColor="text1"/>
        </w:rPr>
        <w:t xml:space="preserve"> 4FL. Syngenta Crop Protection. Greensboro, NC) + a commercially formulated mixture of </w:t>
      </w:r>
      <w:proofErr w:type="spellStart"/>
      <w:r w:rsidRPr="0064799F">
        <w:rPr>
          <w:rFonts w:cs="Times New Roman"/>
          <w:color w:val="000000" w:themeColor="text1"/>
        </w:rPr>
        <w:t>thiencarbazone</w:t>
      </w:r>
      <w:proofErr w:type="spellEnd"/>
      <w:r w:rsidRPr="0064799F">
        <w:rPr>
          <w:rFonts w:cs="Times New Roman"/>
          <w:color w:val="000000" w:themeColor="text1"/>
        </w:rPr>
        <w:t xml:space="preserve">-methyl + </w:t>
      </w:r>
      <w:proofErr w:type="spellStart"/>
      <w:r w:rsidRPr="0064799F">
        <w:rPr>
          <w:rFonts w:cs="Times New Roman"/>
          <w:color w:val="000000" w:themeColor="text1"/>
        </w:rPr>
        <w:t>foramsulfuron</w:t>
      </w:r>
      <w:proofErr w:type="spellEnd"/>
      <w:r w:rsidRPr="0064799F">
        <w:rPr>
          <w:rFonts w:cs="Times New Roman"/>
          <w:color w:val="000000" w:themeColor="text1"/>
        </w:rPr>
        <w:t xml:space="preserve"> + </w:t>
      </w:r>
      <w:proofErr w:type="spellStart"/>
      <w:r w:rsidRPr="0064799F">
        <w:rPr>
          <w:rFonts w:cs="Times New Roman"/>
          <w:color w:val="000000" w:themeColor="text1"/>
        </w:rPr>
        <w:t>halosulfuron</w:t>
      </w:r>
      <w:proofErr w:type="spellEnd"/>
      <w:r w:rsidRPr="0064799F">
        <w:rPr>
          <w:rFonts w:cs="Times New Roman"/>
          <w:color w:val="000000" w:themeColor="text1"/>
        </w:rPr>
        <w:t xml:space="preserve"> (Tribute</w:t>
      </w:r>
      <w:r w:rsidRPr="0064799F">
        <w:rPr>
          <w:rFonts w:cs="Times New Roman"/>
          <w:color w:val="000000" w:themeColor="text1"/>
          <w:vertAlign w:val="superscript"/>
        </w:rPr>
        <w:t>®</w:t>
      </w:r>
      <w:r w:rsidRPr="0064799F">
        <w:rPr>
          <w:rFonts w:cs="Times New Roman"/>
          <w:color w:val="000000" w:themeColor="text1"/>
        </w:rPr>
        <w:t xml:space="preserve"> Total.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 Simazine and this commercially formulated mixture were combined with indaziflam (32.5 g ha</w:t>
      </w:r>
      <w:r w:rsidRPr="0064799F">
        <w:rPr>
          <w:rFonts w:cs="Times New Roman"/>
          <w:color w:val="000000" w:themeColor="text1"/>
          <w:vertAlign w:val="superscript"/>
        </w:rPr>
        <w:t>-1</w:t>
      </w:r>
      <w:r w:rsidRPr="0064799F">
        <w:rPr>
          <w:rFonts w:cs="Times New Roman"/>
          <w:color w:val="000000" w:themeColor="text1"/>
        </w:rPr>
        <w:t>) at rates of 26.2 and 27.3 g ha</w:t>
      </w:r>
      <w:r w:rsidRPr="0064799F">
        <w:rPr>
          <w:rFonts w:cs="Times New Roman"/>
          <w:color w:val="000000" w:themeColor="text1"/>
          <w:vertAlign w:val="superscript"/>
        </w:rPr>
        <w:t>-1</w:t>
      </w:r>
      <w:r w:rsidRPr="0064799F">
        <w:rPr>
          <w:rFonts w:cs="Times New Roman"/>
          <w:color w:val="000000" w:themeColor="text1"/>
        </w:rPr>
        <w:t>, respectively. All EPOST herbicide applications were mixed with</w:t>
      </w:r>
      <w:r>
        <w:rPr>
          <w:rFonts w:cs="Times New Roman"/>
          <w:color w:val="000000" w:themeColor="text1"/>
        </w:rPr>
        <w:t xml:space="preserve"> a</w:t>
      </w:r>
      <w:r w:rsidRPr="0064799F">
        <w:rPr>
          <w:rFonts w:cs="Times New Roman"/>
          <w:color w:val="000000" w:themeColor="text1"/>
        </w:rPr>
        <w:t xml:space="preserve"> non-ionic surfactant (Induce. Helena Agri-Enterprises. Memphis, TN) at 0.25%.   </w:t>
      </w:r>
    </w:p>
    <w:p w14:paraId="2D6AC07D" w14:textId="7BA2A07E" w:rsidR="00965EA3" w:rsidRPr="000C799B" w:rsidRDefault="003043B4" w:rsidP="000C799B">
      <w:pPr>
        <w:spacing w:line="360" w:lineRule="auto"/>
        <w:contextualSpacing/>
        <w:rPr>
          <w:rFonts w:cs="Times New Roman"/>
          <w:color w:val="000000" w:themeColor="text1"/>
        </w:rPr>
      </w:pPr>
      <w:r w:rsidRPr="0064799F">
        <w:rPr>
          <w:rFonts w:cs="Times New Roman"/>
          <w:color w:val="000000" w:themeColor="text1"/>
        </w:rPr>
        <w:tab/>
        <w:t xml:space="preserve">Hybrid bermudagrass injury data were evaluated using a 0 (i.e., no control) to 100 (i.e., complete kill) percent scale relative to non-treated check plots in each replication. </w:t>
      </w:r>
      <w:r w:rsidRPr="0064799F">
        <w:rPr>
          <w:rFonts w:cs="Times New Roman"/>
          <w:i/>
          <w:iCs/>
          <w:color w:val="000000" w:themeColor="text1"/>
        </w:rPr>
        <w:t>Poa annua</w:t>
      </w:r>
      <w:r w:rsidRPr="0064799F">
        <w:rPr>
          <w:rFonts w:cs="Times New Roman"/>
          <w:color w:val="000000" w:themeColor="text1"/>
        </w:rPr>
        <w:t xml:space="preserve"> control data were collected using a similar percentage-based scale at 11, 19, 23, and 27 weeks after initial treatment (WAIT) each year. Similar to turfgrass tolerance trials, a combined ANOVA using expected mean squares of McIntosh (1983) was conducted in R to determine if years could be combined. No significant year-by-treatment interactions were detected; therefore, the combined data set was subjected to ANOVA with means separated using the </w:t>
      </w:r>
      <w:proofErr w:type="spellStart"/>
      <w:r w:rsidRPr="0064799F">
        <w:rPr>
          <w:rFonts w:cs="Times New Roman"/>
          <w:color w:val="000000" w:themeColor="text1"/>
        </w:rPr>
        <w:t>LSD.test</w:t>
      </w:r>
      <w:proofErr w:type="spellEnd"/>
      <w:r w:rsidRPr="0064799F">
        <w:rPr>
          <w:rFonts w:cs="Times New Roman"/>
          <w:color w:val="000000" w:themeColor="text1"/>
        </w:rPr>
        <w:t xml:space="preserve"> function found within the ‘</w:t>
      </w:r>
      <w:proofErr w:type="spellStart"/>
      <w:r w:rsidRPr="0064799F">
        <w:rPr>
          <w:rFonts w:cs="Times New Roman"/>
          <w:color w:val="000000" w:themeColor="text1"/>
        </w:rPr>
        <w:t>agricolae</w:t>
      </w:r>
      <w:proofErr w:type="spellEnd"/>
      <w:r w:rsidRPr="0064799F">
        <w:rPr>
          <w:rFonts w:cs="Times New Roman"/>
          <w:color w:val="000000" w:themeColor="text1"/>
        </w:rPr>
        <w:t>’ package (</w:t>
      </w:r>
      <w:proofErr w:type="spellStart"/>
      <w:r w:rsidRPr="0064799F">
        <w:rPr>
          <w:rFonts w:cs="Times New Roman"/>
        </w:rPr>
        <w:t>Mendiburu</w:t>
      </w:r>
      <w:proofErr w:type="spellEnd"/>
      <w:r w:rsidRPr="0064799F">
        <w:rPr>
          <w:rFonts w:cs="Times New Roman"/>
        </w:rPr>
        <w:t xml:space="preserve"> &amp; Simon, 2015</w:t>
      </w:r>
      <w:r w:rsidRPr="0064799F">
        <w:rPr>
          <w:rFonts w:cs="Times New Roman"/>
          <w:color w:val="000000" w:themeColor="text1"/>
        </w:rPr>
        <w:t>)</w:t>
      </w:r>
      <w:r>
        <w:rPr>
          <w:rFonts w:cs="Times New Roman"/>
          <w:color w:val="000000" w:themeColor="text1"/>
        </w:rPr>
        <w:t>.</w:t>
      </w:r>
      <w:bookmarkStart w:id="34" w:name="_Toc192766945"/>
      <w:bookmarkStart w:id="35" w:name="_Toc192781544"/>
    </w:p>
    <w:p w14:paraId="2448AC8E" w14:textId="2D04D4F7" w:rsidR="00CE768B" w:rsidRPr="00016BC5" w:rsidRDefault="003043B4" w:rsidP="00965EA3">
      <w:pPr>
        <w:pStyle w:val="Heading3"/>
        <w:spacing w:before="0" w:after="0" w:line="360" w:lineRule="auto"/>
        <w:rPr>
          <w:rFonts w:cs="Times New Roman"/>
        </w:rPr>
      </w:pPr>
      <w:r>
        <w:rPr>
          <w:rFonts w:cs="Times New Roman"/>
          <w:szCs w:val="24"/>
        </w:rPr>
        <w:lastRenderedPageBreak/>
        <w:t>Controlling Smooth Crabgrass</w:t>
      </w:r>
      <w:bookmarkEnd w:id="33"/>
      <w:bookmarkEnd w:id="34"/>
      <w:bookmarkEnd w:id="35"/>
    </w:p>
    <w:p w14:paraId="38C5ACE8" w14:textId="4F6DC82E" w:rsidR="003043B4" w:rsidRPr="003043B4" w:rsidRDefault="003043B4" w:rsidP="00965EA3">
      <w:pPr>
        <w:spacing w:line="360" w:lineRule="auto"/>
        <w:ind w:firstLine="720"/>
        <w:contextualSpacing/>
        <w:rPr>
          <w:rFonts w:cs="Times New Roman"/>
          <w:color w:val="000000" w:themeColor="text1"/>
        </w:rPr>
      </w:pPr>
      <w:r w:rsidRPr="003043B4">
        <w:rPr>
          <w:rFonts w:cs="Times New Roman"/>
          <w:color w:val="000000" w:themeColor="text1"/>
        </w:rPr>
        <w:t>Field experiments were conducted on a bermudagrass [</w:t>
      </w:r>
      <w:r w:rsidRPr="003043B4">
        <w:rPr>
          <w:rFonts w:cs="Times New Roman"/>
          <w:i/>
          <w:iCs/>
          <w:color w:val="000000" w:themeColor="text1"/>
        </w:rPr>
        <w:t>Cynodon dactylon</w:t>
      </w:r>
      <w:r w:rsidRPr="003043B4">
        <w:rPr>
          <w:rFonts w:cs="Times New Roman"/>
          <w:color w:val="000000" w:themeColor="text1"/>
        </w:rPr>
        <w:t xml:space="preserve"> (L.) Pers., cv. ’Yukon’] stand, maintained as a golf course fairway at East Tennessee </w:t>
      </w:r>
      <w:proofErr w:type="spellStart"/>
      <w:r w:rsidRPr="003043B4">
        <w:rPr>
          <w:rFonts w:cs="Times New Roman"/>
          <w:color w:val="000000" w:themeColor="text1"/>
        </w:rPr>
        <w:t>AgResearch</w:t>
      </w:r>
      <w:proofErr w:type="spellEnd"/>
      <w:r w:rsidRPr="003043B4">
        <w:rPr>
          <w:rFonts w:cs="Times New Roman"/>
          <w:color w:val="000000" w:themeColor="text1"/>
        </w:rPr>
        <w:t xml:space="preserve"> and Education Center – Plant Sciences Unit (Knoxville, TN) during 2021 and 2022 that was naturally infested with smooth crabgrass [</w:t>
      </w:r>
      <w:proofErr w:type="spellStart"/>
      <w:r w:rsidRPr="003043B4">
        <w:rPr>
          <w:rFonts w:cs="Times New Roman"/>
          <w:i/>
          <w:iCs/>
          <w:color w:val="000000" w:themeColor="text1"/>
        </w:rPr>
        <w:t>Digitaria</w:t>
      </w:r>
      <w:proofErr w:type="spellEnd"/>
      <w:r w:rsidRPr="003043B4">
        <w:rPr>
          <w:rFonts w:cs="Times New Roman"/>
          <w:i/>
          <w:iCs/>
          <w:color w:val="000000" w:themeColor="text1"/>
        </w:rPr>
        <w:t xml:space="preserve"> </w:t>
      </w:r>
      <w:proofErr w:type="spellStart"/>
      <w:r w:rsidRPr="003043B4">
        <w:rPr>
          <w:rFonts w:cs="Times New Roman"/>
          <w:i/>
          <w:iCs/>
          <w:color w:val="000000" w:themeColor="text1"/>
        </w:rPr>
        <w:t>ischaemum</w:t>
      </w:r>
      <w:proofErr w:type="spellEnd"/>
      <w:r w:rsidRPr="003043B4">
        <w:rPr>
          <w:rFonts w:cs="Times New Roman"/>
          <w:color w:val="000000" w:themeColor="text1"/>
        </w:rPr>
        <w:t xml:space="preserve"> (</w:t>
      </w:r>
      <w:proofErr w:type="spellStart"/>
      <w:r w:rsidRPr="003043B4">
        <w:rPr>
          <w:rFonts w:cs="Times New Roman"/>
          <w:color w:val="000000" w:themeColor="text1"/>
        </w:rPr>
        <w:t>Schreb</w:t>
      </w:r>
      <w:proofErr w:type="spellEnd"/>
      <w:r w:rsidRPr="003043B4">
        <w:rPr>
          <w:rFonts w:cs="Times New Roman"/>
          <w:color w:val="000000" w:themeColor="text1"/>
        </w:rPr>
        <w:t xml:space="preserve">.) </w:t>
      </w:r>
      <w:proofErr w:type="spellStart"/>
      <w:r w:rsidRPr="003043B4">
        <w:rPr>
          <w:rFonts w:cs="Times New Roman"/>
          <w:color w:val="000000" w:themeColor="text1"/>
        </w:rPr>
        <w:t>Schreb</w:t>
      </w:r>
      <w:proofErr w:type="spellEnd"/>
      <w:r w:rsidRPr="003043B4">
        <w:rPr>
          <w:rFonts w:cs="Times New Roman"/>
          <w:color w:val="000000" w:themeColor="text1"/>
        </w:rPr>
        <w:t xml:space="preserve">. </w:t>
      </w:r>
      <w:proofErr w:type="spellStart"/>
      <w:r w:rsidRPr="003043B4">
        <w:rPr>
          <w:rFonts w:cs="Times New Roman"/>
          <w:color w:val="000000" w:themeColor="text1"/>
        </w:rPr>
        <w:t>ex Muhl</w:t>
      </w:r>
      <w:proofErr w:type="spellEnd"/>
      <w:r w:rsidRPr="003043B4">
        <w:rPr>
          <w:rFonts w:cs="Times New Roman"/>
          <w:color w:val="000000" w:themeColor="text1"/>
        </w:rPr>
        <w:t>.]. Bermudagrass at this location was maintained at 1.3 cm throughout active growth periods. Soil at this location was a Sequatchie loam (fine-loamy, siliceous, semiactive, thermic Humic Hapludults) with a pH of 5.7 (</w:t>
      </w:r>
      <w:r w:rsidRPr="009B11CE">
        <w:rPr>
          <w:rFonts w:cs="Times New Roman"/>
          <w:b/>
          <w:bCs/>
          <w:color w:val="000000" w:themeColor="text1"/>
        </w:rPr>
        <w:t xml:space="preserve">Table </w:t>
      </w:r>
      <w:r w:rsidR="002C2627" w:rsidRPr="009B11CE">
        <w:rPr>
          <w:rFonts w:cs="Times New Roman"/>
          <w:b/>
          <w:bCs/>
          <w:color w:val="000000" w:themeColor="text1"/>
        </w:rPr>
        <w:t>1.</w:t>
      </w:r>
      <w:r w:rsidRPr="009B11CE">
        <w:rPr>
          <w:rFonts w:cs="Times New Roman"/>
          <w:b/>
          <w:bCs/>
          <w:color w:val="000000" w:themeColor="text1"/>
        </w:rPr>
        <w:t>2</w:t>
      </w:r>
      <w:r w:rsidRPr="003043B4">
        <w:rPr>
          <w:rFonts w:cs="Times New Roman"/>
          <w:color w:val="000000" w:themeColor="text1"/>
        </w:rPr>
        <w:t>). Plots (1.5 by 1.5 m) were arranged in a randomized complete block design with four replications. Slow-release nitrogen (GAL-</w:t>
      </w:r>
      <w:proofErr w:type="spellStart"/>
      <w:r w:rsidRPr="003043B4">
        <w:rPr>
          <w:rFonts w:cs="Times New Roman"/>
          <w:color w:val="000000" w:themeColor="text1"/>
        </w:rPr>
        <w:t>Xe</w:t>
      </w:r>
      <w:r w:rsidRPr="003043B4">
        <w:rPr>
          <w:rFonts w:cs="Times New Roman"/>
          <w:color w:val="000000" w:themeColor="text1"/>
          <w:vertAlign w:val="superscript"/>
        </w:rPr>
        <w:t>ONE</w:t>
      </w:r>
      <w:proofErr w:type="spellEnd"/>
      <w:r w:rsidRPr="003043B4">
        <w:rPr>
          <w:rFonts w:cs="Times New Roman"/>
          <w:color w:val="000000" w:themeColor="text1"/>
          <w:vertAlign w:val="superscript"/>
        </w:rPr>
        <w:t>®</w:t>
      </w:r>
      <w:r w:rsidRPr="003043B4">
        <w:rPr>
          <w:rFonts w:cs="Times New Roman"/>
          <w:color w:val="000000" w:themeColor="text1"/>
        </w:rPr>
        <w:t xml:space="preserve"> Polymer</w:t>
      </w:r>
      <w:r w:rsidRPr="003043B4">
        <w:rPr>
          <w:rFonts w:cs="Times New Roman"/>
        </w:rPr>
        <w:t xml:space="preserve"> Coated Controlled Release Fertilizer. J.R. Simplot Company. Boise, ID</w:t>
      </w:r>
      <w:r w:rsidRPr="003043B4">
        <w:rPr>
          <w:rFonts w:cs="Times New Roman"/>
          <w:color w:val="000000" w:themeColor="text1"/>
        </w:rPr>
        <w:t>) was applied at 73 kg N ha</w:t>
      </w:r>
      <w:r w:rsidRPr="003043B4">
        <w:rPr>
          <w:rFonts w:cs="Times New Roman"/>
          <w:color w:val="000000" w:themeColor="text1"/>
          <w:vertAlign w:val="superscript"/>
        </w:rPr>
        <w:t>-1</w:t>
      </w:r>
      <w:r w:rsidRPr="003043B4">
        <w:rPr>
          <w:rFonts w:cs="Times New Roman"/>
          <w:color w:val="000000" w:themeColor="text1"/>
        </w:rPr>
        <w:t xml:space="preserve"> in April 2021 and 2022.</w:t>
      </w:r>
    </w:p>
    <w:p w14:paraId="12871D1F" w14:textId="77777777" w:rsidR="003043B4" w:rsidRPr="003043B4" w:rsidRDefault="003043B4" w:rsidP="00965EA3">
      <w:pPr>
        <w:spacing w:line="360" w:lineRule="auto"/>
        <w:ind w:firstLine="720"/>
        <w:contextualSpacing/>
        <w:rPr>
          <w:rFonts w:cs="Times New Roman"/>
          <w:color w:val="000000" w:themeColor="text1"/>
        </w:rPr>
      </w:pPr>
      <w:r w:rsidRPr="003043B4">
        <w:rPr>
          <w:rFonts w:cs="Times New Roman"/>
          <w:color w:val="000000" w:themeColor="text1"/>
        </w:rPr>
        <w:t xml:space="preserve"> Herbicides were applied PRE on 11 March 2021 and 11 March 2022 with a CO</w:t>
      </w:r>
      <w:r w:rsidRPr="003043B4">
        <w:rPr>
          <w:rFonts w:cs="Times New Roman"/>
          <w:color w:val="000000" w:themeColor="text1"/>
          <w:vertAlign w:val="subscript"/>
        </w:rPr>
        <w:t>2</w:t>
      </w:r>
      <w:r w:rsidRPr="003043B4">
        <w:rPr>
          <w:rFonts w:cs="Times New Roman"/>
          <w:color w:val="000000" w:themeColor="text1"/>
        </w:rPr>
        <w:t>-pressurized sprayer at 374 L ha</w:t>
      </w:r>
      <w:r w:rsidRPr="003043B4">
        <w:rPr>
          <w:rFonts w:cs="Times New Roman"/>
          <w:color w:val="000000" w:themeColor="text1"/>
          <w:vertAlign w:val="superscript"/>
        </w:rPr>
        <w:t>-1</w:t>
      </w:r>
      <w:r w:rsidRPr="003043B4">
        <w:rPr>
          <w:rFonts w:cs="Times New Roman"/>
          <w:color w:val="000000" w:themeColor="text1"/>
        </w:rPr>
        <w:t xml:space="preserve"> via flat-fan nozzle tips (XR8002. </w:t>
      </w:r>
      <w:proofErr w:type="spellStart"/>
      <w:r w:rsidRPr="003043B4">
        <w:rPr>
          <w:rFonts w:cs="Times New Roman"/>
          <w:color w:val="000000" w:themeColor="text1"/>
        </w:rPr>
        <w:t>TeeJet</w:t>
      </w:r>
      <w:proofErr w:type="spellEnd"/>
      <w:r w:rsidRPr="003043B4">
        <w:rPr>
          <w:rFonts w:cs="Times New Roman"/>
          <w:color w:val="000000" w:themeColor="text1"/>
        </w:rPr>
        <w:t xml:space="preserve"> Technologies, Wheaton, IL). Seven-day average soil temperatures (5 cm depth) on the date of study initiation each year, were 14˚C and 14.3˚C, respectively. Treatments included tetflupyrolimet at 250, 300, and 400 g ha</w:t>
      </w:r>
      <w:r w:rsidRPr="003043B4">
        <w:rPr>
          <w:rFonts w:cs="Times New Roman"/>
          <w:color w:val="000000" w:themeColor="text1"/>
          <w:vertAlign w:val="superscript"/>
        </w:rPr>
        <w:t>-1</w:t>
      </w:r>
      <w:r w:rsidRPr="003043B4">
        <w:rPr>
          <w:rFonts w:cs="Times New Roman"/>
          <w:color w:val="000000" w:themeColor="text1"/>
        </w:rPr>
        <w:t>, prodiamine (Barricade</w:t>
      </w:r>
      <w:r w:rsidRPr="003043B4">
        <w:rPr>
          <w:rFonts w:cs="Times New Roman"/>
          <w:color w:val="000000" w:themeColor="text1"/>
          <w:vertAlign w:val="superscript"/>
        </w:rPr>
        <w:t>®</w:t>
      </w:r>
      <w:r w:rsidRPr="003043B4">
        <w:rPr>
          <w:rFonts w:cs="Times New Roman"/>
          <w:color w:val="000000" w:themeColor="text1"/>
        </w:rPr>
        <w:t xml:space="preserve"> 4FL. Syngenta Crop Protection. Greensboro, NC) at 840 g ha</w:t>
      </w:r>
      <w:r w:rsidRPr="003043B4">
        <w:rPr>
          <w:rFonts w:cs="Times New Roman"/>
          <w:color w:val="000000" w:themeColor="text1"/>
          <w:vertAlign w:val="superscript"/>
        </w:rPr>
        <w:t>-1</w:t>
      </w:r>
      <w:r w:rsidRPr="003043B4">
        <w:rPr>
          <w:rFonts w:cs="Times New Roman"/>
          <w:color w:val="000000" w:themeColor="text1"/>
        </w:rPr>
        <w:t>, and indaziflam (45 g ha</w:t>
      </w:r>
      <w:r w:rsidRPr="003043B4">
        <w:rPr>
          <w:rFonts w:cs="Times New Roman"/>
          <w:color w:val="000000" w:themeColor="text1"/>
          <w:vertAlign w:val="superscript"/>
        </w:rPr>
        <w:t>-1</w:t>
      </w:r>
      <w:r w:rsidRPr="003043B4">
        <w:rPr>
          <w:rFonts w:cs="Times New Roman"/>
          <w:color w:val="000000" w:themeColor="text1"/>
        </w:rPr>
        <w:t>). Within 24 hours of application, ≥ 0.6 cm of precipitation fell each year and 0.5 cm of irrigation was also applied via an in-ground irrigation system at this location. In 2021 and 2022, total precipitation during the data collection period was 45.8 cm and 54.8 cm, respectively.</w:t>
      </w:r>
    </w:p>
    <w:p w14:paraId="4A76C663" w14:textId="47171CEC" w:rsidR="00861E1B" w:rsidRPr="000C799B" w:rsidRDefault="003043B4" w:rsidP="000C799B">
      <w:pPr>
        <w:spacing w:line="360" w:lineRule="auto"/>
        <w:ind w:firstLine="720"/>
      </w:pPr>
      <w:bookmarkStart w:id="36" w:name="_Toc192766946"/>
      <w:r w:rsidRPr="003043B4">
        <w:t xml:space="preserve">Smooth crabgrass control was evaluated using a 0 (i.e., no control) to 100% (i.e., complete plant death) scale with a non-treated check plot in each replication through 145 DAT. A combined ANOVA using expected mean squares of McIntosh (1983) was conducted in R to determine if years could be combined. A significant year-by-treatment interaction was detected; therefore, data from each year were subjected to ANOVA with means separated using the </w:t>
      </w:r>
      <w:proofErr w:type="spellStart"/>
      <w:r w:rsidRPr="003043B4">
        <w:t>LSD.test</w:t>
      </w:r>
      <w:proofErr w:type="spellEnd"/>
      <w:r w:rsidRPr="003043B4">
        <w:t xml:space="preserve"> function found within the ‘</w:t>
      </w:r>
      <w:proofErr w:type="spellStart"/>
      <w:r w:rsidRPr="003043B4">
        <w:t>agricolae</w:t>
      </w:r>
      <w:proofErr w:type="spellEnd"/>
      <w:r w:rsidRPr="003043B4">
        <w:t>’ package (</w:t>
      </w:r>
      <w:proofErr w:type="spellStart"/>
      <w:r w:rsidRPr="003043B4">
        <w:t>Mendiburu</w:t>
      </w:r>
      <w:proofErr w:type="spellEnd"/>
      <w:r w:rsidRPr="003043B4">
        <w:t xml:space="preserve"> &amp; Simon, 2015).</w:t>
      </w:r>
      <w:bookmarkStart w:id="37" w:name="_Results_and_Discussion"/>
      <w:bookmarkStart w:id="38" w:name="_Toc192781545"/>
      <w:bookmarkEnd w:id="36"/>
      <w:bookmarkEnd w:id="37"/>
    </w:p>
    <w:p w14:paraId="3C0E3D0D" w14:textId="330B1022" w:rsidR="00EC6AAB" w:rsidRDefault="008F4FDD" w:rsidP="00EC6AAB">
      <w:pPr>
        <w:spacing w:line="360" w:lineRule="auto"/>
        <w:jc w:val="center"/>
        <w:rPr>
          <w:b/>
          <w:bCs/>
        </w:rPr>
      </w:pPr>
      <w:r w:rsidRPr="00EC6AAB">
        <w:rPr>
          <w:b/>
          <w:bCs/>
        </w:rPr>
        <w:t>Results and Discussion</w:t>
      </w:r>
      <w:bookmarkStart w:id="39" w:name="_Toc192781546"/>
      <w:bookmarkEnd w:id="38"/>
    </w:p>
    <w:p w14:paraId="532BCA68" w14:textId="733A89F5" w:rsidR="008F4FDD" w:rsidRPr="00EC6AAB" w:rsidRDefault="008F4FDD" w:rsidP="00EC6AAB">
      <w:pPr>
        <w:spacing w:line="360" w:lineRule="auto"/>
        <w:rPr>
          <w:b/>
          <w:bCs/>
          <w:i/>
          <w:iCs/>
        </w:rPr>
      </w:pPr>
      <w:r w:rsidRPr="00EC6AAB">
        <w:rPr>
          <w:b/>
          <w:bCs/>
          <w:i/>
          <w:iCs/>
        </w:rPr>
        <w:t>Turfgrass Tolerance</w:t>
      </w:r>
      <w:bookmarkEnd w:id="39"/>
    </w:p>
    <w:p w14:paraId="44B374AF" w14:textId="77777777" w:rsidR="008F4FDD" w:rsidRPr="008F4FDD" w:rsidRDefault="008F4FDD" w:rsidP="00965EA3">
      <w:pPr>
        <w:spacing w:line="360" w:lineRule="auto"/>
        <w:rPr>
          <w:rFonts w:cs="Times New Roman"/>
          <w:bCs/>
        </w:rPr>
      </w:pPr>
      <w:r w:rsidRPr="008F4FDD">
        <w:rPr>
          <w:rFonts w:cs="Times New Roman"/>
          <w:bCs/>
        </w:rPr>
        <w:tab/>
        <w:t xml:space="preserve">For several of the tested turfgrass species, significant year-by-treatment interactions were detected in both fall and spring datasets; therefore, years were analyzed separately. However, no injury was detected on hybrid bermudagrass or </w:t>
      </w:r>
      <w:proofErr w:type="spellStart"/>
      <w:r w:rsidRPr="008F4FDD">
        <w:rPr>
          <w:rFonts w:cs="Times New Roman"/>
          <w:bCs/>
        </w:rPr>
        <w:t>manilagrass</w:t>
      </w:r>
      <w:proofErr w:type="spellEnd"/>
      <w:r w:rsidRPr="008F4FDD">
        <w:rPr>
          <w:rFonts w:cs="Times New Roman"/>
          <w:bCs/>
        </w:rPr>
        <w:t xml:space="preserve"> (regardless of mowing height) with </w:t>
      </w:r>
      <w:r w:rsidRPr="008F4FDD">
        <w:rPr>
          <w:rFonts w:cs="Times New Roman"/>
          <w:bCs/>
        </w:rPr>
        <w:lastRenderedPageBreak/>
        <w:t>fall or spring applications of tetflupyrolimet applications up to 4800 g ha</w:t>
      </w:r>
      <w:r w:rsidRPr="008F4FDD">
        <w:rPr>
          <w:rFonts w:cs="Times New Roman"/>
          <w:bCs/>
          <w:vertAlign w:val="superscript"/>
        </w:rPr>
        <w:t>-1</w:t>
      </w:r>
      <w:r w:rsidRPr="008F4FDD">
        <w:rPr>
          <w:rFonts w:cs="Times New Roman"/>
          <w:bCs/>
        </w:rPr>
        <w:t xml:space="preserve"> in either year (data not shown). </w:t>
      </w:r>
    </w:p>
    <w:p w14:paraId="339041AE" w14:textId="1615C83C" w:rsidR="008F4FDD" w:rsidRPr="008F4FDD" w:rsidRDefault="008F4FDD" w:rsidP="00965EA3">
      <w:pPr>
        <w:spacing w:line="360" w:lineRule="auto"/>
        <w:rPr>
          <w:rFonts w:cs="Times New Roman"/>
          <w:bCs/>
        </w:rPr>
      </w:pPr>
      <w:r w:rsidRPr="008F4FDD">
        <w:rPr>
          <w:rFonts w:cs="Times New Roman"/>
          <w:bCs/>
        </w:rPr>
        <w:tab/>
        <w:t xml:space="preserve">Differential responses to tetflupyrolimet applications in fall were detected among </w:t>
      </w:r>
      <w:proofErr w:type="gramStart"/>
      <w:r w:rsidRPr="008F4FDD">
        <w:rPr>
          <w:rFonts w:cs="Times New Roman"/>
          <w:bCs/>
        </w:rPr>
        <w:t>cool-season</w:t>
      </w:r>
      <w:proofErr w:type="gramEnd"/>
      <w:r w:rsidRPr="008F4FDD">
        <w:rPr>
          <w:rFonts w:cs="Times New Roman"/>
          <w:bCs/>
        </w:rPr>
        <w:t xml:space="preserve"> turfgrasses each year (</w:t>
      </w:r>
      <w:r w:rsidRPr="009B11CE">
        <w:rPr>
          <w:rFonts w:cs="Times New Roman"/>
          <w:b/>
        </w:rPr>
        <w:t xml:space="preserve">Table </w:t>
      </w:r>
      <w:r w:rsidR="002C2627" w:rsidRPr="009B11CE">
        <w:rPr>
          <w:rFonts w:cs="Times New Roman"/>
          <w:b/>
          <w:color w:val="000000" w:themeColor="text1"/>
        </w:rPr>
        <w:t>1.</w:t>
      </w:r>
      <w:r w:rsidRPr="009B11CE">
        <w:rPr>
          <w:rFonts w:cs="Times New Roman"/>
          <w:b/>
        </w:rPr>
        <w:t>3</w:t>
      </w:r>
      <w:r w:rsidRPr="008F4FDD">
        <w:rPr>
          <w:rFonts w:cs="Times New Roman"/>
          <w:bCs/>
        </w:rPr>
        <w:t xml:space="preserve">, </w:t>
      </w:r>
      <w:r w:rsidRPr="009B11CE">
        <w:rPr>
          <w:rFonts w:cs="Times New Roman"/>
          <w:b/>
        </w:rPr>
        <w:t xml:space="preserve">Figure </w:t>
      </w:r>
      <w:r w:rsidR="002C2627" w:rsidRPr="009B11CE">
        <w:rPr>
          <w:rFonts w:cs="Times New Roman"/>
          <w:b/>
          <w:color w:val="000000" w:themeColor="text1"/>
        </w:rPr>
        <w:t>1.</w:t>
      </w:r>
      <w:r w:rsidRPr="009B11CE">
        <w:rPr>
          <w:rFonts w:cs="Times New Roman"/>
          <w:b/>
        </w:rPr>
        <w:t>1</w:t>
      </w:r>
      <w:r w:rsidRPr="008F4FDD">
        <w:rPr>
          <w:rFonts w:cs="Times New Roman"/>
          <w:bCs/>
        </w:rPr>
        <w:t>). The dose of tetflupyrolimet to induce 25% injury to tall fescue (EC</w:t>
      </w:r>
      <w:r w:rsidRPr="008F4FDD">
        <w:rPr>
          <w:rFonts w:cs="Times New Roman"/>
          <w:bCs/>
          <w:vertAlign w:val="subscript"/>
        </w:rPr>
        <w:t>25</w:t>
      </w:r>
      <w:r w:rsidRPr="008F4FDD">
        <w:rPr>
          <w:rFonts w:cs="Times New Roman"/>
          <w:bCs/>
        </w:rPr>
        <w:t>) in fall was 956 g ha</w:t>
      </w:r>
      <w:r w:rsidRPr="008F4FDD">
        <w:rPr>
          <w:rFonts w:cs="Times New Roman"/>
          <w:bCs/>
          <w:vertAlign w:val="superscript"/>
        </w:rPr>
        <w:t>-1</w:t>
      </w:r>
      <w:r w:rsidRPr="008F4FDD">
        <w:rPr>
          <w:rFonts w:cs="Times New Roman"/>
          <w:bCs/>
        </w:rPr>
        <w:t xml:space="preserve"> in 2022 and 904 g ha</w:t>
      </w:r>
      <w:r w:rsidRPr="008F4FDD">
        <w:rPr>
          <w:rFonts w:cs="Times New Roman"/>
          <w:bCs/>
          <w:vertAlign w:val="superscript"/>
        </w:rPr>
        <w:t>-1</w:t>
      </w:r>
      <w:r w:rsidRPr="008F4FDD">
        <w:rPr>
          <w:rFonts w:cs="Times New Roman"/>
          <w:bCs/>
        </w:rPr>
        <w:t xml:space="preserve"> in 2023 at 95 DAT (</w:t>
      </w:r>
      <w:r w:rsidRPr="009B11CE">
        <w:rPr>
          <w:rFonts w:cs="Times New Roman"/>
          <w:b/>
        </w:rPr>
        <w:t xml:space="preserve">Table </w:t>
      </w:r>
      <w:r w:rsidR="002C2627" w:rsidRPr="009B11CE">
        <w:rPr>
          <w:rFonts w:cs="Times New Roman"/>
          <w:b/>
          <w:color w:val="000000" w:themeColor="text1"/>
        </w:rPr>
        <w:t>1.</w:t>
      </w:r>
      <w:r w:rsidRPr="009B11CE">
        <w:rPr>
          <w:rFonts w:cs="Times New Roman"/>
          <w:b/>
        </w:rPr>
        <w:t>3</w:t>
      </w:r>
      <w:r w:rsidRPr="008F4FDD">
        <w:rPr>
          <w:rFonts w:cs="Times New Roman"/>
          <w:bCs/>
        </w:rPr>
        <w:t>). EC</w:t>
      </w:r>
      <w:r w:rsidRPr="008F4FDD">
        <w:rPr>
          <w:rFonts w:cs="Times New Roman"/>
          <w:bCs/>
          <w:vertAlign w:val="subscript"/>
        </w:rPr>
        <w:t xml:space="preserve">25 </w:t>
      </w:r>
      <w:r w:rsidRPr="008F4FDD">
        <w:rPr>
          <w:rFonts w:cs="Times New Roman"/>
          <w:bCs/>
        </w:rPr>
        <w:t>values following tetflupyrolimet applications to Kentucky bluegrass and creeping bentgrass in fall varied among years. For example, EC</w:t>
      </w:r>
      <w:r w:rsidRPr="008F4FDD">
        <w:rPr>
          <w:rFonts w:cs="Times New Roman"/>
          <w:bCs/>
          <w:vertAlign w:val="subscript"/>
        </w:rPr>
        <w:t>25</w:t>
      </w:r>
      <w:r w:rsidRPr="008F4FDD">
        <w:rPr>
          <w:rFonts w:cs="Times New Roman"/>
          <w:bCs/>
        </w:rPr>
        <w:t xml:space="preserve"> values for Kentucky bluegrass were 704 g ha</w:t>
      </w:r>
      <w:r w:rsidRPr="008F4FDD">
        <w:rPr>
          <w:rFonts w:cs="Times New Roman"/>
          <w:bCs/>
          <w:vertAlign w:val="superscript"/>
        </w:rPr>
        <w:t>-1</w:t>
      </w:r>
      <w:r w:rsidRPr="008F4FDD">
        <w:rPr>
          <w:rFonts w:cs="Times New Roman"/>
          <w:bCs/>
        </w:rPr>
        <w:t xml:space="preserve"> in 2022 and 1407 g ha</w:t>
      </w:r>
      <w:r w:rsidRPr="008F4FDD">
        <w:rPr>
          <w:rFonts w:cs="Times New Roman"/>
          <w:bCs/>
          <w:vertAlign w:val="superscript"/>
        </w:rPr>
        <w:t>-1</w:t>
      </w:r>
      <w:r w:rsidRPr="008F4FDD">
        <w:rPr>
          <w:rFonts w:cs="Times New Roman"/>
          <w:bCs/>
        </w:rPr>
        <w:t xml:space="preserve"> in 2023. On creeping bentgrass, EC</w:t>
      </w:r>
      <w:r w:rsidRPr="008F4FDD">
        <w:rPr>
          <w:rFonts w:cs="Times New Roman"/>
          <w:bCs/>
          <w:vertAlign w:val="subscript"/>
        </w:rPr>
        <w:t>25</w:t>
      </w:r>
      <w:r w:rsidRPr="008F4FDD">
        <w:rPr>
          <w:rFonts w:cs="Times New Roman"/>
          <w:bCs/>
        </w:rPr>
        <w:t xml:space="preserve"> values were 806 g ha</w:t>
      </w:r>
      <w:r w:rsidRPr="008F4FDD">
        <w:rPr>
          <w:rFonts w:cs="Times New Roman"/>
          <w:bCs/>
          <w:vertAlign w:val="superscript"/>
        </w:rPr>
        <w:t xml:space="preserve">-1 </w:t>
      </w:r>
      <w:r w:rsidRPr="008F4FDD">
        <w:rPr>
          <w:rFonts w:cs="Times New Roman"/>
          <w:bCs/>
        </w:rPr>
        <w:t>in 2022 and 465 g ha</w:t>
      </w:r>
      <w:r w:rsidRPr="008F4FDD">
        <w:rPr>
          <w:rFonts w:cs="Times New Roman"/>
          <w:bCs/>
          <w:vertAlign w:val="superscript"/>
        </w:rPr>
        <w:t>-1</w:t>
      </w:r>
      <w:r w:rsidRPr="008F4FDD">
        <w:rPr>
          <w:rFonts w:cs="Times New Roman"/>
          <w:bCs/>
        </w:rPr>
        <w:t xml:space="preserve"> in 2023. Differences were also detected among </w:t>
      </w:r>
      <w:proofErr w:type="gramStart"/>
      <w:r w:rsidRPr="008F4FDD">
        <w:rPr>
          <w:rFonts w:cs="Times New Roman"/>
          <w:bCs/>
        </w:rPr>
        <w:t>cool-season</w:t>
      </w:r>
      <w:proofErr w:type="gramEnd"/>
      <w:r w:rsidRPr="008F4FDD">
        <w:rPr>
          <w:rFonts w:cs="Times New Roman"/>
          <w:bCs/>
        </w:rPr>
        <w:t xml:space="preserve"> turfgrasses in response to tetflupyrolimet applications in spring each year (</w:t>
      </w:r>
      <w:r w:rsidRPr="009B11CE">
        <w:rPr>
          <w:rFonts w:cs="Times New Roman"/>
          <w:b/>
        </w:rPr>
        <w:t xml:space="preserve">Table </w:t>
      </w:r>
      <w:r w:rsidR="002C2627" w:rsidRPr="009B11CE">
        <w:rPr>
          <w:rFonts w:cs="Times New Roman"/>
          <w:b/>
          <w:color w:val="000000" w:themeColor="text1"/>
        </w:rPr>
        <w:t>1.</w:t>
      </w:r>
      <w:r w:rsidRPr="009B11CE">
        <w:rPr>
          <w:rFonts w:cs="Times New Roman"/>
          <w:b/>
        </w:rPr>
        <w:t>3</w:t>
      </w:r>
      <w:r w:rsidRPr="008F4FDD">
        <w:rPr>
          <w:rFonts w:cs="Times New Roman"/>
          <w:bCs/>
        </w:rPr>
        <w:t xml:space="preserve">, </w:t>
      </w:r>
      <w:r w:rsidRPr="009B11CE">
        <w:rPr>
          <w:rFonts w:cs="Times New Roman"/>
          <w:b/>
        </w:rPr>
        <w:t xml:space="preserve">Figure </w:t>
      </w:r>
      <w:r w:rsidR="002C2627" w:rsidRPr="009B11CE">
        <w:rPr>
          <w:rFonts w:cs="Times New Roman"/>
          <w:b/>
          <w:color w:val="000000" w:themeColor="text1"/>
        </w:rPr>
        <w:t>1.</w:t>
      </w:r>
      <w:r w:rsidRPr="009B11CE">
        <w:rPr>
          <w:rFonts w:cs="Times New Roman"/>
          <w:b/>
        </w:rPr>
        <w:t>1</w:t>
      </w:r>
      <w:r w:rsidRPr="008F4FDD">
        <w:rPr>
          <w:rFonts w:cs="Times New Roman"/>
          <w:bCs/>
        </w:rPr>
        <w:t>). Using EC</w:t>
      </w:r>
      <w:r w:rsidRPr="008F4FDD">
        <w:rPr>
          <w:rFonts w:cs="Times New Roman"/>
          <w:bCs/>
          <w:vertAlign w:val="subscript"/>
        </w:rPr>
        <w:t>25</w:t>
      </w:r>
      <w:r w:rsidRPr="008F4FDD">
        <w:rPr>
          <w:rFonts w:cs="Times New Roman"/>
          <w:bCs/>
        </w:rPr>
        <w:t xml:space="preserve"> values, tolerance of cool-season turfgrass to tetflupyrolimet in spring 2023 was greatest for tall fescue, lowest for creeping bentgrass, with Kentucky bluegrass ranking intermediate. In 2024, Kentucky bluegrass exhibited the greatest tolerance to tetflupyrolimet of all cool-season turfgrass species treated in spring. </w:t>
      </w:r>
    </w:p>
    <w:p w14:paraId="38BDFC1F" w14:textId="7B899C32" w:rsidR="008F4FDD" w:rsidRPr="008F4FDD" w:rsidRDefault="008F4FDD" w:rsidP="00965EA3">
      <w:pPr>
        <w:spacing w:line="360" w:lineRule="auto"/>
        <w:ind w:firstLine="720"/>
        <w:rPr>
          <w:rFonts w:cs="Times New Roman"/>
          <w:bCs/>
        </w:rPr>
      </w:pPr>
      <w:r w:rsidRPr="008F4FDD">
        <w:rPr>
          <w:rFonts w:cs="Times New Roman"/>
          <w:bCs/>
        </w:rPr>
        <w:t xml:space="preserve">Differential tolerance among cool-season turfgrass species has been reported and attributed to biokinetics (Yu et al. 2013; McCullough et al. 2009). For example, amicarbazone absorption and translocation are greater in </w:t>
      </w:r>
      <w:r w:rsidRPr="008F4FDD">
        <w:rPr>
          <w:rFonts w:cs="Times New Roman"/>
          <w:bCs/>
          <w:i/>
          <w:iCs/>
        </w:rPr>
        <w:t>Poa annua</w:t>
      </w:r>
      <w:r w:rsidRPr="008F4FDD">
        <w:rPr>
          <w:rFonts w:cs="Times New Roman"/>
          <w:bCs/>
        </w:rPr>
        <w:t xml:space="preserve"> than in creeping bentgrass or tall fescue; metabolism is also decreased in </w:t>
      </w:r>
      <w:r w:rsidRPr="008F4FDD">
        <w:rPr>
          <w:rFonts w:cs="Times New Roman"/>
          <w:bCs/>
          <w:i/>
          <w:iCs/>
        </w:rPr>
        <w:t>Poa annua</w:t>
      </w:r>
      <w:r w:rsidRPr="008F4FDD">
        <w:rPr>
          <w:rFonts w:cs="Times New Roman"/>
          <w:bCs/>
        </w:rPr>
        <w:t xml:space="preserve"> compared to those species as well (Yu et al. 2013). Differential metabolism of bispyribac-sodium contributes to its selectivity for </w:t>
      </w:r>
      <w:r w:rsidRPr="008F4FDD">
        <w:rPr>
          <w:rFonts w:cs="Times New Roman"/>
          <w:bCs/>
          <w:i/>
          <w:iCs/>
        </w:rPr>
        <w:t>Poa annua</w:t>
      </w:r>
      <w:r w:rsidRPr="008F4FDD">
        <w:rPr>
          <w:rFonts w:cs="Times New Roman"/>
          <w:bCs/>
        </w:rPr>
        <w:t xml:space="preserve"> control and tolerance among creeping bentgrass and perennial ryegrass (McCullough et al. 2009). In cereals, herbicide tolerance has also been associated with herbicide metabolism as well (Pester et al. 2000). It is possible that the biokinetics of tetflupyrolimet vary among tall fescue, Kentucky bluegrass, and creeping bentgrass. Further research with </w:t>
      </w:r>
      <w:r w:rsidRPr="008F4FDD">
        <w:rPr>
          <w:rFonts w:cs="Times New Roman"/>
          <w:bCs/>
          <w:vertAlign w:val="superscript"/>
        </w:rPr>
        <w:t>14</w:t>
      </w:r>
      <w:r w:rsidRPr="008F4FDD">
        <w:rPr>
          <w:rFonts w:cs="Times New Roman"/>
          <w:bCs/>
        </w:rPr>
        <w:t xml:space="preserve">C-tetflupyrolimet to better understand these relationships is warranted. </w:t>
      </w:r>
    </w:p>
    <w:p w14:paraId="2430D2A8" w14:textId="6594E9E1" w:rsidR="00EC6AAB" w:rsidRDefault="008F4FDD" w:rsidP="000C799B">
      <w:pPr>
        <w:spacing w:line="360" w:lineRule="auto"/>
        <w:ind w:firstLine="720"/>
        <w:rPr>
          <w:rFonts w:cs="Times New Roman"/>
          <w:bCs/>
        </w:rPr>
      </w:pPr>
      <w:r w:rsidRPr="008F4FDD">
        <w:rPr>
          <w:rFonts w:cs="Times New Roman"/>
          <w:bCs/>
        </w:rPr>
        <w:t xml:space="preserve">Interestingly, </w:t>
      </w:r>
      <w:proofErr w:type="gramStart"/>
      <w:r w:rsidRPr="008F4FDD">
        <w:rPr>
          <w:rFonts w:cs="Times New Roman"/>
          <w:bCs/>
        </w:rPr>
        <w:t>cool-season</w:t>
      </w:r>
      <w:proofErr w:type="gramEnd"/>
      <w:r w:rsidRPr="008F4FDD">
        <w:rPr>
          <w:rFonts w:cs="Times New Roman"/>
          <w:bCs/>
        </w:rPr>
        <w:t xml:space="preserve"> turfgrass tolerance to tetflupyrolimet was greater in spring than fall. Across all cool-season species, EC</w:t>
      </w:r>
      <w:r w:rsidRPr="008F4FDD">
        <w:rPr>
          <w:rFonts w:cs="Times New Roman"/>
          <w:bCs/>
          <w:vertAlign w:val="subscript"/>
        </w:rPr>
        <w:t xml:space="preserve">25 </w:t>
      </w:r>
      <w:r w:rsidRPr="008F4FDD">
        <w:rPr>
          <w:rFonts w:cs="Times New Roman"/>
          <w:bCs/>
        </w:rPr>
        <w:t>values following fall applications of tetflupyrolimet ranged from 465 to 1407 g ha</w:t>
      </w:r>
      <w:r w:rsidRPr="008F4FDD">
        <w:rPr>
          <w:rFonts w:cs="Times New Roman"/>
          <w:bCs/>
          <w:vertAlign w:val="superscript"/>
        </w:rPr>
        <w:t>-1</w:t>
      </w:r>
      <w:r w:rsidRPr="008F4FDD">
        <w:rPr>
          <w:rFonts w:cs="Times New Roman"/>
          <w:bCs/>
        </w:rPr>
        <w:t xml:space="preserve"> compared to 1415 to 6655 g ha</w:t>
      </w:r>
      <w:r w:rsidRPr="008F4FDD">
        <w:rPr>
          <w:rFonts w:cs="Times New Roman"/>
          <w:bCs/>
          <w:vertAlign w:val="superscript"/>
        </w:rPr>
        <w:t>-1</w:t>
      </w:r>
      <w:r w:rsidRPr="008F4FDD">
        <w:rPr>
          <w:rFonts w:cs="Times New Roman"/>
          <w:bCs/>
        </w:rPr>
        <w:t xml:space="preserve"> in spring (</w:t>
      </w:r>
      <w:r w:rsidRPr="009B11CE">
        <w:rPr>
          <w:rFonts w:cs="Times New Roman"/>
          <w:b/>
        </w:rPr>
        <w:t xml:space="preserve">Table </w:t>
      </w:r>
      <w:r w:rsidR="002C2627" w:rsidRPr="009B11CE">
        <w:rPr>
          <w:rFonts w:cs="Times New Roman"/>
          <w:b/>
          <w:color w:val="000000" w:themeColor="text1"/>
        </w:rPr>
        <w:t>1.</w:t>
      </w:r>
      <w:r w:rsidRPr="009B11CE">
        <w:rPr>
          <w:rFonts w:cs="Times New Roman"/>
          <w:b/>
        </w:rPr>
        <w:t>3</w:t>
      </w:r>
      <w:r w:rsidRPr="008F4FDD">
        <w:rPr>
          <w:rFonts w:cs="Times New Roman"/>
          <w:bCs/>
        </w:rPr>
        <w:t xml:space="preserve">). Increased growth potential of cool-season turfgrasses in spring may explain the increased tolerance to tetflupyrolimet compared to applications made in fall. Growth potential is a metric used to quantify potential growing conditions for warm- and cool-season turfgrass based on air temperature (Gelernter and Stowell 2005). Units range from 0 to 100% with scores of 100% </w:t>
      </w:r>
      <w:r w:rsidRPr="008F4FDD">
        <w:rPr>
          <w:rFonts w:cs="Times New Roman"/>
          <w:bCs/>
        </w:rPr>
        <w:lastRenderedPageBreak/>
        <w:t xml:space="preserve">equating to optimal growing conditions, &gt; 50% representing adequate growing conditions, and values ≤ 10% indicating that conditions would severely limit growth (Gelernter and Stowell 2005). Growth potential values during fall and spring tolerance trials are presented in </w:t>
      </w:r>
      <w:r w:rsidRPr="009B11CE">
        <w:rPr>
          <w:rFonts w:cs="Times New Roman"/>
          <w:b/>
        </w:rPr>
        <w:t xml:space="preserve">Figure </w:t>
      </w:r>
      <w:r w:rsidR="002C2627" w:rsidRPr="009B11CE">
        <w:rPr>
          <w:rFonts w:cs="Times New Roman"/>
          <w:b/>
          <w:color w:val="000000" w:themeColor="text1"/>
        </w:rPr>
        <w:t>1.</w:t>
      </w:r>
      <w:r w:rsidRPr="009B11CE">
        <w:rPr>
          <w:rFonts w:cs="Times New Roman"/>
          <w:b/>
        </w:rPr>
        <w:t>2</w:t>
      </w:r>
      <w:r w:rsidRPr="008F4FDD">
        <w:rPr>
          <w:rFonts w:cs="Times New Roman"/>
          <w:bCs/>
        </w:rPr>
        <w:t>.  Applications of tetflupyrolimet in fall were made following a summer stress period where growth potential was ≤ 71%, and aside from a one-month recovery period in September (when treatments were applied), declined thereafter. In spring, growing conditions linearly increased prior to applying treatments in March for several weeks thereafter (</w:t>
      </w:r>
      <w:r w:rsidRPr="009B11CE">
        <w:rPr>
          <w:rFonts w:cs="Times New Roman"/>
          <w:b/>
        </w:rPr>
        <w:t xml:space="preserve">Figure </w:t>
      </w:r>
      <w:r w:rsidR="002C2627" w:rsidRPr="009B11CE">
        <w:rPr>
          <w:rFonts w:cs="Times New Roman"/>
          <w:b/>
          <w:color w:val="000000" w:themeColor="text1"/>
        </w:rPr>
        <w:t>1.</w:t>
      </w:r>
      <w:r w:rsidRPr="009B11CE">
        <w:rPr>
          <w:rFonts w:cs="Times New Roman"/>
          <w:b/>
        </w:rPr>
        <w:t>2</w:t>
      </w:r>
      <w:r w:rsidRPr="008F4FDD">
        <w:rPr>
          <w:rFonts w:cs="Times New Roman"/>
          <w:bCs/>
        </w:rPr>
        <w:t xml:space="preserve">). While not directly </w:t>
      </w:r>
      <w:r w:rsidRPr="008F4FDD">
        <w:rPr>
          <w:rFonts w:cs="Times New Roman" w:hint="eastAsia"/>
          <w:bCs/>
        </w:rPr>
        <w:t>linked to</w:t>
      </w:r>
      <w:r w:rsidRPr="008F4FDD">
        <w:rPr>
          <w:rFonts w:cs="Times New Roman"/>
          <w:bCs/>
        </w:rPr>
        <w:t xml:space="preserve"> growth potential, </w:t>
      </w:r>
      <w:r w:rsidRPr="008F4FDD">
        <w:rPr>
          <w:rFonts w:cs="Times New Roman" w:hint="eastAsia"/>
          <w:bCs/>
        </w:rPr>
        <w:t xml:space="preserve">the varying efficacy </w:t>
      </w:r>
      <w:r w:rsidRPr="008F4FDD">
        <w:rPr>
          <w:rFonts w:cs="Times New Roman"/>
          <w:bCs/>
        </w:rPr>
        <w:t xml:space="preserve">of amicarbazone and bispyribac-sodium in fall and spring has been </w:t>
      </w:r>
      <w:r w:rsidRPr="008F4FDD">
        <w:rPr>
          <w:rFonts w:cs="Times New Roman" w:hint="eastAsia"/>
          <w:bCs/>
        </w:rPr>
        <w:t>associated with changes in air temperature</w:t>
      </w:r>
      <w:r w:rsidRPr="008F4FDD">
        <w:rPr>
          <w:rFonts w:cs="Times New Roman"/>
          <w:bCs/>
        </w:rPr>
        <w:t xml:space="preserve"> (</w:t>
      </w:r>
      <w:r w:rsidRPr="008F4FDD">
        <w:rPr>
          <w:rFonts w:cs="Times New Roman" w:hint="eastAsia"/>
          <w:bCs/>
        </w:rPr>
        <w:t>Yu et al. 2015</w:t>
      </w:r>
      <w:r w:rsidRPr="008F4FDD">
        <w:rPr>
          <w:rFonts w:cs="Times New Roman"/>
          <w:bCs/>
        </w:rPr>
        <w:t xml:space="preserve">). </w:t>
      </w:r>
      <w:proofErr w:type="spellStart"/>
      <w:r w:rsidRPr="008F4FDD">
        <w:rPr>
          <w:rFonts w:cs="Times New Roman"/>
          <w:bCs/>
        </w:rPr>
        <w:t>Methiozolin</w:t>
      </w:r>
      <w:proofErr w:type="spellEnd"/>
      <w:r w:rsidRPr="008F4FDD">
        <w:rPr>
          <w:rFonts w:cs="Times New Roman"/>
          <w:bCs/>
        </w:rPr>
        <w:t xml:space="preserve"> dissipation following applications to actively growing </w:t>
      </w:r>
      <w:proofErr w:type="gramStart"/>
      <w:r w:rsidRPr="008F4FDD">
        <w:rPr>
          <w:rFonts w:cs="Times New Roman"/>
          <w:bCs/>
        </w:rPr>
        <w:t>cool-season</w:t>
      </w:r>
      <w:proofErr w:type="gramEnd"/>
      <w:r w:rsidRPr="008F4FDD">
        <w:rPr>
          <w:rFonts w:cs="Times New Roman"/>
          <w:bCs/>
        </w:rPr>
        <w:t xml:space="preserve"> turfgrass is also more rapid than bare soil further illustrating the effects of turfgrass growing conditions on herbicide activity (Peppers et al. 2024).</w:t>
      </w:r>
      <w:bookmarkStart w:id="40" w:name="_Toc192781547"/>
    </w:p>
    <w:p w14:paraId="55844371" w14:textId="24F8D2EC" w:rsidR="00BD7018" w:rsidRPr="00965EA3" w:rsidRDefault="008F4FDD" w:rsidP="00965EA3">
      <w:pPr>
        <w:spacing w:line="360" w:lineRule="auto"/>
        <w:rPr>
          <w:rFonts w:cs="Times New Roman"/>
          <w:b/>
          <w:bCs/>
          <w:i/>
          <w:iCs/>
        </w:rPr>
      </w:pPr>
      <w:r w:rsidRPr="00965EA3">
        <w:rPr>
          <w:b/>
          <w:bCs/>
          <w:i/>
          <w:iCs/>
        </w:rPr>
        <w:t>Controlling Herbicide-Resistant Poa annua</w:t>
      </w:r>
      <w:bookmarkEnd w:id="40"/>
    </w:p>
    <w:p w14:paraId="021B66C3" w14:textId="290A14E2" w:rsidR="008F4FDD" w:rsidRPr="008F4FDD" w:rsidRDefault="008F4FDD" w:rsidP="00965EA3">
      <w:pPr>
        <w:spacing w:line="360" w:lineRule="auto"/>
        <w:rPr>
          <w:rFonts w:cs="Times New Roman"/>
        </w:rPr>
      </w:pPr>
      <w:r w:rsidRPr="008F4FDD">
        <w:rPr>
          <w:rFonts w:cs="Times New Roman"/>
          <w:bCs/>
        </w:rPr>
        <w:tab/>
        <w:t xml:space="preserve">Significant differences in </w:t>
      </w:r>
      <w:r w:rsidRPr="008F4FDD">
        <w:rPr>
          <w:rFonts w:cs="Times New Roman"/>
          <w:bCs/>
          <w:i/>
          <w:iCs/>
        </w:rPr>
        <w:t>Poa annua</w:t>
      </w:r>
      <w:r w:rsidRPr="008F4FDD">
        <w:rPr>
          <w:rFonts w:cs="Times New Roman"/>
          <w:bCs/>
        </w:rPr>
        <w:t xml:space="preserve"> control were detected among treatments from 11 to 27 WAIT (</w:t>
      </w:r>
      <w:r w:rsidRPr="009B11CE">
        <w:rPr>
          <w:rFonts w:cs="Times New Roman"/>
          <w:b/>
        </w:rPr>
        <w:t xml:space="preserve">Table </w:t>
      </w:r>
      <w:r w:rsidR="002C2627" w:rsidRPr="009B11CE">
        <w:rPr>
          <w:rFonts w:cs="Times New Roman"/>
          <w:b/>
          <w:color w:val="000000" w:themeColor="text1"/>
        </w:rPr>
        <w:t>1.</w:t>
      </w:r>
      <w:r w:rsidRPr="009B11CE">
        <w:rPr>
          <w:rFonts w:cs="Times New Roman"/>
          <w:b/>
        </w:rPr>
        <w:t>4</w:t>
      </w:r>
      <w:r w:rsidRPr="008F4FDD">
        <w:rPr>
          <w:rFonts w:cs="Times New Roman"/>
          <w:bCs/>
        </w:rPr>
        <w:t>). When applied PRE, all herbicides provided effective (≥ 89%) control of this resistant population 11 WAIT with differences manifesting thereafter. This response aligns with those observed in rice where tetflupyrolimet applications at 100 g ha</w:t>
      </w:r>
      <w:r w:rsidRPr="008F4FDD">
        <w:rPr>
          <w:rFonts w:cs="Times New Roman"/>
          <w:bCs/>
          <w:vertAlign w:val="superscript"/>
        </w:rPr>
        <w:t>-1</w:t>
      </w:r>
      <w:r w:rsidRPr="008F4FDD">
        <w:rPr>
          <w:rFonts w:cs="Times New Roman"/>
          <w:bCs/>
        </w:rPr>
        <w:t xml:space="preserve"> followed by carfentrazone (530 g ha</w:t>
      </w:r>
      <w:r w:rsidRPr="008F4FDD">
        <w:rPr>
          <w:rFonts w:cs="Times New Roman"/>
          <w:bCs/>
          <w:vertAlign w:val="superscript"/>
        </w:rPr>
        <w:t>-1</w:t>
      </w:r>
      <w:r w:rsidRPr="008F4FDD">
        <w:rPr>
          <w:rFonts w:cs="Times New Roman"/>
          <w:bCs/>
        </w:rPr>
        <w:t xml:space="preserve">) controlled </w:t>
      </w:r>
      <w:proofErr w:type="spellStart"/>
      <w:r w:rsidRPr="008F4FDD">
        <w:rPr>
          <w:rFonts w:cs="Times New Roman"/>
          <w:bCs/>
        </w:rPr>
        <w:t>barnyardgrass</w:t>
      </w:r>
      <w:proofErr w:type="spellEnd"/>
      <w:r w:rsidRPr="008F4FDD">
        <w:rPr>
          <w:rFonts w:cs="Times New Roman"/>
          <w:bCs/>
        </w:rPr>
        <w:t xml:space="preserve"> (</w:t>
      </w:r>
      <w:proofErr w:type="spellStart"/>
      <w:r w:rsidRPr="008F4FDD">
        <w:rPr>
          <w:rFonts w:cs="Times New Roman"/>
          <w:bCs/>
          <w:i/>
          <w:iCs/>
        </w:rPr>
        <w:t>Echinochloa</w:t>
      </w:r>
      <w:proofErr w:type="spellEnd"/>
      <w:r w:rsidRPr="008F4FDD">
        <w:rPr>
          <w:rFonts w:cs="Times New Roman"/>
          <w:bCs/>
          <w:i/>
          <w:iCs/>
        </w:rPr>
        <w:t xml:space="preserve"> crus-galli</w:t>
      </w:r>
      <w:r w:rsidRPr="008F4FDD">
        <w:rPr>
          <w:rFonts w:cs="Times New Roman"/>
          <w:bCs/>
        </w:rPr>
        <w:t xml:space="preserve">) and bearded </w:t>
      </w:r>
      <w:proofErr w:type="spellStart"/>
      <w:r w:rsidRPr="008F4FDD">
        <w:rPr>
          <w:rFonts w:cs="Times New Roman"/>
          <w:bCs/>
        </w:rPr>
        <w:t>sprangletop</w:t>
      </w:r>
      <w:proofErr w:type="spellEnd"/>
      <w:r w:rsidRPr="008F4FDD">
        <w:rPr>
          <w:rFonts w:cs="Times New Roman"/>
          <w:bCs/>
        </w:rPr>
        <w:t xml:space="preserve"> (</w:t>
      </w:r>
      <w:proofErr w:type="spellStart"/>
      <w:r w:rsidRPr="008F4FDD">
        <w:rPr>
          <w:rFonts w:cs="Times New Roman"/>
          <w:bCs/>
          <w:i/>
          <w:iCs/>
        </w:rPr>
        <w:t>Diplachne</w:t>
      </w:r>
      <w:proofErr w:type="spellEnd"/>
      <w:r w:rsidRPr="008F4FDD">
        <w:rPr>
          <w:rFonts w:cs="Times New Roman"/>
          <w:bCs/>
          <w:i/>
          <w:iCs/>
        </w:rPr>
        <w:t xml:space="preserve"> </w:t>
      </w:r>
      <w:proofErr w:type="spellStart"/>
      <w:r w:rsidRPr="008F4FDD">
        <w:rPr>
          <w:rFonts w:cs="Times New Roman"/>
          <w:bCs/>
          <w:i/>
          <w:iCs/>
        </w:rPr>
        <w:t>fusca</w:t>
      </w:r>
      <w:proofErr w:type="spellEnd"/>
      <w:r w:rsidRPr="008F4FDD">
        <w:rPr>
          <w:rFonts w:cs="Times New Roman"/>
          <w:bCs/>
        </w:rPr>
        <w:t xml:space="preserve">) to ≥ 99% for 4 weeks (Lombardi and Al-Khatib 2023). Given that </w:t>
      </w:r>
      <w:r w:rsidRPr="008F4FDD">
        <w:rPr>
          <w:rFonts w:cs="Times New Roman"/>
          <w:bCs/>
          <w:i/>
          <w:iCs/>
        </w:rPr>
        <w:t>Poa annua</w:t>
      </w:r>
      <w:r w:rsidRPr="008F4FDD">
        <w:rPr>
          <w:rFonts w:cs="Times New Roman"/>
          <w:bCs/>
        </w:rPr>
        <w:t xml:space="preserve"> control was assessed in dormant hybrid bermudagrass that offered no plant competition, the efficacy of tetflupyrolimet applied alone at 400 g ha</w:t>
      </w:r>
      <w:r w:rsidRPr="008F4FDD">
        <w:rPr>
          <w:rFonts w:cs="Times New Roman"/>
          <w:bCs/>
          <w:vertAlign w:val="superscript"/>
        </w:rPr>
        <w:t>-1</w:t>
      </w:r>
      <w:r w:rsidRPr="008F4FDD">
        <w:rPr>
          <w:rFonts w:cs="Times New Roman"/>
          <w:bCs/>
        </w:rPr>
        <w:t xml:space="preserve"> declined to 69% control by 19 </w:t>
      </w:r>
      <w:proofErr w:type="gramStart"/>
      <w:r w:rsidRPr="008F4FDD">
        <w:rPr>
          <w:rFonts w:cs="Times New Roman"/>
          <w:bCs/>
        </w:rPr>
        <w:t>WAIT</w:t>
      </w:r>
      <w:proofErr w:type="gramEnd"/>
      <w:r w:rsidRPr="008F4FDD">
        <w:rPr>
          <w:rFonts w:cs="Times New Roman"/>
          <w:bCs/>
        </w:rPr>
        <w:t xml:space="preserve">. By 27 </w:t>
      </w:r>
      <w:proofErr w:type="gramStart"/>
      <w:r w:rsidRPr="008F4FDD">
        <w:rPr>
          <w:rFonts w:cs="Times New Roman"/>
          <w:bCs/>
        </w:rPr>
        <w:t>WAIT</w:t>
      </w:r>
      <w:proofErr w:type="gramEnd"/>
      <w:r w:rsidRPr="008F4FDD">
        <w:rPr>
          <w:rFonts w:cs="Times New Roman"/>
          <w:bCs/>
        </w:rPr>
        <w:t xml:space="preserve">, </w:t>
      </w:r>
      <w:proofErr w:type="spellStart"/>
      <w:r w:rsidRPr="008F4FDD">
        <w:rPr>
          <w:rFonts w:cs="Times New Roman"/>
          <w:bCs/>
        </w:rPr>
        <w:t>indazflam</w:t>
      </w:r>
      <w:proofErr w:type="spellEnd"/>
      <w:r w:rsidRPr="008F4FDD">
        <w:rPr>
          <w:rFonts w:cs="Times New Roman"/>
          <w:bCs/>
        </w:rPr>
        <w:t xml:space="preserve"> only controlled this resistant </w:t>
      </w:r>
      <w:r w:rsidRPr="008F4FDD">
        <w:rPr>
          <w:rFonts w:cs="Times New Roman"/>
          <w:bCs/>
          <w:i/>
          <w:iCs/>
        </w:rPr>
        <w:t>Poa annua</w:t>
      </w:r>
      <w:r w:rsidRPr="008F4FDD">
        <w:rPr>
          <w:rFonts w:cs="Times New Roman"/>
          <w:bCs/>
        </w:rPr>
        <w:t xml:space="preserve"> population 3% compared to 40% for tetflupyrolimet. It should be noted that differential expression of a cytochrome P450 ortholog similar to </w:t>
      </w:r>
      <w:r w:rsidRPr="008F4FDD">
        <w:rPr>
          <w:rFonts w:cs="Times New Roman"/>
          <w:bCs/>
          <w:i/>
          <w:iCs/>
        </w:rPr>
        <w:t xml:space="preserve">CYP81A10v7 </w:t>
      </w:r>
      <w:r w:rsidRPr="008F4FDD">
        <w:rPr>
          <w:rFonts w:cs="Times New Roman"/>
          <w:bCs/>
        </w:rPr>
        <w:t>found in non-target site resistant rigid ryegrass (</w:t>
      </w:r>
      <w:r w:rsidRPr="008F4FDD">
        <w:rPr>
          <w:rFonts w:cs="Times New Roman"/>
          <w:bCs/>
          <w:i/>
          <w:iCs/>
        </w:rPr>
        <w:t xml:space="preserve">Lolium </w:t>
      </w:r>
      <w:proofErr w:type="spellStart"/>
      <w:r w:rsidRPr="008F4FDD">
        <w:rPr>
          <w:rFonts w:cs="Times New Roman"/>
          <w:bCs/>
          <w:i/>
          <w:iCs/>
        </w:rPr>
        <w:t>rigidum</w:t>
      </w:r>
      <w:proofErr w:type="spellEnd"/>
      <w:r w:rsidRPr="008F4FDD">
        <w:rPr>
          <w:rFonts w:cs="Times New Roman"/>
          <w:bCs/>
        </w:rPr>
        <w:t xml:space="preserve"> L.) from Australia (Han et al. 2021) has been identified in </w:t>
      </w:r>
      <w:r w:rsidRPr="008F4FDD">
        <w:rPr>
          <w:rFonts w:cs="Times New Roman"/>
          <w:bCs/>
          <w:i/>
          <w:iCs/>
        </w:rPr>
        <w:t>Poa annua</w:t>
      </w:r>
      <w:r w:rsidRPr="008F4FDD">
        <w:rPr>
          <w:rFonts w:cs="Times New Roman"/>
          <w:bCs/>
        </w:rPr>
        <w:t xml:space="preserve"> from this location (E. Patterson and M. </w:t>
      </w:r>
      <w:proofErr w:type="spellStart"/>
      <w:r w:rsidRPr="008F4FDD">
        <w:rPr>
          <w:rFonts w:cs="Times New Roman"/>
          <w:bCs/>
        </w:rPr>
        <w:t>Mahey</w:t>
      </w:r>
      <w:proofErr w:type="spellEnd"/>
      <w:r w:rsidRPr="008F4FDD">
        <w:rPr>
          <w:rFonts w:cs="Times New Roman"/>
          <w:bCs/>
        </w:rPr>
        <w:t xml:space="preserve">, personal communication). PRE applications </w:t>
      </w:r>
      <w:proofErr w:type="spellStart"/>
      <w:r w:rsidRPr="008F4FDD">
        <w:rPr>
          <w:rFonts w:cs="Times New Roman"/>
          <w:bCs/>
        </w:rPr>
        <w:t>tetflupyrolimet</w:t>
      </w:r>
      <w:proofErr w:type="spellEnd"/>
      <w:r w:rsidRPr="008F4FDD">
        <w:rPr>
          <w:rFonts w:cs="Times New Roman"/>
          <w:bCs/>
        </w:rPr>
        <w:t xml:space="preserve"> + </w:t>
      </w:r>
      <w:proofErr w:type="spellStart"/>
      <w:r w:rsidRPr="008F4FDD">
        <w:rPr>
          <w:rFonts w:cs="Times New Roman"/>
          <w:bCs/>
        </w:rPr>
        <w:t>pyroxasulfone</w:t>
      </w:r>
      <w:proofErr w:type="spellEnd"/>
      <w:r w:rsidRPr="008F4FDD">
        <w:rPr>
          <w:rFonts w:cs="Times New Roman"/>
          <w:bCs/>
        </w:rPr>
        <w:t xml:space="preserve"> controlled this resistant population 89% by 23 WAIT. Effective PRE control of </w:t>
      </w:r>
      <w:r w:rsidRPr="008F4FDD">
        <w:rPr>
          <w:rFonts w:cs="Times New Roman"/>
          <w:bCs/>
          <w:i/>
          <w:iCs/>
        </w:rPr>
        <w:t>Poa annua</w:t>
      </w:r>
      <w:r w:rsidRPr="008F4FDD">
        <w:rPr>
          <w:rFonts w:cs="Times New Roman"/>
          <w:bCs/>
        </w:rPr>
        <w:t xml:space="preserve"> for a 23-week period is similar to previous reports with industry standards applied to herbicide-susceptible populations </w:t>
      </w:r>
      <w:r w:rsidRPr="008F4FDD">
        <w:rPr>
          <w:rFonts w:cs="Times New Roman"/>
        </w:rPr>
        <w:t xml:space="preserve">(Brosnan et al. 2014). As </w:t>
      </w:r>
      <w:r w:rsidRPr="008F4FDD">
        <w:rPr>
          <w:rFonts w:cs="Times New Roman"/>
          <w:bCs/>
        </w:rPr>
        <w:t xml:space="preserve">an inhibitor of very-long chain fatty acid synthesis (HRAC Group #15), </w:t>
      </w:r>
      <w:proofErr w:type="spellStart"/>
      <w:r w:rsidRPr="008F4FDD">
        <w:rPr>
          <w:rFonts w:cs="Times New Roman"/>
          <w:bCs/>
        </w:rPr>
        <w:t>pyroxasulfone</w:t>
      </w:r>
      <w:proofErr w:type="spellEnd"/>
      <w:r w:rsidRPr="008F4FDD">
        <w:rPr>
          <w:rFonts w:cs="Times New Roman"/>
          <w:bCs/>
        </w:rPr>
        <w:t xml:space="preserve"> exhibits activity on grass and dicot weeds (Anonymous 2017). Including </w:t>
      </w:r>
      <w:proofErr w:type="spellStart"/>
      <w:r w:rsidRPr="008F4FDD">
        <w:rPr>
          <w:rFonts w:cs="Times New Roman"/>
          <w:bCs/>
        </w:rPr>
        <w:t>pyroxasulfone</w:t>
      </w:r>
      <w:proofErr w:type="spellEnd"/>
      <w:r w:rsidRPr="008F4FDD">
        <w:rPr>
          <w:rFonts w:cs="Times New Roman"/>
          <w:bCs/>
        </w:rPr>
        <w:t xml:space="preserve"> in mixture with tetflupyrolimet </w:t>
      </w:r>
      <w:r w:rsidRPr="008F4FDD">
        <w:rPr>
          <w:rFonts w:cs="Times New Roman"/>
          <w:bCs/>
        </w:rPr>
        <w:lastRenderedPageBreak/>
        <w:t xml:space="preserve">would expand the spectrum of weeds controlled via a single application and steward against the evolution of resistance to this novel Group #28 herbicide (Busi et al. 2020). </w:t>
      </w:r>
    </w:p>
    <w:p w14:paraId="245786A4" w14:textId="1CDD5334" w:rsidR="00965EA3" w:rsidRDefault="008F4FDD" w:rsidP="000C799B">
      <w:pPr>
        <w:spacing w:line="360" w:lineRule="auto"/>
        <w:ind w:firstLine="720"/>
        <w:rPr>
          <w:rFonts w:cs="Times New Roman"/>
        </w:rPr>
      </w:pPr>
      <w:r w:rsidRPr="008F4FDD">
        <w:rPr>
          <w:rFonts w:cs="Times New Roman"/>
        </w:rPr>
        <w:t>No significant differences were detected between EPOST treatments in this study (</w:t>
      </w:r>
      <w:r w:rsidRPr="009B11CE">
        <w:rPr>
          <w:rFonts w:cs="Times New Roman"/>
          <w:b/>
          <w:bCs/>
        </w:rPr>
        <w:t xml:space="preserve">Table </w:t>
      </w:r>
      <w:r w:rsidR="002C2627" w:rsidRPr="009B11CE">
        <w:rPr>
          <w:rFonts w:cs="Times New Roman"/>
          <w:b/>
          <w:bCs/>
          <w:color w:val="000000" w:themeColor="text1"/>
        </w:rPr>
        <w:t>1.</w:t>
      </w:r>
      <w:r w:rsidRPr="009B11CE">
        <w:rPr>
          <w:rFonts w:cs="Times New Roman"/>
          <w:b/>
          <w:bCs/>
        </w:rPr>
        <w:t>4</w:t>
      </w:r>
      <w:r w:rsidRPr="008F4FDD">
        <w:rPr>
          <w:rFonts w:cs="Times New Roman"/>
        </w:rPr>
        <w:t xml:space="preserve">). </w:t>
      </w:r>
      <w:proofErr w:type="spellStart"/>
      <w:r w:rsidRPr="008F4FDD">
        <w:rPr>
          <w:rFonts w:cs="Times New Roman"/>
        </w:rPr>
        <w:t>Tetflupyrolimet</w:t>
      </w:r>
      <w:proofErr w:type="spellEnd"/>
      <w:r w:rsidRPr="008F4FDD">
        <w:rPr>
          <w:rFonts w:cs="Times New Roman"/>
        </w:rPr>
        <w:t xml:space="preserve"> + </w:t>
      </w:r>
      <w:proofErr w:type="spellStart"/>
      <w:r w:rsidRPr="008F4FDD">
        <w:rPr>
          <w:rFonts w:cs="Times New Roman"/>
        </w:rPr>
        <w:t>rimsulfuron</w:t>
      </w:r>
      <w:proofErr w:type="spellEnd"/>
      <w:r w:rsidRPr="008F4FDD">
        <w:rPr>
          <w:rFonts w:cs="Times New Roman"/>
        </w:rPr>
        <w:t xml:space="preserve"> and </w:t>
      </w:r>
      <w:proofErr w:type="spellStart"/>
      <w:r w:rsidRPr="008F4FDD">
        <w:rPr>
          <w:rFonts w:cs="Times New Roman"/>
        </w:rPr>
        <w:t>tetflupyrolimet</w:t>
      </w:r>
      <w:proofErr w:type="spellEnd"/>
      <w:r w:rsidRPr="008F4FDD">
        <w:rPr>
          <w:rFonts w:cs="Times New Roman"/>
        </w:rPr>
        <w:t xml:space="preserve"> + </w:t>
      </w:r>
      <w:proofErr w:type="spellStart"/>
      <w:r w:rsidRPr="008F4FDD">
        <w:rPr>
          <w:rFonts w:cs="Times New Roman"/>
        </w:rPr>
        <w:t>pyroxasulfone</w:t>
      </w:r>
      <w:proofErr w:type="spellEnd"/>
      <w:r w:rsidRPr="008F4FDD">
        <w:rPr>
          <w:rFonts w:cs="Times New Roman"/>
        </w:rPr>
        <w:t xml:space="preserve"> + </w:t>
      </w:r>
      <w:proofErr w:type="spellStart"/>
      <w:r w:rsidRPr="008F4FDD">
        <w:rPr>
          <w:rFonts w:cs="Times New Roman"/>
        </w:rPr>
        <w:t>rimsulfuron</w:t>
      </w:r>
      <w:proofErr w:type="spellEnd"/>
      <w:r w:rsidRPr="008F4FDD">
        <w:rPr>
          <w:rFonts w:cs="Times New Roman"/>
        </w:rPr>
        <w:t xml:space="preserve"> controlled resistant </w:t>
      </w:r>
      <w:r w:rsidRPr="008F4FDD">
        <w:rPr>
          <w:rFonts w:cs="Times New Roman"/>
          <w:i/>
          <w:iCs/>
        </w:rPr>
        <w:t>Poa annua</w:t>
      </w:r>
      <w:r w:rsidRPr="008F4FDD">
        <w:rPr>
          <w:rFonts w:cs="Times New Roman"/>
        </w:rPr>
        <w:t xml:space="preserve"> at this location 89 to 95% by 23 </w:t>
      </w:r>
      <w:proofErr w:type="gramStart"/>
      <w:r w:rsidRPr="008F4FDD">
        <w:rPr>
          <w:rFonts w:cs="Times New Roman"/>
        </w:rPr>
        <w:t>WAIT</w:t>
      </w:r>
      <w:proofErr w:type="gramEnd"/>
      <w:r w:rsidRPr="008F4FDD">
        <w:rPr>
          <w:rFonts w:cs="Times New Roman"/>
        </w:rPr>
        <w:t xml:space="preserve">, </w:t>
      </w:r>
      <w:proofErr w:type="gramStart"/>
      <w:r w:rsidRPr="008F4FDD">
        <w:rPr>
          <w:rFonts w:cs="Times New Roman"/>
        </w:rPr>
        <w:t>similar to</w:t>
      </w:r>
      <w:proofErr w:type="gramEnd"/>
      <w:r w:rsidRPr="008F4FDD">
        <w:rPr>
          <w:rFonts w:cs="Times New Roman"/>
        </w:rPr>
        <w:t xml:space="preserve"> indaziflam + simazine + a commercially formulated mixture of </w:t>
      </w:r>
      <w:proofErr w:type="spellStart"/>
      <w:r w:rsidRPr="008F4FDD">
        <w:rPr>
          <w:rFonts w:cs="Times New Roman"/>
        </w:rPr>
        <w:t>thiencarbazone</w:t>
      </w:r>
      <w:proofErr w:type="spellEnd"/>
      <w:r w:rsidRPr="008F4FDD">
        <w:rPr>
          <w:rFonts w:cs="Times New Roman"/>
        </w:rPr>
        <w:t xml:space="preserve">-methyl + </w:t>
      </w:r>
      <w:proofErr w:type="spellStart"/>
      <w:r w:rsidRPr="008F4FDD">
        <w:rPr>
          <w:rFonts w:cs="Times New Roman"/>
        </w:rPr>
        <w:t>foramsulfuron</w:t>
      </w:r>
      <w:proofErr w:type="spellEnd"/>
      <w:r w:rsidRPr="008F4FDD">
        <w:rPr>
          <w:rFonts w:cs="Times New Roman"/>
        </w:rPr>
        <w:t xml:space="preserve"> + </w:t>
      </w:r>
      <w:proofErr w:type="spellStart"/>
      <w:r w:rsidRPr="008F4FDD">
        <w:rPr>
          <w:rFonts w:cs="Times New Roman"/>
        </w:rPr>
        <w:t>halosulfuron</w:t>
      </w:r>
      <w:proofErr w:type="spellEnd"/>
      <w:r w:rsidRPr="008F4FDD">
        <w:rPr>
          <w:rFonts w:cs="Times New Roman"/>
        </w:rPr>
        <w:t xml:space="preserve"> (88%). This level of </w:t>
      </w:r>
      <w:r w:rsidRPr="008F4FDD">
        <w:rPr>
          <w:rFonts w:cs="Times New Roman"/>
          <w:i/>
          <w:iCs/>
        </w:rPr>
        <w:t>Poa annua</w:t>
      </w:r>
      <w:r w:rsidRPr="008F4FDD">
        <w:rPr>
          <w:rFonts w:cs="Times New Roman"/>
        </w:rPr>
        <w:t xml:space="preserve"> control is </w:t>
      </w:r>
      <w:proofErr w:type="gramStart"/>
      <w:r w:rsidRPr="008F4FDD">
        <w:rPr>
          <w:rFonts w:cs="Times New Roman"/>
        </w:rPr>
        <w:t>similar to</w:t>
      </w:r>
      <w:proofErr w:type="gramEnd"/>
      <w:r w:rsidRPr="008F4FDD">
        <w:rPr>
          <w:rFonts w:cs="Times New Roman"/>
        </w:rPr>
        <w:t xml:space="preserve"> previous reports with EPOST applications of pendimethalin + dimethenamid-P (Carroll et al. 2021), highlighting that tetflupyrolimet could be effectively incorporated into a resistance management program at either PRE or EPOST timings when combined with herbicides from other mode-of-action groups.</w:t>
      </w:r>
      <w:bookmarkStart w:id="41" w:name="_Toc192781548"/>
    </w:p>
    <w:p w14:paraId="381ED77E" w14:textId="65706820" w:rsidR="008F4FDD" w:rsidRPr="00965EA3" w:rsidRDefault="008F4FDD" w:rsidP="00965EA3">
      <w:pPr>
        <w:spacing w:line="360" w:lineRule="auto"/>
        <w:rPr>
          <w:rFonts w:cs="Times New Roman"/>
          <w:b/>
          <w:bCs/>
          <w:i/>
          <w:iCs/>
        </w:rPr>
      </w:pPr>
      <w:r w:rsidRPr="00965EA3">
        <w:rPr>
          <w:b/>
          <w:bCs/>
          <w:i/>
          <w:iCs/>
        </w:rPr>
        <w:t>Controlling Smooth Crabgrass</w:t>
      </w:r>
      <w:bookmarkEnd w:id="41"/>
    </w:p>
    <w:p w14:paraId="123DDD95" w14:textId="02CFDC7A" w:rsidR="008F4FDD" w:rsidRPr="008F4FDD" w:rsidRDefault="008F4FDD" w:rsidP="00965EA3">
      <w:pPr>
        <w:spacing w:line="360" w:lineRule="auto"/>
        <w:ind w:firstLine="720"/>
        <w:rPr>
          <w:rFonts w:cs="Times New Roman"/>
          <w:bCs/>
        </w:rPr>
      </w:pPr>
      <w:r w:rsidRPr="008F4FDD">
        <w:rPr>
          <w:rFonts w:cs="Times New Roman"/>
          <w:bCs/>
        </w:rPr>
        <w:t>Year-by-treatment interactions were detected in smooth crabgrass control data; therefore, data from each year were analyzed and are presented separately (</w:t>
      </w:r>
      <w:r w:rsidRPr="009B11CE">
        <w:rPr>
          <w:rFonts w:cs="Times New Roman"/>
          <w:b/>
        </w:rPr>
        <w:t xml:space="preserve">Table </w:t>
      </w:r>
      <w:r w:rsidR="002C2627" w:rsidRPr="009B11CE">
        <w:rPr>
          <w:rFonts w:cs="Times New Roman"/>
          <w:b/>
          <w:color w:val="000000" w:themeColor="text1"/>
        </w:rPr>
        <w:t>1.</w:t>
      </w:r>
      <w:r w:rsidRPr="009B11CE">
        <w:rPr>
          <w:rFonts w:cs="Times New Roman"/>
          <w:b/>
        </w:rPr>
        <w:t>5</w:t>
      </w:r>
      <w:r w:rsidRPr="008F4FDD">
        <w:rPr>
          <w:rFonts w:cs="Times New Roman"/>
          <w:bCs/>
        </w:rPr>
        <w:t xml:space="preserve">). Smooth crabgrass control efficacy with tetflupyrolimet 8 WAIT in this study aligns with reports of bearded </w:t>
      </w:r>
      <w:proofErr w:type="spellStart"/>
      <w:r w:rsidRPr="008F4FDD">
        <w:rPr>
          <w:rFonts w:cs="Times New Roman"/>
          <w:bCs/>
        </w:rPr>
        <w:t>sprangletop</w:t>
      </w:r>
      <w:proofErr w:type="spellEnd"/>
      <w:r w:rsidRPr="008F4FDD">
        <w:rPr>
          <w:rFonts w:cs="Times New Roman"/>
          <w:bCs/>
        </w:rPr>
        <w:t xml:space="preserve"> control in rice 7 WAIT with tetflupyrolimet (100 g ha</w:t>
      </w:r>
      <w:r w:rsidRPr="008F4FDD">
        <w:rPr>
          <w:rFonts w:cs="Times New Roman"/>
          <w:bCs/>
          <w:vertAlign w:val="superscript"/>
        </w:rPr>
        <w:t>-1</w:t>
      </w:r>
      <w:r w:rsidRPr="008F4FDD">
        <w:rPr>
          <w:rFonts w:cs="Times New Roman"/>
          <w:bCs/>
        </w:rPr>
        <w:t>) in mixture with carfentrazone (530 g ha</w:t>
      </w:r>
      <w:r w:rsidRPr="008F4FDD">
        <w:rPr>
          <w:rFonts w:cs="Times New Roman"/>
          <w:bCs/>
          <w:vertAlign w:val="superscript"/>
        </w:rPr>
        <w:t>-1</w:t>
      </w:r>
      <w:r w:rsidRPr="008F4FDD">
        <w:rPr>
          <w:rFonts w:cs="Times New Roman"/>
          <w:bCs/>
        </w:rPr>
        <w:t>) (Lombardi and Al-Khatib 2023). Efficacy for smooth crabgrass control declined beyond the 8 WAIT assessment each year. When applied at 400 g ha</w:t>
      </w:r>
      <w:r w:rsidRPr="008F4FDD">
        <w:rPr>
          <w:rFonts w:cs="Times New Roman"/>
          <w:bCs/>
          <w:vertAlign w:val="superscript"/>
        </w:rPr>
        <w:t>-1</w:t>
      </w:r>
      <w:r w:rsidRPr="008F4FDD">
        <w:rPr>
          <w:rFonts w:cs="Times New Roman"/>
          <w:bCs/>
        </w:rPr>
        <w:t>, tetflupyrolimet only controlled smooth crabgrass ≥ 81% for 13 weeks in 2021. However, in 2022, the same treatment controlled smooth crabgrass ≥ 88% for 21 weeks. A similar relationship was observed with tetflupyrolimet rates ≤ 300 g ha</w:t>
      </w:r>
      <w:r w:rsidRPr="008F4FDD">
        <w:rPr>
          <w:rFonts w:cs="Times New Roman"/>
          <w:bCs/>
          <w:vertAlign w:val="superscript"/>
        </w:rPr>
        <w:t>-1</w:t>
      </w:r>
      <w:r w:rsidRPr="008F4FDD">
        <w:rPr>
          <w:rFonts w:cs="Times New Roman"/>
          <w:bCs/>
        </w:rPr>
        <w:t xml:space="preserve"> as well; however, overall efficacy with these applications tended to be lower than the 400 g ha</w:t>
      </w:r>
      <w:r w:rsidRPr="008F4FDD">
        <w:rPr>
          <w:rFonts w:cs="Times New Roman"/>
          <w:bCs/>
          <w:vertAlign w:val="superscript"/>
        </w:rPr>
        <w:t>-1</w:t>
      </w:r>
      <w:r w:rsidRPr="008F4FDD">
        <w:rPr>
          <w:rFonts w:cs="Times New Roman"/>
          <w:bCs/>
        </w:rPr>
        <w:t xml:space="preserve"> rate in 2021. </w:t>
      </w:r>
      <w:proofErr w:type="spellStart"/>
      <w:r w:rsidRPr="008F4FDD">
        <w:rPr>
          <w:rFonts w:cs="Times New Roman"/>
          <w:bCs/>
        </w:rPr>
        <w:t>Prodiamine</w:t>
      </w:r>
      <w:proofErr w:type="spellEnd"/>
      <w:r w:rsidRPr="008F4FDD">
        <w:rPr>
          <w:rFonts w:cs="Times New Roman"/>
          <w:bCs/>
        </w:rPr>
        <w:t xml:space="preserve"> and </w:t>
      </w:r>
      <w:proofErr w:type="spellStart"/>
      <w:r w:rsidRPr="008F4FDD">
        <w:rPr>
          <w:rFonts w:cs="Times New Roman"/>
          <w:bCs/>
        </w:rPr>
        <w:t>indaziflam</w:t>
      </w:r>
      <w:proofErr w:type="spellEnd"/>
      <w:r w:rsidRPr="008F4FDD">
        <w:rPr>
          <w:rFonts w:cs="Times New Roman"/>
          <w:bCs/>
        </w:rPr>
        <w:t xml:space="preserve"> performed similarly each year with smooth crabgrass control ranging from 89 to 98%, similar to previous reports (Brosnan et al. 2011). </w:t>
      </w:r>
    </w:p>
    <w:p w14:paraId="16CA0112" w14:textId="71CDAC08" w:rsidR="00965EA3" w:rsidRDefault="008F4FDD" w:rsidP="00965EA3">
      <w:pPr>
        <w:spacing w:line="360" w:lineRule="auto"/>
        <w:rPr>
          <w:rFonts w:cs="Times New Roman"/>
          <w:bCs/>
        </w:rPr>
      </w:pPr>
      <w:r w:rsidRPr="008F4FDD">
        <w:rPr>
          <w:rFonts w:cs="Times New Roman"/>
          <w:bCs/>
        </w:rPr>
        <w:t xml:space="preserve"> </w:t>
      </w:r>
      <w:r>
        <w:rPr>
          <w:rFonts w:cs="Times New Roman"/>
          <w:bCs/>
        </w:rPr>
        <w:tab/>
      </w:r>
      <w:r w:rsidRPr="008F4FDD">
        <w:rPr>
          <w:rFonts w:cs="Times New Roman"/>
          <w:bCs/>
        </w:rPr>
        <w:t>Differences in smooth crabgrass control between years could be attributed to differences in moisture availability. In 2021, this site received 11.3 cm of rainfall during the first 14 d of the trial compared to only 2.2 cm in 2022. Labeling for industry standard herbicides used for PRE smooth crabgrass control in turfgrass recommends ≤ 1.3 cm of irrigation or rainfall for activation (Anonymous 2021). It is possible that increased rainfall during the initial 14 d of this study in 2022 may have compromised tetflupyrolimet efficacy. In wheat (</w:t>
      </w:r>
      <w:r w:rsidRPr="008F4FDD">
        <w:rPr>
          <w:rFonts w:cs="Times New Roman"/>
          <w:bCs/>
          <w:i/>
          <w:iCs/>
        </w:rPr>
        <w:t>Triticum</w:t>
      </w:r>
      <w:r w:rsidRPr="008F4FDD">
        <w:rPr>
          <w:rFonts w:cs="Times New Roman"/>
          <w:bCs/>
        </w:rPr>
        <w:t xml:space="preserve"> spp.), simulated rainfall as low as 0.5 mm 14 d after treatment resulted in leaching of </w:t>
      </w:r>
      <w:proofErr w:type="spellStart"/>
      <w:r w:rsidRPr="008F4FDD">
        <w:rPr>
          <w:rFonts w:cs="Times New Roman"/>
          <w:bCs/>
        </w:rPr>
        <w:t>prosulfocarb</w:t>
      </w:r>
      <w:proofErr w:type="spellEnd"/>
      <w:r w:rsidRPr="008F4FDD">
        <w:rPr>
          <w:rFonts w:cs="Times New Roman"/>
          <w:bCs/>
        </w:rPr>
        <w:t xml:space="preserve">, </w:t>
      </w:r>
      <w:proofErr w:type="spellStart"/>
      <w:r w:rsidRPr="008F4FDD">
        <w:rPr>
          <w:rFonts w:cs="Times New Roman"/>
          <w:bCs/>
        </w:rPr>
        <w:t>pyroxasulfone</w:t>
      </w:r>
      <w:proofErr w:type="spellEnd"/>
      <w:r w:rsidRPr="008F4FDD">
        <w:rPr>
          <w:rFonts w:cs="Times New Roman"/>
          <w:bCs/>
        </w:rPr>
        <w:t xml:space="preserve">, and trifluralin, with this response being affected by rainfall timing after </w:t>
      </w:r>
      <w:r w:rsidRPr="008F4FDD">
        <w:rPr>
          <w:rFonts w:cs="Times New Roman"/>
          <w:bCs/>
        </w:rPr>
        <w:lastRenderedPageBreak/>
        <w:t xml:space="preserve">application more than rainfall intensity (Khalil et al. 2019). Additional research to better understand effects of soil moisture on </w:t>
      </w:r>
      <w:proofErr w:type="spellStart"/>
      <w:r w:rsidRPr="008F4FDD">
        <w:rPr>
          <w:rFonts w:cs="Times New Roman"/>
          <w:bCs/>
        </w:rPr>
        <w:t>tetflupy</w:t>
      </w:r>
      <w:r w:rsidR="00BD7018">
        <w:rPr>
          <w:rFonts w:cs="Times New Roman"/>
          <w:bCs/>
        </w:rPr>
        <w:t>r</w:t>
      </w:r>
      <w:r w:rsidRPr="008F4FDD">
        <w:rPr>
          <w:rFonts w:cs="Times New Roman"/>
          <w:bCs/>
        </w:rPr>
        <w:t>olimet</w:t>
      </w:r>
      <w:proofErr w:type="spellEnd"/>
      <w:r w:rsidRPr="008F4FDD">
        <w:rPr>
          <w:rFonts w:cs="Times New Roman"/>
          <w:bCs/>
        </w:rPr>
        <w:t xml:space="preserve"> efficacy is warranted.</w:t>
      </w:r>
      <w:bookmarkStart w:id="42" w:name="_Toc192781549"/>
    </w:p>
    <w:p w14:paraId="035528B2" w14:textId="4A576BA9" w:rsidR="00CC3FC1" w:rsidRPr="00965EA3" w:rsidRDefault="00CC3FC1" w:rsidP="00965EA3">
      <w:pPr>
        <w:spacing w:line="360" w:lineRule="auto"/>
        <w:jc w:val="center"/>
        <w:rPr>
          <w:rFonts w:cs="Times New Roman"/>
          <w:b/>
          <w:bCs/>
        </w:rPr>
      </w:pPr>
      <w:r w:rsidRPr="00965EA3">
        <w:rPr>
          <w:b/>
          <w:bCs/>
        </w:rPr>
        <w:t>C</w:t>
      </w:r>
      <w:r w:rsidR="00E65381" w:rsidRPr="00965EA3">
        <w:rPr>
          <w:b/>
          <w:bCs/>
        </w:rPr>
        <w:t>onclusions</w:t>
      </w:r>
      <w:bookmarkEnd w:id="42"/>
    </w:p>
    <w:p w14:paraId="0EC5620B" w14:textId="4DDB898F" w:rsidR="00236E6D" w:rsidRPr="00DF7C87" w:rsidRDefault="008F4FDD" w:rsidP="00965EA3">
      <w:pPr>
        <w:spacing w:line="360" w:lineRule="auto"/>
        <w:ind w:firstLine="720"/>
      </w:pPr>
      <w:r w:rsidRPr="008F4FDD">
        <w:t xml:space="preserve">Overall, our findings highlight that tetflupyrolimet has the utility of controlling problematic weeds of warm and cool-season turfgrass, particularly herbicide-resistant </w:t>
      </w:r>
      <w:r w:rsidRPr="008F4FDD">
        <w:rPr>
          <w:i/>
          <w:iCs/>
        </w:rPr>
        <w:t xml:space="preserve">Poa annua. </w:t>
      </w:r>
      <w:r w:rsidRPr="008F4FDD">
        <w:t xml:space="preserve">We observed no injury on hybrid bermudagrass or </w:t>
      </w:r>
      <w:proofErr w:type="spellStart"/>
      <w:r w:rsidRPr="008F4FDD">
        <w:t>manilagrass</w:t>
      </w:r>
      <w:proofErr w:type="spellEnd"/>
      <w:r w:rsidRPr="008F4FDD">
        <w:t xml:space="preserve"> cultivars with </w:t>
      </w:r>
      <w:proofErr w:type="spellStart"/>
      <w:r w:rsidRPr="008F4FDD">
        <w:t>tetflupyrolimet</w:t>
      </w:r>
      <w:proofErr w:type="spellEnd"/>
      <w:r w:rsidRPr="008F4FDD">
        <w:t xml:space="preserve"> applications up to 4800 g ha</w:t>
      </w:r>
      <w:r w:rsidRPr="008F4FDD">
        <w:rPr>
          <w:vertAlign w:val="superscript"/>
        </w:rPr>
        <w:t>-1</w:t>
      </w:r>
      <w:r w:rsidRPr="008F4FDD">
        <w:t xml:space="preserve"> maintained at mowing heights ranging from 3.8 to 12.5 mm. This response suggests that the warm-season turfgrasses in this study are highly tolerant to tetflupyrolimet applications for controlling </w:t>
      </w:r>
      <w:r w:rsidRPr="008F4FDD">
        <w:rPr>
          <w:i/>
          <w:iCs/>
        </w:rPr>
        <w:t>Poa annua</w:t>
      </w:r>
      <w:r w:rsidRPr="008F4FDD">
        <w:t xml:space="preserve"> or smooth crabgrass. On the cool-season turfgrasses in this study, tolerance to </w:t>
      </w:r>
      <w:proofErr w:type="spellStart"/>
      <w:r w:rsidRPr="008F4FDD">
        <w:t>tetflupyroliment</w:t>
      </w:r>
      <w:proofErr w:type="spellEnd"/>
      <w:r w:rsidRPr="008F4FDD">
        <w:t xml:space="preserve"> was greater in spring than fall and is likely affected by growth potential during the time period preceding and after treatment. Further research to better understand this phenomenon is warranted, along with efforts to understand effects of post-application moisture on tetflupyrolimet efficacy given year-by-treatment interactions observed herein. Efficacy for controlling herbicide-resistant </w:t>
      </w:r>
      <w:r w:rsidRPr="008F4FDD">
        <w:rPr>
          <w:i/>
          <w:iCs/>
        </w:rPr>
        <w:t>Poa annua</w:t>
      </w:r>
      <w:r w:rsidRPr="008F4FDD">
        <w:t xml:space="preserve"> in this study suggests that evaluations on other resistant biotypes are warranted, as well as efforts to understand tolerance following applications to turfgrass species and cultivars not evaluated herein.</w:t>
      </w:r>
    </w:p>
    <w:p w14:paraId="0EC56211" w14:textId="13BA89DE" w:rsidR="00975E37" w:rsidRPr="00197370" w:rsidRDefault="00975E37" w:rsidP="000C799B">
      <w:pPr>
        <w:pStyle w:val="Heading2"/>
        <w:spacing w:before="0" w:after="0" w:line="360" w:lineRule="auto"/>
      </w:pPr>
      <w:r w:rsidRPr="00DF7C87">
        <w:br w:type="page"/>
      </w:r>
      <w:bookmarkStart w:id="43" w:name="_Toc289175831"/>
      <w:bookmarkStart w:id="44" w:name="_Toc192766949"/>
      <w:bookmarkStart w:id="45" w:name="_Toc192781550"/>
      <w:r w:rsidR="00FF1665" w:rsidRPr="00197370">
        <w:lastRenderedPageBreak/>
        <w:t>R</w:t>
      </w:r>
      <w:bookmarkEnd w:id="43"/>
      <w:bookmarkEnd w:id="44"/>
      <w:r w:rsidR="00E65381">
        <w:t>eferences</w:t>
      </w:r>
      <w:bookmarkEnd w:id="45"/>
    </w:p>
    <w:p w14:paraId="315FAB35"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Allen JH, Ervin DE, Frisvold GB, Brosnan JT, McCurdy JD, Bowling RG, Patton AJ, Elmore MT, Gannon TW, McCarty LB, McCullough PE, Kaminski JE, Askew SD, Kowalewski AR, Unruh JB, McElroy JS, </w:t>
      </w:r>
      <w:proofErr w:type="spellStart"/>
      <w:r w:rsidRPr="00D041D3">
        <w:rPr>
          <w:rFonts w:cs="Times New Roman"/>
          <w:color w:val="222222"/>
          <w:shd w:val="clear" w:color="auto" w:fill="FFFFFF"/>
        </w:rPr>
        <w:t>Bagavathiannan</w:t>
      </w:r>
      <w:proofErr w:type="spellEnd"/>
      <w:r w:rsidRPr="00D041D3">
        <w:rPr>
          <w:rFonts w:cs="Times New Roman"/>
          <w:color w:val="222222"/>
          <w:shd w:val="clear" w:color="auto" w:fill="FFFFFF"/>
        </w:rPr>
        <w:t xml:space="preserve"> MV (2022). Herbicide-resistance in turf systems: insights and options for managing complexity. </w:t>
      </w:r>
      <w:r w:rsidRPr="00D041D3">
        <w:rPr>
          <w:rFonts w:cs="Times New Roman"/>
          <w:i/>
          <w:iCs/>
          <w:color w:val="222222"/>
          <w:shd w:val="clear" w:color="auto" w:fill="FFFFFF"/>
        </w:rPr>
        <w:t>Sustainability</w:t>
      </w:r>
      <w:r w:rsidRPr="00D041D3">
        <w:rPr>
          <w:rFonts w:cs="Times New Roman"/>
          <w:color w:val="222222"/>
          <w:shd w:val="clear" w:color="auto" w:fill="FFFFFF"/>
        </w:rPr>
        <w:t>, </w:t>
      </w:r>
      <w:r w:rsidRPr="00D041D3">
        <w:rPr>
          <w:rFonts w:cs="Times New Roman"/>
          <w:i/>
          <w:iCs/>
          <w:color w:val="222222"/>
          <w:shd w:val="clear" w:color="auto" w:fill="FFFFFF"/>
        </w:rPr>
        <w:t>14</w:t>
      </w:r>
      <w:r w:rsidRPr="00D041D3">
        <w:rPr>
          <w:rFonts w:cs="Times New Roman"/>
          <w:color w:val="222222"/>
          <w:shd w:val="clear" w:color="auto" w:fill="FFFFFF"/>
        </w:rPr>
        <w:t>(20), 13399.</w:t>
      </w:r>
    </w:p>
    <w:p w14:paraId="3E37EEE4" w14:textId="77777777" w:rsidR="001D4ABE" w:rsidRPr="00D041D3" w:rsidRDefault="001D4ABE" w:rsidP="000C799B">
      <w:pPr>
        <w:numPr>
          <w:ilvl w:val="12"/>
          <w:numId w:val="0"/>
        </w:numPr>
        <w:spacing w:line="360" w:lineRule="auto"/>
        <w:ind w:left="576" w:hanging="576"/>
        <w:rPr>
          <w:rFonts w:cs="Times New Roman"/>
        </w:rPr>
      </w:pPr>
      <w:r w:rsidRPr="00D041D3">
        <w:rPr>
          <w:rFonts w:cs="Times New Roman"/>
        </w:rPr>
        <w:t xml:space="preserve">Anonymous (2021). </w:t>
      </w:r>
      <w:r w:rsidRPr="00D041D3">
        <w:rPr>
          <w:rFonts w:cs="Times New Roman"/>
          <w:color w:val="000000" w:themeColor="text1"/>
        </w:rPr>
        <w:t>Barricade</w:t>
      </w:r>
      <w:r w:rsidRPr="00D041D3">
        <w:rPr>
          <w:rFonts w:cs="Times New Roman"/>
          <w:color w:val="000000" w:themeColor="text1"/>
          <w:vertAlign w:val="superscript"/>
        </w:rPr>
        <w:t>®</w:t>
      </w:r>
      <w:r w:rsidRPr="00D041D3">
        <w:rPr>
          <w:rFonts w:cs="Times New Roman"/>
          <w:color w:val="000000" w:themeColor="text1"/>
        </w:rPr>
        <w:t xml:space="preserve"> 4FL </w:t>
      </w:r>
      <w:r w:rsidRPr="003235CE">
        <w:rPr>
          <w:rFonts w:cs="Times New Roman"/>
          <w:color w:val="000000" w:themeColor="text1"/>
        </w:rPr>
        <w:t xml:space="preserve">herbicide label. </w:t>
      </w:r>
      <w:hyperlink r:id="rId12" w:history="1">
        <w:r w:rsidRPr="003235CE">
          <w:rPr>
            <w:rStyle w:val="Hyperlink"/>
            <w:rFonts w:cs="Times New Roman"/>
            <w:color w:val="000000" w:themeColor="text1"/>
          </w:rPr>
          <w:t>https://www.cdms.net/ldat/ld5JC006.pdf</w:t>
        </w:r>
      </w:hyperlink>
      <w:r w:rsidRPr="003235CE">
        <w:rPr>
          <w:rFonts w:cs="Times New Roman"/>
          <w:color w:val="000000" w:themeColor="text1"/>
        </w:rPr>
        <w:t xml:space="preserve">. </w:t>
      </w:r>
      <w:r w:rsidRPr="00D041D3">
        <w:rPr>
          <w:rFonts w:cs="Times New Roman"/>
        </w:rPr>
        <w:t>[accessed 26 July 2024]</w:t>
      </w:r>
    </w:p>
    <w:p w14:paraId="02D4641E" w14:textId="77777777" w:rsidR="001D4ABE" w:rsidRPr="00D041D3" w:rsidRDefault="001D4ABE" w:rsidP="000C799B">
      <w:pPr>
        <w:numPr>
          <w:ilvl w:val="12"/>
          <w:numId w:val="0"/>
        </w:numPr>
        <w:spacing w:line="360" w:lineRule="auto"/>
        <w:ind w:left="576" w:hanging="576"/>
        <w:rPr>
          <w:rFonts w:cs="Times New Roman"/>
        </w:rPr>
      </w:pPr>
      <w:r w:rsidRPr="00D041D3">
        <w:rPr>
          <w:rFonts w:cs="Times New Roman"/>
        </w:rPr>
        <w:t xml:space="preserve">Anonymous (2017). </w:t>
      </w:r>
      <w:proofErr w:type="spellStart"/>
      <w:r w:rsidRPr="00D041D3">
        <w:rPr>
          <w:rFonts w:cs="Times New Roman"/>
        </w:rPr>
        <w:t>Zidua</w:t>
      </w:r>
      <w:proofErr w:type="spellEnd"/>
      <w:r w:rsidRPr="00D041D3">
        <w:rPr>
          <w:rFonts w:cs="Times New Roman"/>
          <w:vertAlign w:val="superscript"/>
        </w:rPr>
        <w:t>®</w:t>
      </w:r>
      <w:r w:rsidRPr="00D041D3">
        <w:rPr>
          <w:rFonts w:cs="Times New Roman"/>
        </w:rPr>
        <w:t xml:space="preserve"> SC herbicide label. </w:t>
      </w:r>
      <w:hyperlink r:id="rId13" w:history="1">
        <w:r w:rsidRPr="003235CE">
          <w:rPr>
            <w:rStyle w:val="Hyperlink"/>
            <w:rFonts w:cs="Times New Roman"/>
            <w:color w:val="000000" w:themeColor="text1"/>
          </w:rPr>
          <w:t>https://www.cdms.net/ldat/ldAMK018.pdf</w:t>
        </w:r>
      </w:hyperlink>
      <w:r w:rsidRPr="003235CE">
        <w:rPr>
          <w:rFonts w:cs="Times New Roman"/>
          <w:color w:val="000000" w:themeColor="text1"/>
        </w:rPr>
        <w:t xml:space="preserve">. </w:t>
      </w:r>
      <w:r w:rsidRPr="00D041D3">
        <w:rPr>
          <w:rFonts w:cs="Times New Roman"/>
        </w:rPr>
        <w:t>[accessed 30 July 2024]</w:t>
      </w:r>
    </w:p>
    <w:p w14:paraId="29118AB9"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Arcement MP, Webster C, Williams JA, Carr WB, Stoker SB, Vallee LN (2024a, January 22-25). Evaluation of Tetflupyrolimet and Clomazone Mixtures on a Crowley Silt Loam Soil [Poster Abstract]. 2024 Weed Science Society of America Annual Meeting, San Antonio, TX, United States.</w:t>
      </w:r>
    </w:p>
    <w:p w14:paraId="21039B0D"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Arcement MP, Webster C, Williams JA, Carr WB, Stoker SB, Vallee LN (2024b, January 22-25). Evaluation of Tetflupyrolimet Mixtures with Various Preemergence Grass and Broadleaf Herbicides [Poster Abstract]. 2024 Weed Science Society of America Annual Meeting, San Antonio, TX, United States.</w:t>
      </w:r>
    </w:p>
    <w:p w14:paraId="226002EA"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Brosnan JT, Elmore MT, </w:t>
      </w:r>
      <w:proofErr w:type="spellStart"/>
      <w:r w:rsidRPr="00D041D3">
        <w:rPr>
          <w:rFonts w:cs="Times New Roman"/>
          <w:color w:val="222222"/>
          <w:shd w:val="clear" w:color="auto" w:fill="FFFFFF"/>
        </w:rPr>
        <w:t>Bagavathiannan</w:t>
      </w:r>
      <w:proofErr w:type="spellEnd"/>
      <w:r w:rsidRPr="00D041D3">
        <w:rPr>
          <w:rFonts w:cs="Times New Roman"/>
          <w:color w:val="222222"/>
          <w:shd w:val="clear" w:color="auto" w:fill="FFFFFF"/>
        </w:rPr>
        <w:t xml:space="preserve"> MV (2020a). Herbicide-resistant weeds in turfgrass: current status and emerging threats. </w:t>
      </w:r>
      <w:r w:rsidRPr="00D041D3">
        <w:rPr>
          <w:rFonts w:cs="Times New Roman"/>
          <w:i/>
          <w:iCs/>
          <w:color w:val="222222"/>
          <w:shd w:val="clear" w:color="auto" w:fill="FFFFFF"/>
        </w:rPr>
        <w:t>Weed Technology</w:t>
      </w:r>
      <w:r w:rsidRPr="00D041D3">
        <w:rPr>
          <w:rFonts w:cs="Times New Roman"/>
          <w:color w:val="222222"/>
          <w:shd w:val="clear" w:color="auto" w:fill="FFFFFF"/>
        </w:rPr>
        <w:t>, </w:t>
      </w:r>
      <w:r w:rsidRPr="00D041D3">
        <w:rPr>
          <w:rFonts w:cs="Times New Roman"/>
          <w:i/>
          <w:iCs/>
          <w:color w:val="222222"/>
          <w:shd w:val="clear" w:color="auto" w:fill="FFFFFF"/>
        </w:rPr>
        <w:t>34</w:t>
      </w:r>
      <w:r w:rsidRPr="00D041D3">
        <w:rPr>
          <w:rFonts w:cs="Times New Roman"/>
          <w:color w:val="222222"/>
          <w:shd w:val="clear" w:color="auto" w:fill="FFFFFF"/>
        </w:rPr>
        <w:t>(3), 424-430.</w:t>
      </w:r>
    </w:p>
    <w:p w14:paraId="585C7F88"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Brosnan JT, McCullough PE, Breeden GK (2011). Smooth crabgrass control with indaziflam at various spring timings. </w:t>
      </w:r>
      <w:r w:rsidRPr="00D041D3">
        <w:rPr>
          <w:rFonts w:cs="Times New Roman"/>
          <w:i/>
          <w:iCs/>
          <w:color w:val="222222"/>
          <w:shd w:val="clear" w:color="auto" w:fill="FFFFFF"/>
        </w:rPr>
        <w:t>Weed Technology</w:t>
      </w:r>
      <w:r w:rsidRPr="00D041D3">
        <w:rPr>
          <w:rFonts w:cs="Times New Roman"/>
          <w:color w:val="222222"/>
          <w:shd w:val="clear" w:color="auto" w:fill="FFFFFF"/>
        </w:rPr>
        <w:t>, </w:t>
      </w:r>
      <w:r w:rsidRPr="00D041D3">
        <w:rPr>
          <w:rFonts w:cs="Times New Roman"/>
          <w:i/>
          <w:iCs/>
          <w:color w:val="222222"/>
          <w:shd w:val="clear" w:color="auto" w:fill="FFFFFF"/>
        </w:rPr>
        <w:t>25</w:t>
      </w:r>
      <w:r w:rsidRPr="00D041D3">
        <w:rPr>
          <w:rFonts w:cs="Times New Roman"/>
          <w:color w:val="222222"/>
          <w:shd w:val="clear" w:color="auto" w:fill="FFFFFF"/>
        </w:rPr>
        <w:t>(3), 363-366.</w:t>
      </w:r>
    </w:p>
    <w:p w14:paraId="6F956AE8"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Brosnan JT, Reasor EH, Vargas JJ, Breeden GK, </w:t>
      </w:r>
      <w:proofErr w:type="spellStart"/>
      <w:r w:rsidRPr="00D041D3">
        <w:rPr>
          <w:rFonts w:cs="Times New Roman"/>
          <w:color w:val="222222"/>
          <w:shd w:val="clear" w:color="auto" w:fill="FFFFFF"/>
        </w:rPr>
        <w:t>Kopsell</w:t>
      </w:r>
      <w:proofErr w:type="spellEnd"/>
      <w:r w:rsidRPr="00D041D3">
        <w:rPr>
          <w:rFonts w:cs="Times New Roman"/>
          <w:color w:val="222222"/>
          <w:shd w:val="clear" w:color="auto" w:fill="FFFFFF"/>
        </w:rPr>
        <w:t xml:space="preserve"> DA, </w:t>
      </w:r>
      <w:proofErr w:type="spellStart"/>
      <w:r w:rsidRPr="00D041D3">
        <w:rPr>
          <w:rFonts w:cs="Times New Roman"/>
          <w:color w:val="222222"/>
          <w:shd w:val="clear" w:color="auto" w:fill="FFFFFF"/>
        </w:rPr>
        <w:t>Cutulle</w:t>
      </w:r>
      <w:proofErr w:type="spellEnd"/>
      <w:r w:rsidRPr="00D041D3">
        <w:rPr>
          <w:rFonts w:cs="Times New Roman"/>
          <w:color w:val="222222"/>
          <w:shd w:val="clear" w:color="auto" w:fill="FFFFFF"/>
        </w:rPr>
        <w:t xml:space="preserve"> MA, Mueller TC (2014). A putative prodiamine-resistant annual bluegrass (</w:t>
      </w:r>
      <w:r w:rsidRPr="00D041D3">
        <w:rPr>
          <w:rFonts w:cs="Times New Roman"/>
          <w:i/>
          <w:iCs/>
          <w:color w:val="222222"/>
          <w:shd w:val="clear" w:color="auto" w:fill="FFFFFF"/>
        </w:rPr>
        <w:t>Poa annua</w:t>
      </w:r>
      <w:r w:rsidRPr="00D041D3">
        <w:rPr>
          <w:rFonts w:cs="Times New Roman"/>
          <w:color w:val="222222"/>
          <w:shd w:val="clear" w:color="auto" w:fill="FFFFFF"/>
        </w:rPr>
        <w:t>) population is controlled by indaziflam. </w:t>
      </w:r>
      <w:r w:rsidRPr="00D041D3">
        <w:rPr>
          <w:rFonts w:cs="Times New Roman"/>
          <w:i/>
          <w:iCs/>
          <w:color w:val="222222"/>
          <w:shd w:val="clear" w:color="auto" w:fill="FFFFFF"/>
        </w:rPr>
        <w:t>Weed Science</w:t>
      </w:r>
      <w:r w:rsidRPr="00D041D3">
        <w:rPr>
          <w:rFonts w:cs="Times New Roman"/>
          <w:color w:val="222222"/>
          <w:shd w:val="clear" w:color="auto" w:fill="FFFFFF"/>
        </w:rPr>
        <w:t>, </w:t>
      </w:r>
      <w:r w:rsidRPr="00D041D3">
        <w:rPr>
          <w:rFonts w:cs="Times New Roman"/>
          <w:i/>
          <w:iCs/>
          <w:color w:val="222222"/>
          <w:shd w:val="clear" w:color="auto" w:fill="FFFFFF"/>
        </w:rPr>
        <w:t>62</w:t>
      </w:r>
      <w:r w:rsidRPr="00D041D3">
        <w:rPr>
          <w:rFonts w:cs="Times New Roman"/>
          <w:color w:val="222222"/>
          <w:shd w:val="clear" w:color="auto" w:fill="FFFFFF"/>
        </w:rPr>
        <w:t>(1), 138-144.</w:t>
      </w:r>
    </w:p>
    <w:p w14:paraId="523332B4"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Brosnan JT, Vargas JJ, Breeden GK, Zobel JM (2020b). Herbicide resistance in annual bluegrass on Tennessee golf courses. </w:t>
      </w:r>
      <w:r w:rsidRPr="00D041D3">
        <w:rPr>
          <w:rFonts w:cs="Times New Roman"/>
          <w:i/>
          <w:iCs/>
          <w:color w:val="222222"/>
          <w:shd w:val="clear" w:color="auto" w:fill="FFFFFF"/>
        </w:rPr>
        <w:t>Crop, Forage &amp; Turfgrass Management</w:t>
      </w:r>
      <w:r w:rsidRPr="00D041D3">
        <w:rPr>
          <w:rFonts w:cs="Times New Roman"/>
          <w:color w:val="222222"/>
          <w:shd w:val="clear" w:color="auto" w:fill="FFFFFF"/>
        </w:rPr>
        <w:t>, </w:t>
      </w:r>
      <w:r w:rsidRPr="00D041D3">
        <w:rPr>
          <w:rFonts w:cs="Times New Roman"/>
          <w:i/>
          <w:iCs/>
          <w:color w:val="222222"/>
          <w:shd w:val="clear" w:color="auto" w:fill="FFFFFF"/>
        </w:rPr>
        <w:t>6</w:t>
      </w:r>
      <w:r w:rsidRPr="00D041D3">
        <w:rPr>
          <w:rFonts w:cs="Times New Roman"/>
          <w:color w:val="222222"/>
          <w:shd w:val="clear" w:color="auto" w:fill="FFFFFF"/>
        </w:rPr>
        <w:t>(1), e20050.</w:t>
      </w:r>
    </w:p>
    <w:p w14:paraId="112CF6F0"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Brosnan JT, Vargas JJ, Spesard B, Netzband D, Zobel JM, Chen J, Patterson EL (2020c). Annual bluegrass (</w:t>
      </w:r>
      <w:r w:rsidRPr="00D041D3">
        <w:rPr>
          <w:rFonts w:cs="Times New Roman"/>
          <w:i/>
          <w:iCs/>
          <w:color w:val="222222"/>
          <w:shd w:val="clear" w:color="auto" w:fill="FFFFFF"/>
        </w:rPr>
        <w:t>Poa annua</w:t>
      </w:r>
      <w:r w:rsidRPr="00D041D3">
        <w:rPr>
          <w:rFonts w:cs="Times New Roman"/>
          <w:color w:val="222222"/>
          <w:shd w:val="clear" w:color="auto" w:fill="FFFFFF"/>
        </w:rPr>
        <w:t>) resistance to indaziflam applied early‐postemergence. </w:t>
      </w:r>
      <w:r w:rsidRPr="00D041D3">
        <w:rPr>
          <w:rFonts w:cs="Times New Roman"/>
          <w:i/>
          <w:iCs/>
          <w:color w:val="222222"/>
          <w:shd w:val="clear" w:color="auto" w:fill="FFFFFF"/>
        </w:rPr>
        <w:t>Pest Manag. Sci</w:t>
      </w:r>
      <w:r w:rsidRPr="00D041D3">
        <w:rPr>
          <w:rFonts w:cs="Times New Roman"/>
          <w:color w:val="222222"/>
          <w:shd w:val="clear" w:color="auto" w:fill="FFFFFF"/>
        </w:rPr>
        <w:t>, </w:t>
      </w:r>
      <w:r w:rsidRPr="00D041D3">
        <w:rPr>
          <w:rFonts w:cs="Times New Roman"/>
          <w:i/>
          <w:iCs/>
          <w:color w:val="222222"/>
          <w:shd w:val="clear" w:color="auto" w:fill="FFFFFF"/>
        </w:rPr>
        <w:t>76</w:t>
      </w:r>
      <w:r w:rsidRPr="00D041D3">
        <w:rPr>
          <w:rFonts w:cs="Times New Roman"/>
          <w:color w:val="222222"/>
          <w:shd w:val="clear" w:color="auto" w:fill="FFFFFF"/>
        </w:rPr>
        <w:t>: 2049-2057.</w:t>
      </w:r>
    </w:p>
    <w:p w14:paraId="050A1CF9"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1C1D1E"/>
          <w:shd w:val="clear" w:color="auto" w:fill="FFFFFF"/>
        </w:rPr>
        <w:lastRenderedPageBreak/>
        <w:t xml:space="preserve">Busi R, Powles SB, Beckie HJ, Renton M (2020), Rotations and mixtures of soil-applied herbicides delay resistance. </w:t>
      </w:r>
      <w:r w:rsidRPr="00D041D3">
        <w:rPr>
          <w:rFonts w:cs="Times New Roman"/>
          <w:i/>
          <w:iCs/>
          <w:color w:val="1C1D1E"/>
          <w:shd w:val="clear" w:color="auto" w:fill="FFFFFF"/>
        </w:rPr>
        <w:t>Pest. Manag. Sci</w:t>
      </w:r>
      <w:r w:rsidRPr="00D041D3">
        <w:rPr>
          <w:rFonts w:cs="Times New Roman"/>
          <w:color w:val="1C1D1E"/>
          <w:shd w:val="clear" w:color="auto" w:fill="FFFFFF"/>
        </w:rPr>
        <w:t>., 76: 487-</w:t>
      </w:r>
      <w:r w:rsidRPr="003235CE">
        <w:rPr>
          <w:rFonts w:cs="Times New Roman"/>
          <w:color w:val="000000" w:themeColor="text1"/>
          <w:shd w:val="clear" w:color="auto" w:fill="FFFFFF"/>
        </w:rPr>
        <w:t>496. </w:t>
      </w:r>
      <w:hyperlink r:id="rId14" w:history="1">
        <w:r w:rsidRPr="003235CE">
          <w:rPr>
            <w:rStyle w:val="Hyperlink"/>
            <w:rFonts w:cs="Times New Roman"/>
            <w:color w:val="000000" w:themeColor="text1"/>
            <w:shd w:val="clear" w:color="auto" w:fill="FFFFFF"/>
          </w:rPr>
          <w:t>https://doi.org/10.1002/ps.5534</w:t>
        </w:r>
      </w:hyperlink>
    </w:p>
    <w:p w14:paraId="70063061"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Carroll DE, Brosnan JT, Breeden GK (2021). Annual bluegrass control in bermudagrass using dimethenamid and pendimethalin. </w:t>
      </w:r>
      <w:r w:rsidRPr="00D041D3">
        <w:rPr>
          <w:rFonts w:cs="Times New Roman"/>
          <w:i/>
          <w:iCs/>
          <w:color w:val="222222"/>
          <w:shd w:val="clear" w:color="auto" w:fill="FFFFFF"/>
        </w:rPr>
        <w:t>Crop, Forage &amp; Turfgrass Management</w:t>
      </w:r>
      <w:r w:rsidRPr="00D041D3">
        <w:rPr>
          <w:rFonts w:cs="Times New Roman"/>
          <w:color w:val="222222"/>
          <w:shd w:val="clear" w:color="auto" w:fill="FFFFFF"/>
        </w:rPr>
        <w:t>, </w:t>
      </w:r>
      <w:r w:rsidRPr="00D041D3">
        <w:rPr>
          <w:rFonts w:cs="Times New Roman"/>
          <w:i/>
          <w:iCs/>
          <w:color w:val="222222"/>
          <w:shd w:val="clear" w:color="auto" w:fill="FFFFFF"/>
        </w:rPr>
        <w:t>7</w:t>
      </w:r>
      <w:r w:rsidRPr="00D041D3">
        <w:rPr>
          <w:rFonts w:cs="Times New Roman"/>
          <w:color w:val="222222"/>
          <w:shd w:val="clear" w:color="auto" w:fill="FFFFFF"/>
        </w:rPr>
        <w:t>(1), e20083.</w:t>
      </w:r>
    </w:p>
    <w:p w14:paraId="387AF4B9"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Castner MC, Norsworthy JK, Edmund RM, Avent TH, Noe SC (2024a, January 22-25). Tetflupyrolimet Targets a Novel Site for </w:t>
      </w:r>
      <w:proofErr w:type="spellStart"/>
      <w:r w:rsidRPr="00D041D3">
        <w:rPr>
          <w:rFonts w:cs="Times New Roman"/>
          <w:color w:val="222222"/>
          <w:shd w:val="clear" w:color="auto" w:fill="FFFFFF"/>
        </w:rPr>
        <w:t>Barnyardgrass</w:t>
      </w:r>
      <w:proofErr w:type="spellEnd"/>
      <w:r w:rsidRPr="00D041D3">
        <w:rPr>
          <w:rFonts w:cs="Times New Roman"/>
          <w:color w:val="222222"/>
          <w:shd w:val="clear" w:color="auto" w:fill="FFFFFF"/>
        </w:rPr>
        <w:t xml:space="preserve"> Management in Rice [Poster Abstract]. 2024 Weed Science Society of America Annual Meeting, San Antonio, TX, United States.</w:t>
      </w:r>
    </w:p>
    <w:p w14:paraId="600B1DDE"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Castner MC, Norsworthy JK, Hwang J, </w:t>
      </w:r>
      <w:proofErr w:type="spellStart"/>
      <w:r w:rsidRPr="00D041D3">
        <w:rPr>
          <w:rFonts w:cs="Times New Roman"/>
          <w:color w:val="222222"/>
          <w:shd w:val="clear" w:color="auto" w:fill="FFFFFF"/>
        </w:rPr>
        <w:t>Stry</w:t>
      </w:r>
      <w:proofErr w:type="spellEnd"/>
      <w:r w:rsidRPr="00D041D3">
        <w:rPr>
          <w:rFonts w:cs="Times New Roman"/>
          <w:color w:val="222222"/>
          <w:shd w:val="clear" w:color="auto" w:fill="FFFFFF"/>
        </w:rPr>
        <w:t xml:space="preserve"> J, Puri A, Edmund RM (2024b, January 22-25). Dissipation and Carryover Potential for Tetflupyrolimet on Two Silt Loam Soils in the Midsouth [Poster Abstract]. 2024 Weed Science Society of America Annual Meeting, San Antonio, TX, United States.</w:t>
      </w:r>
    </w:p>
    <w:p w14:paraId="2585C47D"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Dayan FE (2019). Current status and future prospects in herbicide discovery. </w:t>
      </w:r>
      <w:r w:rsidRPr="00D041D3">
        <w:rPr>
          <w:rFonts w:cs="Times New Roman"/>
          <w:i/>
          <w:iCs/>
          <w:color w:val="222222"/>
          <w:shd w:val="clear" w:color="auto" w:fill="FFFFFF"/>
        </w:rPr>
        <w:t>Plants</w:t>
      </w:r>
      <w:r w:rsidRPr="00D041D3">
        <w:rPr>
          <w:rFonts w:cs="Times New Roman"/>
          <w:color w:val="222222"/>
          <w:shd w:val="clear" w:color="auto" w:fill="FFFFFF"/>
        </w:rPr>
        <w:t>, </w:t>
      </w:r>
      <w:r w:rsidRPr="00D041D3">
        <w:rPr>
          <w:rFonts w:cs="Times New Roman"/>
          <w:i/>
          <w:iCs/>
          <w:color w:val="222222"/>
          <w:shd w:val="clear" w:color="auto" w:fill="FFFFFF"/>
        </w:rPr>
        <w:t>8</w:t>
      </w:r>
      <w:r w:rsidRPr="00D041D3">
        <w:rPr>
          <w:rFonts w:cs="Times New Roman"/>
          <w:color w:val="222222"/>
          <w:shd w:val="clear" w:color="auto" w:fill="FFFFFF"/>
        </w:rPr>
        <w:t>(9), 341.</w:t>
      </w:r>
    </w:p>
    <w:p w14:paraId="17CFA609" w14:textId="15E19951" w:rsidR="001D4ABE" w:rsidRPr="00D041D3" w:rsidRDefault="001D4ABE" w:rsidP="000C799B">
      <w:pPr>
        <w:spacing w:line="360" w:lineRule="auto"/>
        <w:ind w:left="720" w:hanging="576"/>
        <w:rPr>
          <w:rStyle w:val="Hyperlink"/>
          <w:rFonts w:cs="Times New Roman"/>
        </w:rPr>
      </w:pPr>
      <w:r w:rsidRPr="002435BF">
        <w:rPr>
          <w:rFonts w:cs="Times New Roman"/>
          <w:color w:val="000000" w:themeColor="text1"/>
          <w:lang w:val="pt-BR"/>
        </w:rPr>
        <w:t>De Mendiburu F, Simon R (2015). </w:t>
      </w:r>
      <w:proofErr w:type="spellStart"/>
      <w:r w:rsidRPr="00D041D3">
        <w:rPr>
          <w:rFonts w:cs="Times New Roman"/>
          <w:color w:val="000000" w:themeColor="text1"/>
        </w:rPr>
        <w:t>Agricolae</w:t>
      </w:r>
      <w:proofErr w:type="spellEnd"/>
      <w:r w:rsidRPr="00D041D3">
        <w:rPr>
          <w:rFonts w:cs="Times New Roman"/>
          <w:color w:val="000000" w:themeColor="text1"/>
        </w:rPr>
        <w:t xml:space="preserve">-Ten years of an </w:t>
      </w:r>
      <w:proofErr w:type="gramStart"/>
      <w:r w:rsidRPr="00D041D3">
        <w:rPr>
          <w:rFonts w:cs="Times New Roman"/>
          <w:color w:val="000000" w:themeColor="text1"/>
        </w:rPr>
        <w:t>open source</w:t>
      </w:r>
      <w:proofErr w:type="gramEnd"/>
      <w:r w:rsidRPr="00D041D3">
        <w:rPr>
          <w:rFonts w:cs="Times New Roman"/>
          <w:color w:val="000000" w:themeColor="text1"/>
        </w:rPr>
        <w:t xml:space="preserve"> statistical tool for </w:t>
      </w:r>
      <w:r w:rsidRPr="003235CE">
        <w:rPr>
          <w:rFonts w:cs="Times New Roman"/>
          <w:color w:val="000000" w:themeColor="text1"/>
        </w:rPr>
        <w:t>experiments in breeding, agriculture</w:t>
      </w:r>
      <w:r w:rsidR="003235CE" w:rsidRPr="003235CE">
        <w:rPr>
          <w:rFonts w:cs="Times New Roman"/>
          <w:color w:val="000000" w:themeColor="text1"/>
        </w:rPr>
        <w:t>,</w:t>
      </w:r>
      <w:r w:rsidRPr="003235CE">
        <w:rPr>
          <w:rFonts w:cs="Times New Roman"/>
          <w:color w:val="000000" w:themeColor="text1"/>
        </w:rPr>
        <w:t xml:space="preserve"> and biology (No. e1748). </w:t>
      </w:r>
      <w:proofErr w:type="spellStart"/>
      <w:r w:rsidRPr="003235CE">
        <w:rPr>
          <w:rFonts w:cs="Times New Roman"/>
          <w:i/>
          <w:iCs/>
          <w:color w:val="000000" w:themeColor="text1"/>
        </w:rPr>
        <w:t>PeerJ</w:t>
      </w:r>
      <w:proofErr w:type="spellEnd"/>
      <w:r w:rsidRPr="003235CE">
        <w:rPr>
          <w:rFonts w:cs="Times New Roman"/>
          <w:i/>
          <w:iCs/>
          <w:color w:val="000000" w:themeColor="text1"/>
        </w:rPr>
        <w:t xml:space="preserve"> </w:t>
      </w:r>
      <w:proofErr w:type="spellStart"/>
      <w:r w:rsidRPr="003235CE">
        <w:rPr>
          <w:rFonts w:cs="Times New Roman"/>
          <w:i/>
          <w:iCs/>
          <w:color w:val="000000" w:themeColor="text1"/>
        </w:rPr>
        <w:t>PrePrints</w:t>
      </w:r>
      <w:proofErr w:type="spellEnd"/>
      <w:r w:rsidRPr="003235CE">
        <w:rPr>
          <w:rFonts w:cs="Times New Roman"/>
          <w:i/>
          <w:iCs/>
          <w:color w:val="000000" w:themeColor="text1"/>
        </w:rPr>
        <w:t xml:space="preserve">. </w:t>
      </w:r>
      <w:hyperlink r:id="rId15" w:history="1">
        <w:r w:rsidRPr="003235CE">
          <w:rPr>
            <w:rStyle w:val="Hyperlink"/>
            <w:rFonts w:cs="Times New Roman"/>
            <w:color w:val="000000" w:themeColor="text1"/>
          </w:rPr>
          <w:t>https://doi.org/10.7287/peerj.preprints.1404v1</w:t>
        </w:r>
      </w:hyperlink>
    </w:p>
    <w:p w14:paraId="14216AB5" w14:textId="77777777" w:rsidR="001D4ABE" w:rsidRPr="00D041D3" w:rsidRDefault="001D4ABE" w:rsidP="000C799B">
      <w:pPr>
        <w:spacing w:line="360" w:lineRule="auto"/>
        <w:ind w:left="720" w:hanging="576"/>
        <w:rPr>
          <w:rFonts w:cs="Times New Roman"/>
          <w:color w:val="000000" w:themeColor="text1"/>
        </w:rPr>
      </w:pPr>
      <w:r w:rsidRPr="00D041D3">
        <w:rPr>
          <w:rFonts w:cs="Times New Roman"/>
          <w:color w:val="000000" w:themeColor="text1"/>
        </w:rPr>
        <w:t>Gelernter W, Stowell L (2005) Improved overseeding programs: 1. The role of weather. </w:t>
      </w:r>
      <w:r w:rsidRPr="00D041D3">
        <w:rPr>
          <w:rFonts w:cs="Times New Roman"/>
          <w:i/>
          <w:iCs/>
          <w:color w:val="000000" w:themeColor="text1"/>
        </w:rPr>
        <w:t>Golf Course Management.</w:t>
      </w:r>
      <w:r w:rsidRPr="00D041D3">
        <w:rPr>
          <w:rFonts w:cs="Times New Roman"/>
          <w:color w:val="000000" w:themeColor="text1"/>
        </w:rPr>
        <w:t> 73(3), 108-113.</w:t>
      </w:r>
    </w:p>
    <w:p w14:paraId="61076783" w14:textId="77777777" w:rsidR="001D4ABE" w:rsidRPr="00D041D3" w:rsidRDefault="001D4ABE" w:rsidP="000C799B">
      <w:pPr>
        <w:spacing w:line="360" w:lineRule="auto"/>
        <w:ind w:left="720" w:hanging="576"/>
        <w:rPr>
          <w:rFonts w:cs="Times New Roman"/>
          <w:color w:val="000000" w:themeColor="text1"/>
        </w:rPr>
      </w:pPr>
      <w:r w:rsidRPr="00D041D3">
        <w:rPr>
          <w:rFonts w:cs="Times New Roman"/>
          <w:color w:val="1C1D1E"/>
          <w:shd w:val="clear" w:color="auto" w:fill="FFFFFF"/>
        </w:rPr>
        <w:t>Han H, Yu Q, Beffa R, González S, Maiwald F, Wang J, Powles SB (2021), Cytochrome P450 CYP81A10v7 in </w:t>
      </w:r>
      <w:r w:rsidRPr="00D041D3">
        <w:rPr>
          <w:rFonts w:cs="Times New Roman"/>
          <w:i/>
          <w:iCs/>
          <w:color w:val="1C1D1E"/>
          <w:shd w:val="clear" w:color="auto" w:fill="FFFFFF"/>
        </w:rPr>
        <w:t xml:space="preserve">Lolium </w:t>
      </w:r>
      <w:proofErr w:type="spellStart"/>
      <w:r w:rsidRPr="00D041D3">
        <w:rPr>
          <w:rFonts w:cs="Times New Roman"/>
          <w:i/>
          <w:iCs/>
          <w:color w:val="1C1D1E"/>
          <w:shd w:val="clear" w:color="auto" w:fill="FFFFFF"/>
        </w:rPr>
        <w:t>rigidum</w:t>
      </w:r>
      <w:proofErr w:type="spellEnd"/>
      <w:r w:rsidRPr="00D041D3">
        <w:rPr>
          <w:rFonts w:cs="Times New Roman"/>
          <w:color w:val="1C1D1E"/>
          <w:shd w:val="clear" w:color="auto" w:fill="FFFFFF"/>
        </w:rPr>
        <w:t> confers metabolic resistance to herbicides across at least five modes of action. Plant J., 105: 79-92</w:t>
      </w:r>
      <w:r w:rsidRPr="003235CE">
        <w:rPr>
          <w:rFonts w:cs="Times New Roman"/>
          <w:color w:val="000000" w:themeColor="text1"/>
          <w:shd w:val="clear" w:color="auto" w:fill="FFFFFF"/>
        </w:rPr>
        <w:t>. </w:t>
      </w:r>
      <w:hyperlink r:id="rId16" w:history="1">
        <w:r w:rsidRPr="003235CE">
          <w:rPr>
            <w:rStyle w:val="Hyperlink"/>
            <w:rFonts w:cs="Times New Roman"/>
            <w:color w:val="000000" w:themeColor="text1"/>
            <w:shd w:val="clear" w:color="auto" w:fill="FFFFFF"/>
          </w:rPr>
          <w:t>https://doi.org/10.1111/tpj.15040</w:t>
        </w:r>
      </w:hyperlink>
    </w:p>
    <w:p w14:paraId="741AEA8C" w14:textId="77777777" w:rsidR="001D4ABE" w:rsidRPr="00D041D3" w:rsidRDefault="001D4ABE" w:rsidP="000C799B">
      <w:pPr>
        <w:pStyle w:val="NormalWeb"/>
        <w:shd w:val="clear" w:color="auto" w:fill="FFFFFF"/>
        <w:spacing w:before="0" w:beforeAutospacing="0" w:after="0" w:afterAutospacing="0" w:line="360" w:lineRule="auto"/>
        <w:ind w:left="576" w:hanging="576"/>
      </w:pPr>
      <w:r w:rsidRPr="00D041D3">
        <w:t>Heap I (2024) The International Herbicide-Resistant Weed Database. Online. www.weedscience.org. Accessed on June 11th, 2024.</w:t>
      </w:r>
    </w:p>
    <w:p w14:paraId="47A4F485" w14:textId="77777777" w:rsidR="001D4ABE" w:rsidRPr="00D041D3" w:rsidRDefault="001D4ABE" w:rsidP="000C799B">
      <w:pPr>
        <w:pStyle w:val="NormalWeb"/>
        <w:shd w:val="clear" w:color="auto" w:fill="FFFFFF"/>
        <w:spacing w:before="0" w:beforeAutospacing="0" w:after="0" w:afterAutospacing="0" w:line="360" w:lineRule="auto"/>
        <w:ind w:left="576" w:hanging="576"/>
      </w:pPr>
      <w:r w:rsidRPr="00D041D3">
        <w:t>Khalil Y, Flower K, Siddique KH, Ward P (2019). Rainfall affects leaching of pre-emergent herbicide from wheat residue into the soil. </w:t>
      </w:r>
      <w:proofErr w:type="spellStart"/>
      <w:r w:rsidRPr="00D041D3">
        <w:rPr>
          <w:i/>
          <w:iCs/>
        </w:rPr>
        <w:t>PloS</w:t>
      </w:r>
      <w:proofErr w:type="spellEnd"/>
      <w:r w:rsidRPr="00D041D3">
        <w:rPr>
          <w:i/>
          <w:iCs/>
        </w:rPr>
        <w:t xml:space="preserve"> one</w:t>
      </w:r>
      <w:r w:rsidRPr="00D041D3">
        <w:t>, </w:t>
      </w:r>
      <w:r w:rsidRPr="00D041D3">
        <w:rPr>
          <w:i/>
          <w:iCs/>
        </w:rPr>
        <w:t>14</w:t>
      </w:r>
      <w:r w:rsidRPr="00D041D3">
        <w:t>(2), e0210219.</w:t>
      </w:r>
    </w:p>
    <w:p w14:paraId="1E456F4E"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Kang IH, Emptage RP, Kim SI, Gutteridge S (2023). A novel mechanism of herbicide action through disruption of pyrimidine biosynthesis. </w:t>
      </w:r>
      <w:r w:rsidRPr="00D041D3">
        <w:rPr>
          <w:i/>
          <w:iCs/>
          <w:color w:val="222222"/>
          <w:shd w:val="clear" w:color="auto" w:fill="FFFFFF"/>
        </w:rPr>
        <w:t>Proceedings of the National Academy of Sciences</w:t>
      </w:r>
      <w:r w:rsidRPr="00D041D3">
        <w:rPr>
          <w:color w:val="222222"/>
          <w:shd w:val="clear" w:color="auto" w:fill="FFFFFF"/>
        </w:rPr>
        <w:t>, </w:t>
      </w:r>
      <w:r w:rsidRPr="00D041D3">
        <w:rPr>
          <w:i/>
          <w:iCs/>
          <w:color w:val="222222"/>
          <w:shd w:val="clear" w:color="auto" w:fill="FFFFFF"/>
        </w:rPr>
        <w:t>120</w:t>
      </w:r>
      <w:r w:rsidRPr="00D041D3">
        <w:rPr>
          <w:color w:val="222222"/>
          <w:shd w:val="clear" w:color="auto" w:fill="FFFFFF"/>
        </w:rPr>
        <w:t>(48), e2313197120.</w:t>
      </w:r>
    </w:p>
    <w:p w14:paraId="68CBC6C5"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lastRenderedPageBreak/>
        <w:t xml:space="preserve">Lombardi MA, Al-Khatib K (2023). Control of </w:t>
      </w:r>
      <w:proofErr w:type="spellStart"/>
      <w:r w:rsidRPr="00D041D3">
        <w:rPr>
          <w:color w:val="222222"/>
          <w:shd w:val="clear" w:color="auto" w:fill="FFFFFF"/>
        </w:rPr>
        <w:t>Echinochloa</w:t>
      </w:r>
      <w:proofErr w:type="spellEnd"/>
      <w:r w:rsidRPr="00D041D3">
        <w:rPr>
          <w:color w:val="222222"/>
          <w:shd w:val="clear" w:color="auto" w:fill="FFFFFF"/>
        </w:rPr>
        <w:t xml:space="preserve"> spp. and </w:t>
      </w:r>
      <w:proofErr w:type="spellStart"/>
      <w:r w:rsidRPr="00D041D3">
        <w:rPr>
          <w:color w:val="222222"/>
          <w:shd w:val="clear" w:color="auto" w:fill="FFFFFF"/>
        </w:rPr>
        <w:t>Leptochloa</w:t>
      </w:r>
      <w:proofErr w:type="spellEnd"/>
      <w:r w:rsidRPr="00D041D3">
        <w:rPr>
          <w:color w:val="222222"/>
          <w:shd w:val="clear" w:color="auto" w:fill="FFFFFF"/>
        </w:rPr>
        <w:t xml:space="preserve"> fascicularis with the Novel Dihydroorotate Dehydrogenase Inhibitor Herbicide Tetflupyrolimet in California Water-seeded Rice. </w:t>
      </w:r>
      <w:r w:rsidRPr="00D041D3">
        <w:rPr>
          <w:i/>
          <w:iCs/>
          <w:color w:val="222222"/>
          <w:shd w:val="clear" w:color="auto" w:fill="FFFFFF"/>
        </w:rPr>
        <w:t>Weed Technology</w:t>
      </w:r>
      <w:r w:rsidRPr="00D041D3">
        <w:rPr>
          <w:color w:val="222222"/>
          <w:shd w:val="clear" w:color="auto" w:fill="FFFFFF"/>
        </w:rPr>
        <w:t>, 1-34.</w:t>
      </w:r>
    </w:p>
    <w:p w14:paraId="6C955FAF"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 xml:space="preserve">Luban J, Sattler RA, Mühlberger E, Graci JD, Cao L, </w:t>
      </w:r>
      <w:proofErr w:type="spellStart"/>
      <w:r w:rsidRPr="00D041D3">
        <w:rPr>
          <w:color w:val="222222"/>
          <w:shd w:val="clear" w:color="auto" w:fill="FFFFFF"/>
        </w:rPr>
        <w:t>Weetall</w:t>
      </w:r>
      <w:proofErr w:type="spellEnd"/>
      <w:r w:rsidRPr="00D041D3">
        <w:rPr>
          <w:color w:val="222222"/>
          <w:shd w:val="clear" w:color="auto" w:fill="FFFFFF"/>
        </w:rPr>
        <w:t xml:space="preserve"> M, Trotta C, Colacino JM, </w:t>
      </w:r>
      <w:proofErr w:type="spellStart"/>
      <w:r w:rsidRPr="00D041D3">
        <w:rPr>
          <w:color w:val="222222"/>
          <w:shd w:val="clear" w:color="auto" w:fill="FFFFFF"/>
        </w:rPr>
        <w:t>Bavari</w:t>
      </w:r>
      <w:proofErr w:type="spellEnd"/>
      <w:r w:rsidRPr="00D041D3">
        <w:rPr>
          <w:color w:val="222222"/>
          <w:shd w:val="clear" w:color="auto" w:fill="FFFFFF"/>
        </w:rPr>
        <w:t xml:space="preserve"> S, </w:t>
      </w:r>
      <w:proofErr w:type="spellStart"/>
      <w:r w:rsidRPr="00D041D3">
        <w:rPr>
          <w:color w:val="222222"/>
          <w:shd w:val="clear" w:color="auto" w:fill="FFFFFF"/>
        </w:rPr>
        <w:t>Strambio</w:t>
      </w:r>
      <w:proofErr w:type="spellEnd"/>
      <w:r w:rsidRPr="00D041D3">
        <w:rPr>
          <w:color w:val="222222"/>
          <w:shd w:val="clear" w:color="auto" w:fill="FFFFFF"/>
        </w:rPr>
        <w:t xml:space="preserve">-De-Castilla C, Suder EL, Wang Y, Soloveva V, Cintron-Lue K, Naryshkin NA, Pykett M, Welch EM, O’Keefe K, Kong R, Goodwin E, Jacobson A, </w:t>
      </w:r>
      <w:proofErr w:type="spellStart"/>
      <w:r w:rsidRPr="00D041D3">
        <w:rPr>
          <w:color w:val="222222"/>
          <w:shd w:val="clear" w:color="auto" w:fill="FFFFFF"/>
        </w:rPr>
        <w:t>Paessler</w:t>
      </w:r>
      <w:proofErr w:type="spellEnd"/>
      <w:r w:rsidRPr="00D041D3">
        <w:rPr>
          <w:color w:val="222222"/>
          <w:shd w:val="clear" w:color="auto" w:fill="FFFFFF"/>
        </w:rPr>
        <w:t xml:space="preserve"> S, Peltz SW (2021). The DHODH inhibitor PTC299 arrests SARS-CoV-2 replication and suppresses induction of inflammatory cytokines. </w:t>
      </w:r>
      <w:r w:rsidRPr="00D041D3">
        <w:rPr>
          <w:i/>
          <w:iCs/>
          <w:color w:val="222222"/>
          <w:shd w:val="clear" w:color="auto" w:fill="FFFFFF"/>
        </w:rPr>
        <w:t>Virus Research</w:t>
      </w:r>
      <w:r w:rsidRPr="00D041D3">
        <w:rPr>
          <w:color w:val="222222"/>
          <w:shd w:val="clear" w:color="auto" w:fill="FFFFFF"/>
        </w:rPr>
        <w:t>, </w:t>
      </w:r>
      <w:r w:rsidRPr="00D041D3">
        <w:rPr>
          <w:i/>
          <w:iCs/>
          <w:color w:val="222222"/>
          <w:shd w:val="clear" w:color="auto" w:fill="FFFFFF"/>
        </w:rPr>
        <w:t>292</w:t>
      </w:r>
      <w:r w:rsidRPr="00D041D3">
        <w:rPr>
          <w:color w:val="222222"/>
          <w:shd w:val="clear" w:color="auto" w:fill="FFFFFF"/>
        </w:rPr>
        <w:t>, 198246.</w:t>
      </w:r>
    </w:p>
    <w:p w14:paraId="3984C0E6" w14:textId="77777777" w:rsidR="001D4ABE" w:rsidRPr="002435BF"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McCullough PE, Hart SE, Gianfagna T, Chaves F (2011). Nitrogen influences bispyribac-sodium efficacy and metabolism in annual bluegrass (</w:t>
      </w:r>
      <w:r w:rsidRPr="00D041D3">
        <w:rPr>
          <w:i/>
          <w:iCs/>
          <w:color w:val="222222"/>
          <w:shd w:val="clear" w:color="auto" w:fill="FFFFFF"/>
        </w:rPr>
        <w:t>Poa annua</w:t>
      </w:r>
      <w:r w:rsidRPr="00D041D3">
        <w:rPr>
          <w:color w:val="222222"/>
          <w:shd w:val="clear" w:color="auto" w:fill="FFFFFF"/>
        </w:rPr>
        <w:t>) and creeping bentgrass (Agrostis stolonifera). </w:t>
      </w:r>
      <w:r w:rsidRPr="002435BF">
        <w:rPr>
          <w:i/>
          <w:iCs/>
          <w:color w:val="222222"/>
          <w:shd w:val="clear" w:color="auto" w:fill="FFFFFF"/>
        </w:rPr>
        <w:t>Weed Technology</w:t>
      </w:r>
      <w:r w:rsidRPr="002435BF">
        <w:rPr>
          <w:color w:val="222222"/>
          <w:shd w:val="clear" w:color="auto" w:fill="FFFFFF"/>
        </w:rPr>
        <w:t>, </w:t>
      </w:r>
      <w:r w:rsidRPr="002435BF">
        <w:rPr>
          <w:i/>
          <w:iCs/>
          <w:color w:val="222222"/>
          <w:shd w:val="clear" w:color="auto" w:fill="FFFFFF"/>
        </w:rPr>
        <w:t>25</w:t>
      </w:r>
      <w:r w:rsidRPr="002435BF">
        <w:rPr>
          <w:color w:val="222222"/>
          <w:shd w:val="clear" w:color="auto" w:fill="FFFFFF"/>
        </w:rPr>
        <w:t>(3), 385-390.</w:t>
      </w:r>
    </w:p>
    <w:p w14:paraId="34E908DA"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 xml:space="preserve">McCurdy JD, Bowling RG, Patton AJ, de Castro EB, Kowalewski AR, Mattox CM, Brosnan JT, Ervin DE, Askew SD, </w:t>
      </w:r>
      <w:proofErr w:type="spellStart"/>
      <w:r w:rsidRPr="00D041D3">
        <w:rPr>
          <w:color w:val="222222"/>
          <w:shd w:val="clear" w:color="auto" w:fill="FFFFFF"/>
        </w:rPr>
        <w:t>Gonclaves</w:t>
      </w:r>
      <w:proofErr w:type="spellEnd"/>
      <w:r w:rsidRPr="00D041D3">
        <w:rPr>
          <w:color w:val="222222"/>
          <w:shd w:val="clear" w:color="auto" w:fill="FFFFFF"/>
        </w:rPr>
        <w:t xml:space="preserve"> CG, Elmore MT, McElroy JS, McNally BC, Pritchard BD, Kaminski JE, </w:t>
      </w:r>
      <w:proofErr w:type="spellStart"/>
      <w:r w:rsidRPr="00D041D3">
        <w:rPr>
          <w:color w:val="222222"/>
          <w:shd w:val="clear" w:color="auto" w:fill="FFFFFF"/>
        </w:rPr>
        <w:t>Bagavathiannan</w:t>
      </w:r>
      <w:proofErr w:type="spellEnd"/>
      <w:r w:rsidRPr="00D041D3">
        <w:rPr>
          <w:color w:val="222222"/>
          <w:shd w:val="clear" w:color="auto" w:fill="FFFFFF"/>
        </w:rPr>
        <w:t xml:space="preserve"> MV (2023). Developing and implementing a sustainable, integrated weed management program for herbicide‐resistant Poa annua in turfgrass. </w:t>
      </w:r>
      <w:r w:rsidRPr="00D041D3">
        <w:rPr>
          <w:i/>
          <w:iCs/>
          <w:color w:val="222222"/>
          <w:shd w:val="clear" w:color="auto" w:fill="FFFFFF"/>
        </w:rPr>
        <w:t>Crop, Forage &amp; Turfgrass Management</w:t>
      </w:r>
      <w:r w:rsidRPr="00D041D3">
        <w:rPr>
          <w:color w:val="222222"/>
          <w:shd w:val="clear" w:color="auto" w:fill="FFFFFF"/>
        </w:rPr>
        <w:t>, </w:t>
      </w:r>
      <w:r w:rsidRPr="00D041D3">
        <w:rPr>
          <w:i/>
          <w:iCs/>
          <w:color w:val="222222"/>
          <w:shd w:val="clear" w:color="auto" w:fill="FFFFFF"/>
        </w:rPr>
        <w:t>9</w:t>
      </w:r>
      <w:r w:rsidRPr="00D041D3">
        <w:rPr>
          <w:color w:val="222222"/>
          <w:shd w:val="clear" w:color="auto" w:fill="FFFFFF"/>
        </w:rPr>
        <w:t>(1), e20225.</w:t>
      </w:r>
    </w:p>
    <w:p w14:paraId="6B05701B"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McIntosh MS (1983). Analysis of combined experiments 1. </w:t>
      </w:r>
      <w:r w:rsidRPr="00D041D3">
        <w:rPr>
          <w:i/>
          <w:iCs/>
          <w:color w:val="222222"/>
          <w:shd w:val="clear" w:color="auto" w:fill="FFFFFF"/>
        </w:rPr>
        <w:t>Agronomy Journal</w:t>
      </w:r>
      <w:r w:rsidRPr="00D041D3">
        <w:rPr>
          <w:color w:val="222222"/>
          <w:shd w:val="clear" w:color="auto" w:fill="FFFFFF"/>
        </w:rPr>
        <w:t>, </w:t>
      </w:r>
      <w:r w:rsidRPr="00D041D3">
        <w:rPr>
          <w:i/>
          <w:iCs/>
          <w:color w:val="222222"/>
          <w:shd w:val="clear" w:color="auto" w:fill="FFFFFF"/>
        </w:rPr>
        <w:t>75</w:t>
      </w:r>
      <w:r w:rsidRPr="00D041D3">
        <w:rPr>
          <w:color w:val="222222"/>
          <w:shd w:val="clear" w:color="auto" w:fill="FFFFFF"/>
        </w:rPr>
        <w:t>(1), 153-155.</w:t>
      </w:r>
    </w:p>
    <w:p w14:paraId="4AAA9EA4"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rPr>
      </w:pPr>
      <w:r w:rsidRPr="00D041D3">
        <w:rPr>
          <w:color w:val="222222"/>
          <w:shd w:val="clear" w:color="auto" w:fill="FFFFFF"/>
        </w:rPr>
        <w:t xml:space="preserve">Peppers JM, Hwang KH, Koo SJ, Askew SD (2024). Dissipation of spring-applied </w:t>
      </w:r>
      <w:proofErr w:type="spellStart"/>
      <w:r w:rsidRPr="00D041D3">
        <w:rPr>
          <w:color w:val="222222"/>
          <w:shd w:val="clear" w:color="auto" w:fill="FFFFFF"/>
        </w:rPr>
        <w:t>methiozolin</w:t>
      </w:r>
      <w:proofErr w:type="spellEnd"/>
      <w:r w:rsidRPr="00D041D3">
        <w:rPr>
          <w:color w:val="222222"/>
          <w:shd w:val="clear" w:color="auto" w:fill="FFFFFF"/>
        </w:rPr>
        <w:t xml:space="preserve"> in turfgrass systems. </w:t>
      </w:r>
      <w:r w:rsidRPr="00D041D3">
        <w:rPr>
          <w:i/>
          <w:iCs/>
          <w:color w:val="222222"/>
          <w:shd w:val="clear" w:color="auto" w:fill="FFFFFF"/>
        </w:rPr>
        <w:t>Weed Science</w:t>
      </w:r>
      <w:r w:rsidRPr="00D041D3">
        <w:rPr>
          <w:color w:val="222222"/>
          <w:shd w:val="clear" w:color="auto" w:fill="FFFFFF"/>
        </w:rPr>
        <w:t>, </w:t>
      </w:r>
      <w:r w:rsidRPr="00D041D3">
        <w:rPr>
          <w:i/>
          <w:iCs/>
          <w:color w:val="222222"/>
          <w:shd w:val="clear" w:color="auto" w:fill="FFFFFF"/>
        </w:rPr>
        <w:t>72</w:t>
      </w:r>
      <w:r w:rsidRPr="00D041D3">
        <w:rPr>
          <w:color w:val="222222"/>
          <w:shd w:val="clear" w:color="auto" w:fill="FFFFFF"/>
        </w:rPr>
        <w:t>(3), 296-304.</w:t>
      </w:r>
    </w:p>
    <w:p w14:paraId="0E94C389" w14:textId="77777777" w:rsidR="001D4ABE" w:rsidRPr="00D041D3" w:rsidRDefault="001D4ABE" w:rsidP="000C799B">
      <w:pPr>
        <w:pStyle w:val="NormalWeb"/>
        <w:shd w:val="clear" w:color="auto" w:fill="FFFFFF"/>
        <w:spacing w:before="0" w:beforeAutospacing="0" w:after="0" w:afterAutospacing="0" w:line="360" w:lineRule="auto"/>
        <w:ind w:left="576" w:hanging="576"/>
        <w:rPr>
          <w:color w:val="222222"/>
          <w:shd w:val="clear" w:color="auto" w:fill="FFFFFF"/>
          <w:lang w:val="pt-BR"/>
        </w:rPr>
      </w:pPr>
      <w:r w:rsidRPr="00D041D3">
        <w:rPr>
          <w:color w:val="222222"/>
          <w:shd w:val="clear" w:color="auto" w:fill="FFFFFF"/>
        </w:rPr>
        <w:t xml:space="preserve">Pester, TA, Westra P, Anderson RL, Lyon DJ, Miller SD, Stahlman PW, Northam FE, Wicks GA (2000). Secale cereale interference and economic thresholds in winter </w:t>
      </w:r>
      <w:r w:rsidRPr="00D041D3">
        <w:rPr>
          <w:i/>
          <w:iCs/>
          <w:color w:val="222222"/>
          <w:shd w:val="clear" w:color="auto" w:fill="FFFFFF"/>
        </w:rPr>
        <w:t>Triticum aestivum</w:t>
      </w:r>
      <w:r w:rsidRPr="00D041D3">
        <w:rPr>
          <w:color w:val="222222"/>
          <w:shd w:val="clear" w:color="auto" w:fill="FFFFFF"/>
        </w:rPr>
        <w:t>. </w:t>
      </w:r>
      <w:r w:rsidRPr="00D041D3">
        <w:rPr>
          <w:i/>
          <w:iCs/>
          <w:color w:val="222222"/>
          <w:shd w:val="clear" w:color="auto" w:fill="FFFFFF"/>
          <w:lang w:val="pt-BR"/>
        </w:rPr>
        <w:t>Weed Science</w:t>
      </w:r>
      <w:r w:rsidRPr="00D041D3">
        <w:rPr>
          <w:color w:val="222222"/>
          <w:shd w:val="clear" w:color="auto" w:fill="FFFFFF"/>
          <w:lang w:val="pt-BR"/>
        </w:rPr>
        <w:t>, </w:t>
      </w:r>
      <w:r w:rsidRPr="00D041D3">
        <w:rPr>
          <w:i/>
          <w:iCs/>
          <w:color w:val="222222"/>
          <w:shd w:val="clear" w:color="auto" w:fill="FFFFFF"/>
          <w:lang w:val="pt-BR"/>
        </w:rPr>
        <w:t>48</w:t>
      </w:r>
      <w:r w:rsidRPr="00D041D3">
        <w:rPr>
          <w:color w:val="222222"/>
          <w:shd w:val="clear" w:color="auto" w:fill="FFFFFF"/>
          <w:lang w:val="pt-BR"/>
        </w:rPr>
        <w:t>(6), 720-727.</w:t>
      </w:r>
    </w:p>
    <w:p w14:paraId="7C1E1CF5"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lang w:val="pt-BR"/>
        </w:rPr>
        <w:t xml:space="preserve">Reis RA, Calil FA, Feliciano PR, Pinheiro MP, Nonato MC (2017). </w:t>
      </w:r>
      <w:r w:rsidRPr="00D041D3">
        <w:rPr>
          <w:rFonts w:cs="Times New Roman"/>
          <w:color w:val="222222"/>
          <w:shd w:val="clear" w:color="auto" w:fill="FFFFFF"/>
        </w:rPr>
        <w:t>The dihydroorotate dehydrogenases: past and present. </w:t>
      </w:r>
      <w:r w:rsidRPr="00D041D3">
        <w:rPr>
          <w:rFonts w:cs="Times New Roman"/>
          <w:i/>
          <w:iCs/>
          <w:color w:val="222222"/>
          <w:shd w:val="clear" w:color="auto" w:fill="FFFFFF"/>
        </w:rPr>
        <w:t>Archives of biochemistry and biophysics</w:t>
      </w:r>
      <w:r w:rsidRPr="00D041D3">
        <w:rPr>
          <w:rFonts w:cs="Times New Roman"/>
          <w:color w:val="222222"/>
          <w:shd w:val="clear" w:color="auto" w:fill="FFFFFF"/>
        </w:rPr>
        <w:t>, </w:t>
      </w:r>
      <w:r w:rsidRPr="00D041D3">
        <w:rPr>
          <w:rFonts w:cs="Times New Roman"/>
          <w:i/>
          <w:iCs/>
          <w:color w:val="222222"/>
          <w:shd w:val="clear" w:color="auto" w:fill="FFFFFF"/>
        </w:rPr>
        <w:t>632</w:t>
      </w:r>
      <w:r w:rsidRPr="00D041D3">
        <w:rPr>
          <w:rFonts w:cs="Times New Roman"/>
          <w:color w:val="222222"/>
          <w:shd w:val="clear" w:color="auto" w:fill="FFFFFF"/>
        </w:rPr>
        <w:t>, 175-191.</w:t>
      </w:r>
    </w:p>
    <w:p w14:paraId="2A49DA11"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Rutland CA, Bowling RG, Russell EC, Hall ND, Patel J, Askew SD, </w:t>
      </w:r>
      <w:proofErr w:type="spellStart"/>
      <w:r w:rsidRPr="00D041D3">
        <w:rPr>
          <w:rFonts w:cs="Times New Roman"/>
          <w:color w:val="222222"/>
          <w:shd w:val="clear" w:color="auto" w:fill="FFFFFF"/>
        </w:rPr>
        <w:t>Bagavathiannan</w:t>
      </w:r>
      <w:proofErr w:type="spellEnd"/>
      <w:r w:rsidRPr="00D041D3">
        <w:rPr>
          <w:rFonts w:cs="Times New Roman"/>
          <w:color w:val="222222"/>
          <w:shd w:val="clear" w:color="auto" w:fill="FFFFFF"/>
        </w:rPr>
        <w:t xml:space="preserve"> MV, Brosnan JT, Gannon TW, </w:t>
      </w:r>
      <w:proofErr w:type="spellStart"/>
      <w:r w:rsidRPr="00D041D3">
        <w:rPr>
          <w:rFonts w:cs="Times New Roman"/>
          <w:color w:val="222222"/>
          <w:shd w:val="clear" w:color="auto" w:fill="FFFFFF"/>
        </w:rPr>
        <w:t>Gonclaves</w:t>
      </w:r>
      <w:proofErr w:type="spellEnd"/>
      <w:r w:rsidRPr="00D041D3">
        <w:rPr>
          <w:rFonts w:cs="Times New Roman"/>
          <w:color w:val="222222"/>
          <w:shd w:val="clear" w:color="auto" w:fill="FFFFFF"/>
        </w:rPr>
        <w:t xml:space="preserve"> CG, Hathcoat D, McCarty LB, McCullough PE, McCurdy JD, Patton AJ, Unruh JB, McElroy JS (2023). Survey of target site resistance alleles conferring resistance in Poa annua. </w:t>
      </w:r>
      <w:r w:rsidRPr="00D041D3">
        <w:rPr>
          <w:rFonts w:cs="Times New Roman"/>
          <w:i/>
          <w:iCs/>
          <w:color w:val="222222"/>
          <w:shd w:val="clear" w:color="auto" w:fill="FFFFFF"/>
        </w:rPr>
        <w:t>Crop Science</w:t>
      </w:r>
      <w:r w:rsidRPr="00D041D3">
        <w:rPr>
          <w:rFonts w:cs="Times New Roman"/>
          <w:color w:val="222222"/>
          <w:shd w:val="clear" w:color="auto" w:fill="FFFFFF"/>
        </w:rPr>
        <w:t>, </w:t>
      </w:r>
      <w:r w:rsidRPr="00D041D3">
        <w:rPr>
          <w:rFonts w:cs="Times New Roman"/>
          <w:i/>
          <w:iCs/>
          <w:color w:val="222222"/>
          <w:shd w:val="clear" w:color="auto" w:fill="FFFFFF"/>
        </w:rPr>
        <w:t>63</w:t>
      </w:r>
      <w:r w:rsidRPr="00D041D3">
        <w:rPr>
          <w:rFonts w:cs="Times New Roman"/>
          <w:color w:val="222222"/>
          <w:shd w:val="clear" w:color="auto" w:fill="FFFFFF"/>
        </w:rPr>
        <w:t>(5), 3110-3121.</w:t>
      </w:r>
    </w:p>
    <w:p w14:paraId="6E3F89C7"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Schroeder J, Barrett M, Shaw DR, Asmus AB, Coble H, Ervin D, Jussaume RA, Owen MDK, Burke I, Creech CF, Culpepper AS, Curran WS, Dodds DM, Gaines TA, Gunsolus JL, Hanson BD, Jha P, </w:t>
      </w:r>
      <w:proofErr w:type="spellStart"/>
      <w:r w:rsidRPr="00D041D3">
        <w:rPr>
          <w:rFonts w:cs="Times New Roman"/>
          <w:color w:val="222222"/>
          <w:shd w:val="clear" w:color="auto" w:fill="FFFFFF"/>
        </w:rPr>
        <w:t>Klodd</w:t>
      </w:r>
      <w:proofErr w:type="spellEnd"/>
      <w:r w:rsidRPr="00D041D3">
        <w:rPr>
          <w:rFonts w:cs="Times New Roman"/>
          <w:color w:val="222222"/>
          <w:shd w:val="clear" w:color="auto" w:fill="FFFFFF"/>
        </w:rPr>
        <w:t xml:space="preserve"> AE, Kniss AR, Leon RG, McDonald S, Morishita DW, Schutte </w:t>
      </w:r>
      <w:r w:rsidRPr="00D041D3">
        <w:rPr>
          <w:rFonts w:cs="Times New Roman"/>
          <w:color w:val="222222"/>
          <w:shd w:val="clear" w:color="auto" w:fill="FFFFFF"/>
        </w:rPr>
        <w:lastRenderedPageBreak/>
        <w:t xml:space="preserve">BJ, Sprague CL, Stahlman PW, Steckel LE, VanGessel </w:t>
      </w:r>
      <w:proofErr w:type="gramStart"/>
      <w:r w:rsidRPr="00D041D3">
        <w:rPr>
          <w:rFonts w:cs="Times New Roman"/>
          <w:color w:val="222222"/>
          <w:shd w:val="clear" w:color="auto" w:fill="FFFFFF"/>
        </w:rPr>
        <w:t>MJ(</w:t>
      </w:r>
      <w:proofErr w:type="gramEnd"/>
      <w:r w:rsidRPr="00D041D3">
        <w:rPr>
          <w:rFonts w:cs="Times New Roman"/>
          <w:color w:val="222222"/>
          <w:shd w:val="clear" w:color="auto" w:fill="FFFFFF"/>
        </w:rPr>
        <w:t>2018). Managing wicked herbicide-resistance: lessons from the field. </w:t>
      </w:r>
      <w:r w:rsidRPr="00D041D3">
        <w:rPr>
          <w:rFonts w:cs="Times New Roman"/>
          <w:i/>
          <w:iCs/>
          <w:color w:val="222222"/>
          <w:shd w:val="clear" w:color="auto" w:fill="FFFFFF"/>
        </w:rPr>
        <w:t>Weed Technology</w:t>
      </w:r>
      <w:r w:rsidRPr="00D041D3">
        <w:rPr>
          <w:rFonts w:cs="Times New Roman"/>
          <w:color w:val="222222"/>
          <w:shd w:val="clear" w:color="auto" w:fill="FFFFFF"/>
        </w:rPr>
        <w:t>, </w:t>
      </w:r>
      <w:r w:rsidRPr="00D041D3">
        <w:rPr>
          <w:rFonts w:cs="Times New Roman"/>
          <w:i/>
          <w:iCs/>
          <w:color w:val="222222"/>
          <w:shd w:val="clear" w:color="auto" w:fill="FFFFFF"/>
        </w:rPr>
        <w:t>32</w:t>
      </w:r>
      <w:r w:rsidRPr="00D041D3">
        <w:rPr>
          <w:rFonts w:cs="Times New Roman"/>
          <w:color w:val="222222"/>
          <w:shd w:val="clear" w:color="auto" w:fill="FFFFFF"/>
        </w:rPr>
        <w:t>(4), 475-488.</w:t>
      </w:r>
    </w:p>
    <w:p w14:paraId="16957BB3"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Shaddox TW, Unruh JB, Johnson ME, Brown CD, Stacey G (2023). Turfgrass use on US golf courses. </w:t>
      </w:r>
      <w:proofErr w:type="spellStart"/>
      <w:r w:rsidRPr="00D041D3">
        <w:rPr>
          <w:rFonts w:cs="Times New Roman"/>
          <w:i/>
          <w:iCs/>
          <w:color w:val="222222"/>
          <w:shd w:val="clear" w:color="auto" w:fill="FFFFFF"/>
        </w:rPr>
        <w:t>HortTechnology</w:t>
      </w:r>
      <w:proofErr w:type="spellEnd"/>
      <w:r w:rsidRPr="00D041D3">
        <w:rPr>
          <w:rFonts w:cs="Times New Roman"/>
          <w:color w:val="222222"/>
          <w:shd w:val="clear" w:color="auto" w:fill="FFFFFF"/>
        </w:rPr>
        <w:t>, </w:t>
      </w:r>
      <w:r w:rsidRPr="00D041D3">
        <w:rPr>
          <w:rFonts w:cs="Times New Roman"/>
          <w:i/>
          <w:iCs/>
          <w:color w:val="222222"/>
          <w:shd w:val="clear" w:color="auto" w:fill="FFFFFF"/>
        </w:rPr>
        <w:t>33</w:t>
      </w:r>
      <w:r w:rsidRPr="00D041D3">
        <w:rPr>
          <w:rFonts w:cs="Times New Roman"/>
          <w:color w:val="222222"/>
          <w:shd w:val="clear" w:color="auto" w:fill="FFFFFF"/>
        </w:rPr>
        <w:t>(4), 367-376.</w:t>
      </w:r>
    </w:p>
    <w:p w14:paraId="7FB744C9"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Taylor DR, </w:t>
      </w:r>
      <w:proofErr w:type="spellStart"/>
      <w:r w:rsidRPr="00D041D3">
        <w:rPr>
          <w:rFonts w:cs="Times New Roman"/>
          <w:color w:val="222222"/>
          <w:shd w:val="clear" w:color="auto" w:fill="FFFFFF"/>
        </w:rPr>
        <w:t>Prorock</w:t>
      </w:r>
      <w:proofErr w:type="spellEnd"/>
      <w:r w:rsidRPr="00D041D3">
        <w:rPr>
          <w:rFonts w:cs="Times New Roman"/>
          <w:color w:val="222222"/>
          <w:shd w:val="clear" w:color="auto" w:fill="FFFFFF"/>
        </w:rPr>
        <w:t xml:space="preserve"> M, Horvath BJ, Brosnan JT (2021). Modeling seasonal emergence of Poa annua in urban greenspace. </w:t>
      </w:r>
      <w:r w:rsidRPr="00D041D3">
        <w:rPr>
          <w:rFonts w:cs="Times New Roman"/>
          <w:i/>
          <w:iCs/>
          <w:color w:val="222222"/>
          <w:shd w:val="clear" w:color="auto" w:fill="FFFFFF"/>
        </w:rPr>
        <w:t>Scientific Reports</w:t>
      </w:r>
      <w:r w:rsidRPr="00D041D3">
        <w:rPr>
          <w:rFonts w:cs="Times New Roman"/>
          <w:color w:val="222222"/>
          <w:shd w:val="clear" w:color="auto" w:fill="FFFFFF"/>
        </w:rPr>
        <w:t>, </w:t>
      </w:r>
      <w:r w:rsidRPr="00D041D3">
        <w:rPr>
          <w:rFonts w:cs="Times New Roman"/>
          <w:i/>
          <w:iCs/>
          <w:color w:val="222222"/>
          <w:shd w:val="clear" w:color="auto" w:fill="FFFFFF"/>
        </w:rPr>
        <w:t>11</w:t>
      </w:r>
      <w:r w:rsidRPr="00D041D3">
        <w:rPr>
          <w:rFonts w:cs="Times New Roman"/>
          <w:color w:val="222222"/>
          <w:shd w:val="clear" w:color="auto" w:fill="FFFFFF"/>
        </w:rPr>
        <w:t>(1), 18960.</w:t>
      </w:r>
    </w:p>
    <w:p w14:paraId="34D6CD27"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Ullrich A, Knecht W, </w:t>
      </w:r>
      <w:proofErr w:type="spellStart"/>
      <w:r w:rsidRPr="00D041D3">
        <w:rPr>
          <w:rFonts w:cs="Times New Roman"/>
          <w:color w:val="222222"/>
          <w:shd w:val="clear" w:color="auto" w:fill="FFFFFF"/>
        </w:rPr>
        <w:t>Piskur</w:t>
      </w:r>
      <w:proofErr w:type="spellEnd"/>
      <w:r w:rsidRPr="00D041D3">
        <w:rPr>
          <w:rFonts w:cs="Times New Roman"/>
          <w:color w:val="222222"/>
          <w:shd w:val="clear" w:color="auto" w:fill="FFFFFF"/>
        </w:rPr>
        <w:t xml:space="preserve"> J, Löffler M (2002). Plant dihydroorotate dehydrogenase differs significantly in substrate specificity and inhibition from the animal enzymes. </w:t>
      </w:r>
      <w:r w:rsidRPr="00D041D3">
        <w:rPr>
          <w:rFonts w:cs="Times New Roman"/>
          <w:i/>
          <w:iCs/>
          <w:color w:val="222222"/>
          <w:shd w:val="clear" w:color="auto" w:fill="FFFFFF"/>
        </w:rPr>
        <w:t>FEBS Letters</w:t>
      </w:r>
      <w:r w:rsidRPr="00D041D3">
        <w:rPr>
          <w:rFonts w:cs="Times New Roman"/>
          <w:color w:val="222222"/>
          <w:shd w:val="clear" w:color="auto" w:fill="FFFFFF"/>
        </w:rPr>
        <w:t>, </w:t>
      </w:r>
      <w:r w:rsidRPr="00D041D3">
        <w:rPr>
          <w:rFonts w:cs="Times New Roman"/>
          <w:i/>
          <w:iCs/>
          <w:color w:val="222222"/>
          <w:shd w:val="clear" w:color="auto" w:fill="FFFFFF"/>
        </w:rPr>
        <w:t>529</w:t>
      </w:r>
      <w:r w:rsidRPr="00D041D3">
        <w:rPr>
          <w:rFonts w:cs="Times New Roman"/>
          <w:color w:val="222222"/>
          <w:shd w:val="clear" w:color="auto" w:fill="FFFFFF"/>
        </w:rPr>
        <w:t>(2-3), 346-350.</w:t>
      </w:r>
    </w:p>
    <w:p w14:paraId="2F892DDB"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van </w:t>
      </w:r>
      <w:proofErr w:type="spellStart"/>
      <w:r w:rsidRPr="00D041D3">
        <w:rPr>
          <w:rFonts w:cs="Times New Roman"/>
          <w:color w:val="222222"/>
          <w:shd w:val="clear" w:color="auto" w:fill="FFFFFF"/>
        </w:rPr>
        <w:t>Rhijn</w:t>
      </w:r>
      <w:proofErr w:type="spellEnd"/>
      <w:r w:rsidRPr="00D041D3">
        <w:rPr>
          <w:rFonts w:cs="Times New Roman"/>
          <w:color w:val="222222"/>
          <w:shd w:val="clear" w:color="auto" w:fill="FFFFFF"/>
        </w:rPr>
        <w:t xml:space="preserve"> N, Storer IS, Birch M, Oliver JD, </w:t>
      </w:r>
      <w:proofErr w:type="spellStart"/>
      <w:r w:rsidRPr="00D041D3">
        <w:rPr>
          <w:rFonts w:cs="Times New Roman"/>
          <w:color w:val="222222"/>
          <w:shd w:val="clear" w:color="auto" w:fill="FFFFFF"/>
        </w:rPr>
        <w:t>Bottery</w:t>
      </w:r>
      <w:proofErr w:type="spellEnd"/>
      <w:r w:rsidRPr="00D041D3">
        <w:rPr>
          <w:rFonts w:cs="Times New Roman"/>
          <w:color w:val="222222"/>
          <w:shd w:val="clear" w:color="auto" w:fill="FFFFFF"/>
        </w:rPr>
        <w:t xml:space="preserve"> MJ, Bromley MJ. (2024). Aspergillus fumigatus strains that evolve resistance to the agrochemical fungicide </w:t>
      </w:r>
      <w:proofErr w:type="spellStart"/>
      <w:r w:rsidRPr="00D041D3">
        <w:rPr>
          <w:rFonts w:cs="Times New Roman"/>
          <w:color w:val="222222"/>
          <w:shd w:val="clear" w:color="auto" w:fill="FFFFFF"/>
        </w:rPr>
        <w:t>ipflufenoquin</w:t>
      </w:r>
      <w:proofErr w:type="spellEnd"/>
      <w:r w:rsidRPr="00D041D3">
        <w:rPr>
          <w:rFonts w:cs="Times New Roman"/>
          <w:color w:val="222222"/>
          <w:shd w:val="clear" w:color="auto" w:fill="FFFFFF"/>
        </w:rPr>
        <w:t xml:space="preserve"> in vitro are also resistant to </w:t>
      </w:r>
      <w:proofErr w:type="spellStart"/>
      <w:r w:rsidRPr="00D041D3">
        <w:rPr>
          <w:rFonts w:cs="Times New Roman"/>
          <w:color w:val="222222"/>
          <w:shd w:val="clear" w:color="auto" w:fill="FFFFFF"/>
        </w:rPr>
        <w:t>olorofim</w:t>
      </w:r>
      <w:proofErr w:type="spellEnd"/>
      <w:r w:rsidRPr="00D041D3">
        <w:rPr>
          <w:rFonts w:cs="Times New Roman"/>
          <w:color w:val="222222"/>
          <w:shd w:val="clear" w:color="auto" w:fill="FFFFFF"/>
        </w:rPr>
        <w:t>. </w:t>
      </w:r>
      <w:r w:rsidRPr="00D041D3">
        <w:rPr>
          <w:rFonts w:cs="Times New Roman"/>
          <w:i/>
          <w:iCs/>
          <w:color w:val="222222"/>
          <w:shd w:val="clear" w:color="auto" w:fill="FFFFFF"/>
        </w:rPr>
        <w:t>Nature Microbiology</w:t>
      </w:r>
      <w:r w:rsidRPr="00D041D3">
        <w:rPr>
          <w:rFonts w:cs="Times New Roman"/>
          <w:color w:val="222222"/>
          <w:shd w:val="clear" w:color="auto" w:fill="FFFFFF"/>
        </w:rPr>
        <w:t>, </w:t>
      </w:r>
      <w:r w:rsidRPr="00D041D3">
        <w:rPr>
          <w:rFonts w:cs="Times New Roman"/>
          <w:i/>
          <w:iCs/>
          <w:color w:val="222222"/>
          <w:shd w:val="clear" w:color="auto" w:fill="FFFFFF"/>
        </w:rPr>
        <w:t>9</w:t>
      </w:r>
      <w:r w:rsidRPr="00D041D3">
        <w:rPr>
          <w:rFonts w:cs="Times New Roman"/>
          <w:color w:val="222222"/>
          <w:shd w:val="clear" w:color="auto" w:fill="FFFFFF"/>
        </w:rPr>
        <w:t>(1), 29-34.</w:t>
      </w:r>
    </w:p>
    <w:p w14:paraId="3CB0F87C"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Van </w:t>
      </w:r>
      <w:proofErr w:type="spellStart"/>
      <w:r w:rsidRPr="00D041D3">
        <w:rPr>
          <w:rFonts w:cs="Times New Roman"/>
          <w:color w:val="222222"/>
          <w:shd w:val="clear" w:color="auto" w:fill="FFFFFF"/>
        </w:rPr>
        <w:t>Wychen</w:t>
      </w:r>
      <w:proofErr w:type="spellEnd"/>
      <w:r w:rsidRPr="00D041D3">
        <w:rPr>
          <w:rFonts w:cs="Times New Roman"/>
          <w:color w:val="222222"/>
          <w:shd w:val="clear" w:color="auto" w:fill="FFFFFF"/>
        </w:rPr>
        <w:t xml:space="preserve"> L (2020). Survey of the most common and troublesome weeds in grass crops, pasture and turf in the United States and Canada. </w:t>
      </w:r>
      <w:r w:rsidRPr="00D041D3">
        <w:rPr>
          <w:rFonts w:cs="Times New Roman"/>
          <w:i/>
          <w:iCs/>
          <w:color w:val="222222"/>
          <w:shd w:val="clear" w:color="auto" w:fill="FFFFFF"/>
        </w:rPr>
        <w:t>Weed Science Society of America national weed survey dataset</w:t>
      </w:r>
      <w:r w:rsidRPr="00D041D3">
        <w:rPr>
          <w:rFonts w:cs="Times New Roman"/>
          <w:color w:val="222222"/>
          <w:shd w:val="clear" w:color="auto" w:fill="FFFFFF"/>
        </w:rPr>
        <w:t>. Available at:</w:t>
      </w:r>
      <w:r w:rsidRPr="003235CE">
        <w:rPr>
          <w:rFonts w:cs="Times New Roman"/>
          <w:color w:val="000000" w:themeColor="text1"/>
          <w:shd w:val="clear" w:color="auto" w:fill="FFFFFF"/>
        </w:rPr>
        <w:t> </w:t>
      </w:r>
      <w:hyperlink r:id="rId17" w:history="1">
        <w:r w:rsidRPr="003235CE">
          <w:rPr>
            <w:rStyle w:val="Hyperlink"/>
            <w:rFonts w:cs="Times New Roman"/>
            <w:color w:val="000000" w:themeColor="text1"/>
            <w:shd w:val="clear" w:color="auto" w:fill="FFFFFF"/>
          </w:rPr>
          <w:t>https://wssa.net/wp-content/uploads/2020-Weed-Survey_grass-crops.xlsx</w:t>
        </w:r>
      </w:hyperlink>
      <w:r w:rsidRPr="003235CE">
        <w:rPr>
          <w:rFonts w:cs="Times New Roman"/>
          <w:color w:val="000000" w:themeColor="text1"/>
          <w:shd w:val="clear" w:color="auto" w:fill="FFFFFF"/>
        </w:rPr>
        <w:t xml:space="preserve"> (Accessed </w:t>
      </w:r>
      <w:r w:rsidRPr="00D041D3">
        <w:rPr>
          <w:rFonts w:cs="Times New Roman"/>
          <w:color w:val="222222"/>
          <w:shd w:val="clear" w:color="auto" w:fill="FFFFFF"/>
        </w:rPr>
        <w:t>June 11</w:t>
      </w:r>
      <w:r w:rsidRPr="00D041D3">
        <w:rPr>
          <w:rFonts w:cs="Times New Roman"/>
          <w:color w:val="222222"/>
          <w:shd w:val="clear" w:color="auto" w:fill="FFFFFF"/>
          <w:vertAlign w:val="superscript"/>
        </w:rPr>
        <w:t>th</w:t>
      </w:r>
      <w:r w:rsidRPr="00D041D3">
        <w:rPr>
          <w:rFonts w:cs="Times New Roman"/>
          <w:color w:val="222222"/>
          <w:shd w:val="clear" w:color="auto" w:fill="FFFFFF"/>
        </w:rPr>
        <w:t>, 2024)</w:t>
      </w:r>
    </w:p>
    <w:p w14:paraId="6C398349"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 xml:space="preserve">Whitt DR, Bowman HD, Bond JA, Burrell II TD, Eubank TW, Mangialardi GA (2024, January 22-25). The Evaluation of </w:t>
      </w:r>
      <w:proofErr w:type="spellStart"/>
      <w:r w:rsidRPr="00D041D3">
        <w:rPr>
          <w:rFonts w:cs="Times New Roman"/>
          <w:color w:val="222222"/>
          <w:shd w:val="clear" w:color="auto" w:fill="FFFFFF"/>
        </w:rPr>
        <w:t>Dodhylex</w:t>
      </w:r>
      <w:proofErr w:type="spellEnd"/>
      <w:r w:rsidRPr="00D041D3">
        <w:rPr>
          <w:rFonts w:cs="Times New Roman"/>
          <w:color w:val="222222"/>
          <w:shd w:val="clear" w:color="auto" w:fill="FFFFFF"/>
        </w:rPr>
        <w:t xml:space="preserve"> in Mississippi Rice Production [Poster Abstract]. 2024 Weed Science Society of America Annual Meeting, San Antonio, TX, United States.</w:t>
      </w:r>
    </w:p>
    <w:p w14:paraId="756E8A57" w14:textId="77777777" w:rsidR="001D4ABE" w:rsidRPr="00D041D3" w:rsidRDefault="001D4ABE" w:rsidP="000C799B">
      <w:pPr>
        <w:spacing w:line="360" w:lineRule="auto"/>
        <w:ind w:left="576" w:hanging="576"/>
        <w:rPr>
          <w:rFonts w:cs="Times New Roman"/>
          <w:color w:val="222222"/>
          <w:shd w:val="clear" w:color="auto" w:fill="FFFFFF"/>
        </w:rPr>
      </w:pPr>
      <w:r w:rsidRPr="00D041D3">
        <w:rPr>
          <w:rFonts w:cs="Times New Roman"/>
          <w:color w:val="222222"/>
          <w:shd w:val="clear" w:color="auto" w:fill="FFFFFF"/>
        </w:rPr>
        <w:t>Yu J, McCullough PE, &amp; Vencill WK (2013). Absorption, translocation, and metabolism of amicarbazone in annual bluegrass (</w:t>
      </w:r>
      <w:r w:rsidRPr="00D041D3">
        <w:rPr>
          <w:rFonts w:cs="Times New Roman"/>
          <w:i/>
          <w:iCs/>
          <w:color w:val="222222"/>
          <w:shd w:val="clear" w:color="auto" w:fill="FFFFFF"/>
        </w:rPr>
        <w:t>Poa annua</w:t>
      </w:r>
      <w:r w:rsidRPr="00D041D3">
        <w:rPr>
          <w:rFonts w:cs="Times New Roman"/>
          <w:color w:val="222222"/>
          <w:shd w:val="clear" w:color="auto" w:fill="FFFFFF"/>
        </w:rPr>
        <w:t>), creeping bentgrass (</w:t>
      </w:r>
      <w:r w:rsidRPr="00D041D3">
        <w:rPr>
          <w:rFonts w:cs="Times New Roman"/>
          <w:i/>
          <w:iCs/>
          <w:color w:val="222222"/>
          <w:shd w:val="clear" w:color="auto" w:fill="FFFFFF"/>
        </w:rPr>
        <w:t>Agrostis stolonifera</w:t>
      </w:r>
      <w:r w:rsidRPr="00D041D3">
        <w:rPr>
          <w:rFonts w:cs="Times New Roman"/>
          <w:color w:val="222222"/>
          <w:shd w:val="clear" w:color="auto" w:fill="FFFFFF"/>
        </w:rPr>
        <w:t>), and tall fescue (</w:t>
      </w:r>
      <w:r w:rsidRPr="00D041D3">
        <w:rPr>
          <w:rFonts w:cs="Times New Roman"/>
          <w:i/>
          <w:iCs/>
          <w:color w:val="222222"/>
          <w:shd w:val="clear" w:color="auto" w:fill="FFFFFF"/>
        </w:rPr>
        <w:t>Festuca arundinacea</w:t>
      </w:r>
      <w:r w:rsidRPr="00D041D3">
        <w:rPr>
          <w:rFonts w:cs="Times New Roman"/>
          <w:color w:val="222222"/>
          <w:shd w:val="clear" w:color="auto" w:fill="FFFFFF"/>
        </w:rPr>
        <w:t>). </w:t>
      </w:r>
      <w:r w:rsidRPr="00D041D3">
        <w:rPr>
          <w:rFonts w:cs="Times New Roman"/>
          <w:i/>
          <w:iCs/>
          <w:color w:val="222222"/>
          <w:shd w:val="clear" w:color="auto" w:fill="FFFFFF"/>
        </w:rPr>
        <w:t>Weed science</w:t>
      </w:r>
      <w:r w:rsidRPr="00D041D3">
        <w:rPr>
          <w:rFonts w:cs="Times New Roman"/>
          <w:color w:val="222222"/>
          <w:shd w:val="clear" w:color="auto" w:fill="FFFFFF"/>
        </w:rPr>
        <w:t>, </w:t>
      </w:r>
      <w:r w:rsidRPr="00D041D3">
        <w:rPr>
          <w:rFonts w:cs="Times New Roman"/>
          <w:i/>
          <w:iCs/>
          <w:color w:val="222222"/>
          <w:shd w:val="clear" w:color="auto" w:fill="FFFFFF"/>
        </w:rPr>
        <w:t>61</w:t>
      </w:r>
      <w:r w:rsidRPr="00D041D3">
        <w:rPr>
          <w:rFonts w:cs="Times New Roman"/>
          <w:color w:val="222222"/>
          <w:shd w:val="clear" w:color="auto" w:fill="FFFFFF"/>
        </w:rPr>
        <w:t>(2), 217-221.</w:t>
      </w:r>
    </w:p>
    <w:p w14:paraId="2CBE315B" w14:textId="77777777" w:rsidR="001D4ABE" w:rsidRPr="00D041D3" w:rsidRDefault="001D4ABE" w:rsidP="000C799B">
      <w:pPr>
        <w:spacing w:line="360" w:lineRule="auto"/>
        <w:ind w:left="576" w:hanging="576"/>
        <w:rPr>
          <w:rFonts w:cs="Times New Roman"/>
        </w:rPr>
      </w:pPr>
      <w:r w:rsidRPr="00D041D3">
        <w:rPr>
          <w:rFonts w:cs="Times New Roman"/>
          <w:color w:val="222222"/>
          <w:shd w:val="clear" w:color="auto" w:fill="FFFFFF"/>
        </w:rPr>
        <w:t>Zhou Y, Tao1 L, Zhou X, Zuo Z, Gong J, Liu1 X, Zhou Y, Liu C, Sang N, Liu H, Zou J, Gou K, Yang X, Zhao Y (2021). DHODH and cancer: promising prospects to be explored. </w:t>
      </w:r>
      <w:r w:rsidRPr="00D041D3">
        <w:rPr>
          <w:rFonts w:cs="Times New Roman"/>
          <w:i/>
          <w:iCs/>
          <w:color w:val="222222"/>
          <w:shd w:val="clear" w:color="auto" w:fill="FFFFFF"/>
        </w:rPr>
        <w:t>Cancer &amp; Metabolism</w:t>
      </w:r>
      <w:r w:rsidRPr="00D041D3">
        <w:rPr>
          <w:rFonts w:cs="Times New Roman"/>
          <w:color w:val="222222"/>
          <w:shd w:val="clear" w:color="auto" w:fill="FFFFFF"/>
        </w:rPr>
        <w:t>, </w:t>
      </w:r>
      <w:r w:rsidRPr="00D041D3">
        <w:rPr>
          <w:rFonts w:cs="Times New Roman"/>
          <w:i/>
          <w:iCs/>
          <w:color w:val="222222"/>
          <w:shd w:val="clear" w:color="auto" w:fill="FFFFFF"/>
        </w:rPr>
        <w:t>9</w:t>
      </w:r>
      <w:r w:rsidRPr="00D041D3">
        <w:rPr>
          <w:rFonts w:cs="Times New Roman"/>
          <w:color w:val="222222"/>
          <w:shd w:val="clear" w:color="auto" w:fill="FFFFFF"/>
        </w:rPr>
        <w:t>(1), 22.</w:t>
      </w:r>
    </w:p>
    <w:p w14:paraId="7AC78A81" w14:textId="4A2AEBDF" w:rsidR="00211BBC" w:rsidRDefault="001D4ABE" w:rsidP="000C799B">
      <w:pPr>
        <w:spacing w:line="360" w:lineRule="auto"/>
        <w:ind w:left="576" w:hanging="576"/>
        <w:rPr>
          <w:rFonts w:cs="Times New Roman"/>
          <w:color w:val="222222"/>
          <w:shd w:val="clear" w:color="auto" w:fill="FFFFFF"/>
        </w:rPr>
      </w:pPr>
      <w:r w:rsidRPr="002435BF">
        <w:rPr>
          <w:rFonts w:cs="Times New Roman"/>
          <w:color w:val="222222"/>
          <w:shd w:val="clear" w:color="auto" w:fill="FFFFFF"/>
          <w:lang w:val="nb-NO"/>
        </w:rPr>
        <w:t xml:space="preserve">Zrenner R, Stitt M, Sonnewald U, &amp; Boldt R (2006). </w:t>
      </w:r>
      <w:r w:rsidRPr="00D041D3">
        <w:rPr>
          <w:rFonts w:cs="Times New Roman"/>
          <w:color w:val="222222"/>
          <w:shd w:val="clear" w:color="auto" w:fill="FFFFFF"/>
        </w:rPr>
        <w:t>Pyrimidine and purine biosynthesis and degradation in plants. </w:t>
      </w:r>
      <w:r w:rsidRPr="00D041D3">
        <w:rPr>
          <w:rFonts w:cs="Times New Roman"/>
          <w:i/>
          <w:iCs/>
          <w:color w:val="222222"/>
          <w:shd w:val="clear" w:color="auto" w:fill="FFFFFF"/>
        </w:rPr>
        <w:t>Annu. Rev. Plant Biol.</w:t>
      </w:r>
      <w:r w:rsidRPr="00D041D3">
        <w:rPr>
          <w:rFonts w:cs="Times New Roman"/>
          <w:color w:val="222222"/>
          <w:shd w:val="clear" w:color="auto" w:fill="FFFFFF"/>
        </w:rPr>
        <w:t>, </w:t>
      </w:r>
      <w:r w:rsidRPr="00D041D3">
        <w:rPr>
          <w:rFonts w:cs="Times New Roman"/>
          <w:i/>
          <w:iCs/>
          <w:color w:val="222222"/>
          <w:shd w:val="clear" w:color="auto" w:fill="FFFFFF"/>
        </w:rPr>
        <w:t>57</w:t>
      </w:r>
      <w:r w:rsidRPr="00D041D3">
        <w:rPr>
          <w:rFonts w:cs="Times New Roman"/>
          <w:color w:val="222222"/>
          <w:shd w:val="clear" w:color="auto" w:fill="FFFFFF"/>
        </w:rPr>
        <w:t>, 805-836</w:t>
      </w:r>
      <w:r w:rsidR="005C7915">
        <w:rPr>
          <w:rFonts w:cs="Times New Roman"/>
          <w:color w:val="222222"/>
          <w:shd w:val="clear" w:color="auto" w:fill="FFFFFF"/>
        </w:rPr>
        <w:t>.</w:t>
      </w:r>
    </w:p>
    <w:p w14:paraId="7404B7C6" w14:textId="77777777" w:rsidR="001D4ABE" w:rsidRDefault="001D4ABE" w:rsidP="000C799B">
      <w:pPr>
        <w:spacing w:line="360" w:lineRule="auto"/>
        <w:ind w:left="576" w:hanging="576"/>
        <w:rPr>
          <w:rFonts w:cs="Times New Roman"/>
          <w:color w:val="222222"/>
          <w:shd w:val="clear" w:color="auto" w:fill="FFFFFF"/>
        </w:rPr>
      </w:pPr>
    </w:p>
    <w:p w14:paraId="09924F00" w14:textId="77777777" w:rsidR="00DF70E0" w:rsidRDefault="00DF70E0" w:rsidP="00211BBC">
      <w:pPr>
        <w:spacing w:before="120"/>
        <w:ind w:left="576" w:hanging="576"/>
        <w:jc w:val="center"/>
        <w:rPr>
          <w:rFonts w:cs="Times New Roman"/>
          <w:b/>
          <w:bCs/>
          <w:color w:val="222222"/>
          <w:shd w:val="clear" w:color="auto" w:fill="FFFFFF"/>
        </w:rPr>
        <w:sectPr w:rsidR="00DF70E0" w:rsidSect="00AE64F9">
          <w:type w:val="continuous"/>
          <w:pgSz w:w="12240" w:h="15840"/>
          <w:pgMar w:top="1440" w:right="1440" w:bottom="1440" w:left="1440" w:header="720" w:footer="720" w:gutter="0"/>
          <w:cols w:space="720"/>
          <w:docGrid w:linePitch="360"/>
        </w:sectPr>
      </w:pPr>
    </w:p>
    <w:p w14:paraId="193A8A2C" w14:textId="66076169" w:rsidR="00211BBC" w:rsidRPr="00327D85" w:rsidRDefault="00211BBC" w:rsidP="00327D85">
      <w:pPr>
        <w:pStyle w:val="Heading2"/>
        <w:spacing w:line="360" w:lineRule="auto"/>
        <w:rPr>
          <w:shd w:val="clear" w:color="auto" w:fill="FFFFFF"/>
        </w:rPr>
      </w:pPr>
      <w:bookmarkStart w:id="46" w:name="_Toc192781551"/>
      <w:r w:rsidRPr="00211BBC">
        <w:rPr>
          <w:shd w:val="clear" w:color="auto" w:fill="FFFFFF"/>
        </w:rPr>
        <w:lastRenderedPageBreak/>
        <w:t>A</w:t>
      </w:r>
      <w:r w:rsidR="005F45DC">
        <w:rPr>
          <w:shd w:val="clear" w:color="auto" w:fill="FFFFFF"/>
        </w:rPr>
        <w:t>ppendix</w:t>
      </w:r>
      <w:bookmarkEnd w:id="46"/>
    </w:p>
    <w:p w14:paraId="75D36FEE" w14:textId="245545A1" w:rsidR="00211BBC" w:rsidRPr="000E6E65" w:rsidRDefault="00020933" w:rsidP="00020933">
      <w:pPr>
        <w:pStyle w:val="Caption"/>
      </w:pPr>
      <w:bookmarkStart w:id="47" w:name="_Toc192779564"/>
      <w:bookmarkStart w:id="48" w:name="_Toc192846038"/>
      <w:r>
        <w:t xml:space="preserve">Table </w:t>
      </w:r>
      <w:fldSimple w:instr=" SEQ Table \* ARABIC \s 1 ">
        <w:r w:rsidR="00980623">
          <w:rPr>
            <w:noProof/>
          </w:rPr>
          <w:t>1</w:t>
        </w:r>
      </w:fldSimple>
      <w:r>
        <w:t xml:space="preserve">.1. </w:t>
      </w:r>
      <w:r w:rsidR="00211BBC" w:rsidRPr="000E6E65">
        <w:rPr>
          <w:rFonts w:cs="Times New Roman"/>
          <w:b w:val="0"/>
          <w:bCs w:val="0"/>
        </w:rPr>
        <w:t xml:space="preserve">Growing conditions during fall and spring experiments evaluating tolerance of five turfgrass species to </w:t>
      </w:r>
      <w:proofErr w:type="spellStart"/>
      <w:r w:rsidR="00211BBC" w:rsidRPr="000E6E65">
        <w:rPr>
          <w:rFonts w:cs="Times New Roman"/>
          <w:b w:val="0"/>
          <w:bCs w:val="0"/>
        </w:rPr>
        <w:t>tetflupyrolimet</w:t>
      </w:r>
      <w:proofErr w:type="spellEnd"/>
      <w:r w:rsidR="00211BBC" w:rsidRPr="000E6E65">
        <w:rPr>
          <w:rFonts w:cs="Times New Roman"/>
          <w:b w:val="0"/>
          <w:bCs w:val="0"/>
        </w:rPr>
        <w:t xml:space="preserve"> (</w:t>
      </w:r>
      <w:proofErr w:type="spellStart"/>
      <w:r w:rsidR="00211BBC" w:rsidRPr="000E6E65">
        <w:rPr>
          <w:rFonts w:cs="Times New Roman"/>
          <w:b w:val="0"/>
          <w:bCs w:val="0"/>
        </w:rPr>
        <w:t>Dodhylex</w:t>
      </w:r>
      <w:proofErr w:type="spellEnd"/>
      <w:r w:rsidR="00211BBC" w:rsidRPr="000E6E65">
        <w:rPr>
          <w:rFonts w:cs="Times New Roman"/>
          <w:b w:val="0"/>
          <w:bCs w:val="0"/>
        </w:rPr>
        <w:sym w:font="Symbol" w:char="F0D4"/>
      </w:r>
      <w:r w:rsidR="00211BBC" w:rsidRPr="000E6E65">
        <w:rPr>
          <w:rFonts w:cs="Times New Roman"/>
          <w:b w:val="0"/>
          <w:bCs w:val="0"/>
        </w:rPr>
        <w:t xml:space="preserve"> Active. FMC Corporation. Philadelphia, PA) conducted in Knoxville, TN. </w:t>
      </w:r>
      <w:r w:rsidR="00211BBC" w:rsidRPr="000E6E65">
        <w:rPr>
          <w:rFonts w:cs="Times New Roman"/>
          <w:b w:val="0"/>
          <w:bCs w:val="0"/>
          <w:color w:val="000000" w:themeColor="text1"/>
        </w:rPr>
        <w:t xml:space="preserve">Fall experiments were initiated on 28 September 2022 and 30 September 2023. </w:t>
      </w:r>
      <w:r w:rsidR="00211BBC" w:rsidRPr="000E6E65">
        <w:rPr>
          <w:rFonts w:cs="Times New Roman"/>
          <w:b w:val="0"/>
          <w:bCs w:val="0"/>
        </w:rPr>
        <w:t xml:space="preserve">Spring experiments were initiated </w:t>
      </w:r>
      <w:r w:rsidR="00211BBC" w:rsidRPr="000E6E65">
        <w:rPr>
          <w:rFonts w:cs="Times New Roman"/>
          <w:b w:val="0"/>
          <w:bCs w:val="0"/>
          <w:color w:val="000000" w:themeColor="text1"/>
        </w:rPr>
        <w:t xml:space="preserve">on 28 February 2023 and 29 February 2024. In all studies, data were collected for 180 days. </w:t>
      </w:r>
      <w:r w:rsidR="00211BBC" w:rsidRPr="000E6E65">
        <w:rPr>
          <w:rFonts w:cs="Times New Roman"/>
          <w:b w:val="0"/>
          <w:bCs w:val="0"/>
        </w:rPr>
        <w:t xml:space="preserve">All weather data obtained from the mesur.io </w:t>
      </w:r>
      <w:proofErr w:type="spellStart"/>
      <w:r w:rsidR="00211BBC" w:rsidRPr="000E6E65">
        <w:rPr>
          <w:rFonts w:cs="Times New Roman"/>
          <w:b w:val="0"/>
          <w:bCs w:val="0"/>
        </w:rPr>
        <w:t>Earthstream</w:t>
      </w:r>
      <w:proofErr w:type="spellEnd"/>
      <w:r w:rsidR="00211BBC" w:rsidRPr="000E6E65">
        <w:rPr>
          <w:rFonts w:cs="Times New Roman"/>
          <w:b w:val="0"/>
          <w:bCs w:val="0"/>
          <w:vertAlign w:val="superscript"/>
        </w:rPr>
        <w:t>®</w:t>
      </w:r>
      <w:r w:rsidR="00211BBC" w:rsidRPr="000E6E65">
        <w:rPr>
          <w:rFonts w:cs="Times New Roman"/>
          <w:b w:val="0"/>
          <w:bCs w:val="0"/>
        </w:rPr>
        <w:t xml:space="preserve"> platform (mesur.io, Yanceyville, NC).</w:t>
      </w:r>
      <w:bookmarkEnd w:id="47"/>
      <w:bookmarkEnd w:id="48"/>
    </w:p>
    <w:p w14:paraId="4B79F545" w14:textId="77777777" w:rsidR="00211BBC" w:rsidRPr="0064799F" w:rsidRDefault="00211BBC" w:rsidP="00211BBC">
      <w:pPr>
        <w:contextualSpacing/>
        <w:jc w:val="both"/>
        <w:rPr>
          <w:rFonts w:cs="Times New Roman"/>
          <w:color w:val="000000" w:themeColor="text1"/>
        </w:rPr>
      </w:pPr>
    </w:p>
    <w:tbl>
      <w:tblPr>
        <w:tblStyle w:val="TableGrid"/>
        <w:tblW w:w="46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2158"/>
        <w:gridCol w:w="236"/>
        <w:gridCol w:w="2167"/>
        <w:gridCol w:w="236"/>
        <w:gridCol w:w="2159"/>
        <w:gridCol w:w="236"/>
        <w:gridCol w:w="2159"/>
      </w:tblGrid>
      <w:tr w:rsidR="00211BBC" w:rsidRPr="0064799F" w14:paraId="4107151B" w14:textId="77777777" w:rsidTr="00103CC5">
        <w:trPr>
          <w:trHeight w:val="288"/>
        </w:trPr>
        <w:tc>
          <w:tcPr>
            <w:tcW w:w="1085" w:type="pct"/>
            <w:tcBorders>
              <w:top w:val="single" w:sz="4" w:space="0" w:color="auto"/>
            </w:tcBorders>
            <w:vAlign w:val="center"/>
          </w:tcPr>
          <w:p w14:paraId="20C342FE" w14:textId="77777777" w:rsidR="00211BBC" w:rsidRPr="0064799F" w:rsidRDefault="00211BBC" w:rsidP="00103CC5">
            <w:pPr>
              <w:contextualSpacing/>
              <w:rPr>
                <w:rFonts w:cs="Times New Roman"/>
              </w:rPr>
            </w:pPr>
          </w:p>
        </w:tc>
        <w:tc>
          <w:tcPr>
            <w:tcW w:w="1909" w:type="pct"/>
            <w:gridSpan w:val="3"/>
            <w:tcBorders>
              <w:top w:val="single" w:sz="4" w:space="0" w:color="auto"/>
            </w:tcBorders>
          </w:tcPr>
          <w:p w14:paraId="7DEDC577" w14:textId="77777777" w:rsidR="00211BBC" w:rsidRPr="0064799F" w:rsidRDefault="00211BBC" w:rsidP="00103CC5">
            <w:pPr>
              <w:contextualSpacing/>
              <w:jc w:val="center"/>
              <w:rPr>
                <w:rFonts w:cs="Times New Roman"/>
              </w:rPr>
            </w:pPr>
            <w:r w:rsidRPr="0064799F">
              <w:rPr>
                <w:rFonts w:cs="Times New Roman"/>
              </w:rPr>
              <w:t>Fall</w:t>
            </w:r>
          </w:p>
        </w:tc>
        <w:tc>
          <w:tcPr>
            <w:tcW w:w="99" w:type="pct"/>
            <w:tcBorders>
              <w:top w:val="single" w:sz="4" w:space="0" w:color="auto"/>
            </w:tcBorders>
          </w:tcPr>
          <w:p w14:paraId="25BD531A" w14:textId="77777777" w:rsidR="00211BBC" w:rsidRPr="0064799F" w:rsidRDefault="00211BBC" w:rsidP="00103CC5">
            <w:pPr>
              <w:contextualSpacing/>
              <w:jc w:val="center"/>
              <w:rPr>
                <w:rFonts w:cs="Times New Roman"/>
              </w:rPr>
            </w:pPr>
          </w:p>
        </w:tc>
        <w:tc>
          <w:tcPr>
            <w:tcW w:w="1906" w:type="pct"/>
            <w:gridSpan w:val="3"/>
            <w:tcBorders>
              <w:top w:val="single" w:sz="4" w:space="0" w:color="auto"/>
            </w:tcBorders>
          </w:tcPr>
          <w:p w14:paraId="6B29E36F" w14:textId="77777777" w:rsidR="00211BBC" w:rsidRPr="0064799F" w:rsidRDefault="00211BBC" w:rsidP="00103CC5">
            <w:pPr>
              <w:contextualSpacing/>
              <w:jc w:val="center"/>
              <w:rPr>
                <w:rFonts w:cs="Times New Roman"/>
              </w:rPr>
            </w:pPr>
            <w:r w:rsidRPr="0064799F">
              <w:rPr>
                <w:rFonts w:cs="Times New Roman"/>
              </w:rPr>
              <w:t>Spring</w:t>
            </w:r>
          </w:p>
        </w:tc>
      </w:tr>
      <w:tr w:rsidR="00211BBC" w:rsidRPr="0064799F" w14:paraId="2F22D38C" w14:textId="77777777" w:rsidTr="00103CC5">
        <w:trPr>
          <w:trHeight w:val="288"/>
        </w:trPr>
        <w:tc>
          <w:tcPr>
            <w:tcW w:w="1085" w:type="pct"/>
            <w:vAlign w:val="center"/>
          </w:tcPr>
          <w:p w14:paraId="47C18958" w14:textId="77777777" w:rsidR="00211BBC" w:rsidRPr="0064799F" w:rsidRDefault="00211BBC" w:rsidP="00103CC5">
            <w:pPr>
              <w:contextualSpacing/>
              <w:rPr>
                <w:rFonts w:cs="Times New Roman"/>
              </w:rPr>
            </w:pPr>
          </w:p>
        </w:tc>
        <w:tc>
          <w:tcPr>
            <w:tcW w:w="903" w:type="pct"/>
            <w:tcBorders>
              <w:top w:val="single" w:sz="4" w:space="0" w:color="auto"/>
              <w:bottom w:val="single" w:sz="4" w:space="0" w:color="auto"/>
            </w:tcBorders>
          </w:tcPr>
          <w:p w14:paraId="66BEDB52" w14:textId="77777777" w:rsidR="00211BBC" w:rsidRPr="0064799F" w:rsidRDefault="00211BBC" w:rsidP="00103CC5">
            <w:pPr>
              <w:contextualSpacing/>
              <w:jc w:val="center"/>
              <w:rPr>
                <w:rFonts w:cs="Times New Roman"/>
              </w:rPr>
            </w:pPr>
            <w:r w:rsidRPr="0064799F">
              <w:rPr>
                <w:rFonts w:cs="Times New Roman"/>
              </w:rPr>
              <w:t xml:space="preserve">2022 </w:t>
            </w:r>
          </w:p>
        </w:tc>
        <w:tc>
          <w:tcPr>
            <w:tcW w:w="99" w:type="pct"/>
            <w:tcBorders>
              <w:top w:val="single" w:sz="4" w:space="0" w:color="auto"/>
            </w:tcBorders>
          </w:tcPr>
          <w:p w14:paraId="42F0B746" w14:textId="77777777" w:rsidR="00211BBC" w:rsidRPr="0064799F" w:rsidRDefault="00211BBC" w:rsidP="00103CC5">
            <w:pPr>
              <w:contextualSpacing/>
              <w:jc w:val="center"/>
              <w:rPr>
                <w:rFonts w:cs="Times New Roman"/>
              </w:rPr>
            </w:pPr>
          </w:p>
        </w:tc>
        <w:tc>
          <w:tcPr>
            <w:tcW w:w="907" w:type="pct"/>
            <w:tcBorders>
              <w:top w:val="single" w:sz="4" w:space="0" w:color="auto"/>
              <w:bottom w:val="single" w:sz="4" w:space="0" w:color="auto"/>
            </w:tcBorders>
          </w:tcPr>
          <w:p w14:paraId="27B3D425" w14:textId="77777777" w:rsidR="00211BBC" w:rsidRPr="0064799F" w:rsidRDefault="00211BBC" w:rsidP="00103CC5">
            <w:pPr>
              <w:contextualSpacing/>
              <w:jc w:val="center"/>
              <w:rPr>
                <w:rFonts w:cs="Times New Roman"/>
              </w:rPr>
            </w:pPr>
            <w:r w:rsidRPr="0064799F">
              <w:rPr>
                <w:rFonts w:cs="Times New Roman"/>
              </w:rPr>
              <w:t>2023</w:t>
            </w:r>
          </w:p>
        </w:tc>
        <w:tc>
          <w:tcPr>
            <w:tcW w:w="99" w:type="pct"/>
          </w:tcPr>
          <w:p w14:paraId="38DE4F82" w14:textId="77777777" w:rsidR="00211BBC" w:rsidRPr="0064799F" w:rsidRDefault="00211BBC" w:rsidP="00103CC5">
            <w:pPr>
              <w:contextualSpacing/>
              <w:jc w:val="center"/>
              <w:rPr>
                <w:rFonts w:cs="Times New Roman"/>
              </w:rPr>
            </w:pPr>
          </w:p>
        </w:tc>
        <w:tc>
          <w:tcPr>
            <w:tcW w:w="904" w:type="pct"/>
            <w:tcBorders>
              <w:top w:val="single" w:sz="4" w:space="0" w:color="auto"/>
              <w:bottom w:val="single" w:sz="4" w:space="0" w:color="auto"/>
            </w:tcBorders>
          </w:tcPr>
          <w:p w14:paraId="439CED51" w14:textId="77777777" w:rsidR="00211BBC" w:rsidRPr="0064799F" w:rsidRDefault="00211BBC" w:rsidP="00103CC5">
            <w:pPr>
              <w:contextualSpacing/>
              <w:jc w:val="center"/>
              <w:rPr>
                <w:rFonts w:cs="Times New Roman"/>
              </w:rPr>
            </w:pPr>
            <w:r w:rsidRPr="0064799F">
              <w:rPr>
                <w:rFonts w:cs="Times New Roman"/>
              </w:rPr>
              <w:t>2023</w:t>
            </w:r>
          </w:p>
        </w:tc>
        <w:tc>
          <w:tcPr>
            <w:tcW w:w="99" w:type="pct"/>
            <w:tcBorders>
              <w:top w:val="single" w:sz="4" w:space="0" w:color="auto"/>
            </w:tcBorders>
          </w:tcPr>
          <w:p w14:paraId="76491404" w14:textId="77777777" w:rsidR="00211BBC" w:rsidRPr="0064799F" w:rsidRDefault="00211BBC" w:rsidP="00103CC5">
            <w:pPr>
              <w:contextualSpacing/>
              <w:jc w:val="center"/>
              <w:rPr>
                <w:rFonts w:cs="Times New Roman"/>
              </w:rPr>
            </w:pPr>
          </w:p>
        </w:tc>
        <w:tc>
          <w:tcPr>
            <w:tcW w:w="904" w:type="pct"/>
            <w:tcBorders>
              <w:top w:val="single" w:sz="4" w:space="0" w:color="auto"/>
              <w:bottom w:val="single" w:sz="4" w:space="0" w:color="auto"/>
            </w:tcBorders>
          </w:tcPr>
          <w:p w14:paraId="6C91C441" w14:textId="77777777" w:rsidR="00211BBC" w:rsidRPr="0064799F" w:rsidRDefault="00211BBC" w:rsidP="00103CC5">
            <w:pPr>
              <w:contextualSpacing/>
              <w:jc w:val="center"/>
              <w:rPr>
                <w:rFonts w:cs="Times New Roman"/>
              </w:rPr>
            </w:pPr>
            <w:r w:rsidRPr="0064799F">
              <w:rPr>
                <w:rFonts w:cs="Times New Roman"/>
              </w:rPr>
              <w:t>2024</w:t>
            </w:r>
          </w:p>
        </w:tc>
      </w:tr>
      <w:tr w:rsidR="00211BBC" w:rsidRPr="0064799F" w14:paraId="404805A9" w14:textId="77777777" w:rsidTr="00103CC5">
        <w:trPr>
          <w:trHeight w:val="288"/>
        </w:trPr>
        <w:tc>
          <w:tcPr>
            <w:tcW w:w="1085" w:type="pct"/>
            <w:vAlign w:val="center"/>
          </w:tcPr>
          <w:p w14:paraId="661A64EB" w14:textId="77777777" w:rsidR="00211BBC" w:rsidRPr="0064799F" w:rsidRDefault="00211BBC" w:rsidP="00103CC5">
            <w:pPr>
              <w:contextualSpacing/>
              <w:rPr>
                <w:rFonts w:cs="Times New Roman"/>
                <w:vertAlign w:val="superscript"/>
              </w:rPr>
            </w:pPr>
            <w:r w:rsidRPr="0064799F">
              <w:rPr>
                <w:rFonts w:cs="Times New Roman"/>
              </w:rPr>
              <w:t xml:space="preserve">Air temperature (˚C) </w:t>
            </w:r>
          </w:p>
        </w:tc>
        <w:tc>
          <w:tcPr>
            <w:tcW w:w="903" w:type="pct"/>
            <w:tcBorders>
              <w:top w:val="single" w:sz="4" w:space="0" w:color="auto"/>
            </w:tcBorders>
            <w:vAlign w:val="center"/>
          </w:tcPr>
          <w:p w14:paraId="1D9E7B04" w14:textId="77777777" w:rsidR="00211BBC" w:rsidRPr="0064799F" w:rsidRDefault="00211BBC" w:rsidP="00103CC5">
            <w:pPr>
              <w:contextualSpacing/>
              <w:jc w:val="center"/>
              <w:rPr>
                <w:rFonts w:cs="Times New Roman"/>
              </w:rPr>
            </w:pPr>
            <w:r w:rsidRPr="0064799F">
              <w:rPr>
                <w:rFonts w:cs="Times New Roman"/>
              </w:rPr>
              <w:t>9.3</w:t>
            </w:r>
          </w:p>
        </w:tc>
        <w:tc>
          <w:tcPr>
            <w:tcW w:w="99" w:type="pct"/>
          </w:tcPr>
          <w:p w14:paraId="63E214A7" w14:textId="77777777" w:rsidR="00211BBC" w:rsidRPr="0064799F" w:rsidRDefault="00211BBC" w:rsidP="00103CC5">
            <w:pPr>
              <w:contextualSpacing/>
              <w:jc w:val="center"/>
              <w:rPr>
                <w:rFonts w:cs="Times New Roman"/>
              </w:rPr>
            </w:pPr>
          </w:p>
        </w:tc>
        <w:tc>
          <w:tcPr>
            <w:tcW w:w="907" w:type="pct"/>
            <w:tcBorders>
              <w:top w:val="single" w:sz="4" w:space="0" w:color="auto"/>
            </w:tcBorders>
            <w:vAlign w:val="center"/>
          </w:tcPr>
          <w:p w14:paraId="733F4074" w14:textId="77777777" w:rsidR="00211BBC" w:rsidRPr="0064799F" w:rsidRDefault="00211BBC" w:rsidP="00103CC5">
            <w:pPr>
              <w:contextualSpacing/>
              <w:jc w:val="center"/>
              <w:rPr>
                <w:rFonts w:cs="Times New Roman"/>
              </w:rPr>
            </w:pPr>
            <w:r w:rsidRPr="0064799F">
              <w:rPr>
                <w:rFonts w:cs="Times New Roman"/>
              </w:rPr>
              <w:t>9.2</w:t>
            </w:r>
          </w:p>
        </w:tc>
        <w:tc>
          <w:tcPr>
            <w:tcW w:w="99" w:type="pct"/>
          </w:tcPr>
          <w:p w14:paraId="5C9890A9" w14:textId="77777777" w:rsidR="00211BBC" w:rsidRPr="0064799F" w:rsidRDefault="00211BBC" w:rsidP="00103CC5">
            <w:pPr>
              <w:contextualSpacing/>
              <w:jc w:val="center"/>
              <w:rPr>
                <w:rFonts w:cs="Times New Roman"/>
              </w:rPr>
            </w:pPr>
          </w:p>
        </w:tc>
        <w:tc>
          <w:tcPr>
            <w:tcW w:w="904" w:type="pct"/>
            <w:tcBorders>
              <w:top w:val="single" w:sz="4" w:space="0" w:color="auto"/>
            </w:tcBorders>
            <w:vAlign w:val="center"/>
          </w:tcPr>
          <w:p w14:paraId="63F27A3C" w14:textId="77777777" w:rsidR="00211BBC" w:rsidRPr="0064799F" w:rsidRDefault="00211BBC" w:rsidP="00103CC5">
            <w:pPr>
              <w:contextualSpacing/>
              <w:jc w:val="center"/>
              <w:rPr>
                <w:rFonts w:cs="Times New Roman"/>
              </w:rPr>
            </w:pPr>
            <w:r w:rsidRPr="0064799F">
              <w:rPr>
                <w:rFonts w:cs="Times New Roman"/>
              </w:rPr>
              <w:t>19.5</w:t>
            </w:r>
          </w:p>
        </w:tc>
        <w:tc>
          <w:tcPr>
            <w:tcW w:w="99" w:type="pct"/>
          </w:tcPr>
          <w:p w14:paraId="68483DA4" w14:textId="77777777" w:rsidR="00211BBC" w:rsidRPr="0064799F" w:rsidRDefault="00211BBC" w:rsidP="00103CC5">
            <w:pPr>
              <w:contextualSpacing/>
              <w:jc w:val="center"/>
              <w:rPr>
                <w:rFonts w:cs="Times New Roman"/>
              </w:rPr>
            </w:pPr>
          </w:p>
        </w:tc>
        <w:tc>
          <w:tcPr>
            <w:tcW w:w="904" w:type="pct"/>
            <w:tcBorders>
              <w:top w:val="single" w:sz="4" w:space="0" w:color="auto"/>
            </w:tcBorders>
            <w:vAlign w:val="center"/>
          </w:tcPr>
          <w:p w14:paraId="3671A15C" w14:textId="77777777" w:rsidR="00211BBC" w:rsidRPr="0064799F" w:rsidRDefault="00211BBC" w:rsidP="00103CC5">
            <w:pPr>
              <w:contextualSpacing/>
              <w:jc w:val="center"/>
              <w:rPr>
                <w:rFonts w:cs="Times New Roman"/>
              </w:rPr>
            </w:pPr>
            <w:r w:rsidRPr="0064799F">
              <w:rPr>
                <w:rFonts w:cs="Times New Roman"/>
              </w:rPr>
              <w:t>18.1</w:t>
            </w:r>
          </w:p>
        </w:tc>
      </w:tr>
      <w:tr w:rsidR="00211BBC" w:rsidRPr="0064799F" w14:paraId="2AD2509F" w14:textId="77777777" w:rsidTr="00103CC5">
        <w:trPr>
          <w:trHeight w:val="288"/>
        </w:trPr>
        <w:tc>
          <w:tcPr>
            <w:tcW w:w="1085" w:type="pct"/>
            <w:vAlign w:val="center"/>
          </w:tcPr>
          <w:p w14:paraId="260E09ED" w14:textId="77777777" w:rsidR="00211BBC" w:rsidRPr="0064799F" w:rsidRDefault="00211BBC" w:rsidP="00103CC5">
            <w:pPr>
              <w:contextualSpacing/>
              <w:rPr>
                <w:rFonts w:cs="Times New Roman"/>
                <w:vertAlign w:val="superscript"/>
              </w:rPr>
            </w:pPr>
            <w:r w:rsidRPr="0064799F">
              <w:rPr>
                <w:rFonts w:cs="Times New Roman"/>
              </w:rPr>
              <w:t>Soil temperature (˚C)</w:t>
            </w:r>
          </w:p>
        </w:tc>
        <w:tc>
          <w:tcPr>
            <w:tcW w:w="903" w:type="pct"/>
            <w:vAlign w:val="center"/>
          </w:tcPr>
          <w:p w14:paraId="039F814C" w14:textId="77777777" w:rsidR="00211BBC" w:rsidRPr="0064799F" w:rsidRDefault="00211BBC" w:rsidP="00103CC5">
            <w:pPr>
              <w:contextualSpacing/>
              <w:jc w:val="center"/>
              <w:rPr>
                <w:rFonts w:cs="Times New Roman"/>
              </w:rPr>
            </w:pPr>
            <w:r w:rsidRPr="0064799F">
              <w:rPr>
                <w:rFonts w:cs="Times New Roman"/>
              </w:rPr>
              <w:t>10.7</w:t>
            </w:r>
          </w:p>
        </w:tc>
        <w:tc>
          <w:tcPr>
            <w:tcW w:w="99" w:type="pct"/>
          </w:tcPr>
          <w:p w14:paraId="192FFCEE" w14:textId="77777777" w:rsidR="00211BBC" w:rsidRPr="0064799F" w:rsidRDefault="00211BBC" w:rsidP="00103CC5">
            <w:pPr>
              <w:contextualSpacing/>
              <w:jc w:val="center"/>
              <w:rPr>
                <w:rFonts w:cs="Times New Roman"/>
              </w:rPr>
            </w:pPr>
          </w:p>
        </w:tc>
        <w:tc>
          <w:tcPr>
            <w:tcW w:w="907" w:type="pct"/>
            <w:vAlign w:val="center"/>
          </w:tcPr>
          <w:p w14:paraId="6106F267" w14:textId="77777777" w:rsidR="00211BBC" w:rsidRPr="0064799F" w:rsidRDefault="00211BBC" w:rsidP="00103CC5">
            <w:pPr>
              <w:contextualSpacing/>
              <w:jc w:val="center"/>
              <w:rPr>
                <w:rFonts w:cs="Times New Roman"/>
              </w:rPr>
            </w:pPr>
            <w:r w:rsidRPr="0064799F">
              <w:rPr>
                <w:rFonts w:cs="Times New Roman"/>
              </w:rPr>
              <w:t>10.7</w:t>
            </w:r>
          </w:p>
        </w:tc>
        <w:tc>
          <w:tcPr>
            <w:tcW w:w="99" w:type="pct"/>
          </w:tcPr>
          <w:p w14:paraId="628E3F3E" w14:textId="77777777" w:rsidR="00211BBC" w:rsidRPr="0064799F" w:rsidRDefault="00211BBC" w:rsidP="00103CC5">
            <w:pPr>
              <w:contextualSpacing/>
              <w:jc w:val="center"/>
              <w:rPr>
                <w:rFonts w:cs="Times New Roman"/>
              </w:rPr>
            </w:pPr>
          </w:p>
        </w:tc>
        <w:tc>
          <w:tcPr>
            <w:tcW w:w="904" w:type="pct"/>
            <w:vAlign w:val="center"/>
          </w:tcPr>
          <w:p w14:paraId="061D27F6" w14:textId="77777777" w:rsidR="00211BBC" w:rsidRPr="0064799F" w:rsidRDefault="00211BBC" w:rsidP="00103CC5">
            <w:pPr>
              <w:contextualSpacing/>
              <w:jc w:val="center"/>
              <w:rPr>
                <w:rFonts w:cs="Times New Roman"/>
              </w:rPr>
            </w:pPr>
            <w:r w:rsidRPr="0064799F">
              <w:rPr>
                <w:rFonts w:cs="Times New Roman"/>
              </w:rPr>
              <w:t>19.6</w:t>
            </w:r>
          </w:p>
        </w:tc>
        <w:tc>
          <w:tcPr>
            <w:tcW w:w="99" w:type="pct"/>
          </w:tcPr>
          <w:p w14:paraId="2792B434" w14:textId="77777777" w:rsidR="00211BBC" w:rsidRPr="0064799F" w:rsidRDefault="00211BBC" w:rsidP="00103CC5">
            <w:pPr>
              <w:contextualSpacing/>
              <w:jc w:val="center"/>
              <w:rPr>
                <w:rFonts w:cs="Times New Roman"/>
              </w:rPr>
            </w:pPr>
          </w:p>
        </w:tc>
        <w:tc>
          <w:tcPr>
            <w:tcW w:w="904" w:type="pct"/>
            <w:vAlign w:val="center"/>
          </w:tcPr>
          <w:p w14:paraId="4217EC55" w14:textId="77777777" w:rsidR="00211BBC" w:rsidRPr="0064799F" w:rsidRDefault="00211BBC" w:rsidP="00103CC5">
            <w:pPr>
              <w:contextualSpacing/>
              <w:jc w:val="center"/>
              <w:rPr>
                <w:rFonts w:cs="Times New Roman"/>
              </w:rPr>
            </w:pPr>
            <w:r w:rsidRPr="0064799F">
              <w:rPr>
                <w:rFonts w:cs="Times New Roman"/>
              </w:rPr>
              <w:t>17.8</w:t>
            </w:r>
          </w:p>
        </w:tc>
      </w:tr>
      <w:tr w:rsidR="00211BBC" w:rsidRPr="0064799F" w14:paraId="13FF2CAC" w14:textId="77777777" w:rsidTr="00103CC5">
        <w:trPr>
          <w:trHeight w:val="288"/>
        </w:trPr>
        <w:tc>
          <w:tcPr>
            <w:tcW w:w="1085" w:type="pct"/>
            <w:vAlign w:val="center"/>
          </w:tcPr>
          <w:p w14:paraId="616BB223" w14:textId="77777777" w:rsidR="00211BBC" w:rsidRPr="0064799F" w:rsidRDefault="00211BBC" w:rsidP="00103CC5">
            <w:pPr>
              <w:contextualSpacing/>
              <w:rPr>
                <w:rFonts w:cs="Times New Roman"/>
                <w:vertAlign w:val="superscript"/>
              </w:rPr>
            </w:pPr>
            <w:r w:rsidRPr="0064799F">
              <w:rPr>
                <w:rFonts w:cs="Times New Roman"/>
              </w:rPr>
              <w:t>Humidity (%)</w:t>
            </w:r>
          </w:p>
        </w:tc>
        <w:tc>
          <w:tcPr>
            <w:tcW w:w="903" w:type="pct"/>
            <w:vAlign w:val="center"/>
          </w:tcPr>
          <w:p w14:paraId="7B9DC267" w14:textId="77777777" w:rsidR="00211BBC" w:rsidRPr="0064799F" w:rsidRDefault="00211BBC" w:rsidP="00103CC5">
            <w:pPr>
              <w:contextualSpacing/>
              <w:jc w:val="center"/>
              <w:rPr>
                <w:rFonts w:cs="Times New Roman"/>
              </w:rPr>
            </w:pPr>
            <w:r w:rsidRPr="0064799F">
              <w:rPr>
                <w:rFonts w:cs="Times New Roman"/>
              </w:rPr>
              <w:t>75</w:t>
            </w:r>
          </w:p>
        </w:tc>
        <w:tc>
          <w:tcPr>
            <w:tcW w:w="99" w:type="pct"/>
          </w:tcPr>
          <w:p w14:paraId="6E37D384" w14:textId="77777777" w:rsidR="00211BBC" w:rsidRPr="0064799F" w:rsidRDefault="00211BBC" w:rsidP="00103CC5">
            <w:pPr>
              <w:contextualSpacing/>
              <w:jc w:val="center"/>
              <w:rPr>
                <w:rFonts w:cs="Times New Roman"/>
              </w:rPr>
            </w:pPr>
          </w:p>
        </w:tc>
        <w:tc>
          <w:tcPr>
            <w:tcW w:w="907" w:type="pct"/>
            <w:vAlign w:val="center"/>
          </w:tcPr>
          <w:p w14:paraId="6EBA5095" w14:textId="77777777" w:rsidR="00211BBC" w:rsidRPr="0064799F" w:rsidRDefault="00211BBC" w:rsidP="00103CC5">
            <w:pPr>
              <w:contextualSpacing/>
              <w:jc w:val="center"/>
              <w:rPr>
                <w:rFonts w:cs="Times New Roman"/>
              </w:rPr>
            </w:pPr>
            <w:r w:rsidRPr="0064799F">
              <w:rPr>
                <w:rFonts w:cs="Times New Roman"/>
              </w:rPr>
              <w:t>75</w:t>
            </w:r>
          </w:p>
        </w:tc>
        <w:tc>
          <w:tcPr>
            <w:tcW w:w="99" w:type="pct"/>
          </w:tcPr>
          <w:p w14:paraId="7CB2580A" w14:textId="77777777" w:rsidR="00211BBC" w:rsidRPr="0064799F" w:rsidRDefault="00211BBC" w:rsidP="00103CC5">
            <w:pPr>
              <w:contextualSpacing/>
              <w:jc w:val="center"/>
              <w:rPr>
                <w:rFonts w:cs="Times New Roman"/>
              </w:rPr>
            </w:pPr>
          </w:p>
        </w:tc>
        <w:tc>
          <w:tcPr>
            <w:tcW w:w="904" w:type="pct"/>
            <w:vAlign w:val="center"/>
          </w:tcPr>
          <w:p w14:paraId="60E877D5" w14:textId="77777777" w:rsidR="00211BBC" w:rsidRPr="0064799F" w:rsidRDefault="00211BBC" w:rsidP="00103CC5">
            <w:pPr>
              <w:contextualSpacing/>
              <w:jc w:val="center"/>
              <w:rPr>
                <w:rFonts w:cs="Times New Roman"/>
              </w:rPr>
            </w:pPr>
            <w:r w:rsidRPr="0064799F">
              <w:rPr>
                <w:rFonts w:cs="Times New Roman"/>
              </w:rPr>
              <w:t>74</w:t>
            </w:r>
          </w:p>
        </w:tc>
        <w:tc>
          <w:tcPr>
            <w:tcW w:w="99" w:type="pct"/>
          </w:tcPr>
          <w:p w14:paraId="514A1E7D" w14:textId="77777777" w:rsidR="00211BBC" w:rsidRPr="0064799F" w:rsidRDefault="00211BBC" w:rsidP="00103CC5">
            <w:pPr>
              <w:contextualSpacing/>
              <w:jc w:val="center"/>
              <w:rPr>
                <w:rFonts w:cs="Times New Roman"/>
              </w:rPr>
            </w:pPr>
          </w:p>
        </w:tc>
        <w:tc>
          <w:tcPr>
            <w:tcW w:w="904" w:type="pct"/>
            <w:vAlign w:val="center"/>
          </w:tcPr>
          <w:p w14:paraId="238081C5" w14:textId="77777777" w:rsidR="00211BBC" w:rsidRPr="0064799F" w:rsidRDefault="00211BBC" w:rsidP="00103CC5">
            <w:pPr>
              <w:contextualSpacing/>
              <w:jc w:val="center"/>
              <w:rPr>
                <w:rFonts w:cs="Times New Roman"/>
              </w:rPr>
            </w:pPr>
            <w:r w:rsidRPr="0064799F">
              <w:rPr>
                <w:rFonts w:cs="Times New Roman"/>
              </w:rPr>
              <w:t>74</w:t>
            </w:r>
          </w:p>
        </w:tc>
      </w:tr>
      <w:tr w:rsidR="00211BBC" w:rsidRPr="0064799F" w14:paraId="21C6D79F" w14:textId="77777777" w:rsidTr="00103CC5">
        <w:trPr>
          <w:trHeight w:val="288"/>
        </w:trPr>
        <w:tc>
          <w:tcPr>
            <w:tcW w:w="1085" w:type="pct"/>
            <w:tcBorders>
              <w:bottom w:val="single" w:sz="4" w:space="0" w:color="auto"/>
            </w:tcBorders>
            <w:vAlign w:val="center"/>
          </w:tcPr>
          <w:p w14:paraId="3F618E9D" w14:textId="77777777" w:rsidR="00211BBC" w:rsidRPr="0064799F" w:rsidRDefault="00211BBC" w:rsidP="00103CC5">
            <w:pPr>
              <w:contextualSpacing/>
              <w:rPr>
                <w:rFonts w:cs="Times New Roman"/>
                <w:vertAlign w:val="superscript"/>
              </w:rPr>
            </w:pPr>
            <w:r w:rsidRPr="0064799F">
              <w:rPr>
                <w:rFonts w:cs="Times New Roman"/>
              </w:rPr>
              <w:t>Precipitation (cm)</w:t>
            </w:r>
          </w:p>
        </w:tc>
        <w:tc>
          <w:tcPr>
            <w:tcW w:w="903" w:type="pct"/>
            <w:tcBorders>
              <w:bottom w:val="single" w:sz="4" w:space="0" w:color="auto"/>
            </w:tcBorders>
            <w:vAlign w:val="center"/>
          </w:tcPr>
          <w:p w14:paraId="1CA8E57E" w14:textId="77777777" w:rsidR="00211BBC" w:rsidRPr="0064799F" w:rsidRDefault="00211BBC" w:rsidP="00103CC5">
            <w:pPr>
              <w:contextualSpacing/>
              <w:jc w:val="center"/>
              <w:rPr>
                <w:rFonts w:cs="Times New Roman"/>
              </w:rPr>
            </w:pPr>
            <w:r w:rsidRPr="0064799F">
              <w:rPr>
                <w:rFonts w:cs="Times New Roman"/>
              </w:rPr>
              <w:t>73.7</w:t>
            </w:r>
          </w:p>
        </w:tc>
        <w:tc>
          <w:tcPr>
            <w:tcW w:w="99" w:type="pct"/>
            <w:tcBorders>
              <w:bottom w:val="single" w:sz="4" w:space="0" w:color="auto"/>
            </w:tcBorders>
          </w:tcPr>
          <w:p w14:paraId="1678DF0E" w14:textId="77777777" w:rsidR="00211BBC" w:rsidRPr="0064799F" w:rsidRDefault="00211BBC" w:rsidP="00103CC5">
            <w:pPr>
              <w:contextualSpacing/>
              <w:jc w:val="center"/>
              <w:rPr>
                <w:rFonts w:cs="Times New Roman"/>
              </w:rPr>
            </w:pPr>
          </w:p>
        </w:tc>
        <w:tc>
          <w:tcPr>
            <w:tcW w:w="907" w:type="pct"/>
            <w:tcBorders>
              <w:bottom w:val="single" w:sz="4" w:space="0" w:color="auto"/>
            </w:tcBorders>
            <w:vAlign w:val="center"/>
          </w:tcPr>
          <w:p w14:paraId="3611CC1E" w14:textId="77777777" w:rsidR="00211BBC" w:rsidRPr="0064799F" w:rsidRDefault="00211BBC" w:rsidP="00103CC5">
            <w:pPr>
              <w:contextualSpacing/>
              <w:jc w:val="center"/>
              <w:rPr>
                <w:rFonts w:cs="Times New Roman"/>
              </w:rPr>
            </w:pPr>
            <w:r w:rsidRPr="0064799F">
              <w:rPr>
                <w:rFonts w:cs="Times New Roman"/>
              </w:rPr>
              <w:t>63.1</w:t>
            </w:r>
          </w:p>
        </w:tc>
        <w:tc>
          <w:tcPr>
            <w:tcW w:w="99" w:type="pct"/>
            <w:tcBorders>
              <w:bottom w:val="single" w:sz="4" w:space="0" w:color="auto"/>
            </w:tcBorders>
          </w:tcPr>
          <w:p w14:paraId="63D05EEE" w14:textId="77777777" w:rsidR="00211BBC" w:rsidRPr="0064799F" w:rsidRDefault="00211BBC" w:rsidP="00103CC5">
            <w:pPr>
              <w:contextualSpacing/>
              <w:jc w:val="center"/>
              <w:rPr>
                <w:rFonts w:cs="Times New Roman"/>
              </w:rPr>
            </w:pPr>
          </w:p>
        </w:tc>
        <w:tc>
          <w:tcPr>
            <w:tcW w:w="904" w:type="pct"/>
            <w:tcBorders>
              <w:bottom w:val="single" w:sz="4" w:space="0" w:color="auto"/>
            </w:tcBorders>
            <w:vAlign w:val="center"/>
          </w:tcPr>
          <w:p w14:paraId="4BD6CDF7" w14:textId="77777777" w:rsidR="00211BBC" w:rsidRPr="0064799F" w:rsidRDefault="00211BBC" w:rsidP="00103CC5">
            <w:pPr>
              <w:contextualSpacing/>
              <w:jc w:val="center"/>
              <w:rPr>
                <w:rFonts w:cs="Times New Roman"/>
              </w:rPr>
            </w:pPr>
            <w:r w:rsidRPr="0064799F">
              <w:rPr>
                <w:rFonts w:cs="Times New Roman"/>
              </w:rPr>
              <w:t>81.3</w:t>
            </w:r>
          </w:p>
        </w:tc>
        <w:tc>
          <w:tcPr>
            <w:tcW w:w="99" w:type="pct"/>
            <w:tcBorders>
              <w:bottom w:val="single" w:sz="4" w:space="0" w:color="auto"/>
            </w:tcBorders>
          </w:tcPr>
          <w:p w14:paraId="0AA86017" w14:textId="77777777" w:rsidR="00211BBC" w:rsidRPr="0064799F" w:rsidRDefault="00211BBC" w:rsidP="00103CC5">
            <w:pPr>
              <w:contextualSpacing/>
              <w:jc w:val="center"/>
              <w:rPr>
                <w:rFonts w:cs="Times New Roman"/>
              </w:rPr>
            </w:pPr>
          </w:p>
        </w:tc>
        <w:tc>
          <w:tcPr>
            <w:tcW w:w="904" w:type="pct"/>
            <w:tcBorders>
              <w:bottom w:val="single" w:sz="4" w:space="0" w:color="auto"/>
            </w:tcBorders>
            <w:vAlign w:val="center"/>
          </w:tcPr>
          <w:p w14:paraId="787B0049" w14:textId="77777777" w:rsidR="00211BBC" w:rsidRPr="0064799F" w:rsidRDefault="00211BBC" w:rsidP="00103CC5">
            <w:pPr>
              <w:contextualSpacing/>
              <w:jc w:val="center"/>
              <w:rPr>
                <w:rFonts w:cs="Times New Roman"/>
              </w:rPr>
            </w:pPr>
            <w:r w:rsidRPr="0064799F">
              <w:rPr>
                <w:rFonts w:cs="Times New Roman"/>
              </w:rPr>
              <w:t>85.6</w:t>
            </w:r>
          </w:p>
        </w:tc>
      </w:tr>
    </w:tbl>
    <w:p w14:paraId="644AC633" w14:textId="77777777" w:rsidR="00211BBC" w:rsidRPr="0064799F" w:rsidRDefault="00211BBC" w:rsidP="00211BBC">
      <w:pPr>
        <w:ind w:left="90" w:hanging="90"/>
        <w:contextualSpacing/>
        <w:rPr>
          <w:rFonts w:cs="Times New Roman"/>
          <w:color w:val="000000" w:themeColor="text1"/>
        </w:rPr>
        <w:sectPr w:rsidR="00211BBC" w:rsidRPr="0064799F" w:rsidSect="00DF70E0">
          <w:pgSz w:w="15840" w:h="12240" w:orient="landscape"/>
          <w:pgMar w:top="1440" w:right="1440" w:bottom="1440" w:left="1440" w:header="720" w:footer="720" w:gutter="0"/>
          <w:cols w:space="720"/>
          <w:docGrid w:linePitch="360"/>
        </w:sectPr>
      </w:pPr>
    </w:p>
    <w:p w14:paraId="23A291C2" w14:textId="68CADB3B" w:rsidR="00211BBC" w:rsidRPr="00740B9C" w:rsidRDefault="00740B9C" w:rsidP="000C799B">
      <w:pPr>
        <w:pStyle w:val="Caption"/>
      </w:pPr>
      <w:bookmarkStart w:id="49" w:name="_Toc192779565"/>
      <w:bookmarkStart w:id="50" w:name="_Toc192846039"/>
      <w:r>
        <w:lastRenderedPageBreak/>
        <w:t>Table 1</w:t>
      </w:r>
      <w:r w:rsidR="00980623">
        <w:t>.</w:t>
      </w:r>
      <w:fldSimple w:instr=" SEQ Table \* ARABIC \s 1 ">
        <w:r w:rsidR="00980623">
          <w:rPr>
            <w:noProof/>
          </w:rPr>
          <w:t>2</w:t>
        </w:r>
      </w:fldSimple>
      <w:r>
        <w:t xml:space="preserve">. </w:t>
      </w:r>
      <w:r w:rsidR="00211BBC" w:rsidRPr="00740B9C">
        <w:rPr>
          <w:rFonts w:cs="Times New Roman"/>
          <w:b w:val="0"/>
          <w:bCs w:val="0"/>
        </w:rPr>
        <w:t xml:space="preserve">Physical and chemical properties of the </w:t>
      </w:r>
      <w:r w:rsidR="00211BBC" w:rsidRPr="00740B9C">
        <w:rPr>
          <w:rFonts w:cs="Times New Roman"/>
          <w:b w:val="0"/>
          <w:bCs w:val="0"/>
          <w:color w:val="000000" w:themeColor="text1"/>
        </w:rPr>
        <w:t xml:space="preserve">soils </w:t>
      </w:r>
      <w:r w:rsidR="00211BBC" w:rsidRPr="00740B9C">
        <w:rPr>
          <w:rFonts w:cs="Times New Roman"/>
          <w:b w:val="0"/>
          <w:bCs w:val="0"/>
        </w:rPr>
        <w:t xml:space="preserve">in place for all experimental trial work evaluating efficacy and tolerance of </w:t>
      </w:r>
      <w:proofErr w:type="spellStart"/>
      <w:r w:rsidR="00211BBC" w:rsidRPr="00740B9C">
        <w:rPr>
          <w:rFonts w:cs="Times New Roman"/>
          <w:b w:val="0"/>
          <w:bCs w:val="0"/>
        </w:rPr>
        <w:t>tetflupyrolimet</w:t>
      </w:r>
      <w:proofErr w:type="spellEnd"/>
      <w:r w:rsidR="00211BBC" w:rsidRPr="00740B9C">
        <w:rPr>
          <w:rFonts w:cs="Times New Roman"/>
          <w:b w:val="0"/>
          <w:bCs w:val="0"/>
        </w:rPr>
        <w:t xml:space="preserve"> (</w:t>
      </w:r>
      <w:proofErr w:type="spellStart"/>
      <w:r w:rsidR="00211BBC" w:rsidRPr="00740B9C">
        <w:rPr>
          <w:rFonts w:cs="Times New Roman"/>
          <w:b w:val="0"/>
          <w:bCs w:val="0"/>
        </w:rPr>
        <w:t>Dodhylex</w:t>
      </w:r>
      <w:proofErr w:type="spellEnd"/>
      <w:r w:rsidR="00211BBC" w:rsidRPr="00740B9C">
        <w:rPr>
          <w:rFonts w:cs="Times New Roman"/>
          <w:b w:val="0"/>
          <w:bCs w:val="0"/>
        </w:rPr>
        <w:sym w:font="Symbol" w:char="F0D4"/>
      </w:r>
      <w:r w:rsidR="00211BBC" w:rsidRPr="00740B9C">
        <w:rPr>
          <w:rFonts w:cs="Times New Roman"/>
          <w:b w:val="0"/>
          <w:bCs w:val="0"/>
        </w:rPr>
        <w:t xml:space="preserve"> Active. FMC Corporation. Philadelphia, PA) at Montgomery Bell State Park Golf Course (Burns, TN) and the East Tennessee Research and Education Center (ETREC) – Plant Science Unit (Knoxville, TN).</w:t>
      </w:r>
      <w:bookmarkEnd w:id="49"/>
      <w:bookmarkEnd w:id="50"/>
      <w:r w:rsidR="00211BBC" w:rsidRPr="0064799F">
        <w:rPr>
          <w:rFonts w:cs="Times New Roman"/>
        </w:rPr>
        <w:t xml:space="preserve"> </w:t>
      </w:r>
    </w:p>
    <w:p w14:paraId="2EBE834A" w14:textId="77777777" w:rsidR="00211BBC" w:rsidRPr="0064799F" w:rsidRDefault="00211BBC" w:rsidP="00211BBC">
      <w:pPr>
        <w:contextualSpacing/>
        <w:rPr>
          <w:rFonts w:cs="Times New Roman"/>
          <w:color w:val="000000" w:themeColor="text1"/>
        </w:rPr>
      </w:pP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
        <w:gridCol w:w="738"/>
        <w:gridCol w:w="2921"/>
        <w:gridCol w:w="1413"/>
        <w:gridCol w:w="1413"/>
        <w:gridCol w:w="1413"/>
        <w:gridCol w:w="1413"/>
        <w:gridCol w:w="1413"/>
        <w:gridCol w:w="1410"/>
      </w:tblGrid>
      <w:tr w:rsidR="00211BBC" w:rsidRPr="0064799F" w14:paraId="3D048A80" w14:textId="77777777" w:rsidTr="00103CC5">
        <w:tc>
          <w:tcPr>
            <w:tcW w:w="319" w:type="pct"/>
            <w:tcBorders>
              <w:top w:val="single" w:sz="4" w:space="0" w:color="auto"/>
              <w:bottom w:val="nil"/>
            </w:tcBorders>
          </w:tcPr>
          <w:p w14:paraId="5DBF701E" w14:textId="77777777" w:rsidR="00211BBC" w:rsidRPr="0064799F" w:rsidRDefault="00211BBC" w:rsidP="00103CC5">
            <w:pPr>
              <w:contextualSpacing/>
              <w:jc w:val="center"/>
              <w:rPr>
                <w:rFonts w:cs="Times New Roman"/>
              </w:rPr>
            </w:pPr>
          </w:p>
        </w:tc>
        <w:tc>
          <w:tcPr>
            <w:tcW w:w="285" w:type="pct"/>
            <w:tcBorders>
              <w:top w:val="single" w:sz="4" w:space="0" w:color="auto"/>
              <w:bottom w:val="nil"/>
            </w:tcBorders>
          </w:tcPr>
          <w:p w14:paraId="143D1E9F" w14:textId="77777777" w:rsidR="00211BBC" w:rsidRPr="0064799F" w:rsidRDefault="00211BBC" w:rsidP="00103CC5">
            <w:pPr>
              <w:contextualSpacing/>
              <w:jc w:val="center"/>
              <w:rPr>
                <w:rFonts w:cs="Times New Roman"/>
              </w:rPr>
            </w:pPr>
          </w:p>
        </w:tc>
        <w:tc>
          <w:tcPr>
            <w:tcW w:w="1127" w:type="pct"/>
            <w:tcBorders>
              <w:top w:val="single" w:sz="4" w:space="0" w:color="auto"/>
              <w:bottom w:val="nil"/>
            </w:tcBorders>
          </w:tcPr>
          <w:p w14:paraId="07CC6693" w14:textId="77777777" w:rsidR="00211BBC" w:rsidRPr="0064799F" w:rsidRDefault="00211BBC" w:rsidP="00103CC5">
            <w:pPr>
              <w:contextualSpacing/>
              <w:jc w:val="center"/>
              <w:rPr>
                <w:rFonts w:cs="Times New Roman"/>
              </w:rPr>
            </w:pPr>
          </w:p>
        </w:tc>
        <w:tc>
          <w:tcPr>
            <w:tcW w:w="3269" w:type="pct"/>
            <w:gridSpan w:val="6"/>
            <w:tcBorders>
              <w:top w:val="single" w:sz="4" w:space="0" w:color="auto"/>
              <w:bottom w:val="single" w:sz="4" w:space="0" w:color="auto"/>
            </w:tcBorders>
          </w:tcPr>
          <w:p w14:paraId="4787BA58" w14:textId="77777777" w:rsidR="00211BBC" w:rsidRPr="0064799F" w:rsidRDefault="00211BBC" w:rsidP="00103CC5">
            <w:pPr>
              <w:contextualSpacing/>
              <w:jc w:val="center"/>
              <w:rPr>
                <w:rFonts w:cs="Times New Roman"/>
              </w:rPr>
            </w:pPr>
            <w:r w:rsidRPr="0064799F">
              <w:rPr>
                <w:rFonts w:cs="Times New Roman"/>
              </w:rPr>
              <w:t>Soil analysis</w:t>
            </w:r>
          </w:p>
        </w:tc>
      </w:tr>
      <w:tr w:rsidR="00211BBC" w:rsidRPr="0064799F" w14:paraId="782BE5AD" w14:textId="77777777" w:rsidTr="00103CC5">
        <w:tc>
          <w:tcPr>
            <w:tcW w:w="1731" w:type="pct"/>
            <w:gridSpan w:val="3"/>
            <w:tcBorders>
              <w:bottom w:val="single" w:sz="4" w:space="0" w:color="auto"/>
            </w:tcBorders>
          </w:tcPr>
          <w:p w14:paraId="724223BE" w14:textId="77777777" w:rsidR="00211BBC" w:rsidRPr="0064799F" w:rsidRDefault="00211BBC" w:rsidP="00103CC5">
            <w:pPr>
              <w:contextualSpacing/>
              <w:jc w:val="both"/>
              <w:rPr>
                <w:rFonts w:cs="Times New Roman"/>
              </w:rPr>
            </w:pPr>
            <w:r w:rsidRPr="0064799F">
              <w:rPr>
                <w:rFonts w:cs="Times New Roman"/>
              </w:rPr>
              <w:t>Location</w:t>
            </w:r>
          </w:p>
        </w:tc>
        <w:tc>
          <w:tcPr>
            <w:tcW w:w="545" w:type="pct"/>
            <w:tcBorders>
              <w:top w:val="single" w:sz="4" w:space="0" w:color="auto"/>
              <w:bottom w:val="single" w:sz="4" w:space="0" w:color="auto"/>
            </w:tcBorders>
          </w:tcPr>
          <w:p w14:paraId="6E6228A8" w14:textId="77777777" w:rsidR="00211BBC" w:rsidRPr="0064799F" w:rsidRDefault="00211BBC" w:rsidP="00103CC5">
            <w:pPr>
              <w:contextualSpacing/>
              <w:jc w:val="center"/>
              <w:rPr>
                <w:rFonts w:cs="Times New Roman"/>
              </w:rPr>
            </w:pPr>
            <w:r w:rsidRPr="0064799F">
              <w:rPr>
                <w:rFonts w:cs="Times New Roman"/>
              </w:rPr>
              <w:t>pH</w:t>
            </w:r>
          </w:p>
        </w:tc>
        <w:tc>
          <w:tcPr>
            <w:tcW w:w="545" w:type="pct"/>
            <w:tcBorders>
              <w:top w:val="single" w:sz="4" w:space="0" w:color="auto"/>
              <w:bottom w:val="single" w:sz="4" w:space="0" w:color="auto"/>
            </w:tcBorders>
          </w:tcPr>
          <w:p w14:paraId="46BE9FCE" w14:textId="77777777" w:rsidR="00211BBC" w:rsidRPr="0064799F" w:rsidRDefault="00211BBC" w:rsidP="00103CC5">
            <w:pPr>
              <w:contextualSpacing/>
              <w:jc w:val="center"/>
              <w:rPr>
                <w:rFonts w:cs="Times New Roman"/>
                <w:vertAlign w:val="superscript"/>
              </w:rPr>
            </w:pPr>
            <w:proofErr w:type="spellStart"/>
            <w:r w:rsidRPr="0064799F">
              <w:rPr>
                <w:rFonts w:cs="Times New Roman"/>
              </w:rPr>
              <w:t>TEC</w:t>
            </w:r>
            <w:r w:rsidRPr="0064799F">
              <w:rPr>
                <w:rFonts w:cs="Times New Roman"/>
                <w:vertAlign w:val="superscript"/>
              </w:rPr>
              <w:t>z</w:t>
            </w:r>
            <w:proofErr w:type="spellEnd"/>
          </w:p>
        </w:tc>
        <w:tc>
          <w:tcPr>
            <w:tcW w:w="545" w:type="pct"/>
            <w:tcBorders>
              <w:top w:val="single" w:sz="4" w:space="0" w:color="auto"/>
              <w:bottom w:val="single" w:sz="4" w:space="0" w:color="auto"/>
            </w:tcBorders>
          </w:tcPr>
          <w:p w14:paraId="1A057589" w14:textId="77777777" w:rsidR="00211BBC" w:rsidRPr="0064799F" w:rsidRDefault="00211BBC" w:rsidP="00103CC5">
            <w:pPr>
              <w:contextualSpacing/>
              <w:jc w:val="center"/>
              <w:rPr>
                <w:rFonts w:cs="Times New Roman"/>
                <w:vertAlign w:val="superscript"/>
              </w:rPr>
            </w:pPr>
            <w:r w:rsidRPr="0064799F">
              <w:rPr>
                <w:rFonts w:cs="Times New Roman"/>
              </w:rPr>
              <w:t>OM %</w:t>
            </w:r>
            <w:r w:rsidRPr="0064799F">
              <w:rPr>
                <w:rFonts w:cs="Times New Roman"/>
                <w:vertAlign w:val="superscript"/>
              </w:rPr>
              <w:t>z</w:t>
            </w:r>
          </w:p>
        </w:tc>
        <w:tc>
          <w:tcPr>
            <w:tcW w:w="545" w:type="pct"/>
            <w:tcBorders>
              <w:top w:val="single" w:sz="4" w:space="0" w:color="auto"/>
              <w:bottom w:val="single" w:sz="4" w:space="0" w:color="auto"/>
            </w:tcBorders>
          </w:tcPr>
          <w:p w14:paraId="5E7AB81F" w14:textId="77777777" w:rsidR="00211BBC" w:rsidRPr="0064799F" w:rsidRDefault="00211BBC" w:rsidP="00103CC5">
            <w:pPr>
              <w:contextualSpacing/>
              <w:jc w:val="center"/>
              <w:rPr>
                <w:rFonts w:cs="Times New Roman"/>
              </w:rPr>
            </w:pPr>
            <w:r w:rsidRPr="0064799F">
              <w:rPr>
                <w:rFonts w:cs="Times New Roman"/>
              </w:rPr>
              <w:t>% Sand</w:t>
            </w:r>
          </w:p>
        </w:tc>
        <w:tc>
          <w:tcPr>
            <w:tcW w:w="545" w:type="pct"/>
            <w:tcBorders>
              <w:top w:val="single" w:sz="4" w:space="0" w:color="auto"/>
              <w:bottom w:val="single" w:sz="4" w:space="0" w:color="auto"/>
            </w:tcBorders>
          </w:tcPr>
          <w:p w14:paraId="24F675AC" w14:textId="77777777" w:rsidR="00211BBC" w:rsidRPr="0064799F" w:rsidRDefault="00211BBC" w:rsidP="00103CC5">
            <w:pPr>
              <w:contextualSpacing/>
              <w:jc w:val="center"/>
              <w:rPr>
                <w:rFonts w:cs="Times New Roman"/>
              </w:rPr>
            </w:pPr>
            <w:r w:rsidRPr="0064799F">
              <w:rPr>
                <w:rFonts w:cs="Times New Roman"/>
              </w:rPr>
              <w:t>% Silt</w:t>
            </w:r>
          </w:p>
        </w:tc>
        <w:tc>
          <w:tcPr>
            <w:tcW w:w="545" w:type="pct"/>
            <w:tcBorders>
              <w:top w:val="single" w:sz="4" w:space="0" w:color="auto"/>
              <w:bottom w:val="single" w:sz="4" w:space="0" w:color="auto"/>
            </w:tcBorders>
          </w:tcPr>
          <w:p w14:paraId="1E0D1D5B" w14:textId="77777777" w:rsidR="00211BBC" w:rsidRPr="0064799F" w:rsidRDefault="00211BBC" w:rsidP="00103CC5">
            <w:pPr>
              <w:contextualSpacing/>
              <w:jc w:val="center"/>
              <w:rPr>
                <w:rFonts w:cs="Times New Roman"/>
              </w:rPr>
            </w:pPr>
            <w:r w:rsidRPr="0064799F">
              <w:rPr>
                <w:rFonts w:cs="Times New Roman"/>
              </w:rPr>
              <w:t>% Clay</w:t>
            </w:r>
          </w:p>
        </w:tc>
      </w:tr>
      <w:tr w:rsidR="00211BBC" w:rsidRPr="0064799F" w14:paraId="21A08D02" w14:textId="77777777" w:rsidTr="00103CC5">
        <w:tc>
          <w:tcPr>
            <w:tcW w:w="1731" w:type="pct"/>
            <w:gridSpan w:val="3"/>
            <w:tcBorders>
              <w:top w:val="single" w:sz="4" w:space="0" w:color="auto"/>
            </w:tcBorders>
          </w:tcPr>
          <w:p w14:paraId="471711D6" w14:textId="77777777" w:rsidR="00211BBC" w:rsidRPr="0064799F" w:rsidRDefault="00211BBC" w:rsidP="00103CC5">
            <w:pPr>
              <w:contextualSpacing/>
              <w:jc w:val="both"/>
              <w:rPr>
                <w:rFonts w:cs="Times New Roman"/>
              </w:rPr>
            </w:pPr>
            <w:r w:rsidRPr="0064799F">
              <w:rPr>
                <w:rFonts w:cs="Times New Roman"/>
              </w:rPr>
              <w:t>Montgomery</w:t>
            </w:r>
            <w:r w:rsidRPr="0064799F">
              <w:rPr>
                <w:rFonts w:cs="Times New Roman"/>
                <w:color w:val="000000" w:themeColor="text1"/>
              </w:rPr>
              <w:t xml:space="preserve"> Bell State Park Golf Course</w:t>
            </w:r>
          </w:p>
        </w:tc>
        <w:tc>
          <w:tcPr>
            <w:tcW w:w="545" w:type="pct"/>
            <w:tcBorders>
              <w:top w:val="single" w:sz="4" w:space="0" w:color="auto"/>
            </w:tcBorders>
          </w:tcPr>
          <w:p w14:paraId="5B141F79" w14:textId="77777777" w:rsidR="00211BBC" w:rsidRPr="0064799F" w:rsidRDefault="00211BBC" w:rsidP="00103CC5">
            <w:pPr>
              <w:contextualSpacing/>
              <w:jc w:val="center"/>
              <w:rPr>
                <w:rFonts w:cs="Times New Roman"/>
              </w:rPr>
            </w:pPr>
            <w:r w:rsidRPr="0064799F">
              <w:rPr>
                <w:rFonts w:cs="Times New Roman"/>
              </w:rPr>
              <w:t>5.5</w:t>
            </w:r>
          </w:p>
        </w:tc>
        <w:tc>
          <w:tcPr>
            <w:tcW w:w="545" w:type="pct"/>
            <w:tcBorders>
              <w:top w:val="single" w:sz="4" w:space="0" w:color="auto"/>
            </w:tcBorders>
          </w:tcPr>
          <w:p w14:paraId="2E0851E7" w14:textId="77777777" w:rsidR="00211BBC" w:rsidRPr="0064799F" w:rsidRDefault="00211BBC" w:rsidP="00103CC5">
            <w:pPr>
              <w:contextualSpacing/>
              <w:jc w:val="center"/>
              <w:rPr>
                <w:rFonts w:cs="Times New Roman"/>
              </w:rPr>
            </w:pPr>
            <w:r w:rsidRPr="0064799F">
              <w:rPr>
                <w:rFonts w:cs="Times New Roman"/>
              </w:rPr>
              <w:t>14.04</w:t>
            </w:r>
          </w:p>
        </w:tc>
        <w:tc>
          <w:tcPr>
            <w:tcW w:w="545" w:type="pct"/>
            <w:tcBorders>
              <w:top w:val="single" w:sz="4" w:space="0" w:color="auto"/>
              <w:bottom w:val="nil"/>
            </w:tcBorders>
          </w:tcPr>
          <w:p w14:paraId="103AE8CE" w14:textId="77777777" w:rsidR="00211BBC" w:rsidRPr="0064799F" w:rsidRDefault="00211BBC" w:rsidP="00103CC5">
            <w:pPr>
              <w:contextualSpacing/>
              <w:jc w:val="center"/>
              <w:rPr>
                <w:rFonts w:cs="Times New Roman"/>
              </w:rPr>
            </w:pPr>
            <w:r w:rsidRPr="0064799F">
              <w:rPr>
                <w:rFonts w:cs="Times New Roman"/>
              </w:rPr>
              <w:t>4.72</w:t>
            </w:r>
          </w:p>
        </w:tc>
        <w:tc>
          <w:tcPr>
            <w:tcW w:w="545" w:type="pct"/>
            <w:tcBorders>
              <w:top w:val="single" w:sz="4" w:space="0" w:color="auto"/>
            </w:tcBorders>
          </w:tcPr>
          <w:p w14:paraId="3F01F12A" w14:textId="77777777" w:rsidR="00211BBC" w:rsidRPr="0064799F" w:rsidRDefault="00211BBC" w:rsidP="00103CC5">
            <w:pPr>
              <w:contextualSpacing/>
              <w:jc w:val="center"/>
              <w:rPr>
                <w:rFonts w:cs="Times New Roman"/>
              </w:rPr>
            </w:pPr>
            <w:r w:rsidRPr="0064799F">
              <w:rPr>
                <w:rFonts w:cs="Times New Roman"/>
              </w:rPr>
              <w:t>21.2</w:t>
            </w:r>
          </w:p>
        </w:tc>
        <w:tc>
          <w:tcPr>
            <w:tcW w:w="545" w:type="pct"/>
            <w:tcBorders>
              <w:top w:val="single" w:sz="4" w:space="0" w:color="auto"/>
            </w:tcBorders>
          </w:tcPr>
          <w:p w14:paraId="488DB94A" w14:textId="77777777" w:rsidR="00211BBC" w:rsidRPr="0064799F" w:rsidRDefault="00211BBC" w:rsidP="00103CC5">
            <w:pPr>
              <w:contextualSpacing/>
              <w:jc w:val="center"/>
              <w:rPr>
                <w:rFonts w:cs="Times New Roman"/>
              </w:rPr>
            </w:pPr>
            <w:r w:rsidRPr="0064799F">
              <w:rPr>
                <w:rFonts w:cs="Times New Roman"/>
              </w:rPr>
              <w:t>61.5</w:t>
            </w:r>
          </w:p>
        </w:tc>
        <w:tc>
          <w:tcPr>
            <w:tcW w:w="545" w:type="pct"/>
            <w:tcBorders>
              <w:top w:val="single" w:sz="4" w:space="0" w:color="auto"/>
            </w:tcBorders>
          </w:tcPr>
          <w:p w14:paraId="000A2E58" w14:textId="77777777" w:rsidR="00211BBC" w:rsidRPr="0064799F" w:rsidRDefault="00211BBC" w:rsidP="00103CC5">
            <w:pPr>
              <w:contextualSpacing/>
              <w:jc w:val="center"/>
              <w:rPr>
                <w:rFonts w:cs="Times New Roman"/>
              </w:rPr>
            </w:pPr>
            <w:r w:rsidRPr="0064799F">
              <w:rPr>
                <w:rFonts w:cs="Times New Roman"/>
              </w:rPr>
              <w:t>17.3</w:t>
            </w:r>
          </w:p>
        </w:tc>
      </w:tr>
      <w:tr w:rsidR="00211BBC" w:rsidRPr="0064799F" w14:paraId="652D3D1D" w14:textId="77777777" w:rsidTr="00103CC5">
        <w:tc>
          <w:tcPr>
            <w:tcW w:w="1731" w:type="pct"/>
            <w:gridSpan w:val="3"/>
          </w:tcPr>
          <w:p w14:paraId="274E518F" w14:textId="77777777" w:rsidR="00211BBC" w:rsidRPr="0064799F" w:rsidRDefault="00211BBC" w:rsidP="00103CC5">
            <w:pPr>
              <w:contextualSpacing/>
              <w:jc w:val="both"/>
              <w:rPr>
                <w:rFonts w:cs="Times New Roman"/>
              </w:rPr>
            </w:pPr>
          </w:p>
        </w:tc>
        <w:tc>
          <w:tcPr>
            <w:tcW w:w="545" w:type="pct"/>
          </w:tcPr>
          <w:p w14:paraId="029B952C" w14:textId="77777777" w:rsidR="00211BBC" w:rsidRPr="0064799F" w:rsidRDefault="00211BBC" w:rsidP="00103CC5">
            <w:pPr>
              <w:contextualSpacing/>
              <w:jc w:val="center"/>
              <w:rPr>
                <w:rFonts w:cs="Times New Roman"/>
              </w:rPr>
            </w:pPr>
          </w:p>
        </w:tc>
        <w:tc>
          <w:tcPr>
            <w:tcW w:w="545" w:type="pct"/>
          </w:tcPr>
          <w:p w14:paraId="25B671A2" w14:textId="77777777" w:rsidR="00211BBC" w:rsidRPr="0064799F" w:rsidRDefault="00211BBC" w:rsidP="00103CC5">
            <w:pPr>
              <w:contextualSpacing/>
              <w:jc w:val="center"/>
              <w:rPr>
                <w:rFonts w:cs="Times New Roman"/>
              </w:rPr>
            </w:pPr>
          </w:p>
        </w:tc>
        <w:tc>
          <w:tcPr>
            <w:tcW w:w="545" w:type="pct"/>
            <w:tcBorders>
              <w:bottom w:val="nil"/>
            </w:tcBorders>
          </w:tcPr>
          <w:p w14:paraId="6332139E" w14:textId="77777777" w:rsidR="00211BBC" w:rsidRPr="0064799F" w:rsidRDefault="00211BBC" w:rsidP="00103CC5">
            <w:pPr>
              <w:contextualSpacing/>
              <w:jc w:val="center"/>
              <w:rPr>
                <w:rFonts w:cs="Times New Roman"/>
              </w:rPr>
            </w:pPr>
          </w:p>
        </w:tc>
        <w:tc>
          <w:tcPr>
            <w:tcW w:w="545" w:type="pct"/>
          </w:tcPr>
          <w:p w14:paraId="132774FC" w14:textId="77777777" w:rsidR="00211BBC" w:rsidRPr="0064799F" w:rsidRDefault="00211BBC" w:rsidP="00103CC5">
            <w:pPr>
              <w:contextualSpacing/>
              <w:jc w:val="center"/>
              <w:rPr>
                <w:rFonts w:cs="Times New Roman"/>
              </w:rPr>
            </w:pPr>
          </w:p>
        </w:tc>
        <w:tc>
          <w:tcPr>
            <w:tcW w:w="545" w:type="pct"/>
          </w:tcPr>
          <w:p w14:paraId="6BBFA031" w14:textId="77777777" w:rsidR="00211BBC" w:rsidRPr="0064799F" w:rsidRDefault="00211BBC" w:rsidP="00103CC5">
            <w:pPr>
              <w:contextualSpacing/>
              <w:jc w:val="center"/>
              <w:rPr>
                <w:rFonts w:cs="Times New Roman"/>
              </w:rPr>
            </w:pPr>
          </w:p>
        </w:tc>
        <w:tc>
          <w:tcPr>
            <w:tcW w:w="545" w:type="pct"/>
          </w:tcPr>
          <w:p w14:paraId="31715DEE" w14:textId="77777777" w:rsidR="00211BBC" w:rsidRPr="0064799F" w:rsidRDefault="00211BBC" w:rsidP="00103CC5">
            <w:pPr>
              <w:contextualSpacing/>
              <w:jc w:val="center"/>
              <w:rPr>
                <w:rFonts w:cs="Times New Roman"/>
              </w:rPr>
            </w:pPr>
          </w:p>
        </w:tc>
      </w:tr>
      <w:tr w:rsidR="00211BBC" w:rsidRPr="0064799F" w14:paraId="6D247584" w14:textId="77777777" w:rsidTr="00103CC5">
        <w:tc>
          <w:tcPr>
            <w:tcW w:w="1731" w:type="pct"/>
            <w:gridSpan w:val="3"/>
          </w:tcPr>
          <w:p w14:paraId="138E7095" w14:textId="77777777" w:rsidR="00211BBC" w:rsidRPr="0064799F" w:rsidRDefault="00211BBC" w:rsidP="00103CC5">
            <w:pPr>
              <w:contextualSpacing/>
              <w:jc w:val="both"/>
              <w:rPr>
                <w:rFonts w:cs="Times New Roman"/>
                <w:vertAlign w:val="superscript"/>
              </w:rPr>
            </w:pPr>
            <w:r w:rsidRPr="0064799F">
              <w:rPr>
                <w:rFonts w:cs="Times New Roman"/>
              </w:rPr>
              <w:t xml:space="preserve">ETREC – Plant Science </w:t>
            </w:r>
            <w:proofErr w:type="spellStart"/>
            <w:r w:rsidRPr="0064799F">
              <w:rPr>
                <w:rFonts w:cs="Times New Roman"/>
              </w:rPr>
              <w:t>Unit</w:t>
            </w:r>
            <w:r w:rsidRPr="0064799F">
              <w:rPr>
                <w:rFonts w:cs="Times New Roman"/>
                <w:vertAlign w:val="superscript"/>
              </w:rPr>
              <w:t>x</w:t>
            </w:r>
            <w:proofErr w:type="spellEnd"/>
          </w:p>
        </w:tc>
        <w:tc>
          <w:tcPr>
            <w:tcW w:w="545" w:type="pct"/>
          </w:tcPr>
          <w:p w14:paraId="5A81BEF2" w14:textId="77777777" w:rsidR="00211BBC" w:rsidRPr="0064799F" w:rsidRDefault="00211BBC" w:rsidP="00103CC5">
            <w:pPr>
              <w:contextualSpacing/>
              <w:jc w:val="center"/>
              <w:rPr>
                <w:rFonts w:cs="Times New Roman"/>
              </w:rPr>
            </w:pPr>
            <w:r w:rsidRPr="0064799F">
              <w:rPr>
                <w:rFonts w:cs="Times New Roman"/>
              </w:rPr>
              <w:t>5.7</w:t>
            </w:r>
          </w:p>
        </w:tc>
        <w:tc>
          <w:tcPr>
            <w:tcW w:w="545" w:type="pct"/>
          </w:tcPr>
          <w:p w14:paraId="3E873A4F" w14:textId="77777777" w:rsidR="00211BBC" w:rsidRPr="0064799F" w:rsidRDefault="00211BBC" w:rsidP="00103CC5">
            <w:pPr>
              <w:jc w:val="center"/>
              <w:rPr>
                <w:rFonts w:cs="Times New Roman"/>
              </w:rPr>
            </w:pPr>
            <w:r w:rsidRPr="0064799F">
              <w:rPr>
                <w:rFonts w:cs="Times New Roman"/>
              </w:rPr>
              <w:t>6.71</w:t>
            </w:r>
          </w:p>
        </w:tc>
        <w:tc>
          <w:tcPr>
            <w:tcW w:w="545" w:type="pct"/>
            <w:tcBorders>
              <w:bottom w:val="nil"/>
            </w:tcBorders>
          </w:tcPr>
          <w:p w14:paraId="64D4ADDB" w14:textId="77777777" w:rsidR="00211BBC" w:rsidRPr="0064799F" w:rsidRDefault="00211BBC" w:rsidP="00103CC5">
            <w:pPr>
              <w:contextualSpacing/>
              <w:jc w:val="center"/>
              <w:rPr>
                <w:rFonts w:cs="Times New Roman"/>
              </w:rPr>
            </w:pPr>
            <w:r w:rsidRPr="0064799F">
              <w:rPr>
                <w:rFonts w:cs="Times New Roman"/>
              </w:rPr>
              <w:t>2.20</w:t>
            </w:r>
          </w:p>
        </w:tc>
        <w:tc>
          <w:tcPr>
            <w:tcW w:w="545" w:type="pct"/>
          </w:tcPr>
          <w:p w14:paraId="4E1E9D80" w14:textId="77777777" w:rsidR="00211BBC" w:rsidRPr="0064799F" w:rsidRDefault="00211BBC" w:rsidP="00103CC5">
            <w:pPr>
              <w:contextualSpacing/>
              <w:jc w:val="center"/>
              <w:rPr>
                <w:rFonts w:cs="Times New Roman"/>
              </w:rPr>
            </w:pPr>
            <w:r w:rsidRPr="0064799F">
              <w:rPr>
                <w:rFonts w:cs="Times New Roman"/>
              </w:rPr>
              <w:t>38.6</w:t>
            </w:r>
          </w:p>
        </w:tc>
        <w:tc>
          <w:tcPr>
            <w:tcW w:w="545" w:type="pct"/>
          </w:tcPr>
          <w:p w14:paraId="078D0368" w14:textId="77777777" w:rsidR="00211BBC" w:rsidRPr="0064799F" w:rsidRDefault="00211BBC" w:rsidP="00103CC5">
            <w:pPr>
              <w:contextualSpacing/>
              <w:jc w:val="center"/>
              <w:rPr>
                <w:rFonts w:cs="Times New Roman"/>
              </w:rPr>
            </w:pPr>
            <w:r w:rsidRPr="0064799F">
              <w:rPr>
                <w:rFonts w:cs="Times New Roman"/>
              </w:rPr>
              <w:t>35.5</w:t>
            </w:r>
          </w:p>
        </w:tc>
        <w:tc>
          <w:tcPr>
            <w:tcW w:w="545" w:type="pct"/>
          </w:tcPr>
          <w:p w14:paraId="47C86055" w14:textId="77777777" w:rsidR="00211BBC" w:rsidRPr="0064799F" w:rsidRDefault="00211BBC" w:rsidP="00103CC5">
            <w:pPr>
              <w:contextualSpacing/>
              <w:jc w:val="center"/>
              <w:rPr>
                <w:rFonts w:cs="Times New Roman"/>
              </w:rPr>
            </w:pPr>
            <w:r w:rsidRPr="0064799F">
              <w:rPr>
                <w:rFonts w:cs="Times New Roman"/>
              </w:rPr>
              <w:t>25.9</w:t>
            </w:r>
          </w:p>
        </w:tc>
      </w:tr>
      <w:tr w:rsidR="00211BBC" w:rsidRPr="0064799F" w14:paraId="5E4E5160" w14:textId="77777777" w:rsidTr="00103CC5">
        <w:tc>
          <w:tcPr>
            <w:tcW w:w="1731" w:type="pct"/>
            <w:gridSpan w:val="3"/>
            <w:vAlign w:val="center"/>
          </w:tcPr>
          <w:p w14:paraId="2ABD4496" w14:textId="77777777" w:rsidR="00211BBC" w:rsidRPr="0064799F" w:rsidRDefault="00211BBC" w:rsidP="00103CC5">
            <w:pPr>
              <w:contextualSpacing/>
              <w:rPr>
                <w:rFonts w:cs="Times New Roman"/>
                <w:vertAlign w:val="superscript"/>
              </w:rPr>
            </w:pPr>
          </w:p>
        </w:tc>
        <w:tc>
          <w:tcPr>
            <w:tcW w:w="545" w:type="pct"/>
          </w:tcPr>
          <w:p w14:paraId="39FCFD18" w14:textId="77777777" w:rsidR="00211BBC" w:rsidRPr="0064799F" w:rsidRDefault="00211BBC" w:rsidP="00103CC5">
            <w:pPr>
              <w:contextualSpacing/>
              <w:jc w:val="center"/>
              <w:rPr>
                <w:rFonts w:cs="Times New Roman"/>
              </w:rPr>
            </w:pPr>
          </w:p>
        </w:tc>
        <w:tc>
          <w:tcPr>
            <w:tcW w:w="545" w:type="pct"/>
          </w:tcPr>
          <w:p w14:paraId="398649F3" w14:textId="77777777" w:rsidR="00211BBC" w:rsidRPr="0064799F" w:rsidRDefault="00211BBC" w:rsidP="00103CC5">
            <w:pPr>
              <w:jc w:val="center"/>
              <w:rPr>
                <w:rFonts w:cs="Times New Roman"/>
              </w:rPr>
            </w:pPr>
          </w:p>
        </w:tc>
        <w:tc>
          <w:tcPr>
            <w:tcW w:w="545" w:type="pct"/>
            <w:tcBorders>
              <w:bottom w:val="nil"/>
            </w:tcBorders>
          </w:tcPr>
          <w:p w14:paraId="6FCFCD03" w14:textId="77777777" w:rsidR="00211BBC" w:rsidRPr="0064799F" w:rsidRDefault="00211BBC" w:rsidP="00103CC5">
            <w:pPr>
              <w:contextualSpacing/>
              <w:jc w:val="center"/>
              <w:rPr>
                <w:rFonts w:cs="Times New Roman"/>
              </w:rPr>
            </w:pPr>
          </w:p>
        </w:tc>
        <w:tc>
          <w:tcPr>
            <w:tcW w:w="545" w:type="pct"/>
          </w:tcPr>
          <w:p w14:paraId="11F8CED9" w14:textId="77777777" w:rsidR="00211BBC" w:rsidRPr="0064799F" w:rsidRDefault="00211BBC" w:rsidP="00103CC5">
            <w:pPr>
              <w:contextualSpacing/>
              <w:jc w:val="center"/>
              <w:rPr>
                <w:rFonts w:cs="Times New Roman"/>
              </w:rPr>
            </w:pPr>
          </w:p>
        </w:tc>
        <w:tc>
          <w:tcPr>
            <w:tcW w:w="545" w:type="pct"/>
          </w:tcPr>
          <w:p w14:paraId="11241DBF" w14:textId="77777777" w:rsidR="00211BBC" w:rsidRPr="0064799F" w:rsidRDefault="00211BBC" w:rsidP="00103CC5">
            <w:pPr>
              <w:contextualSpacing/>
              <w:jc w:val="center"/>
              <w:rPr>
                <w:rFonts w:cs="Times New Roman"/>
              </w:rPr>
            </w:pPr>
          </w:p>
        </w:tc>
        <w:tc>
          <w:tcPr>
            <w:tcW w:w="545" w:type="pct"/>
          </w:tcPr>
          <w:p w14:paraId="3195E3BB" w14:textId="77777777" w:rsidR="00211BBC" w:rsidRPr="0064799F" w:rsidRDefault="00211BBC" w:rsidP="00103CC5">
            <w:pPr>
              <w:contextualSpacing/>
              <w:jc w:val="center"/>
              <w:rPr>
                <w:rFonts w:cs="Times New Roman"/>
              </w:rPr>
            </w:pPr>
          </w:p>
        </w:tc>
      </w:tr>
      <w:tr w:rsidR="00211BBC" w:rsidRPr="0064799F" w14:paraId="69A20869" w14:textId="77777777" w:rsidTr="00103CC5">
        <w:tc>
          <w:tcPr>
            <w:tcW w:w="1731" w:type="pct"/>
            <w:gridSpan w:val="3"/>
            <w:vAlign w:val="center"/>
          </w:tcPr>
          <w:p w14:paraId="7D94C4E9" w14:textId="77777777" w:rsidR="00211BBC" w:rsidRPr="0064799F" w:rsidRDefault="00211BBC" w:rsidP="00103CC5">
            <w:pPr>
              <w:contextualSpacing/>
              <w:rPr>
                <w:rFonts w:cs="Times New Roman"/>
                <w:vertAlign w:val="superscript"/>
              </w:rPr>
            </w:pPr>
            <w:r w:rsidRPr="0064799F">
              <w:rPr>
                <w:rFonts w:cs="Times New Roman"/>
              </w:rPr>
              <w:t xml:space="preserve">Sand-based </w:t>
            </w:r>
            <w:proofErr w:type="spellStart"/>
            <w:r w:rsidRPr="0064799F">
              <w:rPr>
                <w:rFonts w:cs="Times New Roman"/>
              </w:rPr>
              <w:t>rootzone</w:t>
            </w:r>
            <w:r w:rsidRPr="0064799F">
              <w:rPr>
                <w:rFonts w:cs="Times New Roman"/>
                <w:vertAlign w:val="superscript"/>
              </w:rPr>
              <w:t>w</w:t>
            </w:r>
            <w:proofErr w:type="spellEnd"/>
          </w:p>
        </w:tc>
        <w:tc>
          <w:tcPr>
            <w:tcW w:w="545" w:type="pct"/>
          </w:tcPr>
          <w:p w14:paraId="4F531435" w14:textId="77777777" w:rsidR="00211BBC" w:rsidRPr="0064799F" w:rsidRDefault="00211BBC" w:rsidP="00103CC5">
            <w:pPr>
              <w:contextualSpacing/>
              <w:jc w:val="center"/>
              <w:rPr>
                <w:rFonts w:cs="Times New Roman"/>
              </w:rPr>
            </w:pPr>
            <w:r w:rsidRPr="0064799F">
              <w:rPr>
                <w:rFonts w:cs="Times New Roman"/>
              </w:rPr>
              <w:t>6.5</w:t>
            </w:r>
          </w:p>
        </w:tc>
        <w:tc>
          <w:tcPr>
            <w:tcW w:w="545" w:type="pct"/>
          </w:tcPr>
          <w:p w14:paraId="413B0EF1" w14:textId="77777777" w:rsidR="00211BBC" w:rsidRPr="0064799F" w:rsidRDefault="00211BBC" w:rsidP="00103CC5">
            <w:pPr>
              <w:contextualSpacing/>
              <w:jc w:val="center"/>
              <w:rPr>
                <w:rFonts w:cs="Times New Roman"/>
              </w:rPr>
            </w:pPr>
            <w:r w:rsidRPr="0064799F">
              <w:rPr>
                <w:rFonts w:cs="Times New Roman"/>
              </w:rPr>
              <w:t>2.74</w:t>
            </w:r>
          </w:p>
        </w:tc>
        <w:tc>
          <w:tcPr>
            <w:tcW w:w="545" w:type="pct"/>
            <w:tcBorders>
              <w:bottom w:val="single" w:sz="4" w:space="0" w:color="auto"/>
            </w:tcBorders>
          </w:tcPr>
          <w:p w14:paraId="11B91DA7" w14:textId="77777777" w:rsidR="00211BBC" w:rsidRPr="0064799F" w:rsidRDefault="00211BBC" w:rsidP="00103CC5">
            <w:pPr>
              <w:contextualSpacing/>
              <w:jc w:val="center"/>
              <w:rPr>
                <w:rFonts w:cs="Times New Roman"/>
              </w:rPr>
            </w:pPr>
            <w:r w:rsidRPr="0064799F">
              <w:rPr>
                <w:rFonts w:cs="Times New Roman"/>
              </w:rPr>
              <w:t>1.35</w:t>
            </w:r>
          </w:p>
        </w:tc>
        <w:tc>
          <w:tcPr>
            <w:tcW w:w="545" w:type="pct"/>
          </w:tcPr>
          <w:p w14:paraId="05B34AF1" w14:textId="77777777" w:rsidR="00211BBC" w:rsidRPr="0064799F" w:rsidRDefault="00211BBC" w:rsidP="00103CC5">
            <w:pPr>
              <w:contextualSpacing/>
              <w:jc w:val="center"/>
              <w:rPr>
                <w:rFonts w:cs="Times New Roman"/>
              </w:rPr>
            </w:pPr>
            <w:r w:rsidRPr="0064799F">
              <w:rPr>
                <w:rFonts w:cs="Times New Roman"/>
              </w:rPr>
              <w:t>98.7</w:t>
            </w:r>
          </w:p>
        </w:tc>
        <w:tc>
          <w:tcPr>
            <w:tcW w:w="545" w:type="pct"/>
          </w:tcPr>
          <w:p w14:paraId="4A4EA6AA" w14:textId="77777777" w:rsidR="00211BBC" w:rsidRPr="0064799F" w:rsidRDefault="00211BBC" w:rsidP="00103CC5">
            <w:pPr>
              <w:contextualSpacing/>
              <w:jc w:val="center"/>
              <w:rPr>
                <w:rFonts w:cs="Times New Roman"/>
              </w:rPr>
            </w:pPr>
            <w:r w:rsidRPr="0064799F">
              <w:rPr>
                <w:rFonts w:cs="Times New Roman"/>
              </w:rPr>
              <w:t>0.3</w:t>
            </w:r>
          </w:p>
        </w:tc>
        <w:tc>
          <w:tcPr>
            <w:tcW w:w="545" w:type="pct"/>
          </w:tcPr>
          <w:p w14:paraId="465C9A8E" w14:textId="77777777" w:rsidR="00211BBC" w:rsidRPr="0064799F" w:rsidRDefault="00211BBC" w:rsidP="00103CC5">
            <w:pPr>
              <w:contextualSpacing/>
              <w:jc w:val="center"/>
              <w:rPr>
                <w:rFonts w:cs="Times New Roman"/>
              </w:rPr>
            </w:pPr>
            <w:r w:rsidRPr="0064799F">
              <w:rPr>
                <w:rFonts w:cs="Times New Roman"/>
              </w:rPr>
              <w:t>1.0</w:t>
            </w:r>
          </w:p>
        </w:tc>
      </w:tr>
    </w:tbl>
    <w:p w14:paraId="08298149" w14:textId="77777777" w:rsidR="00211BBC" w:rsidRPr="0064799F" w:rsidRDefault="00211BBC" w:rsidP="00211BBC">
      <w:pPr>
        <w:rPr>
          <w:rFonts w:cs="Times New Roman"/>
          <w:color w:val="000000" w:themeColor="text1"/>
        </w:rPr>
      </w:pPr>
      <w:r w:rsidRPr="0064799F">
        <w:rPr>
          <w:rFonts w:cs="Times New Roman"/>
          <w:color w:val="000000" w:themeColor="text1"/>
          <w:vertAlign w:val="superscript"/>
        </w:rPr>
        <w:t xml:space="preserve">z </w:t>
      </w:r>
      <w:r w:rsidRPr="0064799F">
        <w:rPr>
          <w:rFonts w:cs="Times New Roman"/>
          <w:color w:val="000000" w:themeColor="text1"/>
        </w:rPr>
        <w:t>Abbreviation: TEC = total exchange capacity (ME / 100 g), OM % = organic matter % (</w:t>
      </w:r>
      <w:r w:rsidRPr="0064799F">
        <w:rPr>
          <w:rFonts w:cs="Times New Roman"/>
        </w:rPr>
        <w:t>360˚ LOI), BD = bulk density (g cm</w:t>
      </w:r>
      <w:r w:rsidRPr="0064799F">
        <w:rPr>
          <w:rFonts w:cs="Times New Roman"/>
          <w:vertAlign w:val="superscript"/>
        </w:rPr>
        <w:t>-3</w:t>
      </w:r>
      <w:r w:rsidRPr="0064799F">
        <w:rPr>
          <w:rFonts w:cs="Times New Roman"/>
        </w:rPr>
        <w:t>), TP = total porosity, CP = capillary porosity.</w:t>
      </w:r>
    </w:p>
    <w:p w14:paraId="3B517887" w14:textId="77777777" w:rsidR="00211BBC" w:rsidRPr="0064799F" w:rsidRDefault="00211BBC" w:rsidP="00211BBC">
      <w:pPr>
        <w:contextualSpacing/>
        <w:jc w:val="both"/>
        <w:rPr>
          <w:rFonts w:cs="Times New Roman"/>
        </w:rPr>
      </w:pPr>
      <w:r w:rsidRPr="0064799F">
        <w:rPr>
          <w:rFonts w:cs="Times New Roman"/>
          <w:color w:val="000000" w:themeColor="text1"/>
          <w:vertAlign w:val="superscript"/>
        </w:rPr>
        <w:t>y</w:t>
      </w:r>
      <w:r w:rsidRPr="0064799F">
        <w:rPr>
          <w:rFonts w:cs="Times New Roman"/>
          <w:color w:val="000000" w:themeColor="text1"/>
        </w:rPr>
        <w:t xml:space="preserve"> Bulk density (BD) </w:t>
      </w:r>
      <w:r w:rsidRPr="0064799F">
        <w:rPr>
          <w:rFonts w:cs="Times New Roman"/>
        </w:rPr>
        <w:t>calculated at 75% of the maximum density according to ASTM D698-12 2021. Standard test methods for laboratory compaction characteristics of soil using standard effort (12 400 ft-</w:t>
      </w:r>
      <w:proofErr w:type="spellStart"/>
      <w:r w:rsidRPr="0064799F">
        <w:rPr>
          <w:rFonts w:cs="Times New Roman"/>
        </w:rPr>
        <w:t>lbf</w:t>
      </w:r>
      <w:proofErr w:type="spellEnd"/>
      <w:r w:rsidRPr="0064799F">
        <w:rPr>
          <w:rFonts w:cs="Times New Roman"/>
        </w:rPr>
        <w:t xml:space="preserve">/ft3 (600 </w:t>
      </w:r>
      <w:proofErr w:type="spellStart"/>
      <w:r w:rsidRPr="0064799F">
        <w:rPr>
          <w:rFonts w:cs="Times New Roman"/>
        </w:rPr>
        <w:t>kN</w:t>
      </w:r>
      <w:proofErr w:type="spellEnd"/>
      <w:r w:rsidRPr="0064799F">
        <w:rPr>
          <w:rFonts w:cs="Times New Roman"/>
        </w:rPr>
        <w:t>-m/ m3)). West Conshohocken, PA: ASTM International.).</w:t>
      </w:r>
    </w:p>
    <w:p w14:paraId="3F89B6EC" w14:textId="77777777" w:rsidR="00211BBC" w:rsidRPr="0064799F" w:rsidRDefault="00211BBC" w:rsidP="00211BBC">
      <w:pPr>
        <w:rPr>
          <w:rFonts w:cs="Times New Roman"/>
          <w:color w:val="000000" w:themeColor="text1"/>
        </w:rPr>
      </w:pPr>
      <w:r w:rsidRPr="0064799F">
        <w:rPr>
          <w:rFonts w:cs="Times New Roman"/>
          <w:color w:val="000000" w:themeColor="text1"/>
          <w:vertAlign w:val="superscript"/>
        </w:rPr>
        <w:t xml:space="preserve">x </w:t>
      </w:r>
      <w:r w:rsidRPr="0064799F">
        <w:rPr>
          <w:rFonts w:cs="Times New Roman"/>
          <w:color w:val="000000" w:themeColor="text1"/>
        </w:rPr>
        <w:t xml:space="preserve">Soil type during all turfgrass tolerance and efficacy trials conducted at the East Tennessee </w:t>
      </w:r>
      <w:proofErr w:type="spellStart"/>
      <w:r w:rsidRPr="0064799F">
        <w:rPr>
          <w:rFonts w:cs="Times New Roman"/>
          <w:color w:val="000000" w:themeColor="text1"/>
        </w:rPr>
        <w:t>AgResearch</w:t>
      </w:r>
      <w:proofErr w:type="spellEnd"/>
      <w:r w:rsidRPr="0064799F">
        <w:rPr>
          <w:rFonts w:cs="Times New Roman"/>
          <w:color w:val="000000" w:themeColor="text1"/>
        </w:rPr>
        <w:t xml:space="preserve"> and Education Center-Plant Sciences Unit on plots maintained at heights of cut &gt; 12.5 mm.</w:t>
      </w:r>
    </w:p>
    <w:p w14:paraId="213B5A72" w14:textId="77777777" w:rsidR="00211BBC" w:rsidRPr="0064799F" w:rsidRDefault="00211BBC" w:rsidP="00211BBC">
      <w:pPr>
        <w:rPr>
          <w:rFonts w:cs="Times New Roman"/>
          <w:color w:val="000000" w:themeColor="text1"/>
        </w:rPr>
      </w:pPr>
      <w:r w:rsidRPr="0064799F">
        <w:rPr>
          <w:rFonts w:cs="Times New Roman"/>
          <w:color w:val="000000" w:themeColor="text1"/>
          <w:vertAlign w:val="superscript"/>
        </w:rPr>
        <w:t>w</w:t>
      </w:r>
      <w:r w:rsidRPr="0064799F">
        <w:rPr>
          <w:rFonts w:cs="Times New Roman"/>
          <w:color w:val="000000" w:themeColor="text1"/>
        </w:rPr>
        <w:t xml:space="preserve"> Soil type during all turfgrass tolerance trials at the East Tennessee </w:t>
      </w:r>
      <w:proofErr w:type="spellStart"/>
      <w:r w:rsidRPr="0064799F">
        <w:rPr>
          <w:rFonts w:cs="Times New Roman"/>
          <w:color w:val="000000" w:themeColor="text1"/>
        </w:rPr>
        <w:t>AgResearch</w:t>
      </w:r>
      <w:proofErr w:type="spellEnd"/>
      <w:r w:rsidRPr="0064799F">
        <w:rPr>
          <w:rFonts w:cs="Times New Roman"/>
          <w:color w:val="000000" w:themeColor="text1"/>
        </w:rPr>
        <w:t xml:space="preserve"> and Education Center-Plant Sciences Unit on plots</w:t>
      </w:r>
      <w:r w:rsidRPr="0064799F" w:rsidDel="007D1D26">
        <w:rPr>
          <w:rFonts w:cs="Times New Roman"/>
          <w:color w:val="000000" w:themeColor="text1"/>
        </w:rPr>
        <w:t xml:space="preserve"> </w:t>
      </w:r>
      <w:r w:rsidRPr="0064799F">
        <w:rPr>
          <w:rFonts w:cs="Times New Roman"/>
          <w:color w:val="000000" w:themeColor="text1"/>
        </w:rPr>
        <w:t>maintained as golf course putting greens (3.8 mm height-of-cut).</w:t>
      </w:r>
    </w:p>
    <w:p w14:paraId="7D0991AA" w14:textId="77777777" w:rsidR="00211BBC" w:rsidRPr="0064799F" w:rsidRDefault="00211BBC" w:rsidP="00211BBC">
      <w:pPr>
        <w:rPr>
          <w:rFonts w:cs="Times New Roman"/>
          <w:color w:val="000000" w:themeColor="text1"/>
          <w:vertAlign w:val="superscript"/>
        </w:rPr>
      </w:pPr>
    </w:p>
    <w:p w14:paraId="7326272F" w14:textId="77777777" w:rsidR="00211BBC" w:rsidRPr="0064799F" w:rsidRDefault="00211BBC" w:rsidP="00211BBC">
      <w:pPr>
        <w:rPr>
          <w:rFonts w:cs="Times New Roman"/>
          <w:color w:val="000000" w:themeColor="text1"/>
        </w:rPr>
      </w:pPr>
      <w:r w:rsidRPr="0064799F">
        <w:rPr>
          <w:rFonts w:cs="Times New Roman"/>
          <w:color w:val="000000" w:themeColor="text1"/>
        </w:rPr>
        <w:br w:type="page"/>
      </w:r>
    </w:p>
    <w:p w14:paraId="19BA1CA7" w14:textId="1DE264AF" w:rsidR="00211BBC" w:rsidRPr="007037E7" w:rsidRDefault="007037E7" w:rsidP="000C799B">
      <w:pPr>
        <w:pStyle w:val="Caption"/>
        <w:rPr>
          <w:rFonts w:cs="Times New Roman"/>
          <w:b w:val="0"/>
          <w:bCs w:val="0"/>
        </w:rPr>
      </w:pPr>
      <w:bookmarkStart w:id="51" w:name="_Toc192779566"/>
      <w:bookmarkStart w:id="52" w:name="_Toc192846040"/>
      <w:r>
        <w:lastRenderedPageBreak/>
        <w:t>Table 1</w:t>
      </w:r>
      <w:r w:rsidR="00980623">
        <w:t>.</w:t>
      </w:r>
      <w:fldSimple w:instr=" SEQ Table \* ARABIC \s 1 ">
        <w:r w:rsidR="00980623">
          <w:rPr>
            <w:noProof/>
          </w:rPr>
          <w:t>3</w:t>
        </w:r>
      </w:fldSimple>
      <w:r>
        <w:t>.</w:t>
      </w:r>
      <w:r w:rsidR="00211BBC" w:rsidRPr="0064799F">
        <w:rPr>
          <w:rFonts w:cs="Times New Roman"/>
        </w:rPr>
        <w:t xml:space="preserve"> </w:t>
      </w:r>
      <w:r w:rsidR="00211BBC" w:rsidRPr="007037E7">
        <w:rPr>
          <w:rFonts w:cs="Times New Roman"/>
          <w:b w:val="0"/>
          <w:bCs w:val="0"/>
        </w:rPr>
        <w:t xml:space="preserve">Rate of </w:t>
      </w:r>
      <w:proofErr w:type="spellStart"/>
      <w:r w:rsidR="00211BBC" w:rsidRPr="007037E7">
        <w:rPr>
          <w:rFonts w:cs="Times New Roman"/>
          <w:b w:val="0"/>
          <w:bCs w:val="0"/>
        </w:rPr>
        <w:t>tetflupyrolimet</w:t>
      </w:r>
      <w:proofErr w:type="spellEnd"/>
      <w:r w:rsidR="00211BBC" w:rsidRPr="007037E7">
        <w:rPr>
          <w:rFonts w:cs="Times New Roman"/>
          <w:b w:val="0"/>
          <w:bCs w:val="0"/>
        </w:rPr>
        <w:t xml:space="preserve"> (</w:t>
      </w:r>
      <w:proofErr w:type="spellStart"/>
      <w:r w:rsidR="00211BBC" w:rsidRPr="007037E7">
        <w:rPr>
          <w:rFonts w:cs="Times New Roman"/>
          <w:b w:val="0"/>
          <w:bCs w:val="0"/>
        </w:rPr>
        <w:t>Dodhylex</w:t>
      </w:r>
      <w:proofErr w:type="spellEnd"/>
      <w:r w:rsidR="00211BBC" w:rsidRPr="007037E7">
        <w:rPr>
          <w:rFonts w:cs="Times New Roman"/>
          <w:b w:val="0"/>
          <w:bCs w:val="0"/>
        </w:rPr>
        <w:sym w:font="Symbol" w:char="F0D4"/>
      </w:r>
      <w:r w:rsidR="00211BBC" w:rsidRPr="007037E7">
        <w:rPr>
          <w:rFonts w:cs="Times New Roman"/>
          <w:b w:val="0"/>
          <w:bCs w:val="0"/>
        </w:rPr>
        <w:t xml:space="preserve"> Active. FMC Corporation. Philadelphia, PA) to induce 25% injury (EC</w:t>
      </w:r>
      <w:r w:rsidR="00211BBC" w:rsidRPr="007037E7">
        <w:rPr>
          <w:rFonts w:cs="Times New Roman"/>
          <w:b w:val="0"/>
          <w:bCs w:val="0"/>
          <w:vertAlign w:val="subscript"/>
        </w:rPr>
        <w:t>25</w:t>
      </w:r>
      <w:r w:rsidR="00211BBC" w:rsidRPr="007037E7">
        <w:rPr>
          <w:rFonts w:cs="Times New Roman"/>
          <w:b w:val="0"/>
          <w:bCs w:val="0"/>
        </w:rPr>
        <w:t xml:space="preserve">) at 95 days after treatment on </w:t>
      </w:r>
      <w:r w:rsidR="00211BBC" w:rsidRPr="007037E7">
        <w:rPr>
          <w:rFonts w:cs="Times New Roman"/>
          <w:b w:val="0"/>
          <w:bCs w:val="0"/>
          <w:color w:val="000000" w:themeColor="text1"/>
        </w:rPr>
        <w:t>Kentucky bluegrass (</w:t>
      </w:r>
      <w:r w:rsidR="00211BBC" w:rsidRPr="007037E7">
        <w:rPr>
          <w:rFonts w:cs="Times New Roman"/>
          <w:b w:val="0"/>
          <w:bCs w:val="0"/>
          <w:i/>
          <w:iCs/>
          <w:color w:val="000000" w:themeColor="text1"/>
        </w:rPr>
        <w:t>Poa pratensis</w:t>
      </w:r>
      <w:r w:rsidR="00211BBC" w:rsidRPr="007037E7">
        <w:rPr>
          <w:rFonts w:cs="Times New Roman"/>
          <w:b w:val="0"/>
          <w:bCs w:val="0"/>
          <w:color w:val="000000" w:themeColor="text1"/>
        </w:rPr>
        <w:t xml:space="preserve"> L., cv., ‘HGT’), creeping bentgrass (</w:t>
      </w:r>
      <w:r w:rsidR="00211BBC" w:rsidRPr="007037E7">
        <w:rPr>
          <w:rFonts w:cs="Times New Roman"/>
          <w:b w:val="0"/>
          <w:bCs w:val="0"/>
          <w:i/>
          <w:iCs/>
          <w:color w:val="000000" w:themeColor="text1"/>
        </w:rPr>
        <w:t>Agrostis stolonifera</w:t>
      </w:r>
      <w:r w:rsidR="00211BBC" w:rsidRPr="007037E7">
        <w:rPr>
          <w:rFonts w:cs="Times New Roman"/>
          <w:b w:val="0"/>
          <w:bCs w:val="0"/>
          <w:color w:val="000000" w:themeColor="text1"/>
        </w:rPr>
        <w:t xml:space="preserve"> L., cv. ‘L-93XD’), and tall fescue (</w:t>
      </w:r>
      <w:r w:rsidR="00211BBC" w:rsidRPr="007037E7">
        <w:rPr>
          <w:rFonts w:cs="Times New Roman"/>
          <w:b w:val="0"/>
          <w:bCs w:val="0"/>
          <w:i/>
          <w:iCs/>
          <w:color w:val="000000" w:themeColor="text1"/>
        </w:rPr>
        <w:t>Festuca arundinacea</w:t>
      </w:r>
      <w:r w:rsidR="00211BBC" w:rsidRPr="007037E7">
        <w:rPr>
          <w:rFonts w:cs="Times New Roman"/>
          <w:b w:val="0"/>
          <w:bCs w:val="0"/>
          <w:color w:val="000000" w:themeColor="text1"/>
        </w:rPr>
        <w:t xml:space="preserve"> </w:t>
      </w:r>
      <w:proofErr w:type="spellStart"/>
      <w:r w:rsidR="00211BBC" w:rsidRPr="007037E7">
        <w:rPr>
          <w:rFonts w:cs="Times New Roman"/>
          <w:b w:val="0"/>
          <w:bCs w:val="0"/>
          <w:color w:val="000000" w:themeColor="text1"/>
        </w:rPr>
        <w:t>Schreb</w:t>
      </w:r>
      <w:proofErr w:type="spellEnd"/>
      <w:r w:rsidR="00211BBC" w:rsidRPr="007037E7">
        <w:rPr>
          <w:rFonts w:cs="Times New Roman"/>
          <w:b w:val="0"/>
          <w:bCs w:val="0"/>
          <w:color w:val="000000" w:themeColor="text1"/>
        </w:rPr>
        <w:t xml:space="preserve">., cv. ‘Lebanon Winning Colors </w:t>
      </w:r>
      <w:proofErr w:type="spellStart"/>
      <w:r w:rsidR="00211BBC" w:rsidRPr="007037E7">
        <w:rPr>
          <w:rFonts w:cs="Times New Roman"/>
          <w:b w:val="0"/>
          <w:bCs w:val="0"/>
          <w:color w:val="000000" w:themeColor="text1"/>
        </w:rPr>
        <w:t>Plus’</w:t>
      </w:r>
      <w:proofErr w:type="spellEnd"/>
      <w:r w:rsidR="00211BBC" w:rsidRPr="007037E7">
        <w:rPr>
          <w:rFonts w:cs="Times New Roman"/>
          <w:b w:val="0"/>
          <w:bCs w:val="0"/>
          <w:color w:val="000000" w:themeColor="text1"/>
        </w:rPr>
        <w:t>)</w:t>
      </w:r>
      <w:r w:rsidR="00211BBC" w:rsidRPr="007037E7">
        <w:rPr>
          <w:rFonts w:cs="Times New Roman"/>
          <w:b w:val="0"/>
          <w:bCs w:val="0"/>
        </w:rPr>
        <w:t xml:space="preserve"> during fall and spring. Fall tolerance experiments were initiated on 28 September 2022 and 30 September 2023, while spring experiments were initiated on 28 February 2023 and 29 February 2024. All studies were collected at the </w:t>
      </w:r>
      <w:r w:rsidR="00211BBC" w:rsidRPr="007037E7">
        <w:rPr>
          <w:rFonts w:cs="Times New Roman"/>
          <w:b w:val="0"/>
          <w:bCs w:val="0"/>
          <w:color w:val="000000" w:themeColor="text1"/>
        </w:rPr>
        <w:t xml:space="preserve">East Tennessee </w:t>
      </w:r>
      <w:proofErr w:type="spellStart"/>
      <w:r w:rsidR="00211BBC" w:rsidRPr="007037E7">
        <w:rPr>
          <w:rFonts w:cs="Times New Roman"/>
          <w:b w:val="0"/>
          <w:bCs w:val="0"/>
          <w:color w:val="000000" w:themeColor="text1"/>
        </w:rPr>
        <w:t>AgResearch</w:t>
      </w:r>
      <w:proofErr w:type="spellEnd"/>
      <w:r w:rsidR="00211BBC" w:rsidRPr="007037E7">
        <w:rPr>
          <w:rFonts w:cs="Times New Roman"/>
          <w:b w:val="0"/>
          <w:bCs w:val="0"/>
          <w:color w:val="000000" w:themeColor="text1"/>
        </w:rPr>
        <w:t xml:space="preserve"> and Education Center – Plant Sciences Unit (Knoxville, TN).</w:t>
      </w:r>
      <w:bookmarkEnd w:id="51"/>
      <w:bookmarkEnd w:id="52"/>
    </w:p>
    <w:p w14:paraId="13E9FFC6" w14:textId="77777777" w:rsidR="00211BBC" w:rsidRPr="0064799F" w:rsidRDefault="00211BBC" w:rsidP="00211BBC">
      <w:pPr>
        <w:contextualSpacing/>
        <w:jc w:val="both"/>
        <w:rPr>
          <w:rFonts w:cs="Times New Roman"/>
          <w:sz w:val="13"/>
          <w:szCs w:val="13"/>
        </w:rPr>
      </w:pPr>
    </w:p>
    <w:tbl>
      <w:tblPr>
        <w:tblStyle w:val="TableGrid"/>
        <w:tblW w:w="1304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690"/>
        <w:gridCol w:w="791"/>
        <w:gridCol w:w="864"/>
        <w:gridCol w:w="1656"/>
        <w:gridCol w:w="236"/>
        <w:gridCol w:w="864"/>
        <w:gridCol w:w="1656"/>
        <w:gridCol w:w="238"/>
        <w:gridCol w:w="864"/>
        <w:gridCol w:w="1656"/>
        <w:gridCol w:w="236"/>
        <w:gridCol w:w="864"/>
        <w:gridCol w:w="1656"/>
      </w:tblGrid>
      <w:tr w:rsidR="00211BBC" w:rsidRPr="0064799F" w14:paraId="1CAC9344" w14:textId="77777777" w:rsidTr="00103CC5">
        <w:tc>
          <w:tcPr>
            <w:tcW w:w="773" w:type="dxa"/>
            <w:tcBorders>
              <w:top w:val="single" w:sz="4" w:space="0" w:color="auto"/>
              <w:bottom w:val="nil"/>
            </w:tcBorders>
          </w:tcPr>
          <w:p w14:paraId="1305FEE3" w14:textId="77777777" w:rsidR="00211BBC" w:rsidRPr="0064799F" w:rsidRDefault="00211BBC" w:rsidP="00103CC5">
            <w:pPr>
              <w:contextualSpacing/>
              <w:jc w:val="center"/>
              <w:rPr>
                <w:rFonts w:cs="Times New Roman"/>
              </w:rPr>
            </w:pPr>
          </w:p>
        </w:tc>
        <w:tc>
          <w:tcPr>
            <w:tcW w:w="690" w:type="dxa"/>
            <w:tcBorders>
              <w:top w:val="single" w:sz="4" w:space="0" w:color="auto"/>
              <w:bottom w:val="nil"/>
            </w:tcBorders>
          </w:tcPr>
          <w:p w14:paraId="68100787" w14:textId="77777777" w:rsidR="00211BBC" w:rsidRPr="0064799F" w:rsidRDefault="00211BBC" w:rsidP="00103CC5">
            <w:pPr>
              <w:contextualSpacing/>
              <w:jc w:val="center"/>
              <w:rPr>
                <w:rFonts w:cs="Times New Roman"/>
              </w:rPr>
            </w:pPr>
          </w:p>
        </w:tc>
        <w:tc>
          <w:tcPr>
            <w:tcW w:w="791" w:type="dxa"/>
            <w:tcBorders>
              <w:top w:val="single" w:sz="4" w:space="0" w:color="auto"/>
              <w:bottom w:val="nil"/>
            </w:tcBorders>
          </w:tcPr>
          <w:p w14:paraId="49FDC7AB" w14:textId="77777777" w:rsidR="00211BBC" w:rsidRPr="0064799F" w:rsidRDefault="00211BBC" w:rsidP="00103CC5">
            <w:pPr>
              <w:contextualSpacing/>
              <w:jc w:val="center"/>
              <w:rPr>
                <w:rFonts w:cs="Times New Roman"/>
              </w:rPr>
            </w:pPr>
          </w:p>
        </w:tc>
        <w:tc>
          <w:tcPr>
            <w:tcW w:w="10790" w:type="dxa"/>
            <w:gridSpan w:val="11"/>
            <w:tcBorders>
              <w:top w:val="single" w:sz="4" w:space="0" w:color="auto"/>
              <w:bottom w:val="single" w:sz="4" w:space="0" w:color="auto"/>
            </w:tcBorders>
          </w:tcPr>
          <w:p w14:paraId="27E1CE1A" w14:textId="77777777" w:rsidR="00211BBC" w:rsidRPr="0064799F" w:rsidRDefault="00211BBC" w:rsidP="00103CC5">
            <w:pPr>
              <w:contextualSpacing/>
              <w:jc w:val="center"/>
              <w:rPr>
                <w:rFonts w:cs="Times New Roman"/>
              </w:rPr>
            </w:pPr>
            <w:r w:rsidRPr="0064799F">
              <w:rPr>
                <w:rFonts w:cs="Times New Roman"/>
              </w:rPr>
              <w:t>Tetflupyrolimet rate for 25% injury at 95 DAT (EC</w:t>
            </w:r>
            <w:r w:rsidRPr="0064799F">
              <w:rPr>
                <w:rFonts w:cs="Times New Roman"/>
                <w:vertAlign w:val="subscript"/>
              </w:rPr>
              <w:t>25</w:t>
            </w:r>
            <w:r w:rsidRPr="0064799F">
              <w:rPr>
                <w:rFonts w:cs="Times New Roman"/>
              </w:rPr>
              <w:t>)</w:t>
            </w:r>
          </w:p>
        </w:tc>
      </w:tr>
      <w:tr w:rsidR="00211BBC" w:rsidRPr="0064799F" w14:paraId="49214364" w14:textId="77777777" w:rsidTr="00103CC5">
        <w:tc>
          <w:tcPr>
            <w:tcW w:w="2254" w:type="dxa"/>
            <w:gridSpan w:val="3"/>
            <w:tcBorders>
              <w:bottom w:val="nil"/>
            </w:tcBorders>
          </w:tcPr>
          <w:p w14:paraId="239A46AF" w14:textId="77777777" w:rsidR="00211BBC" w:rsidRPr="0064799F" w:rsidRDefault="00211BBC" w:rsidP="00103CC5">
            <w:pPr>
              <w:contextualSpacing/>
              <w:jc w:val="both"/>
              <w:rPr>
                <w:rFonts w:cs="Times New Roman"/>
              </w:rPr>
            </w:pPr>
          </w:p>
        </w:tc>
        <w:tc>
          <w:tcPr>
            <w:tcW w:w="2520" w:type="dxa"/>
            <w:gridSpan w:val="2"/>
            <w:tcBorders>
              <w:top w:val="single" w:sz="4" w:space="0" w:color="auto"/>
              <w:bottom w:val="single" w:sz="4" w:space="0" w:color="auto"/>
            </w:tcBorders>
          </w:tcPr>
          <w:p w14:paraId="70967D24" w14:textId="77777777" w:rsidR="00211BBC" w:rsidRPr="0064799F" w:rsidRDefault="00211BBC" w:rsidP="00103CC5">
            <w:pPr>
              <w:contextualSpacing/>
              <w:jc w:val="center"/>
              <w:rPr>
                <w:rFonts w:cs="Times New Roman"/>
              </w:rPr>
            </w:pPr>
            <w:r w:rsidRPr="0064799F">
              <w:rPr>
                <w:rFonts w:cs="Times New Roman"/>
              </w:rPr>
              <w:t>Fall 2022</w:t>
            </w:r>
          </w:p>
        </w:tc>
        <w:tc>
          <w:tcPr>
            <w:tcW w:w="236" w:type="dxa"/>
            <w:tcBorders>
              <w:top w:val="single" w:sz="4" w:space="0" w:color="auto"/>
              <w:bottom w:val="nil"/>
            </w:tcBorders>
          </w:tcPr>
          <w:p w14:paraId="584BB88D" w14:textId="77777777" w:rsidR="00211BBC" w:rsidRPr="0064799F" w:rsidRDefault="00211BBC" w:rsidP="00103CC5">
            <w:pPr>
              <w:contextualSpacing/>
              <w:jc w:val="center"/>
              <w:rPr>
                <w:rFonts w:cs="Times New Roman"/>
              </w:rPr>
            </w:pPr>
          </w:p>
        </w:tc>
        <w:tc>
          <w:tcPr>
            <w:tcW w:w="2520" w:type="dxa"/>
            <w:gridSpan w:val="2"/>
            <w:tcBorders>
              <w:top w:val="single" w:sz="4" w:space="0" w:color="auto"/>
              <w:bottom w:val="single" w:sz="4" w:space="0" w:color="auto"/>
            </w:tcBorders>
          </w:tcPr>
          <w:p w14:paraId="6BF3D768" w14:textId="77777777" w:rsidR="00211BBC" w:rsidRPr="0064799F" w:rsidRDefault="00211BBC" w:rsidP="00103CC5">
            <w:pPr>
              <w:contextualSpacing/>
              <w:jc w:val="center"/>
              <w:rPr>
                <w:rFonts w:cs="Times New Roman"/>
              </w:rPr>
            </w:pPr>
            <w:r w:rsidRPr="0064799F">
              <w:rPr>
                <w:rFonts w:cs="Times New Roman"/>
              </w:rPr>
              <w:t>Fall 2023</w:t>
            </w:r>
          </w:p>
        </w:tc>
        <w:tc>
          <w:tcPr>
            <w:tcW w:w="238" w:type="dxa"/>
            <w:tcBorders>
              <w:top w:val="single" w:sz="4" w:space="0" w:color="auto"/>
            </w:tcBorders>
          </w:tcPr>
          <w:p w14:paraId="049B96FD" w14:textId="77777777" w:rsidR="00211BBC" w:rsidRPr="0064799F" w:rsidRDefault="00211BBC" w:rsidP="00103CC5">
            <w:pPr>
              <w:contextualSpacing/>
              <w:jc w:val="center"/>
              <w:rPr>
                <w:rFonts w:cs="Times New Roman"/>
              </w:rPr>
            </w:pPr>
          </w:p>
        </w:tc>
        <w:tc>
          <w:tcPr>
            <w:tcW w:w="2520" w:type="dxa"/>
            <w:gridSpan w:val="2"/>
            <w:tcBorders>
              <w:top w:val="single" w:sz="4" w:space="0" w:color="auto"/>
              <w:bottom w:val="single" w:sz="4" w:space="0" w:color="auto"/>
            </w:tcBorders>
          </w:tcPr>
          <w:p w14:paraId="5FFC1218" w14:textId="77777777" w:rsidR="00211BBC" w:rsidRPr="0064799F" w:rsidRDefault="00211BBC" w:rsidP="00103CC5">
            <w:pPr>
              <w:contextualSpacing/>
              <w:jc w:val="center"/>
              <w:rPr>
                <w:rFonts w:cs="Times New Roman"/>
              </w:rPr>
            </w:pPr>
            <w:r w:rsidRPr="0064799F">
              <w:rPr>
                <w:rFonts w:cs="Times New Roman"/>
              </w:rPr>
              <w:t>Spring 2023</w:t>
            </w:r>
          </w:p>
        </w:tc>
        <w:tc>
          <w:tcPr>
            <w:tcW w:w="236" w:type="dxa"/>
            <w:tcBorders>
              <w:top w:val="single" w:sz="4" w:space="0" w:color="auto"/>
              <w:bottom w:val="nil"/>
            </w:tcBorders>
          </w:tcPr>
          <w:p w14:paraId="644F06AC" w14:textId="77777777" w:rsidR="00211BBC" w:rsidRPr="0064799F" w:rsidRDefault="00211BBC" w:rsidP="00103CC5">
            <w:pPr>
              <w:contextualSpacing/>
              <w:jc w:val="center"/>
              <w:rPr>
                <w:rFonts w:cs="Times New Roman"/>
              </w:rPr>
            </w:pPr>
          </w:p>
        </w:tc>
        <w:tc>
          <w:tcPr>
            <w:tcW w:w="2520" w:type="dxa"/>
            <w:gridSpan w:val="2"/>
            <w:tcBorders>
              <w:top w:val="single" w:sz="4" w:space="0" w:color="auto"/>
              <w:bottom w:val="single" w:sz="4" w:space="0" w:color="auto"/>
            </w:tcBorders>
          </w:tcPr>
          <w:p w14:paraId="46BFDA29" w14:textId="77777777" w:rsidR="00211BBC" w:rsidRPr="0064799F" w:rsidRDefault="00211BBC" w:rsidP="00103CC5">
            <w:pPr>
              <w:contextualSpacing/>
              <w:jc w:val="center"/>
              <w:rPr>
                <w:rFonts w:cs="Times New Roman"/>
              </w:rPr>
            </w:pPr>
            <w:r w:rsidRPr="0064799F">
              <w:rPr>
                <w:rFonts w:cs="Times New Roman"/>
              </w:rPr>
              <w:t>Spring 2024</w:t>
            </w:r>
          </w:p>
        </w:tc>
      </w:tr>
      <w:tr w:rsidR="00211BBC" w:rsidRPr="0064799F" w14:paraId="621411C2" w14:textId="77777777" w:rsidTr="00103CC5">
        <w:tc>
          <w:tcPr>
            <w:tcW w:w="2254" w:type="dxa"/>
            <w:gridSpan w:val="3"/>
            <w:tcBorders>
              <w:top w:val="nil"/>
              <w:bottom w:val="nil"/>
            </w:tcBorders>
          </w:tcPr>
          <w:p w14:paraId="1C232DC5" w14:textId="77777777" w:rsidR="00211BBC" w:rsidRPr="0064799F" w:rsidRDefault="00211BBC" w:rsidP="00103CC5">
            <w:pPr>
              <w:contextualSpacing/>
              <w:jc w:val="both"/>
              <w:rPr>
                <w:rFonts w:cs="Times New Roman"/>
              </w:rPr>
            </w:pPr>
          </w:p>
        </w:tc>
        <w:tc>
          <w:tcPr>
            <w:tcW w:w="10790" w:type="dxa"/>
            <w:gridSpan w:val="11"/>
            <w:tcBorders>
              <w:top w:val="nil"/>
              <w:bottom w:val="nil"/>
            </w:tcBorders>
            <w:vAlign w:val="center"/>
          </w:tcPr>
          <w:p w14:paraId="0C9F9B43" w14:textId="77777777" w:rsidR="00211BBC" w:rsidRPr="0064799F" w:rsidRDefault="00211BBC" w:rsidP="00103CC5">
            <w:pPr>
              <w:contextualSpacing/>
              <w:jc w:val="center"/>
              <w:rPr>
                <w:rFonts w:cs="Times New Roman"/>
              </w:rPr>
            </w:pPr>
            <w:r w:rsidRPr="0064799F">
              <w:rPr>
                <w:rFonts w:cs="Times New Roman"/>
              </w:rPr>
              <w:t>-------------------------------------------------------------- g ha</w:t>
            </w:r>
            <w:r w:rsidRPr="0064799F">
              <w:rPr>
                <w:rFonts w:cs="Times New Roman"/>
                <w:vertAlign w:val="superscript"/>
              </w:rPr>
              <w:t>-1</w:t>
            </w:r>
            <w:r w:rsidRPr="0064799F">
              <w:rPr>
                <w:rFonts w:cs="Times New Roman"/>
              </w:rPr>
              <w:t xml:space="preserve"> ------------------------------------------------------------</w:t>
            </w:r>
          </w:p>
        </w:tc>
      </w:tr>
      <w:tr w:rsidR="00211BBC" w:rsidRPr="0064799F" w14:paraId="5D1127E1" w14:textId="77777777" w:rsidTr="00103CC5">
        <w:tc>
          <w:tcPr>
            <w:tcW w:w="2254" w:type="dxa"/>
            <w:gridSpan w:val="3"/>
            <w:tcBorders>
              <w:top w:val="nil"/>
            </w:tcBorders>
          </w:tcPr>
          <w:p w14:paraId="36FA3710" w14:textId="77777777" w:rsidR="00211BBC" w:rsidRPr="0064799F" w:rsidRDefault="00211BBC" w:rsidP="00103CC5">
            <w:pPr>
              <w:contextualSpacing/>
              <w:jc w:val="both"/>
              <w:rPr>
                <w:rFonts w:cs="Times New Roman"/>
              </w:rPr>
            </w:pPr>
          </w:p>
        </w:tc>
        <w:tc>
          <w:tcPr>
            <w:tcW w:w="864" w:type="dxa"/>
          </w:tcPr>
          <w:p w14:paraId="381F36C2" w14:textId="77777777" w:rsidR="00211BBC" w:rsidRPr="0064799F" w:rsidRDefault="00211BBC" w:rsidP="00103CC5">
            <w:pPr>
              <w:contextualSpacing/>
              <w:jc w:val="center"/>
              <w:rPr>
                <w:rFonts w:cs="Times New Roman"/>
              </w:rPr>
            </w:pPr>
            <w:r w:rsidRPr="0064799F">
              <w:rPr>
                <w:rFonts w:cs="Times New Roman"/>
              </w:rPr>
              <w:t>EC</w:t>
            </w:r>
            <w:r w:rsidRPr="0064799F">
              <w:rPr>
                <w:rFonts w:cs="Times New Roman"/>
                <w:vertAlign w:val="subscript"/>
              </w:rPr>
              <w:t>25</w:t>
            </w:r>
          </w:p>
        </w:tc>
        <w:tc>
          <w:tcPr>
            <w:tcW w:w="1656" w:type="dxa"/>
          </w:tcPr>
          <w:p w14:paraId="20847111" w14:textId="77777777" w:rsidR="00211BBC" w:rsidRPr="0064799F" w:rsidRDefault="00211BBC" w:rsidP="00103CC5">
            <w:pPr>
              <w:contextualSpacing/>
              <w:jc w:val="center"/>
              <w:rPr>
                <w:rFonts w:cs="Times New Roman"/>
              </w:rPr>
            </w:pPr>
            <w:r w:rsidRPr="0064799F">
              <w:rPr>
                <w:rFonts w:cs="Times New Roman"/>
              </w:rPr>
              <w:t>CI</w:t>
            </w:r>
          </w:p>
        </w:tc>
        <w:tc>
          <w:tcPr>
            <w:tcW w:w="236" w:type="dxa"/>
            <w:tcBorders>
              <w:bottom w:val="nil"/>
            </w:tcBorders>
          </w:tcPr>
          <w:p w14:paraId="13F262AF" w14:textId="77777777" w:rsidR="00211BBC" w:rsidRPr="0064799F" w:rsidRDefault="00211BBC" w:rsidP="00103CC5">
            <w:pPr>
              <w:contextualSpacing/>
              <w:jc w:val="center"/>
              <w:rPr>
                <w:rFonts w:cs="Times New Roman"/>
              </w:rPr>
            </w:pPr>
          </w:p>
        </w:tc>
        <w:tc>
          <w:tcPr>
            <w:tcW w:w="864" w:type="dxa"/>
          </w:tcPr>
          <w:p w14:paraId="54C08E51" w14:textId="77777777" w:rsidR="00211BBC" w:rsidRPr="0064799F" w:rsidRDefault="00211BBC" w:rsidP="00103CC5">
            <w:pPr>
              <w:contextualSpacing/>
              <w:jc w:val="center"/>
              <w:rPr>
                <w:rFonts w:cs="Times New Roman"/>
              </w:rPr>
            </w:pPr>
            <w:r w:rsidRPr="0064799F">
              <w:rPr>
                <w:rFonts w:cs="Times New Roman"/>
              </w:rPr>
              <w:t>EC</w:t>
            </w:r>
            <w:r w:rsidRPr="0064799F">
              <w:rPr>
                <w:rFonts w:cs="Times New Roman"/>
                <w:vertAlign w:val="subscript"/>
              </w:rPr>
              <w:t>25</w:t>
            </w:r>
          </w:p>
        </w:tc>
        <w:tc>
          <w:tcPr>
            <w:tcW w:w="1656" w:type="dxa"/>
          </w:tcPr>
          <w:p w14:paraId="7A20A2D9" w14:textId="77777777" w:rsidR="00211BBC" w:rsidRPr="0064799F" w:rsidRDefault="00211BBC" w:rsidP="00103CC5">
            <w:pPr>
              <w:contextualSpacing/>
              <w:jc w:val="center"/>
              <w:rPr>
                <w:rFonts w:cs="Times New Roman"/>
              </w:rPr>
            </w:pPr>
            <w:r w:rsidRPr="0064799F">
              <w:rPr>
                <w:rFonts w:cs="Times New Roman"/>
              </w:rPr>
              <w:t>CI</w:t>
            </w:r>
          </w:p>
        </w:tc>
        <w:tc>
          <w:tcPr>
            <w:tcW w:w="238" w:type="dxa"/>
          </w:tcPr>
          <w:p w14:paraId="51144E79" w14:textId="77777777" w:rsidR="00211BBC" w:rsidRPr="0064799F" w:rsidRDefault="00211BBC" w:rsidP="00103CC5">
            <w:pPr>
              <w:contextualSpacing/>
              <w:jc w:val="center"/>
              <w:rPr>
                <w:rFonts w:cs="Times New Roman"/>
              </w:rPr>
            </w:pPr>
          </w:p>
        </w:tc>
        <w:tc>
          <w:tcPr>
            <w:tcW w:w="864" w:type="dxa"/>
          </w:tcPr>
          <w:p w14:paraId="13136A87" w14:textId="77777777" w:rsidR="00211BBC" w:rsidRPr="0064799F" w:rsidRDefault="00211BBC" w:rsidP="00103CC5">
            <w:pPr>
              <w:contextualSpacing/>
              <w:jc w:val="center"/>
              <w:rPr>
                <w:rFonts w:cs="Times New Roman"/>
              </w:rPr>
            </w:pPr>
            <w:r w:rsidRPr="0064799F">
              <w:rPr>
                <w:rFonts w:cs="Times New Roman"/>
              </w:rPr>
              <w:t>EC</w:t>
            </w:r>
            <w:r w:rsidRPr="0064799F">
              <w:rPr>
                <w:rFonts w:cs="Times New Roman"/>
                <w:vertAlign w:val="subscript"/>
              </w:rPr>
              <w:t>25</w:t>
            </w:r>
          </w:p>
        </w:tc>
        <w:tc>
          <w:tcPr>
            <w:tcW w:w="1656" w:type="dxa"/>
          </w:tcPr>
          <w:p w14:paraId="6AEA661A" w14:textId="77777777" w:rsidR="00211BBC" w:rsidRPr="0064799F" w:rsidRDefault="00211BBC" w:rsidP="00103CC5">
            <w:pPr>
              <w:contextualSpacing/>
              <w:jc w:val="center"/>
              <w:rPr>
                <w:rFonts w:cs="Times New Roman"/>
              </w:rPr>
            </w:pPr>
            <w:r w:rsidRPr="0064799F">
              <w:rPr>
                <w:rFonts w:cs="Times New Roman"/>
              </w:rPr>
              <w:t>CI</w:t>
            </w:r>
          </w:p>
        </w:tc>
        <w:tc>
          <w:tcPr>
            <w:tcW w:w="236" w:type="dxa"/>
          </w:tcPr>
          <w:p w14:paraId="3D5BE1F7" w14:textId="77777777" w:rsidR="00211BBC" w:rsidRPr="0064799F" w:rsidRDefault="00211BBC" w:rsidP="00103CC5">
            <w:pPr>
              <w:contextualSpacing/>
              <w:jc w:val="center"/>
              <w:rPr>
                <w:rFonts w:cs="Times New Roman"/>
              </w:rPr>
            </w:pPr>
          </w:p>
        </w:tc>
        <w:tc>
          <w:tcPr>
            <w:tcW w:w="864" w:type="dxa"/>
          </w:tcPr>
          <w:p w14:paraId="08F89793" w14:textId="77777777" w:rsidR="00211BBC" w:rsidRPr="0064799F" w:rsidRDefault="00211BBC" w:rsidP="00103CC5">
            <w:pPr>
              <w:contextualSpacing/>
              <w:jc w:val="center"/>
              <w:rPr>
                <w:rFonts w:cs="Times New Roman"/>
              </w:rPr>
            </w:pPr>
            <w:r w:rsidRPr="0064799F">
              <w:rPr>
                <w:rFonts w:cs="Times New Roman"/>
              </w:rPr>
              <w:t>EC</w:t>
            </w:r>
            <w:r w:rsidRPr="0064799F">
              <w:rPr>
                <w:rFonts w:cs="Times New Roman"/>
                <w:vertAlign w:val="subscript"/>
              </w:rPr>
              <w:t>25</w:t>
            </w:r>
          </w:p>
        </w:tc>
        <w:tc>
          <w:tcPr>
            <w:tcW w:w="1656" w:type="dxa"/>
          </w:tcPr>
          <w:p w14:paraId="43DBA9E2" w14:textId="77777777" w:rsidR="00211BBC" w:rsidRPr="0064799F" w:rsidRDefault="00211BBC" w:rsidP="00103CC5">
            <w:pPr>
              <w:contextualSpacing/>
              <w:jc w:val="center"/>
              <w:rPr>
                <w:rFonts w:cs="Times New Roman"/>
              </w:rPr>
            </w:pPr>
            <w:r w:rsidRPr="0064799F">
              <w:rPr>
                <w:rFonts w:cs="Times New Roman"/>
              </w:rPr>
              <w:t>CI</w:t>
            </w:r>
          </w:p>
        </w:tc>
      </w:tr>
      <w:tr w:rsidR="00211BBC" w:rsidRPr="0064799F" w14:paraId="53D9E440" w14:textId="77777777" w:rsidTr="00103CC5">
        <w:tc>
          <w:tcPr>
            <w:tcW w:w="2254" w:type="dxa"/>
            <w:gridSpan w:val="3"/>
          </w:tcPr>
          <w:p w14:paraId="7633C857" w14:textId="77777777" w:rsidR="00211BBC" w:rsidRPr="0064799F" w:rsidRDefault="00211BBC" w:rsidP="00103CC5">
            <w:pPr>
              <w:contextualSpacing/>
              <w:jc w:val="both"/>
              <w:rPr>
                <w:rFonts w:cs="Times New Roman"/>
              </w:rPr>
            </w:pPr>
            <w:r w:rsidRPr="0064799F">
              <w:rPr>
                <w:rFonts w:cs="Times New Roman"/>
              </w:rPr>
              <w:t>Creeping bentgrass</w:t>
            </w:r>
          </w:p>
        </w:tc>
        <w:tc>
          <w:tcPr>
            <w:tcW w:w="864" w:type="dxa"/>
          </w:tcPr>
          <w:p w14:paraId="3B999722" w14:textId="77777777" w:rsidR="00211BBC" w:rsidRPr="0064799F" w:rsidRDefault="00211BBC" w:rsidP="00103CC5">
            <w:pPr>
              <w:contextualSpacing/>
              <w:jc w:val="center"/>
              <w:rPr>
                <w:rFonts w:cs="Times New Roman"/>
              </w:rPr>
            </w:pPr>
            <w:r w:rsidRPr="0064799F">
              <w:rPr>
                <w:rFonts w:cs="Times New Roman"/>
              </w:rPr>
              <w:t>806</w:t>
            </w:r>
          </w:p>
        </w:tc>
        <w:tc>
          <w:tcPr>
            <w:tcW w:w="1656" w:type="dxa"/>
          </w:tcPr>
          <w:p w14:paraId="0E47D1FD" w14:textId="77777777" w:rsidR="00211BBC" w:rsidRPr="0064799F" w:rsidRDefault="00211BBC" w:rsidP="00103CC5">
            <w:pPr>
              <w:contextualSpacing/>
              <w:jc w:val="center"/>
              <w:rPr>
                <w:rFonts w:cs="Times New Roman"/>
              </w:rPr>
            </w:pPr>
            <w:r w:rsidRPr="0064799F">
              <w:rPr>
                <w:rFonts w:cs="Times New Roman"/>
              </w:rPr>
              <w:t>662 to 963</w:t>
            </w:r>
          </w:p>
        </w:tc>
        <w:tc>
          <w:tcPr>
            <w:tcW w:w="236" w:type="dxa"/>
            <w:tcBorders>
              <w:bottom w:val="nil"/>
            </w:tcBorders>
          </w:tcPr>
          <w:p w14:paraId="744F9A31" w14:textId="77777777" w:rsidR="00211BBC" w:rsidRPr="0064799F" w:rsidRDefault="00211BBC" w:rsidP="00103CC5">
            <w:pPr>
              <w:contextualSpacing/>
              <w:jc w:val="center"/>
              <w:rPr>
                <w:rFonts w:cs="Times New Roman"/>
              </w:rPr>
            </w:pPr>
          </w:p>
        </w:tc>
        <w:tc>
          <w:tcPr>
            <w:tcW w:w="864" w:type="dxa"/>
          </w:tcPr>
          <w:p w14:paraId="2CDB4E5A" w14:textId="77777777" w:rsidR="00211BBC" w:rsidRPr="0064799F" w:rsidRDefault="00211BBC" w:rsidP="00103CC5">
            <w:pPr>
              <w:contextualSpacing/>
              <w:jc w:val="center"/>
              <w:rPr>
                <w:rFonts w:cs="Times New Roman"/>
              </w:rPr>
            </w:pPr>
            <w:r w:rsidRPr="0064799F">
              <w:rPr>
                <w:rFonts w:cs="Times New Roman"/>
              </w:rPr>
              <w:t>465</w:t>
            </w:r>
          </w:p>
        </w:tc>
        <w:tc>
          <w:tcPr>
            <w:tcW w:w="1656" w:type="dxa"/>
          </w:tcPr>
          <w:p w14:paraId="7459929B" w14:textId="77777777" w:rsidR="00211BBC" w:rsidRPr="0064799F" w:rsidRDefault="00211BBC" w:rsidP="00103CC5">
            <w:pPr>
              <w:contextualSpacing/>
              <w:jc w:val="center"/>
              <w:rPr>
                <w:rFonts w:cs="Times New Roman"/>
              </w:rPr>
            </w:pPr>
            <w:r w:rsidRPr="0064799F">
              <w:rPr>
                <w:rFonts w:cs="Times New Roman"/>
              </w:rPr>
              <w:t>433 to 497</w:t>
            </w:r>
          </w:p>
        </w:tc>
        <w:tc>
          <w:tcPr>
            <w:tcW w:w="238" w:type="dxa"/>
          </w:tcPr>
          <w:p w14:paraId="2B5A4231" w14:textId="77777777" w:rsidR="00211BBC" w:rsidRPr="0064799F" w:rsidRDefault="00211BBC" w:rsidP="00103CC5">
            <w:pPr>
              <w:contextualSpacing/>
              <w:jc w:val="center"/>
              <w:rPr>
                <w:rFonts w:cs="Times New Roman"/>
              </w:rPr>
            </w:pPr>
          </w:p>
        </w:tc>
        <w:tc>
          <w:tcPr>
            <w:tcW w:w="864" w:type="dxa"/>
          </w:tcPr>
          <w:p w14:paraId="40AA0B45" w14:textId="77777777" w:rsidR="00211BBC" w:rsidRPr="0064799F" w:rsidRDefault="00211BBC" w:rsidP="00103CC5">
            <w:pPr>
              <w:contextualSpacing/>
              <w:jc w:val="center"/>
              <w:rPr>
                <w:rFonts w:cs="Times New Roman"/>
              </w:rPr>
            </w:pPr>
            <w:r w:rsidRPr="0064799F">
              <w:rPr>
                <w:rFonts w:cs="Times New Roman"/>
              </w:rPr>
              <w:t>1415</w:t>
            </w:r>
          </w:p>
        </w:tc>
        <w:tc>
          <w:tcPr>
            <w:tcW w:w="1656" w:type="dxa"/>
          </w:tcPr>
          <w:p w14:paraId="567F3C1E" w14:textId="77777777" w:rsidR="00211BBC" w:rsidRPr="0064799F" w:rsidRDefault="00211BBC" w:rsidP="00103CC5">
            <w:pPr>
              <w:contextualSpacing/>
              <w:jc w:val="center"/>
              <w:rPr>
                <w:rFonts w:cs="Times New Roman"/>
              </w:rPr>
            </w:pPr>
            <w:r w:rsidRPr="0064799F">
              <w:rPr>
                <w:rFonts w:cs="Times New Roman"/>
              </w:rPr>
              <w:t>1112 to 1771</w:t>
            </w:r>
          </w:p>
        </w:tc>
        <w:tc>
          <w:tcPr>
            <w:tcW w:w="236" w:type="dxa"/>
          </w:tcPr>
          <w:p w14:paraId="6A3233DF" w14:textId="77777777" w:rsidR="00211BBC" w:rsidRPr="0064799F" w:rsidRDefault="00211BBC" w:rsidP="00103CC5">
            <w:pPr>
              <w:contextualSpacing/>
              <w:jc w:val="center"/>
              <w:rPr>
                <w:rFonts w:cs="Times New Roman"/>
              </w:rPr>
            </w:pPr>
          </w:p>
        </w:tc>
        <w:tc>
          <w:tcPr>
            <w:tcW w:w="864" w:type="dxa"/>
          </w:tcPr>
          <w:p w14:paraId="22FCDE36" w14:textId="77777777" w:rsidR="00211BBC" w:rsidRPr="0064799F" w:rsidRDefault="00211BBC" w:rsidP="00103CC5">
            <w:pPr>
              <w:contextualSpacing/>
              <w:jc w:val="center"/>
              <w:rPr>
                <w:rFonts w:cs="Times New Roman"/>
              </w:rPr>
            </w:pPr>
            <w:r w:rsidRPr="0064799F">
              <w:rPr>
                <w:rFonts w:cs="Times New Roman"/>
              </w:rPr>
              <w:t>2200</w:t>
            </w:r>
          </w:p>
        </w:tc>
        <w:tc>
          <w:tcPr>
            <w:tcW w:w="1656" w:type="dxa"/>
          </w:tcPr>
          <w:p w14:paraId="59E57C2E" w14:textId="77777777" w:rsidR="00211BBC" w:rsidRPr="0064799F" w:rsidRDefault="00211BBC" w:rsidP="00103CC5">
            <w:pPr>
              <w:contextualSpacing/>
              <w:jc w:val="center"/>
              <w:rPr>
                <w:rFonts w:cs="Times New Roman"/>
              </w:rPr>
            </w:pPr>
            <w:r w:rsidRPr="0064799F">
              <w:rPr>
                <w:rFonts w:cs="Times New Roman"/>
              </w:rPr>
              <w:t>1719 to 2751</w:t>
            </w:r>
          </w:p>
        </w:tc>
      </w:tr>
      <w:tr w:rsidR="00211BBC" w:rsidRPr="0064799F" w14:paraId="5D7EFB0F" w14:textId="77777777" w:rsidTr="00103CC5">
        <w:tc>
          <w:tcPr>
            <w:tcW w:w="2254" w:type="dxa"/>
            <w:gridSpan w:val="3"/>
          </w:tcPr>
          <w:p w14:paraId="69164889" w14:textId="77777777" w:rsidR="00211BBC" w:rsidRPr="0064799F" w:rsidRDefault="00211BBC" w:rsidP="00103CC5">
            <w:pPr>
              <w:contextualSpacing/>
              <w:jc w:val="both"/>
              <w:rPr>
                <w:rFonts w:cs="Times New Roman"/>
              </w:rPr>
            </w:pPr>
            <w:r w:rsidRPr="0064799F">
              <w:rPr>
                <w:rFonts w:cs="Times New Roman"/>
              </w:rPr>
              <w:t>Kentucky bluegrass</w:t>
            </w:r>
          </w:p>
        </w:tc>
        <w:tc>
          <w:tcPr>
            <w:tcW w:w="864" w:type="dxa"/>
          </w:tcPr>
          <w:p w14:paraId="16E98F15" w14:textId="77777777" w:rsidR="00211BBC" w:rsidRPr="0064799F" w:rsidRDefault="00211BBC" w:rsidP="00103CC5">
            <w:pPr>
              <w:contextualSpacing/>
              <w:jc w:val="center"/>
              <w:rPr>
                <w:rFonts w:cs="Times New Roman"/>
              </w:rPr>
            </w:pPr>
            <w:r w:rsidRPr="0064799F">
              <w:rPr>
                <w:rFonts w:cs="Times New Roman"/>
              </w:rPr>
              <w:t>702</w:t>
            </w:r>
          </w:p>
        </w:tc>
        <w:tc>
          <w:tcPr>
            <w:tcW w:w="1656" w:type="dxa"/>
          </w:tcPr>
          <w:p w14:paraId="1922CDE8" w14:textId="77777777" w:rsidR="00211BBC" w:rsidRPr="0064799F" w:rsidRDefault="00211BBC" w:rsidP="00103CC5">
            <w:pPr>
              <w:jc w:val="center"/>
              <w:rPr>
                <w:rFonts w:cs="Times New Roman"/>
              </w:rPr>
            </w:pPr>
            <w:r w:rsidRPr="0064799F">
              <w:rPr>
                <w:rFonts w:cs="Times New Roman"/>
              </w:rPr>
              <w:t>578 to 842</w:t>
            </w:r>
          </w:p>
        </w:tc>
        <w:tc>
          <w:tcPr>
            <w:tcW w:w="236" w:type="dxa"/>
            <w:tcBorders>
              <w:bottom w:val="nil"/>
            </w:tcBorders>
          </w:tcPr>
          <w:p w14:paraId="6741F660" w14:textId="77777777" w:rsidR="00211BBC" w:rsidRPr="0064799F" w:rsidRDefault="00211BBC" w:rsidP="00103CC5">
            <w:pPr>
              <w:contextualSpacing/>
              <w:jc w:val="center"/>
              <w:rPr>
                <w:rFonts w:cs="Times New Roman"/>
              </w:rPr>
            </w:pPr>
          </w:p>
        </w:tc>
        <w:tc>
          <w:tcPr>
            <w:tcW w:w="864" w:type="dxa"/>
          </w:tcPr>
          <w:p w14:paraId="6895AA72" w14:textId="77777777" w:rsidR="00211BBC" w:rsidRPr="0064799F" w:rsidRDefault="00211BBC" w:rsidP="00103CC5">
            <w:pPr>
              <w:contextualSpacing/>
              <w:jc w:val="center"/>
              <w:rPr>
                <w:rFonts w:cs="Times New Roman"/>
              </w:rPr>
            </w:pPr>
            <w:r w:rsidRPr="0064799F">
              <w:rPr>
                <w:rFonts w:cs="Times New Roman"/>
              </w:rPr>
              <w:t>1407</w:t>
            </w:r>
          </w:p>
        </w:tc>
        <w:tc>
          <w:tcPr>
            <w:tcW w:w="1656" w:type="dxa"/>
          </w:tcPr>
          <w:p w14:paraId="50B8D4FE" w14:textId="77777777" w:rsidR="00211BBC" w:rsidRPr="0064799F" w:rsidRDefault="00211BBC" w:rsidP="00103CC5">
            <w:pPr>
              <w:contextualSpacing/>
              <w:jc w:val="center"/>
              <w:rPr>
                <w:rFonts w:cs="Times New Roman"/>
              </w:rPr>
            </w:pPr>
            <w:r w:rsidRPr="0064799F">
              <w:rPr>
                <w:rFonts w:cs="Times New Roman"/>
              </w:rPr>
              <w:t>1306 to 1500</w:t>
            </w:r>
          </w:p>
        </w:tc>
        <w:tc>
          <w:tcPr>
            <w:tcW w:w="238" w:type="dxa"/>
          </w:tcPr>
          <w:p w14:paraId="5DCFFE98" w14:textId="77777777" w:rsidR="00211BBC" w:rsidRPr="0064799F" w:rsidRDefault="00211BBC" w:rsidP="00103CC5">
            <w:pPr>
              <w:contextualSpacing/>
              <w:jc w:val="center"/>
              <w:rPr>
                <w:rFonts w:cs="Times New Roman"/>
              </w:rPr>
            </w:pPr>
          </w:p>
        </w:tc>
        <w:tc>
          <w:tcPr>
            <w:tcW w:w="864" w:type="dxa"/>
          </w:tcPr>
          <w:p w14:paraId="0F6703C2" w14:textId="77777777" w:rsidR="00211BBC" w:rsidRPr="0064799F" w:rsidRDefault="00211BBC" w:rsidP="00103CC5">
            <w:pPr>
              <w:contextualSpacing/>
              <w:jc w:val="center"/>
              <w:rPr>
                <w:rFonts w:cs="Times New Roman"/>
              </w:rPr>
            </w:pPr>
            <w:r w:rsidRPr="0064799F">
              <w:rPr>
                <w:rFonts w:cs="Times New Roman"/>
              </w:rPr>
              <w:t>1724</w:t>
            </w:r>
          </w:p>
        </w:tc>
        <w:tc>
          <w:tcPr>
            <w:tcW w:w="1656" w:type="dxa"/>
          </w:tcPr>
          <w:p w14:paraId="7E07EA96" w14:textId="77777777" w:rsidR="00211BBC" w:rsidRPr="0064799F" w:rsidRDefault="00211BBC" w:rsidP="00103CC5">
            <w:pPr>
              <w:contextualSpacing/>
              <w:jc w:val="center"/>
              <w:rPr>
                <w:rFonts w:cs="Times New Roman"/>
              </w:rPr>
            </w:pPr>
            <w:r w:rsidRPr="0064799F">
              <w:rPr>
                <w:rFonts w:cs="Times New Roman"/>
              </w:rPr>
              <w:t>1485 to 1990</w:t>
            </w:r>
          </w:p>
        </w:tc>
        <w:tc>
          <w:tcPr>
            <w:tcW w:w="236" w:type="dxa"/>
          </w:tcPr>
          <w:p w14:paraId="10BF76C7" w14:textId="77777777" w:rsidR="00211BBC" w:rsidRPr="0064799F" w:rsidRDefault="00211BBC" w:rsidP="00103CC5">
            <w:pPr>
              <w:contextualSpacing/>
              <w:jc w:val="center"/>
              <w:rPr>
                <w:rFonts w:cs="Times New Roman"/>
              </w:rPr>
            </w:pPr>
          </w:p>
        </w:tc>
        <w:tc>
          <w:tcPr>
            <w:tcW w:w="864" w:type="dxa"/>
          </w:tcPr>
          <w:p w14:paraId="1C3C748E" w14:textId="77777777" w:rsidR="00211BBC" w:rsidRPr="0064799F" w:rsidRDefault="00211BBC" w:rsidP="00103CC5">
            <w:pPr>
              <w:contextualSpacing/>
              <w:jc w:val="center"/>
              <w:rPr>
                <w:rFonts w:cs="Times New Roman"/>
              </w:rPr>
            </w:pPr>
            <w:r w:rsidRPr="0064799F">
              <w:rPr>
                <w:rFonts w:cs="Times New Roman"/>
              </w:rPr>
              <w:t>6655</w:t>
            </w:r>
          </w:p>
        </w:tc>
        <w:tc>
          <w:tcPr>
            <w:tcW w:w="1656" w:type="dxa"/>
          </w:tcPr>
          <w:p w14:paraId="56503145" w14:textId="77777777" w:rsidR="00211BBC" w:rsidRPr="0064799F" w:rsidRDefault="00211BBC" w:rsidP="00103CC5">
            <w:pPr>
              <w:contextualSpacing/>
              <w:jc w:val="center"/>
              <w:rPr>
                <w:rFonts w:cs="Times New Roman"/>
              </w:rPr>
            </w:pPr>
            <w:r w:rsidRPr="0064799F">
              <w:rPr>
                <w:rFonts w:cs="Times New Roman"/>
              </w:rPr>
              <w:t>5987 to 8580</w:t>
            </w:r>
          </w:p>
        </w:tc>
      </w:tr>
      <w:tr w:rsidR="00211BBC" w:rsidRPr="0064799F" w14:paraId="60AD13D2" w14:textId="77777777" w:rsidTr="00103CC5">
        <w:tc>
          <w:tcPr>
            <w:tcW w:w="2254" w:type="dxa"/>
            <w:gridSpan w:val="3"/>
          </w:tcPr>
          <w:p w14:paraId="6B7243DD" w14:textId="77777777" w:rsidR="00211BBC" w:rsidRPr="0064799F" w:rsidRDefault="00211BBC" w:rsidP="00103CC5">
            <w:pPr>
              <w:contextualSpacing/>
              <w:jc w:val="both"/>
              <w:rPr>
                <w:rFonts w:cs="Times New Roman"/>
              </w:rPr>
            </w:pPr>
            <w:r w:rsidRPr="0064799F">
              <w:rPr>
                <w:rFonts w:cs="Times New Roman"/>
              </w:rPr>
              <w:t>Tall fescue</w:t>
            </w:r>
          </w:p>
        </w:tc>
        <w:tc>
          <w:tcPr>
            <w:tcW w:w="864" w:type="dxa"/>
          </w:tcPr>
          <w:p w14:paraId="19A27830" w14:textId="77777777" w:rsidR="00211BBC" w:rsidRPr="0064799F" w:rsidRDefault="00211BBC" w:rsidP="00103CC5">
            <w:pPr>
              <w:contextualSpacing/>
              <w:jc w:val="center"/>
              <w:rPr>
                <w:rFonts w:cs="Times New Roman"/>
              </w:rPr>
            </w:pPr>
            <w:r w:rsidRPr="0064799F">
              <w:rPr>
                <w:rFonts w:cs="Times New Roman"/>
              </w:rPr>
              <w:t>956</w:t>
            </w:r>
          </w:p>
        </w:tc>
        <w:tc>
          <w:tcPr>
            <w:tcW w:w="1656" w:type="dxa"/>
          </w:tcPr>
          <w:p w14:paraId="08E98981" w14:textId="77777777" w:rsidR="00211BBC" w:rsidRPr="0064799F" w:rsidRDefault="00211BBC" w:rsidP="00103CC5">
            <w:pPr>
              <w:contextualSpacing/>
              <w:jc w:val="center"/>
              <w:rPr>
                <w:rFonts w:cs="Times New Roman"/>
              </w:rPr>
            </w:pPr>
            <w:r w:rsidRPr="0064799F">
              <w:rPr>
                <w:rFonts w:cs="Times New Roman"/>
              </w:rPr>
              <w:t>813 to 1114</w:t>
            </w:r>
          </w:p>
        </w:tc>
        <w:tc>
          <w:tcPr>
            <w:tcW w:w="236" w:type="dxa"/>
            <w:tcBorders>
              <w:bottom w:val="nil"/>
            </w:tcBorders>
          </w:tcPr>
          <w:p w14:paraId="024CD8F5" w14:textId="77777777" w:rsidR="00211BBC" w:rsidRPr="0064799F" w:rsidRDefault="00211BBC" w:rsidP="00103CC5">
            <w:pPr>
              <w:contextualSpacing/>
              <w:jc w:val="center"/>
              <w:rPr>
                <w:rFonts w:cs="Times New Roman"/>
              </w:rPr>
            </w:pPr>
          </w:p>
        </w:tc>
        <w:tc>
          <w:tcPr>
            <w:tcW w:w="864" w:type="dxa"/>
          </w:tcPr>
          <w:p w14:paraId="592BE03B" w14:textId="77777777" w:rsidR="00211BBC" w:rsidRPr="0064799F" w:rsidRDefault="00211BBC" w:rsidP="00103CC5">
            <w:pPr>
              <w:contextualSpacing/>
              <w:jc w:val="center"/>
              <w:rPr>
                <w:rFonts w:cs="Times New Roman"/>
              </w:rPr>
            </w:pPr>
            <w:r w:rsidRPr="0064799F">
              <w:rPr>
                <w:rFonts w:cs="Times New Roman"/>
              </w:rPr>
              <w:t>904</w:t>
            </w:r>
          </w:p>
        </w:tc>
        <w:tc>
          <w:tcPr>
            <w:tcW w:w="1656" w:type="dxa"/>
          </w:tcPr>
          <w:p w14:paraId="03461E3E" w14:textId="77777777" w:rsidR="00211BBC" w:rsidRPr="0064799F" w:rsidRDefault="00211BBC" w:rsidP="00103CC5">
            <w:pPr>
              <w:contextualSpacing/>
              <w:jc w:val="center"/>
              <w:rPr>
                <w:rFonts w:cs="Times New Roman"/>
              </w:rPr>
            </w:pPr>
            <w:r w:rsidRPr="0064799F">
              <w:rPr>
                <w:rFonts w:cs="Times New Roman"/>
              </w:rPr>
              <w:t>849 to 963</w:t>
            </w:r>
          </w:p>
        </w:tc>
        <w:tc>
          <w:tcPr>
            <w:tcW w:w="238" w:type="dxa"/>
          </w:tcPr>
          <w:p w14:paraId="3402DCBB" w14:textId="77777777" w:rsidR="00211BBC" w:rsidRPr="0064799F" w:rsidRDefault="00211BBC" w:rsidP="00103CC5">
            <w:pPr>
              <w:contextualSpacing/>
              <w:jc w:val="center"/>
              <w:rPr>
                <w:rFonts w:cs="Times New Roman"/>
              </w:rPr>
            </w:pPr>
          </w:p>
        </w:tc>
        <w:tc>
          <w:tcPr>
            <w:tcW w:w="864" w:type="dxa"/>
          </w:tcPr>
          <w:p w14:paraId="6CDAD237" w14:textId="77777777" w:rsidR="00211BBC" w:rsidRPr="0064799F" w:rsidRDefault="00211BBC" w:rsidP="00103CC5">
            <w:pPr>
              <w:contextualSpacing/>
              <w:jc w:val="center"/>
              <w:rPr>
                <w:rFonts w:cs="Times New Roman"/>
              </w:rPr>
            </w:pPr>
            <w:r w:rsidRPr="0064799F">
              <w:rPr>
                <w:rFonts w:cs="Times New Roman"/>
              </w:rPr>
              <w:t>2556</w:t>
            </w:r>
          </w:p>
        </w:tc>
        <w:tc>
          <w:tcPr>
            <w:tcW w:w="1656" w:type="dxa"/>
          </w:tcPr>
          <w:p w14:paraId="21BF887C" w14:textId="77777777" w:rsidR="00211BBC" w:rsidRPr="0064799F" w:rsidRDefault="00211BBC" w:rsidP="00103CC5">
            <w:pPr>
              <w:contextualSpacing/>
              <w:jc w:val="center"/>
              <w:rPr>
                <w:rFonts w:cs="Times New Roman"/>
              </w:rPr>
            </w:pPr>
            <w:r w:rsidRPr="0064799F">
              <w:rPr>
                <w:rFonts w:cs="Times New Roman"/>
              </w:rPr>
              <w:t>undefined</w:t>
            </w:r>
          </w:p>
        </w:tc>
        <w:tc>
          <w:tcPr>
            <w:tcW w:w="236" w:type="dxa"/>
          </w:tcPr>
          <w:p w14:paraId="4BE3C44E" w14:textId="77777777" w:rsidR="00211BBC" w:rsidRPr="0064799F" w:rsidRDefault="00211BBC" w:rsidP="00103CC5">
            <w:pPr>
              <w:contextualSpacing/>
              <w:jc w:val="center"/>
              <w:rPr>
                <w:rFonts w:cs="Times New Roman"/>
              </w:rPr>
            </w:pPr>
          </w:p>
        </w:tc>
        <w:tc>
          <w:tcPr>
            <w:tcW w:w="864" w:type="dxa"/>
          </w:tcPr>
          <w:p w14:paraId="7BEEB435" w14:textId="77777777" w:rsidR="00211BBC" w:rsidRPr="0064799F" w:rsidRDefault="00211BBC" w:rsidP="00103CC5">
            <w:pPr>
              <w:contextualSpacing/>
              <w:jc w:val="center"/>
              <w:rPr>
                <w:rFonts w:cs="Times New Roman"/>
              </w:rPr>
            </w:pPr>
            <w:r w:rsidRPr="0064799F">
              <w:rPr>
                <w:rFonts w:cs="Times New Roman"/>
              </w:rPr>
              <w:t>1581</w:t>
            </w:r>
          </w:p>
        </w:tc>
        <w:tc>
          <w:tcPr>
            <w:tcW w:w="1656" w:type="dxa"/>
          </w:tcPr>
          <w:p w14:paraId="0F844739" w14:textId="77777777" w:rsidR="00211BBC" w:rsidRPr="0064799F" w:rsidRDefault="00211BBC" w:rsidP="00103CC5">
            <w:pPr>
              <w:contextualSpacing/>
              <w:jc w:val="center"/>
              <w:rPr>
                <w:rFonts w:cs="Times New Roman"/>
              </w:rPr>
            </w:pPr>
            <w:r w:rsidRPr="0064799F">
              <w:rPr>
                <w:rFonts w:cs="Times New Roman"/>
              </w:rPr>
              <w:t>1410 to 1764</w:t>
            </w:r>
          </w:p>
        </w:tc>
      </w:tr>
    </w:tbl>
    <w:p w14:paraId="479BB2B2" w14:textId="77777777" w:rsidR="00DF70E0" w:rsidRPr="002435BF" w:rsidRDefault="00211BBC" w:rsidP="00211BBC">
      <w:pPr>
        <w:spacing w:after="160" w:line="259" w:lineRule="auto"/>
        <w:rPr>
          <w:rFonts w:cs="Times New Roman"/>
          <w:color w:val="000000" w:themeColor="text1"/>
          <w:lang w:val="it-IT"/>
        </w:rPr>
        <w:sectPr w:rsidR="00DF70E0" w:rsidRPr="002435BF" w:rsidSect="00211BBC">
          <w:pgSz w:w="15840" w:h="12240" w:orient="landscape"/>
          <w:pgMar w:top="1440" w:right="1440" w:bottom="1440" w:left="1440" w:header="720" w:footer="720" w:gutter="0"/>
          <w:cols w:space="720"/>
          <w:docGrid w:linePitch="360"/>
        </w:sectPr>
      </w:pPr>
      <w:r w:rsidRPr="002435BF">
        <w:rPr>
          <w:rFonts w:cs="Times New Roman"/>
          <w:color w:val="000000" w:themeColor="text1"/>
          <w:vertAlign w:val="superscript"/>
          <w:lang w:val="it-IT"/>
        </w:rPr>
        <w:t xml:space="preserve">z </w:t>
      </w:r>
      <w:r w:rsidRPr="002435BF">
        <w:rPr>
          <w:rFonts w:cs="Times New Roman"/>
          <w:color w:val="000000" w:themeColor="text1"/>
          <w:lang w:val="it-IT"/>
        </w:rPr>
        <w:t>Abbreviation: CI = 95% confidence interval.</w:t>
      </w:r>
    </w:p>
    <w:p w14:paraId="6BA7ABF1" w14:textId="77777777" w:rsidR="00DF70E0" w:rsidRPr="0064799F" w:rsidRDefault="00DF70E0" w:rsidP="00DF70E0">
      <w:pPr>
        <w:contextualSpacing/>
        <w:rPr>
          <w:rFonts w:cs="Times New Roman"/>
          <w:color w:val="000000" w:themeColor="text1"/>
        </w:rPr>
      </w:pPr>
      <w:r w:rsidRPr="0064799F">
        <w:rPr>
          <w:rFonts w:cs="Times New Roman"/>
          <w:noProof/>
          <w:color w:val="000000" w:themeColor="text1"/>
        </w:rPr>
        <w:lastRenderedPageBreak/>
        <w:drawing>
          <wp:inline distT="0" distB="0" distL="0" distR="0" wp14:anchorId="29563938" wp14:editId="6BDDD7FB">
            <wp:extent cx="5943600" cy="4213860"/>
            <wp:effectExtent l="0" t="0" r="0" b="0"/>
            <wp:docPr id="490697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97438" name=""/>
                    <pic:cNvPicPr/>
                  </pic:nvPicPr>
                  <pic:blipFill>
                    <a:blip r:embed="rId18"/>
                    <a:stretch>
                      <a:fillRect/>
                    </a:stretch>
                  </pic:blipFill>
                  <pic:spPr>
                    <a:xfrm>
                      <a:off x="0" y="0"/>
                      <a:ext cx="5943600" cy="4213860"/>
                    </a:xfrm>
                    <a:prstGeom prst="rect">
                      <a:avLst/>
                    </a:prstGeom>
                  </pic:spPr>
                </pic:pic>
              </a:graphicData>
            </a:graphic>
          </wp:inline>
        </w:drawing>
      </w:r>
    </w:p>
    <w:p w14:paraId="1A7C25E7" w14:textId="77777777" w:rsidR="00DF70E0" w:rsidRPr="0064799F" w:rsidRDefault="00DF70E0" w:rsidP="00DF70E0">
      <w:pPr>
        <w:contextualSpacing/>
        <w:rPr>
          <w:rFonts w:cs="Times New Roman"/>
          <w:color w:val="000000" w:themeColor="text1"/>
        </w:rPr>
      </w:pPr>
    </w:p>
    <w:p w14:paraId="27C6D13B" w14:textId="7A4AEF79" w:rsidR="00DF70E0" w:rsidRPr="00945D78" w:rsidRDefault="00945D78" w:rsidP="00945D78">
      <w:pPr>
        <w:pStyle w:val="Caption"/>
      </w:pPr>
      <w:bookmarkStart w:id="53" w:name="_Toc192779567"/>
      <w:bookmarkStart w:id="54" w:name="_Toc192868770"/>
      <w:r>
        <w:t>Figure 1</w:t>
      </w:r>
      <w:r w:rsidR="00E32A6E">
        <w:t>.</w:t>
      </w:r>
      <w:fldSimple w:instr=" SEQ Figure \* ARABIC \s 1 ">
        <w:r w:rsidR="00E32A6E">
          <w:rPr>
            <w:noProof/>
          </w:rPr>
          <w:t>1</w:t>
        </w:r>
      </w:fldSimple>
      <w:r>
        <w:t xml:space="preserve">. </w:t>
      </w:r>
      <w:bookmarkStart w:id="55" w:name="_Toc192779655"/>
      <w:r w:rsidR="00DF70E0" w:rsidRPr="00945D78">
        <w:rPr>
          <w:rFonts w:cs="Times New Roman"/>
          <w:b w:val="0"/>
          <w:bCs w:val="0"/>
        </w:rPr>
        <w:t xml:space="preserve">Dose response curves for </w:t>
      </w:r>
      <w:r w:rsidR="00DF70E0" w:rsidRPr="00945D78">
        <w:rPr>
          <w:rFonts w:cs="Times New Roman"/>
          <w:b w:val="0"/>
          <w:bCs w:val="0"/>
          <w:color w:val="000000" w:themeColor="text1"/>
        </w:rPr>
        <w:t>Kentucky bluegrass (</w:t>
      </w:r>
      <w:r w:rsidR="00DF70E0" w:rsidRPr="00945D78">
        <w:rPr>
          <w:rFonts w:cs="Times New Roman"/>
          <w:b w:val="0"/>
          <w:bCs w:val="0"/>
          <w:i/>
          <w:iCs/>
          <w:color w:val="000000" w:themeColor="text1"/>
        </w:rPr>
        <w:t>Poa pratensis</w:t>
      </w:r>
      <w:r w:rsidR="00DF70E0" w:rsidRPr="00945D78">
        <w:rPr>
          <w:rFonts w:cs="Times New Roman"/>
          <w:b w:val="0"/>
          <w:bCs w:val="0"/>
          <w:color w:val="000000" w:themeColor="text1"/>
        </w:rPr>
        <w:t xml:space="preserve"> L., cv., ‘HGT’), creeping bentgrass (</w:t>
      </w:r>
      <w:r w:rsidR="00DF70E0" w:rsidRPr="00945D78">
        <w:rPr>
          <w:rFonts w:cs="Times New Roman"/>
          <w:b w:val="0"/>
          <w:bCs w:val="0"/>
          <w:i/>
          <w:iCs/>
          <w:color w:val="000000" w:themeColor="text1"/>
        </w:rPr>
        <w:t>Agrostis stolonifera</w:t>
      </w:r>
      <w:r w:rsidR="00DF70E0" w:rsidRPr="00945D78">
        <w:rPr>
          <w:rFonts w:cs="Times New Roman"/>
          <w:b w:val="0"/>
          <w:bCs w:val="0"/>
          <w:color w:val="000000" w:themeColor="text1"/>
        </w:rPr>
        <w:t xml:space="preserve"> L., cv. ‘L-93XD’), and tall fescue (</w:t>
      </w:r>
      <w:r w:rsidR="00DF70E0" w:rsidRPr="00945D78">
        <w:rPr>
          <w:rFonts w:cs="Times New Roman"/>
          <w:b w:val="0"/>
          <w:bCs w:val="0"/>
          <w:i/>
          <w:iCs/>
          <w:color w:val="000000" w:themeColor="text1"/>
        </w:rPr>
        <w:t>Festuca arundinacea</w:t>
      </w:r>
      <w:r w:rsidR="00DF70E0" w:rsidRPr="00945D78">
        <w:rPr>
          <w:rFonts w:cs="Times New Roman"/>
          <w:b w:val="0"/>
          <w:bCs w:val="0"/>
          <w:color w:val="000000" w:themeColor="text1"/>
        </w:rPr>
        <w:t xml:space="preserve"> </w:t>
      </w:r>
      <w:proofErr w:type="spellStart"/>
      <w:r w:rsidR="00DF70E0" w:rsidRPr="00945D78">
        <w:rPr>
          <w:rFonts w:cs="Times New Roman"/>
          <w:b w:val="0"/>
          <w:bCs w:val="0"/>
          <w:color w:val="000000" w:themeColor="text1"/>
        </w:rPr>
        <w:t>Schreb</w:t>
      </w:r>
      <w:proofErr w:type="spellEnd"/>
      <w:r w:rsidR="00DF70E0" w:rsidRPr="00945D78">
        <w:rPr>
          <w:rFonts w:cs="Times New Roman"/>
          <w:b w:val="0"/>
          <w:bCs w:val="0"/>
          <w:color w:val="000000" w:themeColor="text1"/>
        </w:rPr>
        <w:t xml:space="preserve">., cv. ‘Lebanon Winning Colors </w:t>
      </w:r>
      <w:proofErr w:type="spellStart"/>
      <w:r w:rsidR="00DF70E0" w:rsidRPr="00945D78">
        <w:rPr>
          <w:rFonts w:cs="Times New Roman"/>
          <w:b w:val="0"/>
          <w:bCs w:val="0"/>
          <w:color w:val="000000" w:themeColor="text1"/>
        </w:rPr>
        <w:t>Plus’</w:t>
      </w:r>
      <w:proofErr w:type="spellEnd"/>
      <w:r w:rsidR="00DF70E0" w:rsidRPr="00945D78">
        <w:rPr>
          <w:rFonts w:cs="Times New Roman"/>
          <w:b w:val="0"/>
          <w:bCs w:val="0"/>
          <w:color w:val="000000" w:themeColor="text1"/>
        </w:rPr>
        <w:t xml:space="preserve">) treated with increasing rates of </w:t>
      </w:r>
      <w:proofErr w:type="spellStart"/>
      <w:r w:rsidR="00DF70E0" w:rsidRPr="00945D78">
        <w:rPr>
          <w:rFonts w:cs="Times New Roman"/>
          <w:b w:val="0"/>
          <w:bCs w:val="0"/>
          <w:color w:val="000000" w:themeColor="text1"/>
        </w:rPr>
        <w:t>tetflupyrolimet</w:t>
      </w:r>
      <w:proofErr w:type="spellEnd"/>
      <w:r w:rsidR="00DF70E0" w:rsidRPr="00945D78">
        <w:rPr>
          <w:rFonts w:cs="Times New Roman"/>
          <w:b w:val="0"/>
          <w:bCs w:val="0"/>
          <w:color w:val="000000" w:themeColor="text1"/>
        </w:rPr>
        <w:t xml:space="preserve"> (</w:t>
      </w:r>
      <w:proofErr w:type="spellStart"/>
      <w:r w:rsidR="00DF70E0" w:rsidRPr="00945D78">
        <w:rPr>
          <w:rFonts w:cs="Times New Roman"/>
          <w:b w:val="0"/>
          <w:bCs w:val="0"/>
          <w:color w:val="000000" w:themeColor="text1"/>
        </w:rPr>
        <w:t>Dodhylex</w:t>
      </w:r>
      <w:proofErr w:type="spellEnd"/>
      <w:r w:rsidR="00DF70E0" w:rsidRPr="00945D78">
        <w:rPr>
          <w:rFonts w:cs="Times New Roman"/>
          <w:b w:val="0"/>
          <w:bCs w:val="0"/>
          <w:color w:val="000000" w:themeColor="text1"/>
        </w:rPr>
        <w:sym w:font="Symbol" w:char="F0D4"/>
      </w:r>
      <w:r w:rsidR="00DF70E0" w:rsidRPr="00945D78">
        <w:rPr>
          <w:rFonts w:cs="Times New Roman"/>
          <w:b w:val="0"/>
          <w:bCs w:val="0"/>
          <w:color w:val="000000" w:themeColor="text1"/>
        </w:rPr>
        <w:t xml:space="preserve"> Active. </w:t>
      </w:r>
      <w:r w:rsidR="00DF70E0" w:rsidRPr="00945D78">
        <w:rPr>
          <w:rFonts w:cs="Times New Roman"/>
          <w:b w:val="0"/>
          <w:bCs w:val="0"/>
        </w:rPr>
        <w:t>FMC Corporation. Philadelphia, PA</w:t>
      </w:r>
      <w:r w:rsidR="00DF70E0" w:rsidRPr="00945D78">
        <w:rPr>
          <w:rFonts w:cs="Times New Roman"/>
          <w:b w:val="0"/>
          <w:bCs w:val="0"/>
          <w:color w:val="000000" w:themeColor="text1"/>
        </w:rPr>
        <w:t>). Panels A and B present responses from applications made in fall of 2022 and 2023, respectively, in Knoxville, TN. Panels C and D present responses from applications made in spring of 2023 and 2024, respectively, in Knoxville, TN.</w:t>
      </w:r>
      <w:bookmarkEnd w:id="53"/>
      <w:bookmarkEnd w:id="54"/>
      <w:bookmarkEnd w:id="55"/>
      <w:r w:rsidR="00DF70E0" w:rsidRPr="0064799F">
        <w:rPr>
          <w:rFonts w:cs="Times New Roman"/>
          <w:color w:val="000000" w:themeColor="text1"/>
        </w:rPr>
        <w:t xml:space="preserve"> </w:t>
      </w:r>
    </w:p>
    <w:p w14:paraId="115594C3" w14:textId="77777777" w:rsidR="00DF70E0" w:rsidRPr="0064799F" w:rsidRDefault="00DF70E0" w:rsidP="00DF70E0">
      <w:pPr>
        <w:spacing w:after="160" w:line="259" w:lineRule="auto"/>
        <w:rPr>
          <w:rFonts w:cs="Times New Roman"/>
          <w:color w:val="000000" w:themeColor="text1"/>
        </w:rPr>
      </w:pPr>
      <w:r w:rsidRPr="0064799F">
        <w:rPr>
          <w:rFonts w:cs="Times New Roman"/>
          <w:color w:val="000000" w:themeColor="text1"/>
        </w:rPr>
        <w:br w:type="page"/>
      </w:r>
    </w:p>
    <w:p w14:paraId="1B38A587" w14:textId="77777777" w:rsidR="00DF70E0" w:rsidRPr="0064799F" w:rsidRDefault="00DF70E0" w:rsidP="00DF70E0">
      <w:pPr>
        <w:spacing w:line="480" w:lineRule="auto"/>
        <w:rPr>
          <w:rFonts w:cs="Times New Roman"/>
          <w:color w:val="000000" w:themeColor="text1"/>
        </w:rPr>
      </w:pPr>
      <w:r w:rsidRPr="0064799F">
        <w:rPr>
          <w:rFonts w:cs="Times New Roman"/>
          <w:noProof/>
          <w:color w:val="000000" w:themeColor="text1"/>
        </w:rPr>
        <w:lastRenderedPageBreak/>
        <w:drawing>
          <wp:inline distT="0" distB="0" distL="0" distR="0" wp14:anchorId="38B3B2B1" wp14:editId="60DB098A">
            <wp:extent cx="5943600" cy="2827020"/>
            <wp:effectExtent l="0" t="0" r="0" b="0"/>
            <wp:docPr id="59229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96395" name=""/>
                    <pic:cNvPicPr/>
                  </pic:nvPicPr>
                  <pic:blipFill>
                    <a:blip r:embed="rId19"/>
                    <a:stretch>
                      <a:fillRect/>
                    </a:stretch>
                  </pic:blipFill>
                  <pic:spPr>
                    <a:xfrm>
                      <a:off x="0" y="0"/>
                      <a:ext cx="5943600" cy="2827020"/>
                    </a:xfrm>
                    <a:prstGeom prst="rect">
                      <a:avLst/>
                    </a:prstGeom>
                  </pic:spPr>
                </pic:pic>
              </a:graphicData>
            </a:graphic>
          </wp:inline>
        </w:drawing>
      </w:r>
      <w:r w:rsidRPr="0064799F">
        <w:rPr>
          <w:rFonts w:cs="Times New Roman"/>
          <w:color w:val="000000" w:themeColor="text1"/>
        </w:rPr>
        <w:t xml:space="preserve"> </w:t>
      </w:r>
    </w:p>
    <w:p w14:paraId="7C19469C" w14:textId="39F99733" w:rsidR="00DF70E0" w:rsidRPr="00945D78" w:rsidRDefault="00945D78" w:rsidP="00945D78">
      <w:pPr>
        <w:pStyle w:val="Caption"/>
      </w:pPr>
      <w:bookmarkStart w:id="56" w:name="_Toc192779568"/>
      <w:bookmarkStart w:id="57" w:name="_Toc192868771"/>
      <w:r>
        <w:t>Figure 1</w:t>
      </w:r>
      <w:r w:rsidR="00E32A6E">
        <w:t>.</w:t>
      </w:r>
      <w:fldSimple w:instr=" SEQ Figure \* ARABIC \s 1 ">
        <w:r w:rsidR="00E32A6E">
          <w:rPr>
            <w:noProof/>
          </w:rPr>
          <w:t>2</w:t>
        </w:r>
      </w:fldSimple>
      <w:r>
        <w:t xml:space="preserve">. </w:t>
      </w:r>
      <w:bookmarkStart w:id="58" w:name="_Toc192779656"/>
      <w:r w:rsidR="00DF70E0" w:rsidRPr="00945D78">
        <w:rPr>
          <w:rFonts w:cs="Times New Roman"/>
          <w:b w:val="0"/>
          <w:bCs w:val="0"/>
        </w:rPr>
        <w:t>Temperature based growth potential (%) for cool-season turfgrasses during trials evaluating tolerance to</w:t>
      </w:r>
      <w:r w:rsidR="00DF70E0" w:rsidRPr="00945D78">
        <w:rPr>
          <w:rFonts w:cs="Times New Roman"/>
          <w:b w:val="0"/>
          <w:bCs w:val="0"/>
          <w:color w:val="000000" w:themeColor="text1"/>
        </w:rPr>
        <w:t xml:space="preserve"> increasing rates of </w:t>
      </w:r>
      <w:proofErr w:type="spellStart"/>
      <w:r w:rsidR="00DF70E0" w:rsidRPr="00945D78">
        <w:rPr>
          <w:rFonts w:cs="Times New Roman"/>
          <w:b w:val="0"/>
          <w:bCs w:val="0"/>
          <w:color w:val="000000" w:themeColor="text1"/>
        </w:rPr>
        <w:t>tetflupyrolimet</w:t>
      </w:r>
      <w:proofErr w:type="spellEnd"/>
      <w:r w:rsidR="00DF70E0" w:rsidRPr="00945D78">
        <w:rPr>
          <w:rFonts w:cs="Times New Roman"/>
          <w:b w:val="0"/>
          <w:bCs w:val="0"/>
          <w:color w:val="000000" w:themeColor="text1"/>
        </w:rPr>
        <w:t xml:space="preserve"> (</w:t>
      </w:r>
      <w:proofErr w:type="spellStart"/>
      <w:r w:rsidR="00DF70E0" w:rsidRPr="00945D78">
        <w:rPr>
          <w:rFonts w:cs="Times New Roman"/>
          <w:b w:val="0"/>
          <w:bCs w:val="0"/>
          <w:color w:val="000000" w:themeColor="text1"/>
        </w:rPr>
        <w:t>Dodhylex</w:t>
      </w:r>
      <w:proofErr w:type="spellEnd"/>
      <w:r w:rsidR="00DF70E0" w:rsidRPr="00945D78">
        <w:rPr>
          <w:rFonts w:cs="Times New Roman"/>
          <w:b w:val="0"/>
          <w:bCs w:val="0"/>
          <w:color w:val="000000" w:themeColor="text1"/>
        </w:rPr>
        <w:sym w:font="Symbol" w:char="F0D4"/>
      </w:r>
      <w:r w:rsidR="00DF70E0" w:rsidRPr="00945D78">
        <w:rPr>
          <w:rFonts w:cs="Times New Roman"/>
          <w:b w:val="0"/>
          <w:bCs w:val="0"/>
          <w:color w:val="000000" w:themeColor="text1"/>
        </w:rPr>
        <w:t xml:space="preserve"> Active. </w:t>
      </w:r>
      <w:r w:rsidR="00DF70E0" w:rsidRPr="00945D78">
        <w:rPr>
          <w:rFonts w:cs="Times New Roman"/>
          <w:b w:val="0"/>
          <w:bCs w:val="0"/>
        </w:rPr>
        <w:t>FMC Corporation. Philadelphia, PA</w:t>
      </w:r>
      <w:r w:rsidR="00DF70E0" w:rsidRPr="00945D78">
        <w:rPr>
          <w:rFonts w:cs="Times New Roman"/>
          <w:b w:val="0"/>
          <w:bCs w:val="0"/>
          <w:color w:val="000000" w:themeColor="text1"/>
        </w:rPr>
        <w:t>) at East Tennessee Research and Education Center – Plant Science Unit (Knoxville, TN) in fall and spring</w:t>
      </w:r>
      <w:r w:rsidR="00DF70E0" w:rsidRPr="00945D78">
        <w:rPr>
          <w:rFonts w:cs="Times New Roman"/>
          <w:b w:val="0"/>
          <w:bCs w:val="0"/>
        </w:rPr>
        <w:t xml:space="preserve">. Fall tolerance trials on these cool-season grasses were initiated on 28 September 2022 and 30 September 2023; spring tolerance trials were initiated on 28 February 2023 and 29 February 2024. </w:t>
      </w:r>
      <w:r w:rsidR="00DF70E0" w:rsidRPr="00945D78">
        <w:rPr>
          <w:rFonts w:cs="Times New Roman"/>
          <w:b w:val="0"/>
          <w:bCs w:val="0"/>
          <w:color w:val="000000" w:themeColor="text1"/>
        </w:rPr>
        <w:t>Panel A presents growth potential (%) three months prior to and after applications of tetflupyrolimet in fall 2022 and 2023; Panel B presents growth potential (%) three months prior to and after applications of tetflupyrolimet in spring 2023 and 2024.</w:t>
      </w:r>
      <w:bookmarkEnd w:id="56"/>
      <w:bookmarkEnd w:id="57"/>
      <w:bookmarkEnd w:id="58"/>
      <w:r w:rsidR="00211BBC" w:rsidRPr="0064799F">
        <w:rPr>
          <w:rFonts w:cs="Times New Roman"/>
        </w:rPr>
        <w:br w:type="page"/>
      </w:r>
    </w:p>
    <w:p w14:paraId="70B6BA44" w14:textId="77777777" w:rsidR="00DF70E0" w:rsidRDefault="00DF70E0" w:rsidP="00211BBC">
      <w:pPr>
        <w:spacing w:after="160"/>
        <w:rPr>
          <w:rFonts w:cs="Times New Roman"/>
        </w:rPr>
        <w:sectPr w:rsidR="00DF70E0" w:rsidSect="00DF70E0">
          <w:pgSz w:w="12240" w:h="15840"/>
          <w:pgMar w:top="1440" w:right="1440" w:bottom="1440" w:left="1440" w:header="720" w:footer="720" w:gutter="0"/>
          <w:cols w:space="720"/>
          <w:docGrid w:linePitch="360"/>
        </w:sectPr>
      </w:pPr>
    </w:p>
    <w:p w14:paraId="6D98323F" w14:textId="6B2405D0" w:rsidR="00211BBC" w:rsidRPr="007037E7" w:rsidRDefault="007037E7" w:rsidP="007037E7">
      <w:pPr>
        <w:pStyle w:val="Caption"/>
      </w:pPr>
      <w:bookmarkStart w:id="59" w:name="_Toc192779569"/>
      <w:bookmarkStart w:id="60" w:name="_Toc192846041"/>
      <w:r>
        <w:lastRenderedPageBreak/>
        <w:t>Table 1</w:t>
      </w:r>
      <w:r w:rsidR="00980623">
        <w:t>.</w:t>
      </w:r>
      <w:fldSimple w:instr=" SEQ Table \* ARABIC \s 1 ">
        <w:r w:rsidR="00980623">
          <w:rPr>
            <w:noProof/>
          </w:rPr>
          <w:t>4</w:t>
        </w:r>
      </w:fldSimple>
      <w:r>
        <w:t xml:space="preserve">. </w:t>
      </w:r>
      <w:r w:rsidR="00211BBC" w:rsidRPr="007037E7">
        <w:rPr>
          <w:rFonts w:cs="Times New Roman"/>
          <w:b w:val="0"/>
          <w:bCs w:val="0"/>
          <w:i/>
          <w:iCs/>
        </w:rPr>
        <w:t>Poa annua</w:t>
      </w:r>
      <w:r w:rsidR="00211BBC" w:rsidRPr="007037E7">
        <w:rPr>
          <w:rFonts w:cs="Times New Roman"/>
          <w:b w:val="0"/>
          <w:bCs w:val="0"/>
        </w:rPr>
        <w:t xml:space="preserve"> control with PRE and early postemergence (EPOST) applications of </w:t>
      </w:r>
      <w:proofErr w:type="spellStart"/>
      <w:r w:rsidR="00211BBC" w:rsidRPr="007037E7">
        <w:rPr>
          <w:rFonts w:cs="Times New Roman"/>
          <w:b w:val="0"/>
          <w:bCs w:val="0"/>
        </w:rPr>
        <w:t>tetflupyrolimet</w:t>
      </w:r>
      <w:proofErr w:type="spellEnd"/>
      <w:r w:rsidR="00211BBC" w:rsidRPr="007037E7">
        <w:rPr>
          <w:rFonts w:cs="Times New Roman"/>
          <w:b w:val="0"/>
          <w:bCs w:val="0"/>
        </w:rPr>
        <w:t xml:space="preserve"> (</w:t>
      </w:r>
      <w:proofErr w:type="spellStart"/>
      <w:r w:rsidR="00211BBC" w:rsidRPr="007037E7">
        <w:rPr>
          <w:rFonts w:cs="Times New Roman"/>
          <w:b w:val="0"/>
          <w:bCs w:val="0"/>
        </w:rPr>
        <w:t>Dodhylex</w:t>
      </w:r>
      <w:proofErr w:type="spellEnd"/>
      <w:r w:rsidR="00211BBC" w:rsidRPr="007037E7">
        <w:rPr>
          <w:rFonts w:cs="Times New Roman"/>
          <w:b w:val="0"/>
          <w:bCs w:val="0"/>
        </w:rPr>
        <w:sym w:font="Symbol" w:char="F0D4"/>
      </w:r>
      <w:r w:rsidR="00211BBC" w:rsidRPr="007037E7">
        <w:rPr>
          <w:rFonts w:cs="Times New Roman"/>
          <w:b w:val="0"/>
          <w:bCs w:val="0"/>
        </w:rPr>
        <w:t xml:space="preserve"> Active. FMC Corporation. Philadelphia, PA) alone and in mixtures. Applications made to a </w:t>
      </w:r>
      <w:r w:rsidR="00211BBC" w:rsidRPr="007037E7">
        <w:rPr>
          <w:rFonts w:cs="Times New Roman"/>
          <w:b w:val="0"/>
          <w:bCs w:val="0"/>
          <w:color w:val="000000" w:themeColor="text1"/>
        </w:rPr>
        <w:t>hybrid bermudagrass (</w:t>
      </w:r>
      <w:r w:rsidR="00211BBC" w:rsidRPr="007037E7">
        <w:rPr>
          <w:rFonts w:cs="Times New Roman"/>
          <w:b w:val="0"/>
          <w:bCs w:val="0"/>
          <w:i/>
          <w:iCs/>
          <w:color w:val="000000" w:themeColor="text1"/>
        </w:rPr>
        <w:t xml:space="preserve">C. dactylon </w:t>
      </w:r>
      <w:r w:rsidR="00211BBC" w:rsidRPr="007037E7">
        <w:rPr>
          <w:rFonts w:cs="Times New Roman"/>
          <w:b w:val="0"/>
          <w:bCs w:val="0"/>
          <w:color w:val="000000" w:themeColor="text1"/>
        </w:rPr>
        <w:t xml:space="preserve">x </w:t>
      </w:r>
      <w:r w:rsidR="00211BBC" w:rsidRPr="007037E7">
        <w:rPr>
          <w:rFonts w:cs="Times New Roman"/>
          <w:b w:val="0"/>
          <w:bCs w:val="0"/>
          <w:i/>
          <w:iCs/>
          <w:color w:val="000000" w:themeColor="text1"/>
        </w:rPr>
        <w:t>C. transvaalensis</w:t>
      </w:r>
      <w:r w:rsidR="00211BBC" w:rsidRPr="007037E7">
        <w:rPr>
          <w:rFonts w:cs="Times New Roman"/>
          <w:b w:val="0"/>
          <w:bCs w:val="0"/>
          <w:color w:val="000000" w:themeColor="text1"/>
        </w:rPr>
        <w:t xml:space="preserve">, cv. ’Tifway’) golf course fairway at Montgomery Bell State Park Golf Course (Burns, TN) infested with herbicide-resistant </w:t>
      </w:r>
      <w:r w:rsidR="00211BBC" w:rsidRPr="007037E7">
        <w:rPr>
          <w:rFonts w:cs="Times New Roman"/>
          <w:b w:val="0"/>
          <w:bCs w:val="0"/>
          <w:i/>
          <w:iCs/>
          <w:color w:val="000000" w:themeColor="text1"/>
        </w:rPr>
        <w:t>Poa annua</w:t>
      </w:r>
      <w:r w:rsidR="00211BBC" w:rsidRPr="007037E7">
        <w:rPr>
          <w:rFonts w:cs="Times New Roman"/>
          <w:b w:val="0"/>
          <w:bCs w:val="0"/>
        </w:rPr>
        <w:t>.</w:t>
      </w:r>
      <w:bookmarkEnd w:id="59"/>
      <w:bookmarkEnd w:id="60"/>
      <w:r w:rsidR="00211BBC" w:rsidRPr="0064799F">
        <w:rPr>
          <w:rFonts w:cs="Times New Roman"/>
        </w:rPr>
        <w:t xml:space="preserve"> </w:t>
      </w:r>
    </w:p>
    <w:tbl>
      <w:tblPr>
        <w:tblStyle w:val="TableGrid"/>
        <w:tblW w:w="5000" w:type="pct"/>
        <w:tblLook w:val="04A0" w:firstRow="1" w:lastRow="0" w:firstColumn="1" w:lastColumn="0" w:noHBand="0" w:noVBand="1"/>
      </w:tblPr>
      <w:tblGrid>
        <w:gridCol w:w="987"/>
        <w:gridCol w:w="4852"/>
        <w:gridCol w:w="1706"/>
        <w:gridCol w:w="1353"/>
        <w:gridCol w:w="1353"/>
        <w:gridCol w:w="1353"/>
        <w:gridCol w:w="1356"/>
      </w:tblGrid>
      <w:tr w:rsidR="00211BBC" w:rsidRPr="0064799F" w14:paraId="24AF84CB" w14:textId="77777777" w:rsidTr="00103CC5">
        <w:trPr>
          <w:trHeight w:val="346"/>
        </w:trPr>
        <w:tc>
          <w:tcPr>
            <w:tcW w:w="381" w:type="pct"/>
            <w:tcBorders>
              <w:top w:val="single" w:sz="4" w:space="0" w:color="auto"/>
              <w:left w:val="nil"/>
              <w:bottom w:val="nil"/>
              <w:right w:val="nil"/>
            </w:tcBorders>
          </w:tcPr>
          <w:p w14:paraId="02CC9E64" w14:textId="77777777" w:rsidR="00211BBC" w:rsidRPr="0064799F" w:rsidRDefault="00211BBC" w:rsidP="00103CC5">
            <w:pPr>
              <w:rPr>
                <w:rFonts w:cs="Times New Roman"/>
              </w:rPr>
            </w:pPr>
          </w:p>
        </w:tc>
        <w:tc>
          <w:tcPr>
            <w:tcW w:w="2530" w:type="pct"/>
            <w:gridSpan w:val="2"/>
            <w:tcBorders>
              <w:top w:val="single" w:sz="4" w:space="0" w:color="auto"/>
              <w:left w:val="nil"/>
              <w:bottom w:val="nil"/>
              <w:right w:val="nil"/>
            </w:tcBorders>
            <w:vAlign w:val="center"/>
          </w:tcPr>
          <w:p w14:paraId="7EE50D69" w14:textId="77777777" w:rsidR="00211BBC" w:rsidRPr="0064799F" w:rsidRDefault="00211BBC" w:rsidP="00103CC5">
            <w:pPr>
              <w:rPr>
                <w:rFonts w:cs="Times New Roman"/>
              </w:rPr>
            </w:pPr>
          </w:p>
        </w:tc>
        <w:tc>
          <w:tcPr>
            <w:tcW w:w="2089" w:type="pct"/>
            <w:gridSpan w:val="4"/>
            <w:tcBorders>
              <w:top w:val="single" w:sz="4" w:space="0" w:color="auto"/>
              <w:left w:val="nil"/>
              <w:bottom w:val="single" w:sz="4" w:space="0" w:color="auto"/>
              <w:right w:val="nil"/>
            </w:tcBorders>
          </w:tcPr>
          <w:p w14:paraId="34405FFF" w14:textId="77777777" w:rsidR="00211BBC" w:rsidRPr="0064799F" w:rsidRDefault="00211BBC" w:rsidP="00103CC5">
            <w:pPr>
              <w:jc w:val="center"/>
              <w:rPr>
                <w:rFonts w:cs="Times New Roman"/>
              </w:rPr>
            </w:pPr>
            <w:r w:rsidRPr="0064799F">
              <w:rPr>
                <w:rFonts w:cs="Times New Roman"/>
                <w:i/>
                <w:iCs/>
              </w:rPr>
              <w:t>Poa annua</w:t>
            </w:r>
            <w:r w:rsidRPr="0064799F">
              <w:rPr>
                <w:rFonts w:cs="Times New Roman"/>
              </w:rPr>
              <w:t xml:space="preserve"> control</w:t>
            </w:r>
          </w:p>
        </w:tc>
      </w:tr>
      <w:tr w:rsidR="00211BBC" w:rsidRPr="0064799F" w14:paraId="5195C6AF" w14:textId="77777777" w:rsidTr="00103CC5">
        <w:trPr>
          <w:trHeight w:val="346"/>
        </w:trPr>
        <w:tc>
          <w:tcPr>
            <w:tcW w:w="381" w:type="pct"/>
            <w:tcBorders>
              <w:top w:val="nil"/>
              <w:left w:val="nil"/>
              <w:bottom w:val="single" w:sz="4" w:space="0" w:color="auto"/>
              <w:right w:val="nil"/>
            </w:tcBorders>
            <w:vAlign w:val="center"/>
          </w:tcPr>
          <w:p w14:paraId="7C861A56" w14:textId="77777777" w:rsidR="00211BBC" w:rsidRPr="0064799F" w:rsidRDefault="00211BBC" w:rsidP="00103CC5">
            <w:pPr>
              <w:rPr>
                <w:rFonts w:cs="Times New Roman"/>
              </w:rPr>
            </w:pPr>
            <w:r w:rsidRPr="0064799F">
              <w:rPr>
                <w:rFonts w:cs="Times New Roman"/>
              </w:rPr>
              <w:t>Timing</w:t>
            </w:r>
          </w:p>
        </w:tc>
        <w:tc>
          <w:tcPr>
            <w:tcW w:w="1872" w:type="pct"/>
            <w:tcBorders>
              <w:top w:val="nil"/>
              <w:left w:val="nil"/>
              <w:bottom w:val="single" w:sz="4" w:space="0" w:color="auto"/>
              <w:right w:val="nil"/>
            </w:tcBorders>
            <w:vAlign w:val="center"/>
          </w:tcPr>
          <w:p w14:paraId="3FAD5718" w14:textId="77777777" w:rsidR="00211BBC" w:rsidRPr="0064799F" w:rsidRDefault="00211BBC" w:rsidP="00103CC5">
            <w:pPr>
              <w:rPr>
                <w:rFonts w:cs="Times New Roman"/>
              </w:rPr>
            </w:pPr>
            <w:r w:rsidRPr="0064799F">
              <w:rPr>
                <w:rFonts w:cs="Times New Roman"/>
              </w:rPr>
              <w:t>Herbicide</w:t>
            </w:r>
          </w:p>
        </w:tc>
        <w:tc>
          <w:tcPr>
            <w:tcW w:w="658" w:type="pct"/>
            <w:tcBorders>
              <w:top w:val="nil"/>
              <w:left w:val="nil"/>
              <w:bottom w:val="single" w:sz="4" w:space="0" w:color="auto"/>
              <w:right w:val="nil"/>
            </w:tcBorders>
            <w:vAlign w:val="center"/>
          </w:tcPr>
          <w:p w14:paraId="77F30550" w14:textId="77777777" w:rsidR="00211BBC" w:rsidRPr="0064799F" w:rsidRDefault="00211BBC" w:rsidP="00103CC5">
            <w:pPr>
              <w:jc w:val="center"/>
              <w:rPr>
                <w:rFonts w:cs="Times New Roman"/>
              </w:rPr>
            </w:pPr>
            <w:r w:rsidRPr="0064799F">
              <w:rPr>
                <w:rFonts w:cs="Times New Roman"/>
              </w:rPr>
              <w:t>Rate</w:t>
            </w:r>
          </w:p>
        </w:tc>
        <w:tc>
          <w:tcPr>
            <w:tcW w:w="522" w:type="pct"/>
            <w:tcBorders>
              <w:top w:val="single" w:sz="4" w:space="0" w:color="auto"/>
              <w:left w:val="nil"/>
              <w:bottom w:val="single" w:sz="4" w:space="0" w:color="auto"/>
              <w:right w:val="nil"/>
            </w:tcBorders>
            <w:vAlign w:val="center"/>
          </w:tcPr>
          <w:p w14:paraId="411FC6D9" w14:textId="77777777" w:rsidR="00211BBC" w:rsidRPr="0064799F" w:rsidRDefault="00211BBC" w:rsidP="00103CC5">
            <w:pPr>
              <w:jc w:val="center"/>
              <w:rPr>
                <w:rFonts w:cs="Times New Roman"/>
                <w:vertAlign w:val="superscript"/>
              </w:rPr>
            </w:pPr>
            <w:r w:rsidRPr="0064799F">
              <w:rPr>
                <w:rFonts w:cs="Times New Roman"/>
              </w:rPr>
              <w:t xml:space="preserve">11 </w:t>
            </w:r>
            <w:proofErr w:type="spellStart"/>
            <w:r w:rsidRPr="0064799F">
              <w:rPr>
                <w:rFonts w:cs="Times New Roman"/>
              </w:rPr>
              <w:t>WAIT</w:t>
            </w:r>
            <w:r w:rsidRPr="0064799F">
              <w:rPr>
                <w:rFonts w:cs="Times New Roman"/>
                <w:vertAlign w:val="superscript"/>
              </w:rPr>
              <w:t>z</w:t>
            </w:r>
            <w:proofErr w:type="spellEnd"/>
          </w:p>
        </w:tc>
        <w:tc>
          <w:tcPr>
            <w:tcW w:w="522" w:type="pct"/>
            <w:tcBorders>
              <w:top w:val="single" w:sz="4" w:space="0" w:color="auto"/>
              <w:left w:val="nil"/>
              <w:bottom w:val="single" w:sz="4" w:space="0" w:color="auto"/>
              <w:right w:val="nil"/>
            </w:tcBorders>
            <w:vAlign w:val="center"/>
          </w:tcPr>
          <w:p w14:paraId="7B1C452D" w14:textId="77777777" w:rsidR="00211BBC" w:rsidRPr="0064799F" w:rsidRDefault="00211BBC" w:rsidP="00103CC5">
            <w:pPr>
              <w:jc w:val="center"/>
              <w:rPr>
                <w:rFonts w:cs="Times New Roman"/>
              </w:rPr>
            </w:pPr>
            <w:r w:rsidRPr="0064799F">
              <w:rPr>
                <w:rFonts w:cs="Times New Roman"/>
              </w:rPr>
              <w:t xml:space="preserve">19 </w:t>
            </w:r>
            <w:proofErr w:type="gramStart"/>
            <w:r w:rsidRPr="0064799F">
              <w:rPr>
                <w:rFonts w:cs="Times New Roman"/>
              </w:rPr>
              <w:t>WAIT</w:t>
            </w:r>
            <w:proofErr w:type="gramEnd"/>
          </w:p>
        </w:tc>
        <w:tc>
          <w:tcPr>
            <w:tcW w:w="522" w:type="pct"/>
            <w:tcBorders>
              <w:top w:val="single" w:sz="4" w:space="0" w:color="auto"/>
              <w:left w:val="nil"/>
              <w:bottom w:val="single" w:sz="4" w:space="0" w:color="auto"/>
              <w:right w:val="nil"/>
            </w:tcBorders>
            <w:vAlign w:val="center"/>
          </w:tcPr>
          <w:p w14:paraId="0696C118" w14:textId="77777777" w:rsidR="00211BBC" w:rsidRPr="0064799F" w:rsidRDefault="00211BBC" w:rsidP="00103CC5">
            <w:pPr>
              <w:jc w:val="center"/>
              <w:rPr>
                <w:rFonts w:cs="Times New Roman"/>
              </w:rPr>
            </w:pPr>
            <w:r w:rsidRPr="0064799F">
              <w:rPr>
                <w:rFonts w:cs="Times New Roman"/>
              </w:rPr>
              <w:t xml:space="preserve">23 </w:t>
            </w:r>
            <w:proofErr w:type="gramStart"/>
            <w:r w:rsidRPr="0064799F">
              <w:rPr>
                <w:rFonts w:cs="Times New Roman"/>
              </w:rPr>
              <w:t>WAIT</w:t>
            </w:r>
            <w:proofErr w:type="gramEnd"/>
          </w:p>
        </w:tc>
        <w:tc>
          <w:tcPr>
            <w:tcW w:w="523" w:type="pct"/>
            <w:tcBorders>
              <w:top w:val="single" w:sz="4" w:space="0" w:color="auto"/>
              <w:left w:val="nil"/>
              <w:bottom w:val="single" w:sz="4" w:space="0" w:color="auto"/>
              <w:right w:val="nil"/>
            </w:tcBorders>
            <w:vAlign w:val="center"/>
          </w:tcPr>
          <w:p w14:paraId="607A5EDA" w14:textId="77777777" w:rsidR="00211BBC" w:rsidRPr="0064799F" w:rsidRDefault="00211BBC" w:rsidP="00103CC5">
            <w:pPr>
              <w:jc w:val="center"/>
              <w:rPr>
                <w:rFonts w:cs="Times New Roman"/>
              </w:rPr>
            </w:pPr>
            <w:r w:rsidRPr="0064799F">
              <w:rPr>
                <w:rFonts w:cs="Times New Roman"/>
              </w:rPr>
              <w:t xml:space="preserve">27 </w:t>
            </w:r>
            <w:proofErr w:type="gramStart"/>
            <w:r w:rsidRPr="0064799F">
              <w:rPr>
                <w:rFonts w:cs="Times New Roman"/>
              </w:rPr>
              <w:t>WAIT</w:t>
            </w:r>
            <w:proofErr w:type="gramEnd"/>
          </w:p>
        </w:tc>
      </w:tr>
      <w:tr w:rsidR="00211BBC" w:rsidRPr="0064799F" w14:paraId="330A58D1" w14:textId="77777777" w:rsidTr="00103CC5">
        <w:trPr>
          <w:trHeight w:val="346"/>
        </w:trPr>
        <w:tc>
          <w:tcPr>
            <w:tcW w:w="381" w:type="pct"/>
            <w:tcBorders>
              <w:top w:val="single" w:sz="4" w:space="0" w:color="auto"/>
              <w:left w:val="nil"/>
              <w:bottom w:val="nil"/>
              <w:right w:val="nil"/>
            </w:tcBorders>
            <w:vAlign w:val="center"/>
          </w:tcPr>
          <w:p w14:paraId="79F3FA38" w14:textId="77777777" w:rsidR="00211BBC" w:rsidRPr="0064799F" w:rsidRDefault="00211BBC" w:rsidP="00103CC5">
            <w:pPr>
              <w:rPr>
                <w:rFonts w:cs="Times New Roman"/>
              </w:rPr>
            </w:pPr>
          </w:p>
        </w:tc>
        <w:tc>
          <w:tcPr>
            <w:tcW w:w="1872" w:type="pct"/>
            <w:tcBorders>
              <w:top w:val="single" w:sz="4" w:space="0" w:color="auto"/>
              <w:left w:val="nil"/>
              <w:bottom w:val="nil"/>
              <w:right w:val="nil"/>
            </w:tcBorders>
            <w:vAlign w:val="center"/>
          </w:tcPr>
          <w:p w14:paraId="1FD31D99" w14:textId="77777777" w:rsidR="00211BBC" w:rsidRPr="0064799F" w:rsidRDefault="00211BBC" w:rsidP="00103CC5">
            <w:pPr>
              <w:rPr>
                <w:rFonts w:cs="Times New Roman"/>
              </w:rPr>
            </w:pPr>
          </w:p>
        </w:tc>
        <w:tc>
          <w:tcPr>
            <w:tcW w:w="658" w:type="pct"/>
            <w:tcBorders>
              <w:top w:val="single" w:sz="4" w:space="0" w:color="auto"/>
              <w:left w:val="nil"/>
              <w:bottom w:val="nil"/>
              <w:right w:val="nil"/>
            </w:tcBorders>
            <w:vAlign w:val="center"/>
          </w:tcPr>
          <w:p w14:paraId="0123359A" w14:textId="77777777" w:rsidR="00211BBC" w:rsidRPr="0064799F" w:rsidRDefault="00211BBC" w:rsidP="00103CC5">
            <w:pPr>
              <w:jc w:val="center"/>
              <w:rPr>
                <w:rFonts w:cs="Times New Roman"/>
              </w:rPr>
            </w:pPr>
            <w:r w:rsidRPr="0064799F">
              <w:rPr>
                <w:rFonts w:cs="Times New Roman"/>
              </w:rPr>
              <w:t>g ha</w:t>
            </w:r>
            <w:r w:rsidRPr="0064799F">
              <w:rPr>
                <w:rFonts w:cs="Times New Roman"/>
                <w:vertAlign w:val="superscript"/>
              </w:rPr>
              <w:t>-1</w:t>
            </w:r>
          </w:p>
        </w:tc>
        <w:tc>
          <w:tcPr>
            <w:tcW w:w="2089" w:type="pct"/>
            <w:gridSpan w:val="4"/>
            <w:tcBorders>
              <w:top w:val="single" w:sz="4" w:space="0" w:color="auto"/>
              <w:left w:val="nil"/>
              <w:bottom w:val="nil"/>
              <w:right w:val="nil"/>
            </w:tcBorders>
            <w:vAlign w:val="center"/>
          </w:tcPr>
          <w:p w14:paraId="3ECBFF35" w14:textId="77777777" w:rsidR="00211BBC" w:rsidRPr="0064799F" w:rsidRDefault="00211BBC" w:rsidP="00103CC5">
            <w:pPr>
              <w:jc w:val="center"/>
              <w:rPr>
                <w:rFonts w:cs="Times New Roman"/>
              </w:rPr>
            </w:pPr>
            <w:r w:rsidRPr="0064799F">
              <w:rPr>
                <w:rFonts w:cs="Times New Roman"/>
              </w:rPr>
              <w:t>------------------------------%------------------------------</w:t>
            </w:r>
          </w:p>
        </w:tc>
      </w:tr>
      <w:tr w:rsidR="00211BBC" w:rsidRPr="0064799F" w14:paraId="5825AC2B" w14:textId="77777777" w:rsidTr="00103CC5">
        <w:trPr>
          <w:trHeight w:val="346"/>
        </w:trPr>
        <w:tc>
          <w:tcPr>
            <w:tcW w:w="381" w:type="pct"/>
            <w:tcBorders>
              <w:top w:val="nil"/>
              <w:left w:val="nil"/>
              <w:bottom w:val="nil"/>
              <w:right w:val="nil"/>
            </w:tcBorders>
            <w:vAlign w:val="center"/>
          </w:tcPr>
          <w:p w14:paraId="2EFE1096" w14:textId="77777777" w:rsidR="00211BBC" w:rsidRPr="0064799F" w:rsidRDefault="00211BBC" w:rsidP="00103CC5">
            <w:pPr>
              <w:rPr>
                <w:rFonts w:cs="Times New Roman"/>
              </w:rPr>
            </w:pPr>
            <w:r w:rsidRPr="0064799F">
              <w:rPr>
                <w:rFonts w:cs="Times New Roman"/>
              </w:rPr>
              <w:t>PRE</w:t>
            </w:r>
          </w:p>
        </w:tc>
        <w:tc>
          <w:tcPr>
            <w:tcW w:w="1872" w:type="pct"/>
            <w:tcBorders>
              <w:top w:val="nil"/>
              <w:left w:val="nil"/>
              <w:bottom w:val="nil"/>
              <w:right w:val="nil"/>
            </w:tcBorders>
            <w:vAlign w:val="center"/>
          </w:tcPr>
          <w:p w14:paraId="63CF08FB" w14:textId="77777777" w:rsidR="00211BBC" w:rsidRPr="0064799F" w:rsidRDefault="00211BBC" w:rsidP="00103CC5">
            <w:pPr>
              <w:rPr>
                <w:rFonts w:cs="Times New Roman"/>
              </w:rPr>
            </w:pPr>
            <w:r w:rsidRPr="0064799F">
              <w:rPr>
                <w:rFonts w:cs="Times New Roman"/>
              </w:rPr>
              <w:t>Tetflupyrolimet</w:t>
            </w:r>
          </w:p>
        </w:tc>
        <w:tc>
          <w:tcPr>
            <w:tcW w:w="658" w:type="pct"/>
            <w:tcBorders>
              <w:top w:val="nil"/>
              <w:left w:val="nil"/>
              <w:bottom w:val="nil"/>
              <w:right w:val="nil"/>
            </w:tcBorders>
            <w:vAlign w:val="center"/>
          </w:tcPr>
          <w:p w14:paraId="189871C2" w14:textId="77777777" w:rsidR="00211BBC" w:rsidRPr="0064799F" w:rsidRDefault="00211BBC" w:rsidP="00103CC5">
            <w:pPr>
              <w:jc w:val="center"/>
              <w:rPr>
                <w:rFonts w:cs="Times New Roman"/>
              </w:rPr>
            </w:pPr>
            <w:r w:rsidRPr="0064799F">
              <w:rPr>
                <w:rFonts w:cs="Times New Roman"/>
              </w:rPr>
              <w:t>400</w:t>
            </w:r>
          </w:p>
        </w:tc>
        <w:tc>
          <w:tcPr>
            <w:tcW w:w="522" w:type="pct"/>
            <w:tcBorders>
              <w:top w:val="nil"/>
              <w:left w:val="nil"/>
              <w:bottom w:val="nil"/>
              <w:right w:val="nil"/>
            </w:tcBorders>
            <w:vAlign w:val="center"/>
          </w:tcPr>
          <w:p w14:paraId="2B50DA86" w14:textId="77777777" w:rsidR="00211BBC" w:rsidRPr="0064799F" w:rsidRDefault="00211BBC" w:rsidP="00103CC5">
            <w:pPr>
              <w:jc w:val="center"/>
              <w:rPr>
                <w:rFonts w:cs="Times New Roman"/>
              </w:rPr>
            </w:pPr>
            <w:r w:rsidRPr="0064799F">
              <w:rPr>
                <w:rFonts w:cs="Times New Roman"/>
              </w:rPr>
              <w:t>98</w:t>
            </w:r>
          </w:p>
        </w:tc>
        <w:tc>
          <w:tcPr>
            <w:tcW w:w="522" w:type="pct"/>
            <w:tcBorders>
              <w:top w:val="nil"/>
              <w:left w:val="nil"/>
              <w:bottom w:val="nil"/>
              <w:right w:val="nil"/>
            </w:tcBorders>
            <w:vAlign w:val="center"/>
          </w:tcPr>
          <w:p w14:paraId="57DBFF40" w14:textId="77777777" w:rsidR="00211BBC" w:rsidRPr="0064799F" w:rsidRDefault="00211BBC" w:rsidP="00103CC5">
            <w:pPr>
              <w:jc w:val="center"/>
              <w:rPr>
                <w:rFonts w:cs="Times New Roman"/>
              </w:rPr>
            </w:pPr>
            <w:r w:rsidRPr="0064799F">
              <w:rPr>
                <w:rFonts w:cs="Times New Roman"/>
              </w:rPr>
              <w:t>69</w:t>
            </w:r>
          </w:p>
        </w:tc>
        <w:tc>
          <w:tcPr>
            <w:tcW w:w="522" w:type="pct"/>
            <w:tcBorders>
              <w:top w:val="nil"/>
              <w:left w:val="nil"/>
              <w:bottom w:val="nil"/>
              <w:right w:val="nil"/>
            </w:tcBorders>
            <w:vAlign w:val="center"/>
          </w:tcPr>
          <w:p w14:paraId="2DDC1969" w14:textId="77777777" w:rsidR="00211BBC" w:rsidRPr="0064799F" w:rsidRDefault="00211BBC" w:rsidP="00103CC5">
            <w:pPr>
              <w:jc w:val="center"/>
              <w:rPr>
                <w:rFonts w:cs="Times New Roman"/>
              </w:rPr>
            </w:pPr>
            <w:r w:rsidRPr="0064799F">
              <w:rPr>
                <w:rFonts w:cs="Times New Roman"/>
              </w:rPr>
              <w:t>57</w:t>
            </w:r>
          </w:p>
        </w:tc>
        <w:tc>
          <w:tcPr>
            <w:tcW w:w="523" w:type="pct"/>
            <w:tcBorders>
              <w:top w:val="nil"/>
              <w:left w:val="nil"/>
              <w:bottom w:val="nil"/>
              <w:right w:val="nil"/>
            </w:tcBorders>
            <w:vAlign w:val="center"/>
          </w:tcPr>
          <w:p w14:paraId="6FC79ED8" w14:textId="77777777" w:rsidR="00211BBC" w:rsidRPr="0064799F" w:rsidRDefault="00211BBC" w:rsidP="00103CC5">
            <w:pPr>
              <w:jc w:val="center"/>
              <w:rPr>
                <w:rFonts w:cs="Times New Roman"/>
              </w:rPr>
            </w:pPr>
            <w:r w:rsidRPr="0064799F">
              <w:rPr>
                <w:rFonts w:cs="Times New Roman"/>
              </w:rPr>
              <w:t>40</w:t>
            </w:r>
          </w:p>
        </w:tc>
      </w:tr>
      <w:tr w:rsidR="00211BBC" w:rsidRPr="0064799F" w14:paraId="50DF0CC8" w14:textId="77777777" w:rsidTr="00103CC5">
        <w:trPr>
          <w:trHeight w:val="346"/>
        </w:trPr>
        <w:tc>
          <w:tcPr>
            <w:tcW w:w="381" w:type="pct"/>
            <w:tcBorders>
              <w:top w:val="nil"/>
              <w:left w:val="nil"/>
              <w:bottom w:val="nil"/>
              <w:right w:val="nil"/>
            </w:tcBorders>
            <w:vAlign w:val="center"/>
          </w:tcPr>
          <w:p w14:paraId="384AD672" w14:textId="77777777" w:rsidR="00211BBC" w:rsidRPr="0064799F" w:rsidRDefault="00211BBC" w:rsidP="00103CC5">
            <w:pPr>
              <w:rPr>
                <w:rFonts w:cs="Times New Roman"/>
              </w:rPr>
            </w:pPr>
          </w:p>
        </w:tc>
        <w:tc>
          <w:tcPr>
            <w:tcW w:w="1872" w:type="pct"/>
            <w:tcBorders>
              <w:top w:val="nil"/>
              <w:left w:val="nil"/>
              <w:bottom w:val="nil"/>
              <w:right w:val="nil"/>
            </w:tcBorders>
            <w:vAlign w:val="center"/>
          </w:tcPr>
          <w:p w14:paraId="2A11B1AD" w14:textId="77777777" w:rsidR="00211BBC" w:rsidRPr="0064799F" w:rsidRDefault="00211BBC" w:rsidP="00103CC5">
            <w:pPr>
              <w:rPr>
                <w:rFonts w:cs="Times New Roman"/>
              </w:rPr>
            </w:pPr>
            <w:proofErr w:type="spellStart"/>
            <w:r w:rsidRPr="0064799F">
              <w:rPr>
                <w:rFonts w:cs="Times New Roman"/>
              </w:rPr>
              <w:t>Pyroxasulfone</w:t>
            </w:r>
            <w:proofErr w:type="spellEnd"/>
          </w:p>
        </w:tc>
        <w:tc>
          <w:tcPr>
            <w:tcW w:w="658" w:type="pct"/>
            <w:tcBorders>
              <w:top w:val="nil"/>
              <w:left w:val="nil"/>
              <w:bottom w:val="nil"/>
              <w:right w:val="nil"/>
            </w:tcBorders>
            <w:vAlign w:val="center"/>
          </w:tcPr>
          <w:p w14:paraId="03DA00A9" w14:textId="77777777" w:rsidR="00211BBC" w:rsidRPr="0064799F" w:rsidRDefault="00211BBC" w:rsidP="00103CC5">
            <w:pPr>
              <w:jc w:val="center"/>
              <w:rPr>
                <w:rFonts w:cs="Times New Roman"/>
              </w:rPr>
            </w:pPr>
            <w:r w:rsidRPr="0064799F">
              <w:rPr>
                <w:rFonts w:cs="Times New Roman"/>
              </w:rPr>
              <w:t>128</w:t>
            </w:r>
          </w:p>
        </w:tc>
        <w:tc>
          <w:tcPr>
            <w:tcW w:w="522" w:type="pct"/>
            <w:tcBorders>
              <w:top w:val="nil"/>
              <w:left w:val="nil"/>
              <w:bottom w:val="nil"/>
              <w:right w:val="nil"/>
            </w:tcBorders>
            <w:vAlign w:val="center"/>
          </w:tcPr>
          <w:p w14:paraId="5D57F975" w14:textId="77777777" w:rsidR="00211BBC" w:rsidRPr="0064799F" w:rsidRDefault="00211BBC" w:rsidP="00103CC5">
            <w:pPr>
              <w:jc w:val="center"/>
              <w:rPr>
                <w:rFonts w:cs="Times New Roman"/>
              </w:rPr>
            </w:pPr>
            <w:r w:rsidRPr="0064799F">
              <w:rPr>
                <w:rFonts w:cs="Times New Roman"/>
              </w:rPr>
              <w:t>100</w:t>
            </w:r>
          </w:p>
        </w:tc>
        <w:tc>
          <w:tcPr>
            <w:tcW w:w="522" w:type="pct"/>
            <w:tcBorders>
              <w:top w:val="nil"/>
              <w:left w:val="nil"/>
              <w:bottom w:val="nil"/>
              <w:right w:val="nil"/>
            </w:tcBorders>
            <w:vAlign w:val="center"/>
          </w:tcPr>
          <w:p w14:paraId="1309E1D6" w14:textId="77777777" w:rsidR="00211BBC" w:rsidRPr="0064799F" w:rsidRDefault="00211BBC" w:rsidP="00103CC5">
            <w:pPr>
              <w:jc w:val="center"/>
              <w:rPr>
                <w:rFonts w:cs="Times New Roman"/>
              </w:rPr>
            </w:pPr>
            <w:r w:rsidRPr="0064799F">
              <w:rPr>
                <w:rFonts w:cs="Times New Roman"/>
              </w:rPr>
              <w:t>86</w:t>
            </w:r>
          </w:p>
        </w:tc>
        <w:tc>
          <w:tcPr>
            <w:tcW w:w="522" w:type="pct"/>
            <w:tcBorders>
              <w:top w:val="nil"/>
              <w:left w:val="nil"/>
              <w:bottom w:val="nil"/>
              <w:right w:val="nil"/>
            </w:tcBorders>
            <w:vAlign w:val="center"/>
          </w:tcPr>
          <w:p w14:paraId="7D298A88" w14:textId="77777777" w:rsidR="00211BBC" w:rsidRPr="0064799F" w:rsidRDefault="00211BBC" w:rsidP="00103CC5">
            <w:pPr>
              <w:jc w:val="center"/>
              <w:rPr>
                <w:rFonts w:cs="Times New Roman"/>
              </w:rPr>
            </w:pPr>
            <w:r w:rsidRPr="0064799F">
              <w:rPr>
                <w:rFonts w:cs="Times New Roman"/>
              </w:rPr>
              <w:t>68</w:t>
            </w:r>
          </w:p>
        </w:tc>
        <w:tc>
          <w:tcPr>
            <w:tcW w:w="523" w:type="pct"/>
            <w:tcBorders>
              <w:top w:val="nil"/>
              <w:left w:val="nil"/>
              <w:bottom w:val="nil"/>
              <w:right w:val="nil"/>
            </w:tcBorders>
            <w:vAlign w:val="center"/>
          </w:tcPr>
          <w:p w14:paraId="3DB481A9" w14:textId="77777777" w:rsidR="00211BBC" w:rsidRPr="0064799F" w:rsidRDefault="00211BBC" w:rsidP="00103CC5">
            <w:pPr>
              <w:jc w:val="center"/>
              <w:rPr>
                <w:rFonts w:cs="Times New Roman"/>
              </w:rPr>
            </w:pPr>
            <w:r w:rsidRPr="0064799F">
              <w:rPr>
                <w:rFonts w:cs="Times New Roman"/>
              </w:rPr>
              <w:t>57</w:t>
            </w:r>
          </w:p>
        </w:tc>
      </w:tr>
      <w:tr w:rsidR="00211BBC" w:rsidRPr="0064799F" w14:paraId="0A25594A" w14:textId="77777777" w:rsidTr="00103CC5">
        <w:trPr>
          <w:trHeight w:val="346"/>
        </w:trPr>
        <w:tc>
          <w:tcPr>
            <w:tcW w:w="381" w:type="pct"/>
            <w:tcBorders>
              <w:top w:val="nil"/>
              <w:left w:val="nil"/>
              <w:bottom w:val="nil"/>
              <w:right w:val="nil"/>
            </w:tcBorders>
            <w:vAlign w:val="center"/>
          </w:tcPr>
          <w:p w14:paraId="17FA2D13" w14:textId="77777777" w:rsidR="00211BBC" w:rsidRPr="0064799F" w:rsidRDefault="00211BBC" w:rsidP="00103CC5">
            <w:pPr>
              <w:rPr>
                <w:rFonts w:cs="Times New Roman"/>
              </w:rPr>
            </w:pPr>
          </w:p>
        </w:tc>
        <w:tc>
          <w:tcPr>
            <w:tcW w:w="1872" w:type="pct"/>
            <w:tcBorders>
              <w:top w:val="nil"/>
              <w:left w:val="nil"/>
              <w:bottom w:val="nil"/>
              <w:right w:val="nil"/>
            </w:tcBorders>
            <w:vAlign w:val="center"/>
          </w:tcPr>
          <w:p w14:paraId="739FF243" w14:textId="77777777" w:rsidR="00211BBC" w:rsidRPr="0064799F" w:rsidRDefault="00211BBC" w:rsidP="00103CC5">
            <w:pPr>
              <w:rPr>
                <w:rFonts w:cs="Times New Roman"/>
              </w:rPr>
            </w:pPr>
            <w:proofErr w:type="spellStart"/>
            <w:r w:rsidRPr="0064799F">
              <w:rPr>
                <w:rFonts w:cs="Times New Roman"/>
              </w:rPr>
              <w:t>Tetflupyrolimet</w:t>
            </w:r>
            <w:proofErr w:type="spellEnd"/>
            <w:r w:rsidRPr="0064799F">
              <w:rPr>
                <w:rFonts w:cs="Times New Roman"/>
              </w:rPr>
              <w:t xml:space="preserve"> + </w:t>
            </w:r>
            <w:proofErr w:type="spellStart"/>
            <w:r w:rsidRPr="0064799F">
              <w:rPr>
                <w:rFonts w:cs="Times New Roman"/>
              </w:rPr>
              <w:t>pyroxasulfone</w:t>
            </w:r>
            <w:proofErr w:type="spellEnd"/>
          </w:p>
        </w:tc>
        <w:tc>
          <w:tcPr>
            <w:tcW w:w="658" w:type="pct"/>
            <w:tcBorders>
              <w:top w:val="nil"/>
              <w:left w:val="nil"/>
              <w:bottom w:val="nil"/>
              <w:right w:val="nil"/>
            </w:tcBorders>
            <w:vAlign w:val="center"/>
          </w:tcPr>
          <w:p w14:paraId="5A1DF5AA" w14:textId="77777777" w:rsidR="00211BBC" w:rsidRPr="0064799F" w:rsidRDefault="00211BBC" w:rsidP="00103CC5">
            <w:pPr>
              <w:jc w:val="center"/>
              <w:rPr>
                <w:rFonts w:cs="Times New Roman"/>
              </w:rPr>
            </w:pPr>
            <w:r w:rsidRPr="0064799F">
              <w:rPr>
                <w:rFonts w:cs="Times New Roman"/>
              </w:rPr>
              <w:t>400 + 128</w:t>
            </w:r>
          </w:p>
        </w:tc>
        <w:tc>
          <w:tcPr>
            <w:tcW w:w="522" w:type="pct"/>
            <w:tcBorders>
              <w:top w:val="nil"/>
              <w:left w:val="nil"/>
              <w:bottom w:val="nil"/>
              <w:right w:val="nil"/>
            </w:tcBorders>
            <w:vAlign w:val="center"/>
          </w:tcPr>
          <w:p w14:paraId="4A66683A" w14:textId="77777777" w:rsidR="00211BBC" w:rsidRPr="0064799F" w:rsidRDefault="00211BBC" w:rsidP="00103CC5">
            <w:pPr>
              <w:jc w:val="center"/>
              <w:rPr>
                <w:rFonts w:cs="Times New Roman"/>
              </w:rPr>
            </w:pPr>
            <w:r w:rsidRPr="0064799F">
              <w:rPr>
                <w:rFonts w:cs="Times New Roman"/>
              </w:rPr>
              <w:t>99</w:t>
            </w:r>
          </w:p>
        </w:tc>
        <w:tc>
          <w:tcPr>
            <w:tcW w:w="522" w:type="pct"/>
            <w:tcBorders>
              <w:top w:val="nil"/>
              <w:left w:val="nil"/>
              <w:bottom w:val="nil"/>
              <w:right w:val="nil"/>
            </w:tcBorders>
            <w:vAlign w:val="center"/>
          </w:tcPr>
          <w:p w14:paraId="55B9615F" w14:textId="77777777" w:rsidR="00211BBC" w:rsidRPr="0064799F" w:rsidRDefault="00211BBC" w:rsidP="00103CC5">
            <w:pPr>
              <w:jc w:val="center"/>
              <w:rPr>
                <w:rFonts w:cs="Times New Roman"/>
              </w:rPr>
            </w:pPr>
            <w:r w:rsidRPr="0064799F">
              <w:rPr>
                <w:rFonts w:cs="Times New Roman"/>
              </w:rPr>
              <w:t>89</w:t>
            </w:r>
          </w:p>
        </w:tc>
        <w:tc>
          <w:tcPr>
            <w:tcW w:w="522" w:type="pct"/>
            <w:tcBorders>
              <w:top w:val="nil"/>
              <w:left w:val="nil"/>
              <w:bottom w:val="nil"/>
              <w:right w:val="nil"/>
            </w:tcBorders>
            <w:vAlign w:val="center"/>
          </w:tcPr>
          <w:p w14:paraId="43D94D5B" w14:textId="77777777" w:rsidR="00211BBC" w:rsidRPr="0064799F" w:rsidRDefault="00211BBC" w:rsidP="00103CC5">
            <w:pPr>
              <w:jc w:val="center"/>
              <w:rPr>
                <w:rFonts w:cs="Times New Roman"/>
              </w:rPr>
            </w:pPr>
            <w:r w:rsidRPr="0064799F">
              <w:rPr>
                <w:rFonts w:cs="Times New Roman"/>
              </w:rPr>
              <w:t>89</w:t>
            </w:r>
          </w:p>
        </w:tc>
        <w:tc>
          <w:tcPr>
            <w:tcW w:w="523" w:type="pct"/>
            <w:tcBorders>
              <w:top w:val="nil"/>
              <w:left w:val="nil"/>
              <w:bottom w:val="nil"/>
              <w:right w:val="nil"/>
            </w:tcBorders>
            <w:vAlign w:val="center"/>
          </w:tcPr>
          <w:p w14:paraId="02797FB8" w14:textId="77777777" w:rsidR="00211BBC" w:rsidRPr="0064799F" w:rsidRDefault="00211BBC" w:rsidP="00103CC5">
            <w:pPr>
              <w:jc w:val="center"/>
              <w:rPr>
                <w:rFonts w:cs="Times New Roman"/>
              </w:rPr>
            </w:pPr>
            <w:r w:rsidRPr="0064799F">
              <w:rPr>
                <w:rFonts w:cs="Times New Roman"/>
              </w:rPr>
              <w:t>68</w:t>
            </w:r>
          </w:p>
        </w:tc>
      </w:tr>
      <w:tr w:rsidR="00211BBC" w:rsidRPr="0064799F" w14:paraId="64436DEF" w14:textId="77777777" w:rsidTr="00103CC5">
        <w:trPr>
          <w:trHeight w:val="346"/>
        </w:trPr>
        <w:tc>
          <w:tcPr>
            <w:tcW w:w="381" w:type="pct"/>
            <w:tcBorders>
              <w:top w:val="nil"/>
              <w:left w:val="nil"/>
              <w:bottom w:val="nil"/>
              <w:right w:val="nil"/>
            </w:tcBorders>
            <w:vAlign w:val="center"/>
          </w:tcPr>
          <w:p w14:paraId="55DF1C23" w14:textId="77777777" w:rsidR="00211BBC" w:rsidRPr="0064799F" w:rsidRDefault="00211BBC" w:rsidP="00103CC5">
            <w:pPr>
              <w:rPr>
                <w:rFonts w:cs="Times New Roman"/>
              </w:rPr>
            </w:pPr>
          </w:p>
        </w:tc>
        <w:tc>
          <w:tcPr>
            <w:tcW w:w="1872" w:type="pct"/>
            <w:tcBorders>
              <w:top w:val="nil"/>
              <w:left w:val="nil"/>
              <w:bottom w:val="nil"/>
              <w:right w:val="nil"/>
            </w:tcBorders>
            <w:vAlign w:val="center"/>
          </w:tcPr>
          <w:p w14:paraId="6B475AA5" w14:textId="77777777" w:rsidR="00211BBC" w:rsidRPr="0064799F" w:rsidRDefault="00211BBC" w:rsidP="00103CC5">
            <w:pPr>
              <w:rPr>
                <w:rFonts w:cs="Times New Roman"/>
              </w:rPr>
            </w:pPr>
            <w:r w:rsidRPr="0064799F">
              <w:rPr>
                <w:rFonts w:cs="Times New Roman"/>
              </w:rPr>
              <w:t>Indaziflam</w:t>
            </w:r>
          </w:p>
        </w:tc>
        <w:tc>
          <w:tcPr>
            <w:tcW w:w="658" w:type="pct"/>
            <w:tcBorders>
              <w:top w:val="nil"/>
              <w:left w:val="nil"/>
              <w:bottom w:val="nil"/>
              <w:right w:val="nil"/>
            </w:tcBorders>
            <w:vAlign w:val="center"/>
          </w:tcPr>
          <w:p w14:paraId="2B6D6B19" w14:textId="77777777" w:rsidR="00211BBC" w:rsidRPr="0064799F" w:rsidRDefault="00211BBC" w:rsidP="00103CC5">
            <w:pPr>
              <w:jc w:val="center"/>
              <w:rPr>
                <w:rFonts w:cs="Times New Roman"/>
              </w:rPr>
            </w:pPr>
            <w:r w:rsidRPr="0064799F">
              <w:rPr>
                <w:rFonts w:cs="Times New Roman"/>
              </w:rPr>
              <w:t>45</w:t>
            </w:r>
          </w:p>
        </w:tc>
        <w:tc>
          <w:tcPr>
            <w:tcW w:w="522" w:type="pct"/>
            <w:tcBorders>
              <w:top w:val="nil"/>
              <w:left w:val="nil"/>
              <w:bottom w:val="nil"/>
              <w:right w:val="nil"/>
            </w:tcBorders>
            <w:vAlign w:val="center"/>
          </w:tcPr>
          <w:p w14:paraId="1FB25B00" w14:textId="77777777" w:rsidR="00211BBC" w:rsidRPr="0064799F" w:rsidRDefault="00211BBC" w:rsidP="00103CC5">
            <w:pPr>
              <w:jc w:val="center"/>
              <w:rPr>
                <w:rFonts w:cs="Times New Roman"/>
              </w:rPr>
            </w:pPr>
            <w:r w:rsidRPr="0064799F">
              <w:rPr>
                <w:rFonts w:cs="Times New Roman"/>
              </w:rPr>
              <w:t>89</w:t>
            </w:r>
          </w:p>
        </w:tc>
        <w:tc>
          <w:tcPr>
            <w:tcW w:w="522" w:type="pct"/>
            <w:tcBorders>
              <w:top w:val="nil"/>
              <w:left w:val="nil"/>
              <w:bottom w:val="nil"/>
              <w:right w:val="nil"/>
            </w:tcBorders>
            <w:vAlign w:val="center"/>
          </w:tcPr>
          <w:p w14:paraId="1859DC54" w14:textId="77777777" w:rsidR="00211BBC" w:rsidRPr="0064799F" w:rsidRDefault="00211BBC" w:rsidP="00103CC5">
            <w:pPr>
              <w:jc w:val="center"/>
              <w:rPr>
                <w:rFonts w:cs="Times New Roman"/>
              </w:rPr>
            </w:pPr>
            <w:r w:rsidRPr="0064799F">
              <w:rPr>
                <w:rFonts w:cs="Times New Roman"/>
              </w:rPr>
              <w:t>48</w:t>
            </w:r>
          </w:p>
        </w:tc>
        <w:tc>
          <w:tcPr>
            <w:tcW w:w="522" w:type="pct"/>
            <w:tcBorders>
              <w:top w:val="nil"/>
              <w:left w:val="nil"/>
              <w:bottom w:val="nil"/>
              <w:right w:val="nil"/>
            </w:tcBorders>
            <w:vAlign w:val="center"/>
          </w:tcPr>
          <w:p w14:paraId="4A664760" w14:textId="77777777" w:rsidR="00211BBC" w:rsidRPr="0064799F" w:rsidRDefault="00211BBC" w:rsidP="00103CC5">
            <w:pPr>
              <w:jc w:val="center"/>
              <w:rPr>
                <w:rFonts w:cs="Times New Roman"/>
              </w:rPr>
            </w:pPr>
            <w:r w:rsidRPr="0064799F">
              <w:rPr>
                <w:rFonts w:cs="Times New Roman"/>
              </w:rPr>
              <w:t>14</w:t>
            </w:r>
          </w:p>
        </w:tc>
        <w:tc>
          <w:tcPr>
            <w:tcW w:w="523" w:type="pct"/>
            <w:tcBorders>
              <w:top w:val="nil"/>
              <w:left w:val="nil"/>
              <w:bottom w:val="nil"/>
              <w:right w:val="nil"/>
            </w:tcBorders>
            <w:vAlign w:val="center"/>
          </w:tcPr>
          <w:p w14:paraId="50CD04F1" w14:textId="77777777" w:rsidR="00211BBC" w:rsidRPr="0064799F" w:rsidRDefault="00211BBC" w:rsidP="00103CC5">
            <w:pPr>
              <w:jc w:val="center"/>
              <w:rPr>
                <w:rFonts w:cs="Times New Roman"/>
              </w:rPr>
            </w:pPr>
            <w:r w:rsidRPr="0064799F">
              <w:rPr>
                <w:rFonts w:cs="Times New Roman"/>
              </w:rPr>
              <w:t>3</w:t>
            </w:r>
          </w:p>
        </w:tc>
      </w:tr>
      <w:tr w:rsidR="00211BBC" w:rsidRPr="0064799F" w14:paraId="0D283372" w14:textId="77777777" w:rsidTr="00103CC5">
        <w:trPr>
          <w:trHeight w:val="346"/>
        </w:trPr>
        <w:tc>
          <w:tcPr>
            <w:tcW w:w="381" w:type="pct"/>
            <w:tcBorders>
              <w:top w:val="nil"/>
              <w:left w:val="nil"/>
              <w:bottom w:val="nil"/>
              <w:right w:val="nil"/>
            </w:tcBorders>
            <w:vAlign w:val="center"/>
          </w:tcPr>
          <w:p w14:paraId="09DD689B" w14:textId="77777777" w:rsidR="00211BBC" w:rsidRPr="0064799F" w:rsidRDefault="00211BBC" w:rsidP="00103CC5">
            <w:pPr>
              <w:rPr>
                <w:rFonts w:cs="Times New Roman"/>
              </w:rPr>
            </w:pPr>
            <w:r w:rsidRPr="0064799F">
              <w:rPr>
                <w:rFonts w:cs="Times New Roman"/>
              </w:rPr>
              <w:t>EPOST</w:t>
            </w:r>
          </w:p>
        </w:tc>
        <w:tc>
          <w:tcPr>
            <w:tcW w:w="1872" w:type="pct"/>
            <w:tcBorders>
              <w:top w:val="nil"/>
              <w:left w:val="nil"/>
              <w:bottom w:val="nil"/>
              <w:right w:val="nil"/>
            </w:tcBorders>
            <w:vAlign w:val="center"/>
          </w:tcPr>
          <w:p w14:paraId="0E02C2AD" w14:textId="77777777" w:rsidR="00211BBC" w:rsidRPr="0064799F" w:rsidRDefault="00211BBC" w:rsidP="00103CC5">
            <w:pPr>
              <w:rPr>
                <w:rFonts w:cs="Times New Roman"/>
              </w:rPr>
            </w:pPr>
            <w:proofErr w:type="spellStart"/>
            <w:r w:rsidRPr="0064799F">
              <w:rPr>
                <w:rFonts w:cs="Times New Roman"/>
              </w:rPr>
              <w:t>Tetflupyrolimet</w:t>
            </w:r>
            <w:proofErr w:type="spellEnd"/>
            <w:r w:rsidRPr="0064799F">
              <w:rPr>
                <w:rFonts w:cs="Times New Roman"/>
              </w:rPr>
              <w:t xml:space="preserve"> + </w:t>
            </w:r>
            <w:proofErr w:type="spellStart"/>
            <w:r w:rsidRPr="0064799F">
              <w:rPr>
                <w:rFonts w:cs="Times New Roman"/>
              </w:rPr>
              <w:t>rimsulfuron</w:t>
            </w:r>
            <w:proofErr w:type="spellEnd"/>
          </w:p>
        </w:tc>
        <w:tc>
          <w:tcPr>
            <w:tcW w:w="658" w:type="pct"/>
            <w:tcBorders>
              <w:top w:val="nil"/>
              <w:left w:val="nil"/>
              <w:bottom w:val="nil"/>
              <w:right w:val="nil"/>
            </w:tcBorders>
            <w:vAlign w:val="center"/>
          </w:tcPr>
          <w:p w14:paraId="1AF31B73" w14:textId="77777777" w:rsidR="00211BBC" w:rsidRPr="0064799F" w:rsidRDefault="00211BBC" w:rsidP="00103CC5">
            <w:pPr>
              <w:jc w:val="center"/>
              <w:rPr>
                <w:rFonts w:cs="Times New Roman"/>
              </w:rPr>
            </w:pPr>
            <w:r w:rsidRPr="0064799F">
              <w:rPr>
                <w:rFonts w:cs="Times New Roman"/>
              </w:rPr>
              <w:t>400 + 35</w:t>
            </w:r>
          </w:p>
        </w:tc>
        <w:tc>
          <w:tcPr>
            <w:tcW w:w="522" w:type="pct"/>
            <w:tcBorders>
              <w:top w:val="nil"/>
              <w:left w:val="nil"/>
              <w:bottom w:val="nil"/>
              <w:right w:val="nil"/>
            </w:tcBorders>
            <w:vAlign w:val="center"/>
          </w:tcPr>
          <w:p w14:paraId="7B70D1E2" w14:textId="77777777" w:rsidR="00211BBC" w:rsidRPr="0064799F" w:rsidRDefault="00211BBC" w:rsidP="00103CC5">
            <w:pPr>
              <w:jc w:val="center"/>
              <w:rPr>
                <w:rFonts w:cs="Times New Roman"/>
              </w:rPr>
            </w:pPr>
            <w:r w:rsidRPr="0064799F">
              <w:rPr>
                <w:rFonts w:cs="Times New Roman"/>
              </w:rPr>
              <w:t>100</w:t>
            </w:r>
          </w:p>
        </w:tc>
        <w:tc>
          <w:tcPr>
            <w:tcW w:w="522" w:type="pct"/>
            <w:tcBorders>
              <w:top w:val="nil"/>
              <w:left w:val="nil"/>
              <w:bottom w:val="nil"/>
              <w:right w:val="nil"/>
            </w:tcBorders>
            <w:vAlign w:val="center"/>
          </w:tcPr>
          <w:p w14:paraId="3230B367" w14:textId="77777777" w:rsidR="00211BBC" w:rsidRPr="0064799F" w:rsidRDefault="00211BBC" w:rsidP="00103CC5">
            <w:pPr>
              <w:jc w:val="center"/>
              <w:rPr>
                <w:rFonts w:cs="Times New Roman"/>
              </w:rPr>
            </w:pPr>
            <w:r w:rsidRPr="0064799F">
              <w:rPr>
                <w:rFonts w:cs="Times New Roman"/>
              </w:rPr>
              <w:t>87</w:t>
            </w:r>
          </w:p>
        </w:tc>
        <w:tc>
          <w:tcPr>
            <w:tcW w:w="522" w:type="pct"/>
            <w:tcBorders>
              <w:top w:val="nil"/>
              <w:left w:val="nil"/>
              <w:bottom w:val="nil"/>
              <w:right w:val="nil"/>
            </w:tcBorders>
            <w:vAlign w:val="center"/>
          </w:tcPr>
          <w:p w14:paraId="115F4A44" w14:textId="77777777" w:rsidR="00211BBC" w:rsidRPr="0064799F" w:rsidRDefault="00211BBC" w:rsidP="00103CC5">
            <w:pPr>
              <w:jc w:val="center"/>
              <w:rPr>
                <w:rFonts w:cs="Times New Roman"/>
              </w:rPr>
            </w:pPr>
            <w:r w:rsidRPr="0064799F">
              <w:rPr>
                <w:rFonts w:cs="Times New Roman"/>
              </w:rPr>
              <w:t>89</w:t>
            </w:r>
          </w:p>
        </w:tc>
        <w:tc>
          <w:tcPr>
            <w:tcW w:w="523" w:type="pct"/>
            <w:tcBorders>
              <w:top w:val="nil"/>
              <w:left w:val="nil"/>
              <w:bottom w:val="nil"/>
              <w:right w:val="nil"/>
            </w:tcBorders>
            <w:vAlign w:val="center"/>
          </w:tcPr>
          <w:p w14:paraId="0FB0CFFF" w14:textId="77777777" w:rsidR="00211BBC" w:rsidRPr="0064799F" w:rsidRDefault="00211BBC" w:rsidP="00103CC5">
            <w:pPr>
              <w:jc w:val="center"/>
              <w:rPr>
                <w:rFonts w:cs="Times New Roman"/>
              </w:rPr>
            </w:pPr>
            <w:r w:rsidRPr="0064799F">
              <w:rPr>
                <w:rFonts w:cs="Times New Roman"/>
              </w:rPr>
              <w:t>71</w:t>
            </w:r>
          </w:p>
        </w:tc>
      </w:tr>
      <w:tr w:rsidR="00211BBC" w:rsidRPr="0064799F" w14:paraId="0B10EB4A" w14:textId="77777777" w:rsidTr="00103CC5">
        <w:trPr>
          <w:trHeight w:val="346"/>
        </w:trPr>
        <w:tc>
          <w:tcPr>
            <w:tcW w:w="381" w:type="pct"/>
            <w:tcBorders>
              <w:top w:val="nil"/>
              <w:left w:val="nil"/>
              <w:bottom w:val="nil"/>
              <w:right w:val="nil"/>
            </w:tcBorders>
            <w:vAlign w:val="center"/>
          </w:tcPr>
          <w:p w14:paraId="5A4A4CAB" w14:textId="77777777" w:rsidR="00211BBC" w:rsidRPr="0064799F" w:rsidRDefault="00211BBC" w:rsidP="00103CC5">
            <w:pPr>
              <w:rPr>
                <w:rFonts w:cs="Times New Roman"/>
              </w:rPr>
            </w:pPr>
          </w:p>
        </w:tc>
        <w:tc>
          <w:tcPr>
            <w:tcW w:w="1872" w:type="pct"/>
            <w:tcBorders>
              <w:top w:val="nil"/>
              <w:left w:val="nil"/>
              <w:bottom w:val="nil"/>
              <w:right w:val="nil"/>
            </w:tcBorders>
            <w:vAlign w:val="center"/>
          </w:tcPr>
          <w:p w14:paraId="6F6C150F" w14:textId="77777777" w:rsidR="00211BBC" w:rsidRPr="0064799F" w:rsidRDefault="00211BBC" w:rsidP="00103CC5">
            <w:pPr>
              <w:rPr>
                <w:rFonts w:cs="Times New Roman"/>
              </w:rPr>
            </w:pPr>
            <w:proofErr w:type="spellStart"/>
            <w:r w:rsidRPr="0064799F">
              <w:rPr>
                <w:rFonts w:cs="Times New Roman"/>
              </w:rPr>
              <w:t>Tetflupyrolimet</w:t>
            </w:r>
            <w:proofErr w:type="spellEnd"/>
            <w:r w:rsidRPr="0064799F">
              <w:rPr>
                <w:rFonts w:cs="Times New Roman"/>
              </w:rPr>
              <w:t xml:space="preserve"> + </w:t>
            </w:r>
            <w:proofErr w:type="spellStart"/>
            <w:r w:rsidRPr="0064799F">
              <w:rPr>
                <w:rFonts w:cs="Times New Roman"/>
              </w:rPr>
              <w:t>pyroxasulfone</w:t>
            </w:r>
            <w:proofErr w:type="spellEnd"/>
            <w:r w:rsidRPr="0064799F">
              <w:rPr>
                <w:rFonts w:cs="Times New Roman"/>
              </w:rPr>
              <w:t xml:space="preserve"> + </w:t>
            </w:r>
            <w:proofErr w:type="spellStart"/>
            <w:r w:rsidRPr="0064799F">
              <w:rPr>
                <w:rFonts w:cs="Times New Roman"/>
              </w:rPr>
              <w:t>rimsulfuron</w:t>
            </w:r>
            <w:proofErr w:type="spellEnd"/>
          </w:p>
        </w:tc>
        <w:tc>
          <w:tcPr>
            <w:tcW w:w="658" w:type="pct"/>
            <w:tcBorders>
              <w:top w:val="nil"/>
              <w:left w:val="nil"/>
              <w:bottom w:val="nil"/>
              <w:right w:val="nil"/>
            </w:tcBorders>
            <w:vAlign w:val="center"/>
          </w:tcPr>
          <w:p w14:paraId="2070D198" w14:textId="77777777" w:rsidR="00211BBC" w:rsidRPr="0064799F" w:rsidRDefault="00211BBC" w:rsidP="00103CC5">
            <w:pPr>
              <w:jc w:val="center"/>
              <w:rPr>
                <w:rFonts w:cs="Times New Roman"/>
              </w:rPr>
            </w:pPr>
            <w:r w:rsidRPr="0064799F">
              <w:rPr>
                <w:rFonts w:cs="Times New Roman"/>
              </w:rPr>
              <w:t>400 + 128 + 35</w:t>
            </w:r>
          </w:p>
        </w:tc>
        <w:tc>
          <w:tcPr>
            <w:tcW w:w="522" w:type="pct"/>
            <w:tcBorders>
              <w:top w:val="nil"/>
              <w:left w:val="nil"/>
              <w:bottom w:val="nil"/>
              <w:right w:val="nil"/>
            </w:tcBorders>
            <w:vAlign w:val="center"/>
          </w:tcPr>
          <w:p w14:paraId="23257256" w14:textId="77777777" w:rsidR="00211BBC" w:rsidRPr="0064799F" w:rsidRDefault="00211BBC" w:rsidP="00103CC5">
            <w:pPr>
              <w:jc w:val="center"/>
              <w:rPr>
                <w:rFonts w:cs="Times New Roman"/>
              </w:rPr>
            </w:pPr>
            <w:r w:rsidRPr="0064799F">
              <w:rPr>
                <w:rFonts w:cs="Times New Roman"/>
              </w:rPr>
              <w:t>99</w:t>
            </w:r>
          </w:p>
        </w:tc>
        <w:tc>
          <w:tcPr>
            <w:tcW w:w="522" w:type="pct"/>
            <w:tcBorders>
              <w:top w:val="nil"/>
              <w:left w:val="nil"/>
              <w:bottom w:val="nil"/>
              <w:right w:val="nil"/>
            </w:tcBorders>
            <w:vAlign w:val="center"/>
          </w:tcPr>
          <w:p w14:paraId="6EA016F8" w14:textId="77777777" w:rsidR="00211BBC" w:rsidRPr="0064799F" w:rsidRDefault="00211BBC" w:rsidP="00103CC5">
            <w:pPr>
              <w:jc w:val="center"/>
              <w:rPr>
                <w:rFonts w:cs="Times New Roman"/>
              </w:rPr>
            </w:pPr>
            <w:r w:rsidRPr="0064799F">
              <w:rPr>
                <w:rFonts w:cs="Times New Roman"/>
              </w:rPr>
              <w:t>94</w:t>
            </w:r>
          </w:p>
        </w:tc>
        <w:tc>
          <w:tcPr>
            <w:tcW w:w="522" w:type="pct"/>
            <w:tcBorders>
              <w:top w:val="nil"/>
              <w:left w:val="nil"/>
              <w:bottom w:val="nil"/>
              <w:right w:val="nil"/>
            </w:tcBorders>
            <w:vAlign w:val="center"/>
          </w:tcPr>
          <w:p w14:paraId="0E9E1E1C" w14:textId="77777777" w:rsidR="00211BBC" w:rsidRPr="0064799F" w:rsidRDefault="00211BBC" w:rsidP="00103CC5">
            <w:pPr>
              <w:jc w:val="center"/>
              <w:rPr>
                <w:rFonts w:cs="Times New Roman"/>
              </w:rPr>
            </w:pPr>
            <w:r w:rsidRPr="0064799F">
              <w:rPr>
                <w:rFonts w:cs="Times New Roman"/>
              </w:rPr>
              <w:t>95</w:t>
            </w:r>
          </w:p>
        </w:tc>
        <w:tc>
          <w:tcPr>
            <w:tcW w:w="523" w:type="pct"/>
            <w:tcBorders>
              <w:top w:val="nil"/>
              <w:left w:val="nil"/>
              <w:bottom w:val="nil"/>
              <w:right w:val="nil"/>
            </w:tcBorders>
            <w:vAlign w:val="center"/>
          </w:tcPr>
          <w:p w14:paraId="62F5CEF1" w14:textId="77777777" w:rsidR="00211BBC" w:rsidRPr="0064799F" w:rsidRDefault="00211BBC" w:rsidP="00103CC5">
            <w:pPr>
              <w:jc w:val="center"/>
              <w:rPr>
                <w:rFonts w:cs="Times New Roman"/>
              </w:rPr>
            </w:pPr>
            <w:r w:rsidRPr="0064799F">
              <w:rPr>
                <w:rFonts w:cs="Times New Roman"/>
              </w:rPr>
              <w:t>83</w:t>
            </w:r>
          </w:p>
        </w:tc>
      </w:tr>
      <w:tr w:rsidR="00211BBC" w:rsidRPr="0064799F" w14:paraId="14175105" w14:textId="77777777" w:rsidTr="00103CC5">
        <w:trPr>
          <w:trHeight w:val="346"/>
        </w:trPr>
        <w:tc>
          <w:tcPr>
            <w:tcW w:w="381" w:type="pct"/>
            <w:tcBorders>
              <w:top w:val="nil"/>
              <w:left w:val="nil"/>
              <w:bottom w:val="nil"/>
              <w:right w:val="nil"/>
            </w:tcBorders>
            <w:vAlign w:val="center"/>
          </w:tcPr>
          <w:p w14:paraId="231F3367" w14:textId="77777777" w:rsidR="00211BBC" w:rsidRPr="0064799F" w:rsidRDefault="00211BBC" w:rsidP="00103CC5">
            <w:pPr>
              <w:rPr>
                <w:rFonts w:cs="Times New Roman"/>
              </w:rPr>
            </w:pPr>
          </w:p>
        </w:tc>
        <w:tc>
          <w:tcPr>
            <w:tcW w:w="1872" w:type="pct"/>
            <w:tcBorders>
              <w:top w:val="nil"/>
              <w:left w:val="nil"/>
              <w:bottom w:val="nil"/>
              <w:right w:val="nil"/>
            </w:tcBorders>
            <w:vAlign w:val="center"/>
          </w:tcPr>
          <w:p w14:paraId="7F03AEC3" w14:textId="77777777" w:rsidR="00211BBC" w:rsidRPr="0064799F" w:rsidRDefault="00211BBC" w:rsidP="00103CC5">
            <w:pPr>
              <w:rPr>
                <w:rFonts w:cs="Times New Roman"/>
              </w:rPr>
            </w:pPr>
            <w:r w:rsidRPr="0064799F">
              <w:rPr>
                <w:rFonts w:cs="Times New Roman"/>
              </w:rPr>
              <w:t>Tribute</w:t>
            </w:r>
            <w:r w:rsidRPr="0064799F">
              <w:rPr>
                <w:rFonts w:cs="Times New Roman"/>
                <w:vertAlign w:val="superscript"/>
              </w:rPr>
              <w:t>®</w:t>
            </w:r>
            <w:r w:rsidRPr="0064799F">
              <w:rPr>
                <w:rFonts w:cs="Times New Roman"/>
              </w:rPr>
              <w:t xml:space="preserve"> Total + simazine + </w:t>
            </w:r>
            <w:proofErr w:type="spellStart"/>
            <w:r w:rsidRPr="0064799F">
              <w:rPr>
                <w:rFonts w:cs="Times New Roman"/>
              </w:rPr>
              <w:t>indazflam</w:t>
            </w:r>
            <w:proofErr w:type="spellEnd"/>
          </w:p>
        </w:tc>
        <w:tc>
          <w:tcPr>
            <w:tcW w:w="658" w:type="pct"/>
            <w:tcBorders>
              <w:top w:val="nil"/>
              <w:left w:val="nil"/>
              <w:bottom w:val="nil"/>
              <w:right w:val="nil"/>
            </w:tcBorders>
            <w:vAlign w:val="center"/>
          </w:tcPr>
          <w:p w14:paraId="4B545F75" w14:textId="77777777" w:rsidR="00211BBC" w:rsidRPr="0064799F" w:rsidRDefault="00211BBC" w:rsidP="00103CC5">
            <w:pPr>
              <w:jc w:val="center"/>
              <w:rPr>
                <w:rFonts w:cs="Times New Roman"/>
              </w:rPr>
            </w:pPr>
            <w:r w:rsidRPr="0064799F">
              <w:rPr>
                <w:rFonts w:cs="Times New Roman"/>
              </w:rPr>
              <w:t>42 + 1120 + 26</w:t>
            </w:r>
          </w:p>
        </w:tc>
        <w:tc>
          <w:tcPr>
            <w:tcW w:w="522" w:type="pct"/>
            <w:tcBorders>
              <w:top w:val="nil"/>
              <w:left w:val="nil"/>
              <w:bottom w:val="nil"/>
              <w:right w:val="nil"/>
            </w:tcBorders>
            <w:vAlign w:val="center"/>
          </w:tcPr>
          <w:p w14:paraId="7EDEE5A4" w14:textId="77777777" w:rsidR="00211BBC" w:rsidRPr="0064799F" w:rsidRDefault="00211BBC" w:rsidP="00103CC5">
            <w:pPr>
              <w:jc w:val="center"/>
              <w:rPr>
                <w:rFonts w:cs="Times New Roman"/>
              </w:rPr>
            </w:pPr>
            <w:r w:rsidRPr="0064799F">
              <w:rPr>
                <w:rFonts w:cs="Times New Roman"/>
              </w:rPr>
              <w:t>100</w:t>
            </w:r>
          </w:p>
        </w:tc>
        <w:tc>
          <w:tcPr>
            <w:tcW w:w="522" w:type="pct"/>
            <w:tcBorders>
              <w:top w:val="nil"/>
              <w:left w:val="nil"/>
              <w:bottom w:val="nil"/>
              <w:right w:val="nil"/>
            </w:tcBorders>
            <w:vAlign w:val="center"/>
          </w:tcPr>
          <w:p w14:paraId="481CB220" w14:textId="77777777" w:rsidR="00211BBC" w:rsidRPr="0064799F" w:rsidRDefault="00211BBC" w:rsidP="00103CC5">
            <w:pPr>
              <w:jc w:val="center"/>
              <w:rPr>
                <w:rFonts w:cs="Times New Roman"/>
              </w:rPr>
            </w:pPr>
            <w:r w:rsidRPr="0064799F">
              <w:rPr>
                <w:rFonts w:cs="Times New Roman"/>
              </w:rPr>
              <w:t>88</w:t>
            </w:r>
          </w:p>
        </w:tc>
        <w:tc>
          <w:tcPr>
            <w:tcW w:w="522" w:type="pct"/>
            <w:tcBorders>
              <w:top w:val="nil"/>
              <w:left w:val="nil"/>
              <w:bottom w:val="nil"/>
              <w:right w:val="nil"/>
            </w:tcBorders>
            <w:vAlign w:val="center"/>
          </w:tcPr>
          <w:p w14:paraId="0FEA3E89" w14:textId="77777777" w:rsidR="00211BBC" w:rsidRPr="0064799F" w:rsidRDefault="00211BBC" w:rsidP="00103CC5">
            <w:pPr>
              <w:jc w:val="center"/>
              <w:rPr>
                <w:rFonts w:cs="Times New Roman"/>
              </w:rPr>
            </w:pPr>
            <w:r w:rsidRPr="0064799F">
              <w:rPr>
                <w:rFonts w:cs="Times New Roman"/>
              </w:rPr>
              <w:t>88</w:t>
            </w:r>
          </w:p>
        </w:tc>
        <w:tc>
          <w:tcPr>
            <w:tcW w:w="523" w:type="pct"/>
            <w:tcBorders>
              <w:top w:val="nil"/>
              <w:left w:val="nil"/>
              <w:bottom w:val="nil"/>
              <w:right w:val="nil"/>
            </w:tcBorders>
            <w:vAlign w:val="center"/>
          </w:tcPr>
          <w:p w14:paraId="286DB722" w14:textId="77777777" w:rsidR="00211BBC" w:rsidRPr="0064799F" w:rsidRDefault="00211BBC" w:rsidP="00103CC5">
            <w:pPr>
              <w:jc w:val="center"/>
              <w:rPr>
                <w:rFonts w:cs="Times New Roman"/>
              </w:rPr>
            </w:pPr>
            <w:r w:rsidRPr="0064799F">
              <w:rPr>
                <w:rFonts w:cs="Times New Roman"/>
              </w:rPr>
              <w:t>66</w:t>
            </w:r>
          </w:p>
        </w:tc>
      </w:tr>
      <w:tr w:rsidR="00211BBC" w:rsidRPr="0064799F" w14:paraId="5B4EB03A" w14:textId="77777777" w:rsidTr="00103CC5">
        <w:trPr>
          <w:trHeight w:val="346"/>
        </w:trPr>
        <w:tc>
          <w:tcPr>
            <w:tcW w:w="381" w:type="pct"/>
            <w:tcBorders>
              <w:top w:val="nil"/>
              <w:left w:val="nil"/>
              <w:bottom w:val="nil"/>
              <w:right w:val="nil"/>
            </w:tcBorders>
            <w:vAlign w:val="center"/>
          </w:tcPr>
          <w:p w14:paraId="5D8BF319" w14:textId="77777777" w:rsidR="00211BBC" w:rsidRPr="0064799F" w:rsidRDefault="00211BBC" w:rsidP="00103CC5">
            <w:pPr>
              <w:rPr>
                <w:rFonts w:cs="Times New Roman"/>
              </w:rPr>
            </w:pPr>
          </w:p>
        </w:tc>
        <w:tc>
          <w:tcPr>
            <w:tcW w:w="2530" w:type="pct"/>
            <w:gridSpan w:val="2"/>
            <w:tcBorders>
              <w:top w:val="nil"/>
              <w:left w:val="nil"/>
              <w:bottom w:val="nil"/>
              <w:right w:val="nil"/>
            </w:tcBorders>
            <w:vAlign w:val="center"/>
          </w:tcPr>
          <w:p w14:paraId="5CF9EE75" w14:textId="77777777" w:rsidR="00211BBC" w:rsidRPr="0064799F" w:rsidRDefault="00211BBC" w:rsidP="00103CC5">
            <w:pPr>
              <w:rPr>
                <w:rFonts w:cs="Times New Roman"/>
              </w:rPr>
            </w:pPr>
            <w:r w:rsidRPr="0064799F">
              <w:rPr>
                <w:rFonts w:cs="Times New Roman"/>
              </w:rPr>
              <w:t>P &gt; F</w:t>
            </w:r>
          </w:p>
        </w:tc>
        <w:tc>
          <w:tcPr>
            <w:tcW w:w="522" w:type="pct"/>
            <w:tcBorders>
              <w:top w:val="nil"/>
              <w:left w:val="nil"/>
              <w:bottom w:val="nil"/>
              <w:right w:val="nil"/>
            </w:tcBorders>
            <w:vAlign w:val="center"/>
          </w:tcPr>
          <w:p w14:paraId="7B3DD950" w14:textId="77777777" w:rsidR="00211BBC" w:rsidRPr="00F91C54" w:rsidRDefault="00211BBC" w:rsidP="00103CC5">
            <w:pPr>
              <w:jc w:val="center"/>
              <w:rPr>
                <w:rFonts w:cs="Times New Roman"/>
                <w:vertAlign w:val="superscript"/>
              </w:rPr>
            </w:pPr>
            <w:r w:rsidRPr="0064799F">
              <w:rPr>
                <w:rFonts w:cs="Times New Roman"/>
              </w:rPr>
              <w:t>***</w:t>
            </w:r>
            <w:r>
              <w:rPr>
                <w:rFonts w:cs="Times New Roman"/>
                <w:vertAlign w:val="superscript"/>
              </w:rPr>
              <w:t>x</w:t>
            </w:r>
          </w:p>
        </w:tc>
        <w:tc>
          <w:tcPr>
            <w:tcW w:w="522" w:type="pct"/>
            <w:tcBorders>
              <w:top w:val="nil"/>
              <w:left w:val="nil"/>
              <w:bottom w:val="nil"/>
              <w:right w:val="nil"/>
            </w:tcBorders>
            <w:vAlign w:val="center"/>
          </w:tcPr>
          <w:p w14:paraId="0EC6D7F6" w14:textId="77777777" w:rsidR="00211BBC" w:rsidRPr="0064799F" w:rsidRDefault="00211BBC" w:rsidP="00103CC5">
            <w:pPr>
              <w:jc w:val="center"/>
              <w:rPr>
                <w:rFonts w:cs="Times New Roman"/>
              </w:rPr>
            </w:pPr>
            <w:r w:rsidRPr="0064799F">
              <w:rPr>
                <w:rFonts w:cs="Times New Roman"/>
              </w:rPr>
              <w:t>***</w:t>
            </w:r>
          </w:p>
        </w:tc>
        <w:tc>
          <w:tcPr>
            <w:tcW w:w="522" w:type="pct"/>
            <w:tcBorders>
              <w:top w:val="nil"/>
              <w:left w:val="nil"/>
              <w:bottom w:val="nil"/>
              <w:right w:val="nil"/>
            </w:tcBorders>
            <w:vAlign w:val="center"/>
          </w:tcPr>
          <w:p w14:paraId="7D57C29E" w14:textId="77777777" w:rsidR="00211BBC" w:rsidRPr="0064799F" w:rsidRDefault="00211BBC" w:rsidP="00103CC5">
            <w:pPr>
              <w:jc w:val="center"/>
              <w:rPr>
                <w:rFonts w:cs="Times New Roman"/>
              </w:rPr>
            </w:pPr>
            <w:r w:rsidRPr="0064799F">
              <w:rPr>
                <w:rFonts w:cs="Times New Roman"/>
              </w:rPr>
              <w:t>***</w:t>
            </w:r>
          </w:p>
        </w:tc>
        <w:tc>
          <w:tcPr>
            <w:tcW w:w="523" w:type="pct"/>
            <w:tcBorders>
              <w:top w:val="nil"/>
              <w:left w:val="nil"/>
              <w:bottom w:val="nil"/>
              <w:right w:val="nil"/>
            </w:tcBorders>
            <w:vAlign w:val="center"/>
          </w:tcPr>
          <w:p w14:paraId="2AD227D4" w14:textId="77777777" w:rsidR="00211BBC" w:rsidRPr="0064799F" w:rsidRDefault="00211BBC" w:rsidP="00103CC5">
            <w:pPr>
              <w:jc w:val="center"/>
              <w:rPr>
                <w:rFonts w:cs="Times New Roman"/>
              </w:rPr>
            </w:pPr>
            <w:r w:rsidRPr="0064799F">
              <w:rPr>
                <w:rFonts w:cs="Times New Roman"/>
              </w:rPr>
              <w:t>***</w:t>
            </w:r>
          </w:p>
        </w:tc>
      </w:tr>
      <w:tr w:rsidR="00211BBC" w:rsidRPr="0064799F" w14:paraId="67E12509" w14:textId="77777777" w:rsidTr="00103CC5">
        <w:trPr>
          <w:trHeight w:val="346"/>
        </w:trPr>
        <w:tc>
          <w:tcPr>
            <w:tcW w:w="381" w:type="pct"/>
            <w:tcBorders>
              <w:top w:val="nil"/>
              <w:left w:val="nil"/>
              <w:bottom w:val="single" w:sz="4" w:space="0" w:color="auto"/>
              <w:right w:val="nil"/>
            </w:tcBorders>
            <w:vAlign w:val="center"/>
          </w:tcPr>
          <w:p w14:paraId="74CB9475" w14:textId="77777777" w:rsidR="00211BBC" w:rsidRPr="0064799F" w:rsidRDefault="00211BBC" w:rsidP="00103CC5">
            <w:pPr>
              <w:rPr>
                <w:rFonts w:cs="Times New Roman"/>
              </w:rPr>
            </w:pPr>
          </w:p>
        </w:tc>
        <w:tc>
          <w:tcPr>
            <w:tcW w:w="2530" w:type="pct"/>
            <w:gridSpan w:val="2"/>
            <w:tcBorders>
              <w:top w:val="nil"/>
              <w:left w:val="nil"/>
              <w:bottom w:val="single" w:sz="4" w:space="0" w:color="auto"/>
              <w:right w:val="nil"/>
            </w:tcBorders>
            <w:vAlign w:val="center"/>
          </w:tcPr>
          <w:p w14:paraId="410B4237" w14:textId="77777777" w:rsidR="00211BBC" w:rsidRPr="0064799F" w:rsidRDefault="00211BBC" w:rsidP="00103CC5">
            <w:pPr>
              <w:rPr>
                <w:rFonts w:cs="Times New Roman"/>
              </w:rPr>
            </w:pPr>
            <w:r w:rsidRPr="0064799F">
              <w:rPr>
                <w:rFonts w:cs="Times New Roman"/>
              </w:rPr>
              <w:t>LSD</w:t>
            </w:r>
            <w:r w:rsidRPr="0064799F">
              <w:rPr>
                <w:rFonts w:cs="Times New Roman"/>
                <w:vertAlign w:val="subscript"/>
              </w:rPr>
              <w:t>0.05</w:t>
            </w:r>
          </w:p>
        </w:tc>
        <w:tc>
          <w:tcPr>
            <w:tcW w:w="522" w:type="pct"/>
            <w:tcBorders>
              <w:top w:val="nil"/>
              <w:left w:val="nil"/>
              <w:bottom w:val="single" w:sz="4" w:space="0" w:color="auto"/>
              <w:right w:val="nil"/>
            </w:tcBorders>
            <w:vAlign w:val="center"/>
          </w:tcPr>
          <w:p w14:paraId="67F81F9B" w14:textId="77777777" w:rsidR="00211BBC" w:rsidRPr="0064799F" w:rsidRDefault="00211BBC" w:rsidP="00103CC5">
            <w:pPr>
              <w:jc w:val="center"/>
              <w:rPr>
                <w:rFonts w:cs="Times New Roman"/>
              </w:rPr>
            </w:pPr>
            <w:r w:rsidRPr="0064799F">
              <w:rPr>
                <w:rFonts w:cs="Times New Roman"/>
              </w:rPr>
              <w:t>2</w:t>
            </w:r>
          </w:p>
        </w:tc>
        <w:tc>
          <w:tcPr>
            <w:tcW w:w="522" w:type="pct"/>
            <w:tcBorders>
              <w:top w:val="nil"/>
              <w:left w:val="nil"/>
              <w:bottom w:val="single" w:sz="4" w:space="0" w:color="auto"/>
              <w:right w:val="nil"/>
            </w:tcBorders>
            <w:vAlign w:val="center"/>
          </w:tcPr>
          <w:p w14:paraId="34E15F2A" w14:textId="77777777" w:rsidR="00211BBC" w:rsidRPr="0064799F" w:rsidRDefault="00211BBC" w:rsidP="00103CC5">
            <w:pPr>
              <w:jc w:val="center"/>
              <w:rPr>
                <w:rFonts w:cs="Times New Roman"/>
              </w:rPr>
            </w:pPr>
            <w:r w:rsidRPr="0064799F">
              <w:rPr>
                <w:rFonts w:cs="Times New Roman"/>
              </w:rPr>
              <w:t>15</w:t>
            </w:r>
          </w:p>
        </w:tc>
        <w:tc>
          <w:tcPr>
            <w:tcW w:w="522" w:type="pct"/>
            <w:tcBorders>
              <w:top w:val="nil"/>
              <w:left w:val="nil"/>
              <w:bottom w:val="single" w:sz="4" w:space="0" w:color="auto"/>
              <w:right w:val="nil"/>
            </w:tcBorders>
            <w:vAlign w:val="center"/>
          </w:tcPr>
          <w:p w14:paraId="450CB0A4" w14:textId="77777777" w:rsidR="00211BBC" w:rsidRPr="0064799F" w:rsidRDefault="00211BBC" w:rsidP="00103CC5">
            <w:pPr>
              <w:jc w:val="center"/>
              <w:rPr>
                <w:rFonts w:cs="Times New Roman"/>
              </w:rPr>
            </w:pPr>
            <w:r w:rsidRPr="0064799F">
              <w:rPr>
                <w:rFonts w:cs="Times New Roman"/>
              </w:rPr>
              <w:t>20</w:t>
            </w:r>
          </w:p>
        </w:tc>
        <w:tc>
          <w:tcPr>
            <w:tcW w:w="523" w:type="pct"/>
            <w:tcBorders>
              <w:top w:val="nil"/>
              <w:left w:val="nil"/>
              <w:bottom w:val="single" w:sz="4" w:space="0" w:color="auto"/>
              <w:right w:val="nil"/>
            </w:tcBorders>
            <w:vAlign w:val="center"/>
          </w:tcPr>
          <w:p w14:paraId="12E14A04" w14:textId="77777777" w:rsidR="00211BBC" w:rsidRPr="0064799F" w:rsidRDefault="00211BBC" w:rsidP="00103CC5">
            <w:pPr>
              <w:jc w:val="center"/>
              <w:rPr>
                <w:rFonts w:cs="Times New Roman"/>
              </w:rPr>
            </w:pPr>
            <w:r w:rsidRPr="0064799F">
              <w:rPr>
                <w:rFonts w:cs="Times New Roman"/>
              </w:rPr>
              <w:t>20</w:t>
            </w:r>
          </w:p>
        </w:tc>
      </w:tr>
    </w:tbl>
    <w:p w14:paraId="4356C334" w14:textId="77777777" w:rsidR="00211BBC" w:rsidRPr="0064799F" w:rsidRDefault="00211BBC" w:rsidP="00211BBC">
      <w:pPr>
        <w:ind w:left="90" w:hanging="90"/>
        <w:contextualSpacing/>
        <w:rPr>
          <w:rFonts w:cs="Times New Roman"/>
          <w:color w:val="000000" w:themeColor="text1"/>
        </w:rPr>
      </w:pPr>
      <w:r w:rsidRPr="0064799F">
        <w:rPr>
          <w:rFonts w:cs="Times New Roman"/>
          <w:color w:val="000000" w:themeColor="text1"/>
          <w:vertAlign w:val="superscript"/>
        </w:rPr>
        <w:t xml:space="preserve">z </w:t>
      </w:r>
      <w:r w:rsidRPr="0064799F">
        <w:rPr>
          <w:rFonts w:cs="Times New Roman"/>
          <w:color w:val="000000" w:themeColor="text1"/>
        </w:rPr>
        <w:t>Abbreviations: WAIT = weeks after initial treatment.</w:t>
      </w:r>
    </w:p>
    <w:p w14:paraId="728B822C" w14:textId="77777777" w:rsidR="00211BBC" w:rsidRDefault="00211BBC" w:rsidP="00211BBC">
      <w:pPr>
        <w:contextualSpacing/>
        <w:rPr>
          <w:rFonts w:cs="Times New Roman"/>
        </w:rPr>
      </w:pPr>
      <w:r w:rsidRPr="0064799F">
        <w:rPr>
          <w:rFonts w:cs="Times New Roman"/>
          <w:color w:val="000000" w:themeColor="text1"/>
          <w:vertAlign w:val="superscript"/>
        </w:rPr>
        <w:t>y</w:t>
      </w:r>
      <w:r w:rsidRPr="0064799F">
        <w:rPr>
          <w:rFonts w:cs="Times New Roman"/>
          <w:color w:val="000000" w:themeColor="text1"/>
        </w:rPr>
        <w:t xml:space="preserve"> </w:t>
      </w:r>
      <w:r w:rsidRPr="0064799F">
        <w:rPr>
          <w:rFonts w:cs="Times New Roman"/>
        </w:rPr>
        <w:t>Tribute</w:t>
      </w:r>
      <w:r w:rsidRPr="0064799F">
        <w:rPr>
          <w:rFonts w:cs="Times New Roman"/>
          <w:vertAlign w:val="superscript"/>
        </w:rPr>
        <w:t>®</w:t>
      </w:r>
      <w:r w:rsidRPr="0064799F">
        <w:rPr>
          <w:rFonts w:cs="Times New Roman"/>
        </w:rPr>
        <w:t xml:space="preserve"> Total (</w:t>
      </w:r>
      <w:proofErr w:type="spellStart"/>
      <w:r w:rsidRPr="0064799F">
        <w:rPr>
          <w:rFonts w:cs="Times New Roman"/>
          <w:color w:val="000000" w:themeColor="text1"/>
        </w:rPr>
        <w:t>Envu</w:t>
      </w:r>
      <w:proofErr w:type="spellEnd"/>
      <w:r w:rsidRPr="0064799F">
        <w:rPr>
          <w:rFonts w:cs="Times New Roman"/>
          <w:color w:val="000000" w:themeColor="text1"/>
        </w:rPr>
        <w:t xml:space="preserve"> Turf and Ornamentals. Cary, NC)</w:t>
      </w:r>
      <w:r w:rsidRPr="0064799F">
        <w:rPr>
          <w:rFonts w:cs="Times New Roman"/>
        </w:rPr>
        <w:t xml:space="preserve"> is a commercialized formulation of the following active ingredients: </w:t>
      </w:r>
      <w:proofErr w:type="spellStart"/>
      <w:r w:rsidRPr="0064799F">
        <w:rPr>
          <w:rFonts w:cs="Times New Roman"/>
        </w:rPr>
        <w:t>thiencarbazone</w:t>
      </w:r>
      <w:proofErr w:type="spellEnd"/>
      <w:r w:rsidRPr="0064799F">
        <w:rPr>
          <w:rFonts w:cs="Times New Roman"/>
        </w:rPr>
        <w:t xml:space="preserve">-methyl + </w:t>
      </w:r>
      <w:proofErr w:type="spellStart"/>
      <w:r w:rsidRPr="0064799F">
        <w:rPr>
          <w:rFonts w:cs="Times New Roman"/>
        </w:rPr>
        <w:t>foramsulfuron</w:t>
      </w:r>
      <w:proofErr w:type="spellEnd"/>
      <w:r w:rsidRPr="0064799F">
        <w:rPr>
          <w:rFonts w:cs="Times New Roman"/>
        </w:rPr>
        <w:t xml:space="preserve"> + </w:t>
      </w:r>
      <w:proofErr w:type="spellStart"/>
      <w:r w:rsidRPr="0064799F">
        <w:rPr>
          <w:rFonts w:cs="Times New Roman"/>
        </w:rPr>
        <w:t>halosulfuron</w:t>
      </w:r>
      <w:proofErr w:type="spellEnd"/>
      <w:r w:rsidRPr="0064799F">
        <w:rPr>
          <w:rFonts w:cs="Times New Roman"/>
        </w:rPr>
        <w:t>.</w:t>
      </w:r>
    </w:p>
    <w:p w14:paraId="6D0DBB7B" w14:textId="77777777" w:rsidR="00211BBC" w:rsidRPr="00406B30" w:rsidRDefault="00211BBC" w:rsidP="00211BBC">
      <w:pPr>
        <w:contextualSpacing/>
        <w:rPr>
          <w:rFonts w:cs="Times New Roman"/>
        </w:rPr>
        <w:sectPr w:rsidR="00211BBC" w:rsidRPr="00406B30" w:rsidSect="00DF70E0">
          <w:pgSz w:w="15840" w:h="12240" w:orient="landscape"/>
          <w:pgMar w:top="1440" w:right="1440" w:bottom="1440" w:left="1440" w:header="720" w:footer="720" w:gutter="0"/>
          <w:cols w:space="720"/>
          <w:docGrid w:linePitch="360"/>
        </w:sectPr>
      </w:pPr>
      <w:r>
        <w:rPr>
          <w:rFonts w:cs="Times New Roman"/>
          <w:vertAlign w:val="superscript"/>
        </w:rPr>
        <w:t>x</w:t>
      </w:r>
      <w:r>
        <w:rPr>
          <w:rFonts w:cs="Times New Roman"/>
        </w:rPr>
        <w:t xml:space="preserve"> ***, **, * significant at p ≤ 0.001, 0.01, and 0.05, respectively.</w:t>
      </w:r>
    </w:p>
    <w:p w14:paraId="42DE544C" w14:textId="7ACD1A28" w:rsidR="00211BBC" w:rsidRPr="007037E7" w:rsidRDefault="007037E7" w:rsidP="007037E7">
      <w:pPr>
        <w:pStyle w:val="Caption"/>
      </w:pPr>
      <w:bookmarkStart w:id="61" w:name="_Toc192779570"/>
      <w:bookmarkStart w:id="62" w:name="_Toc192846042"/>
      <w:r>
        <w:lastRenderedPageBreak/>
        <w:t>Table 1</w:t>
      </w:r>
      <w:r w:rsidR="00980623">
        <w:t>.</w:t>
      </w:r>
      <w:fldSimple w:instr=" SEQ Table \* ARABIC \s 1 ">
        <w:r w:rsidR="00980623">
          <w:rPr>
            <w:noProof/>
          </w:rPr>
          <w:t>5</w:t>
        </w:r>
      </w:fldSimple>
      <w:r>
        <w:t xml:space="preserve">. </w:t>
      </w:r>
      <w:r w:rsidR="00211BBC" w:rsidRPr="007037E7">
        <w:rPr>
          <w:rFonts w:cs="Times New Roman"/>
          <w:b w:val="0"/>
          <w:bCs w:val="0"/>
        </w:rPr>
        <w:t>Smooth crabgrass (</w:t>
      </w:r>
      <w:r w:rsidR="00211BBC" w:rsidRPr="007037E7">
        <w:rPr>
          <w:rFonts w:cs="Times New Roman"/>
          <w:b w:val="0"/>
          <w:bCs w:val="0"/>
          <w:i/>
          <w:iCs/>
        </w:rPr>
        <w:t>Digitaria ischaemum</w:t>
      </w:r>
      <w:r w:rsidR="00211BBC" w:rsidRPr="007037E7">
        <w:rPr>
          <w:rFonts w:cs="Times New Roman"/>
          <w:b w:val="0"/>
          <w:bCs w:val="0"/>
        </w:rPr>
        <w:t xml:space="preserve">) control with PRE applications of </w:t>
      </w:r>
      <w:proofErr w:type="spellStart"/>
      <w:r w:rsidR="00211BBC" w:rsidRPr="007037E7">
        <w:rPr>
          <w:rFonts w:cs="Times New Roman"/>
          <w:b w:val="0"/>
          <w:bCs w:val="0"/>
        </w:rPr>
        <w:t>tetflupyrolimet</w:t>
      </w:r>
      <w:proofErr w:type="spellEnd"/>
      <w:r w:rsidR="00211BBC" w:rsidRPr="007037E7">
        <w:rPr>
          <w:rFonts w:cs="Times New Roman"/>
          <w:b w:val="0"/>
          <w:bCs w:val="0"/>
        </w:rPr>
        <w:t xml:space="preserve"> (</w:t>
      </w:r>
      <w:proofErr w:type="spellStart"/>
      <w:r w:rsidR="00211BBC" w:rsidRPr="007037E7">
        <w:rPr>
          <w:rFonts w:cs="Times New Roman"/>
          <w:b w:val="0"/>
          <w:bCs w:val="0"/>
        </w:rPr>
        <w:t>Dodhylex</w:t>
      </w:r>
      <w:proofErr w:type="spellEnd"/>
      <w:r w:rsidR="00211BBC" w:rsidRPr="007037E7">
        <w:rPr>
          <w:rFonts w:cs="Times New Roman"/>
          <w:b w:val="0"/>
          <w:bCs w:val="0"/>
        </w:rPr>
        <w:sym w:font="Symbol" w:char="F0D4"/>
      </w:r>
      <w:r w:rsidR="00211BBC" w:rsidRPr="007037E7">
        <w:rPr>
          <w:rFonts w:cs="Times New Roman"/>
          <w:b w:val="0"/>
          <w:bCs w:val="0"/>
        </w:rPr>
        <w:t xml:space="preserve"> Active. FMC Corporation. Philadelphia, PA) compared to industry standards. Applications made to a bermudagrass </w:t>
      </w:r>
      <w:r w:rsidR="00211BBC" w:rsidRPr="007037E7">
        <w:rPr>
          <w:rFonts w:cs="Times New Roman"/>
          <w:b w:val="0"/>
          <w:bCs w:val="0"/>
          <w:color w:val="000000" w:themeColor="text1"/>
        </w:rPr>
        <w:t>(</w:t>
      </w:r>
      <w:r w:rsidR="00211BBC" w:rsidRPr="007037E7">
        <w:rPr>
          <w:rFonts w:cs="Times New Roman"/>
          <w:b w:val="0"/>
          <w:bCs w:val="0"/>
          <w:i/>
          <w:iCs/>
          <w:color w:val="000000" w:themeColor="text1"/>
        </w:rPr>
        <w:t>Cynodon dactylon</w:t>
      </w:r>
      <w:r w:rsidR="00211BBC" w:rsidRPr="007037E7">
        <w:rPr>
          <w:rFonts w:cs="Times New Roman"/>
          <w:b w:val="0"/>
          <w:bCs w:val="0"/>
          <w:color w:val="000000" w:themeColor="text1"/>
        </w:rPr>
        <w:t>, cv. ’Yukon’) stand, maintained as a golf course fairway</w:t>
      </w:r>
      <w:r w:rsidR="00211BBC" w:rsidRPr="007037E7">
        <w:rPr>
          <w:rFonts w:cs="Times New Roman"/>
          <w:b w:val="0"/>
          <w:bCs w:val="0"/>
        </w:rPr>
        <w:t xml:space="preserve"> at East Tennessee Research and Education Center – Plant Science Unit (Knoxville, TN).</w:t>
      </w:r>
      <w:bookmarkEnd w:id="61"/>
      <w:bookmarkEnd w:id="62"/>
      <w:r w:rsidR="00211BBC" w:rsidRPr="0064799F">
        <w:rPr>
          <w:rFonts w:cs="Times New Roman"/>
        </w:rPr>
        <w:t xml:space="preserve"> </w:t>
      </w:r>
    </w:p>
    <w:tbl>
      <w:tblPr>
        <w:tblStyle w:val="TableGrid"/>
        <w:tblW w:w="5042" w:type="pct"/>
        <w:tblLayout w:type="fixed"/>
        <w:tblLook w:val="04A0" w:firstRow="1" w:lastRow="0" w:firstColumn="1" w:lastColumn="0" w:noHBand="0" w:noVBand="1"/>
      </w:tblPr>
      <w:tblGrid>
        <w:gridCol w:w="1942"/>
        <w:gridCol w:w="1189"/>
        <w:gridCol w:w="1197"/>
        <w:gridCol w:w="1197"/>
        <w:gridCol w:w="1197"/>
        <w:gridCol w:w="1200"/>
        <w:gridCol w:w="447"/>
        <w:gridCol w:w="1174"/>
        <w:gridCol w:w="1176"/>
        <w:gridCol w:w="1176"/>
        <w:gridCol w:w="1174"/>
      </w:tblGrid>
      <w:tr w:rsidR="00211BBC" w:rsidRPr="0064799F" w14:paraId="2C15B8F9" w14:textId="77777777" w:rsidTr="00103CC5">
        <w:trPr>
          <w:trHeight w:val="346"/>
        </w:trPr>
        <w:tc>
          <w:tcPr>
            <w:tcW w:w="1198" w:type="pct"/>
            <w:gridSpan w:val="2"/>
            <w:tcBorders>
              <w:top w:val="single" w:sz="4" w:space="0" w:color="auto"/>
              <w:left w:val="nil"/>
              <w:bottom w:val="nil"/>
              <w:right w:val="nil"/>
            </w:tcBorders>
            <w:vAlign w:val="center"/>
          </w:tcPr>
          <w:p w14:paraId="6654AFC3" w14:textId="77777777" w:rsidR="00211BBC" w:rsidRPr="0064799F" w:rsidRDefault="00211BBC" w:rsidP="00103CC5">
            <w:pPr>
              <w:rPr>
                <w:rFonts w:cs="Times New Roman"/>
              </w:rPr>
            </w:pPr>
          </w:p>
        </w:tc>
        <w:tc>
          <w:tcPr>
            <w:tcW w:w="3794" w:type="pct"/>
            <w:gridSpan w:val="9"/>
            <w:tcBorders>
              <w:top w:val="single" w:sz="4" w:space="0" w:color="auto"/>
              <w:left w:val="nil"/>
              <w:bottom w:val="single" w:sz="4" w:space="0" w:color="auto"/>
              <w:right w:val="nil"/>
            </w:tcBorders>
          </w:tcPr>
          <w:p w14:paraId="59E7C8F8" w14:textId="77777777" w:rsidR="00211BBC" w:rsidRPr="0064799F" w:rsidRDefault="00211BBC" w:rsidP="00103CC5">
            <w:pPr>
              <w:jc w:val="center"/>
              <w:rPr>
                <w:rFonts w:cs="Times New Roman"/>
              </w:rPr>
            </w:pPr>
            <w:r w:rsidRPr="0064799F">
              <w:rPr>
                <w:rFonts w:cs="Times New Roman"/>
              </w:rPr>
              <w:t>Smooth crabgrass control</w:t>
            </w:r>
          </w:p>
        </w:tc>
      </w:tr>
      <w:tr w:rsidR="00211BBC" w:rsidRPr="0064799F" w14:paraId="04E89D77" w14:textId="77777777" w:rsidTr="00103CC5">
        <w:trPr>
          <w:trHeight w:val="346"/>
        </w:trPr>
        <w:tc>
          <w:tcPr>
            <w:tcW w:w="743" w:type="pct"/>
            <w:tcBorders>
              <w:top w:val="nil"/>
              <w:left w:val="nil"/>
              <w:bottom w:val="nil"/>
              <w:right w:val="nil"/>
            </w:tcBorders>
            <w:vAlign w:val="center"/>
          </w:tcPr>
          <w:p w14:paraId="5865EAFE" w14:textId="77777777" w:rsidR="00211BBC" w:rsidRPr="0064799F" w:rsidRDefault="00211BBC" w:rsidP="00103CC5">
            <w:pPr>
              <w:rPr>
                <w:rFonts w:cs="Times New Roman"/>
              </w:rPr>
            </w:pPr>
          </w:p>
        </w:tc>
        <w:tc>
          <w:tcPr>
            <w:tcW w:w="455" w:type="pct"/>
            <w:tcBorders>
              <w:top w:val="nil"/>
              <w:left w:val="nil"/>
              <w:bottom w:val="nil"/>
              <w:right w:val="nil"/>
            </w:tcBorders>
          </w:tcPr>
          <w:p w14:paraId="58F4F780" w14:textId="77777777" w:rsidR="00211BBC" w:rsidRPr="0064799F" w:rsidRDefault="00211BBC" w:rsidP="00103CC5">
            <w:pPr>
              <w:rPr>
                <w:rFonts w:cs="Times New Roman"/>
              </w:rPr>
            </w:pPr>
          </w:p>
        </w:tc>
        <w:tc>
          <w:tcPr>
            <w:tcW w:w="1833" w:type="pct"/>
            <w:gridSpan w:val="4"/>
            <w:tcBorders>
              <w:top w:val="nil"/>
              <w:left w:val="nil"/>
              <w:bottom w:val="single" w:sz="4" w:space="0" w:color="auto"/>
              <w:right w:val="nil"/>
            </w:tcBorders>
            <w:vAlign w:val="center"/>
          </w:tcPr>
          <w:p w14:paraId="48C7D28D" w14:textId="77777777" w:rsidR="00211BBC" w:rsidRPr="0064799F" w:rsidRDefault="00211BBC" w:rsidP="00103CC5">
            <w:pPr>
              <w:jc w:val="center"/>
              <w:rPr>
                <w:rFonts w:cs="Times New Roman"/>
              </w:rPr>
            </w:pPr>
            <w:r w:rsidRPr="0064799F">
              <w:rPr>
                <w:rFonts w:cs="Times New Roman"/>
              </w:rPr>
              <w:t>2021</w:t>
            </w:r>
          </w:p>
        </w:tc>
        <w:tc>
          <w:tcPr>
            <w:tcW w:w="171" w:type="pct"/>
            <w:tcBorders>
              <w:top w:val="nil"/>
              <w:left w:val="nil"/>
              <w:bottom w:val="nil"/>
              <w:right w:val="nil"/>
            </w:tcBorders>
          </w:tcPr>
          <w:p w14:paraId="34E53806" w14:textId="77777777" w:rsidR="00211BBC" w:rsidRPr="0064799F" w:rsidRDefault="00211BBC" w:rsidP="00103CC5">
            <w:pPr>
              <w:jc w:val="center"/>
              <w:rPr>
                <w:rFonts w:cs="Times New Roman"/>
              </w:rPr>
            </w:pPr>
          </w:p>
        </w:tc>
        <w:tc>
          <w:tcPr>
            <w:tcW w:w="1798" w:type="pct"/>
            <w:gridSpan w:val="4"/>
            <w:tcBorders>
              <w:top w:val="nil"/>
              <w:left w:val="nil"/>
              <w:bottom w:val="single" w:sz="4" w:space="0" w:color="auto"/>
              <w:right w:val="nil"/>
            </w:tcBorders>
            <w:vAlign w:val="center"/>
          </w:tcPr>
          <w:p w14:paraId="58A31EFC" w14:textId="77777777" w:rsidR="00211BBC" w:rsidRPr="0064799F" w:rsidRDefault="00211BBC" w:rsidP="00103CC5">
            <w:pPr>
              <w:jc w:val="center"/>
              <w:rPr>
                <w:rFonts w:cs="Times New Roman"/>
              </w:rPr>
            </w:pPr>
            <w:r w:rsidRPr="0064799F">
              <w:rPr>
                <w:rFonts w:cs="Times New Roman"/>
              </w:rPr>
              <w:t>2022</w:t>
            </w:r>
          </w:p>
        </w:tc>
      </w:tr>
      <w:tr w:rsidR="00211BBC" w:rsidRPr="0064799F" w14:paraId="715E3CBE" w14:textId="77777777" w:rsidTr="00103CC5">
        <w:trPr>
          <w:trHeight w:val="346"/>
        </w:trPr>
        <w:tc>
          <w:tcPr>
            <w:tcW w:w="743" w:type="pct"/>
            <w:tcBorders>
              <w:top w:val="nil"/>
              <w:left w:val="nil"/>
              <w:bottom w:val="single" w:sz="4" w:space="0" w:color="auto"/>
              <w:right w:val="nil"/>
            </w:tcBorders>
            <w:vAlign w:val="center"/>
          </w:tcPr>
          <w:p w14:paraId="6AED91A1" w14:textId="77777777" w:rsidR="00211BBC" w:rsidRPr="0064799F" w:rsidRDefault="00211BBC" w:rsidP="00103CC5">
            <w:pPr>
              <w:rPr>
                <w:rFonts w:cs="Times New Roman"/>
              </w:rPr>
            </w:pPr>
            <w:r w:rsidRPr="0064799F">
              <w:rPr>
                <w:rFonts w:cs="Times New Roman"/>
              </w:rPr>
              <w:t>Herbicide</w:t>
            </w:r>
          </w:p>
        </w:tc>
        <w:tc>
          <w:tcPr>
            <w:tcW w:w="455" w:type="pct"/>
            <w:tcBorders>
              <w:top w:val="nil"/>
              <w:left w:val="nil"/>
              <w:bottom w:val="single" w:sz="4" w:space="0" w:color="auto"/>
              <w:right w:val="nil"/>
            </w:tcBorders>
            <w:vAlign w:val="center"/>
          </w:tcPr>
          <w:p w14:paraId="36F8BE8E" w14:textId="77777777" w:rsidR="00211BBC" w:rsidRPr="0064799F" w:rsidRDefault="00211BBC" w:rsidP="00103CC5">
            <w:pPr>
              <w:jc w:val="center"/>
              <w:rPr>
                <w:rFonts w:cs="Times New Roman"/>
              </w:rPr>
            </w:pPr>
            <w:r w:rsidRPr="0064799F">
              <w:rPr>
                <w:rFonts w:cs="Times New Roman"/>
              </w:rPr>
              <w:t>Rate</w:t>
            </w:r>
          </w:p>
        </w:tc>
        <w:tc>
          <w:tcPr>
            <w:tcW w:w="458" w:type="pct"/>
            <w:tcBorders>
              <w:top w:val="single" w:sz="4" w:space="0" w:color="auto"/>
              <w:left w:val="nil"/>
              <w:bottom w:val="single" w:sz="4" w:space="0" w:color="auto"/>
              <w:right w:val="nil"/>
            </w:tcBorders>
            <w:vAlign w:val="center"/>
          </w:tcPr>
          <w:p w14:paraId="7FB32B2B" w14:textId="77777777" w:rsidR="00211BBC" w:rsidRPr="0064799F" w:rsidRDefault="00211BBC" w:rsidP="00103CC5">
            <w:pPr>
              <w:jc w:val="center"/>
              <w:rPr>
                <w:rFonts w:cs="Times New Roman"/>
                <w:vertAlign w:val="superscript"/>
              </w:rPr>
            </w:pPr>
            <w:r w:rsidRPr="0064799F">
              <w:rPr>
                <w:rFonts w:cs="Times New Roman"/>
              </w:rPr>
              <w:t xml:space="preserve">8 </w:t>
            </w:r>
            <w:proofErr w:type="spellStart"/>
            <w:r w:rsidRPr="0064799F">
              <w:rPr>
                <w:rFonts w:cs="Times New Roman"/>
              </w:rPr>
              <w:t>WAIT</w:t>
            </w:r>
            <w:r w:rsidRPr="0064799F">
              <w:rPr>
                <w:rFonts w:cs="Times New Roman"/>
                <w:vertAlign w:val="superscript"/>
              </w:rPr>
              <w:t>z</w:t>
            </w:r>
            <w:proofErr w:type="spellEnd"/>
          </w:p>
        </w:tc>
        <w:tc>
          <w:tcPr>
            <w:tcW w:w="458" w:type="pct"/>
            <w:tcBorders>
              <w:top w:val="single" w:sz="4" w:space="0" w:color="auto"/>
              <w:left w:val="nil"/>
              <w:bottom w:val="single" w:sz="4" w:space="0" w:color="auto"/>
              <w:right w:val="nil"/>
            </w:tcBorders>
            <w:vAlign w:val="center"/>
          </w:tcPr>
          <w:p w14:paraId="178C0BCE" w14:textId="77777777" w:rsidR="00211BBC" w:rsidRPr="0064799F" w:rsidRDefault="00211BBC" w:rsidP="00103CC5">
            <w:pPr>
              <w:jc w:val="center"/>
              <w:rPr>
                <w:rFonts w:cs="Times New Roman"/>
              </w:rPr>
            </w:pPr>
            <w:r w:rsidRPr="0064799F">
              <w:rPr>
                <w:rFonts w:cs="Times New Roman"/>
              </w:rPr>
              <w:t xml:space="preserve">13 </w:t>
            </w:r>
            <w:proofErr w:type="gramStart"/>
            <w:r w:rsidRPr="0064799F">
              <w:rPr>
                <w:rFonts w:cs="Times New Roman"/>
              </w:rPr>
              <w:t>WAIT</w:t>
            </w:r>
            <w:proofErr w:type="gramEnd"/>
          </w:p>
        </w:tc>
        <w:tc>
          <w:tcPr>
            <w:tcW w:w="458" w:type="pct"/>
            <w:tcBorders>
              <w:top w:val="single" w:sz="4" w:space="0" w:color="auto"/>
              <w:left w:val="nil"/>
              <w:bottom w:val="single" w:sz="4" w:space="0" w:color="auto"/>
              <w:right w:val="nil"/>
            </w:tcBorders>
            <w:vAlign w:val="center"/>
          </w:tcPr>
          <w:p w14:paraId="72ADA8FC" w14:textId="77777777" w:rsidR="00211BBC" w:rsidRPr="0064799F" w:rsidRDefault="00211BBC" w:rsidP="00103CC5">
            <w:pPr>
              <w:jc w:val="center"/>
              <w:rPr>
                <w:rFonts w:cs="Times New Roman"/>
              </w:rPr>
            </w:pPr>
            <w:r w:rsidRPr="0064799F">
              <w:rPr>
                <w:rFonts w:cs="Times New Roman"/>
              </w:rPr>
              <w:t xml:space="preserve">17 </w:t>
            </w:r>
            <w:proofErr w:type="gramStart"/>
            <w:r w:rsidRPr="0064799F">
              <w:rPr>
                <w:rFonts w:cs="Times New Roman"/>
              </w:rPr>
              <w:t>WAIT</w:t>
            </w:r>
            <w:proofErr w:type="gramEnd"/>
          </w:p>
        </w:tc>
        <w:tc>
          <w:tcPr>
            <w:tcW w:w="459" w:type="pct"/>
            <w:tcBorders>
              <w:top w:val="single" w:sz="4" w:space="0" w:color="auto"/>
              <w:left w:val="nil"/>
              <w:bottom w:val="single" w:sz="4" w:space="0" w:color="auto"/>
              <w:right w:val="nil"/>
            </w:tcBorders>
            <w:vAlign w:val="center"/>
          </w:tcPr>
          <w:p w14:paraId="0B38D2DF" w14:textId="77777777" w:rsidR="00211BBC" w:rsidRPr="0064799F" w:rsidRDefault="00211BBC" w:rsidP="00103CC5">
            <w:pPr>
              <w:jc w:val="center"/>
              <w:rPr>
                <w:rFonts w:cs="Times New Roman"/>
              </w:rPr>
            </w:pPr>
            <w:r w:rsidRPr="0064799F">
              <w:rPr>
                <w:rFonts w:cs="Times New Roman"/>
              </w:rPr>
              <w:t xml:space="preserve">21 </w:t>
            </w:r>
            <w:proofErr w:type="gramStart"/>
            <w:r w:rsidRPr="0064799F">
              <w:rPr>
                <w:rFonts w:cs="Times New Roman"/>
              </w:rPr>
              <w:t>WAIT</w:t>
            </w:r>
            <w:proofErr w:type="gramEnd"/>
          </w:p>
        </w:tc>
        <w:tc>
          <w:tcPr>
            <w:tcW w:w="171" w:type="pct"/>
            <w:tcBorders>
              <w:top w:val="nil"/>
              <w:left w:val="nil"/>
              <w:bottom w:val="single" w:sz="4" w:space="0" w:color="auto"/>
              <w:right w:val="nil"/>
            </w:tcBorders>
          </w:tcPr>
          <w:p w14:paraId="1DFE6A23" w14:textId="77777777" w:rsidR="00211BBC" w:rsidRPr="0064799F" w:rsidRDefault="00211BBC" w:rsidP="00103CC5">
            <w:pPr>
              <w:jc w:val="center"/>
              <w:rPr>
                <w:rFonts w:cs="Times New Roman"/>
              </w:rPr>
            </w:pPr>
          </w:p>
        </w:tc>
        <w:tc>
          <w:tcPr>
            <w:tcW w:w="449" w:type="pct"/>
            <w:tcBorders>
              <w:top w:val="single" w:sz="4" w:space="0" w:color="auto"/>
              <w:left w:val="nil"/>
              <w:bottom w:val="single" w:sz="4" w:space="0" w:color="auto"/>
              <w:right w:val="nil"/>
            </w:tcBorders>
            <w:vAlign w:val="center"/>
          </w:tcPr>
          <w:p w14:paraId="443A923D" w14:textId="77777777" w:rsidR="00211BBC" w:rsidRPr="0064799F" w:rsidRDefault="00211BBC" w:rsidP="00103CC5">
            <w:pPr>
              <w:jc w:val="center"/>
              <w:rPr>
                <w:rFonts w:cs="Times New Roman"/>
              </w:rPr>
            </w:pPr>
            <w:r w:rsidRPr="0064799F">
              <w:rPr>
                <w:rFonts w:cs="Times New Roman"/>
              </w:rPr>
              <w:t xml:space="preserve">8 </w:t>
            </w:r>
            <w:proofErr w:type="gramStart"/>
            <w:r w:rsidRPr="0064799F">
              <w:rPr>
                <w:rFonts w:cs="Times New Roman"/>
              </w:rPr>
              <w:t>WAIT</w:t>
            </w:r>
            <w:proofErr w:type="gramEnd"/>
          </w:p>
        </w:tc>
        <w:tc>
          <w:tcPr>
            <w:tcW w:w="450" w:type="pct"/>
            <w:tcBorders>
              <w:top w:val="single" w:sz="4" w:space="0" w:color="auto"/>
              <w:left w:val="nil"/>
              <w:bottom w:val="single" w:sz="4" w:space="0" w:color="auto"/>
              <w:right w:val="nil"/>
            </w:tcBorders>
            <w:vAlign w:val="center"/>
          </w:tcPr>
          <w:p w14:paraId="1608F99E" w14:textId="77777777" w:rsidR="00211BBC" w:rsidRPr="0064799F" w:rsidRDefault="00211BBC" w:rsidP="00103CC5">
            <w:pPr>
              <w:jc w:val="center"/>
              <w:rPr>
                <w:rFonts w:cs="Times New Roman"/>
              </w:rPr>
            </w:pPr>
            <w:r w:rsidRPr="0064799F">
              <w:rPr>
                <w:rFonts w:cs="Times New Roman"/>
              </w:rPr>
              <w:t xml:space="preserve">13 </w:t>
            </w:r>
            <w:proofErr w:type="gramStart"/>
            <w:r w:rsidRPr="0064799F">
              <w:rPr>
                <w:rFonts w:cs="Times New Roman"/>
              </w:rPr>
              <w:t>WAIT</w:t>
            </w:r>
            <w:proofErr w:type="gramEnd"/>
          </w:p>
        </w:tc>
        <w:tc>
          <w:tcPr>
            <w:tcW w:w="450" w:type="pct"/>
            <w:tcBorders>
              <w:top w:val="single" w:sz="4" w:space="0" w:color="auto"/>
              <w:left w:val="nil"/>
              <w:bottom w:val="single" w:sz="4" w:space="0" w:color="auto"/>
              <w:right w:val="nil"/>
            </w:tcBorders>
            <w:vAlign w:val="center"/>
          </w:tcPr>
          <w:p w14:paraId="715CD280" w14:textId="77777777" w:rsidR="00211BBC" w:rsidRPr="0064799F" w:rsidRDefault="00211BBC" w:rsidP="00103CC5">
            <w:pPr>
              <w:jc w:val="center"/>
              <w:rPr>
                <w:rFonts w:cs="Times New Roman"/>
              </w:rPr>
            </w:pPr>
            <w:r w:rsidRPr="0064799F">
              <w:rPr>
                <w:rFonts w:cs="Times New Roman"/>
              </w:rPr>
              <w:t xml:space="preserve">17 </w:t>
            </w:r>
            <w:proofErr w:type="gramStart"/>
            <w:r w:rsidRPr="0064799F">
              <w:rPr>
                <w:rFonts w:cs="Times New Roman"/>
              </w:rPr>
              <w:t>WAIT</w:t>
            </w:r>
            <w:proofErr w:type="gramEnd"/>
          </w:p>
        </w:tc>
        <w:tc>
          <w:tcPr>
            <w:tcW w:w="449" w:type="pct"/>
            <w:tcBorders>
              <w:top w:val="single" w:sz="4" w:space="0" w:color="auto"/>
              <w:left w:val="nil"/>
              <w:bottom w:val="single" w:sz="4" w:space="0" w:color="auto"/>
              <w:right w:val="nil"/>
            </w:tcBorders>
            <w:vAlign w:val="center"/>
          </w:tcPr>
          <w:p w14:paraId="110469DF" w14:textId="77777777" w:rsidR="00211BBC" w:rsidRPr="0064799F" w:rsidRDefault="00211BBC" w:rsidP="00103CC5">
            <w:pPr>
              <w:jc w:val="center"/>
              <w:rPr>
                <w:rFonts w:cs="Times New Roman"/>
              </w:rPr>
            </w:pPr>
            <w:r w:rsidRPr="0064799F">
              <w:rPr>
                <w:rFonts w:cs="Times New Roman"/>
              </w:rPr>
              <w:t xml:space="preserve">21 </w:t>
            </w:r>
            <w:proofErr w:type="gramStart"/>
            <w:r w:rsidRPr="0064799F">
              <w:rPr>
                <w:rFonts w:cs="Times New Roman"/>
              </w:rPr>
              <w:t>WAIT</w:t>
            </w:r>
            <w:proofErr w:type="gramEnd"/>
          </w:p>
        </w:tc>
      </w:tr>
      <w:tr w:rsidR="00211BBC" w:rsidRPr="0064799F" w14:paraId="3B82A18D" w14:textId="77777777" w:rsidTr="00103CC5">
        <w:trPr>
          <w:trHeight w:val="346"/>
        </w:trPr>
        <w:tc>
          <w:tcPr>
            <w:tcW w:w="743" w:type="pct"/>
            <w:tcBorders>
              <w:top w:val="single" w:sz="4" w:space="0" w:color="auto"/>
              <w:left w:val="nil"/>
              <w:bottom w:val="nil"/>
              <w:right w:val="nil"/>
            </w:tcBorders>
            <w:vAlign w:val="center"/>
          </w:tcPr>
          <w:p w14:paraId="474D2FB9" w14:textId="77777777" w:rsidR="00211BBC" w:rsidRPr="0064799F" w:rsidRDefault="00211BBC" w:rsidP="00103CC5">
            <w:pPr>
              <w:rPr>
                <w:rFonts w:cs="Times New Roman"/>
              </w:rPr>
            </w:pPr>
          </w:p>
        </w:tc>
        <w:tc>
          <w:tcPr>
            <w:tcW w:w="455" w:type="pct"/>
            <w:tcBorders>
              <w:top w:val="single" w:sz="4" w:space="0" w:color="auto"/>
              <w:left w:val="nil"/>
              <w:bottom w:val="nil"/>
              <w:right w:val="nil"/>
            </w:tcBorders>
            <w:vAlign w:val="center"/>
          </w:tcPr>
          <w:p w14:paraId="772C98DB" w14:textId="77777777" w:rsidR="00211BBC" w:rsidRPr="0064799F" w:rsidRDefault="00211BBC" w:rsidP="00103CC5">
            <w:pPr>
              <w:jc w:val="center"/>
              <w:rPr>
                <w:rFonts w:cs="Times New Roman"/>
              </w:rPr>
            </w:pPr>
            <w:r w:rsidRPr="0064799F">
              <w:rPr>
                <w:rFonts w:cs="Times New Roman"/>
              </w:rPr>
              <w:t>g ha</w:t>
            </w:r>
            <w:r w:rsidRPr="0064799F">
              <w:rPr>
                <w:rFonts w:cs="Times New Roman"/>
                <w:vertAlign w:val="superscript"/>
              </w:rPr>
              <w:t>-1</w:t>
            </w:r>
          </w:p>
        </w:tc>
        <w:tc>
          <w:tcPr>
            <w:tcW w:w="1833" w:type="pct"/>
            <w:gridSpan w:val="4"/>
            <w:tcBorders>
              <w:top w:val="single" w:sz="4" w:space="0" w:color="auto"/>
              <w:left w:val="nil"/>
              <w:bottom w:val="nil"/>
              <w:right w:val="nil"/>
            </w:tcBorders>
            <w:vAlign w:val="center"/>
          </w:tcPr>
          <w:p w14:paraId="04F102CC" w14:textId="77777777" w:rsidR="00211BBC" w:rsidRPr="0064799F" w:rsidRDefault="00211BBC" w:rsidP="00103CC5">
            <w:pPr>
              <w:jc w:val="center"/>
              <w:rPr>
                <w:rFonts w:cs="Times New Roman"/>
              </w:rPr>
            </w:pPr>
            <w:r w:rsidRPr="0064799F">
              <w:rPr>
                <w:rFonts w:cs="Times New Roman"/>
              </w:rPr>
              <w:t>---------------------------------------------------------</w:t>
            </w:r>
          </w:p>
        </w:tc>
        <w:tc>
          <w:tcPr>
            <w:tcW w:w="171" w:type="pct"/>
            <w:tcBorders>
              <w:top w:val="single" w:sz="4" w:space="0" w:color="auto"/>
              <w:left w:val="nil"/>
              <w:bottom w:val="nil"/>
              <w:right w:val="nil"/>
            </w:tcBorders>
            <w:vAlign w:val="center"/>
          </w:tcPr>
          <w:p w14:paraId="2D04FB8A" w14:textId="77777777" w:rsidR="00211BBC" w:rsidRPr="0064799F" w:rsidRDefault="00211BBC" w:rsidP="00103CC5">
            <w:pPr>
              <w:jc w:val="center"/>
              <w:rPr>
                <w:rFonts w:cs="Times New Roman"/>
              </w:rPr>
            </w:pPr>
            <w:r w:rsidRPr="0064799F">
              <w:rPr>
                <w:rFonts w:cs="Times New Roman"/>
              </w:rPr>
              <w:t>%</w:t>
            </w:r>
          </w:p>
        </w:tc>
        <w:tc>
          <w:tcPr>
            <w:tcW w:w="1798" w:type="pct"/>
            <w:gridSpan w:val="4"/>
            <w:tcBorders>
              <w:top w:val="nil"/>
              <w:left w:val="nil"/>
              <w:bottom w:val="nil"/>
              <w:right w:val="nil"/>
            </w:tcBorders>
            <w:vAlign w:val="center"/>
          </w:tcPr>
          <w:p w14:paraId="3332B626" w14:textId="77777777" w:rsidR="00211BBC" w:rsidRPr="0064799F" w:rsidRDefault="00211BBC" w:rsidP="00103CC5">
            <w:pPr>
              <w:jc w:val="center"/>
              <w:rPr>
                <w:rFonts w:cs="Times New Roman"/>
              </w:rPr>
            </w:pPr>
            <w:r w:rsidRPr="0064799F">
              <w:rPr>
                <w:rFonts w:cs="Times New Roman"/>
              </w:rPr>
              <w:t>--------------------------------------------------------</w:t>
            </w:r>
          </w:p>
        </w:tc>
      </w:tr>
      <w:tr w:rsidR="00211BBC" w:rsidRPr="0064799F" w14:paraId="224FA037" w14:textId="77777777" w:rsidTr="00103CC5">
        <w:trPr>
          <w:trHeight w:val="346"/>
        </w:trPr>
        <w:tc>
          <w:tcPr>
            <w:tcW w:w="743" w:type="pct"/>
            <w:tcBorders>
              <w:top w:val="nil"/>
              <w:left w:val="nil"/>
              <w:bottom w:val="nil"/>
              <w:right w:val="nil"/>
            </w:tcBorders>
            <w:vAlign w:val="center"/>
          </w:tcPr>
          <w:p w14:paraId="1D7C7E95" w14:textId="77777777" w:rsidR="00211BBC" w:rsidRPr="0064799F" w:rsidRDefault="00211BBC" w:rsidP="00103CC5">
            <w:pPr>
              <w:rPr>
                <w:rFonts w:cs="Times New Roman"/>
              </w:rPr>
            </w:pPr>
            <w:r w:rsidRPr="0064799F">
              <w:rPr>
                <w:rFonts w:cs="Times New Roman"/>
              </w:rPr>
              <w:t>Tetflupyrolimet</w:t>
            </w:r>
          </w:p>
        </w:tc>
        <w:tc>
          <w:tcPr>
            <w:tcW w:w="455" w:type="pct"/>
            <w:tcBorders>
              <w:top w:val="nil"/>
              <w:left w:val="nil"/>
              <w:bottom w:val="nil"/>
              <w:right w:val="nil"/>
            </w:tcBorders>
            <w:vAlign w:val="center"/>
          </w:tcPr>
          <w:p w14:paraId="4C10E43C" w14:textId="77777777" w:rsidR="00211BBC" w:rsidRPr="0064799F" w:rsidRDefault="00211BBC" w:rsidP="00103CC5">
            <w:pPr>
              <w:jc w:val="center"/>
              <w:rPr>
                <w:rFonts w:cs="Times New Roman"/>
              </w:rPr>
            </w:pPr>
            <w:r w:rsidRPr="0064799F">
              <w:rPr>
                <w:rFonts w:cs="Times New Roman"/>
              </w:rPr>
              <w:t>250</w:t>
            </w:r>
          </w:p>
        </w:tc>
        <w:tc>
          <w:tcPr>
            <w:tcW w:w="458" w:type="pct"/>
            <w:tcBorders>
              <w:top w:val="nil"/>
              <w:left w:val="nil"/>
              <w:bottom w:val="nil"/>
              <w:right w:val="nil"/>
            </w:tcBorders>
            <w:vAlign w:val="center"/>
          </w:tcPr>
          <w:p w14:paraId="3F109DED" w14:textId="77777777" w:rsidR="00211BBC" w:rsidRPr="0064799F" w:rsidRDefault="00211BBC" w:rsidP="00103CC5">
            <w:pPr>
              <w:jc w:val="center"/>
              <w:rPr>
                <w:rFonts w:cs="Times New Roman"/>
              </w:rPr>
            </w:pPr>
            <w:r w:rsidRPr="0064799F">
              <w:rPr>
                <w:rFonts w:cs="Times New Roman"/>
              </w:rPr>
              <w:t>96</w:t>
            </w:r>
          </w:p>
        </w:tc>
        <w:tc>
          <w:tcPr>
            <w:tcW w:w="458" w:type="pct"/>
            <w:tcBorders>
              <w:top w:val="nil"/>
              <w:left w:val="nil"/>
              <w:bottom w:val="nil"/>
              <w:right w:val="nil"/>
            </w:tcBorders>
            <w:vAlign w:val="center"/>
          </w:tcPr>
          <w:p w14:paraId="7B87558D" w14:textId="77777777" w:rsidR="00211BBC" w:rsidRPr="0064799F" w:rsidRDefault="00211BBC" w:rsidP="00103CC5">
            <w:pPr>
              <w:jc w:val="center"/>
              <w:rPr>
                <w:rFonts w:cs="Times New Roman"/>
              </w:rPr>
            </w:pPr>
            <w:r w:rsidRPr="0064799F">
              <w:rPr>
                <w:rFonts w:cs="Times New Roman"/>
              </w:rPr>
              <w:t>56</w:t>
            </w:r>
          </w:p>
        </w:tc>
        <w:tc>
          <w:tcPr>
            <w:tcW w:w="458" w:type="pct"/>
            <w:tcBorders>
              <w:top w:val="nil"/>
              <w:left w:val="nil"/>
              <w:bottom w:val="nil"/>
              <w:right w:val="nil"/>
            </w:tcBorders>
            <w:vAlign w:val="center"/>
          </w:tcPr>
          <w:p w14:paraId="11E9F4DE" w14:textId="77777777" w:rsidR="00211BBC" w:rsidRPr="0064799F" w:rsidRDefault="00211BBC" w:rsidP="00103CC5">
            <w:pPr>
              <w:jc w:val="center"/>
              <w:rPr>
                <w:rFonts w:cs="Times New Roman"/>
              </w:rPr>
            </w:pPr>
            <w:r w:rsidRPr="0064799F">
              <w:rPr>
                <w:rFonts w:cs="Times New Roman"/>
              </w:rPr>
              <w:t>28</w:t>
            </w:r>
          </w:p>
        </w:tc>
        <w:tc>
          <w:tcPr>
            <w:tcW w:w="459" w:type="pct"/>
            <w:tcBorders>
              <w:top w:val="nil"/>
              <w:left w:val="nil"/>
              <w:bottom w:val="nil"/>
              <w:right w:val="nil"/>
            </w:tcBorders>
            <w:vAlign w:val="center"/>
          </w:tcPr>
          <w:p w14:paraId="576398AD" w14:textId="77777777" w:rsidR="00211BBC" w:rsidRPr="0064799F" w:rsidRDefault="00211BBC" w:rsidP="00103CC5">
            <w:pPr>
              <w:jc w:val="center"/>
              <w:rPr>
                <w:rFonts w:cs="Times New Roman"/>
              </w:rPr>
            </w:pPr>
            <w:r w:rsidRPr="0064799F">
              <w:rPr>
                <w:rFonts w:cs="Times New Roman"/>
              </w:rPr>
              <w:t>8</w:t>
            </w:r>
          </w:p>
        </w:tc>
        <w:tc>
          <w:tcPr>
            <w:tcW w:w="171" w:type="pct"/>
            <w:tcBorders>
              <w:top w:val="nil"/>
              <w:left w:val="nil"/>
              <w:bottom w:val="nil"/>
              <w:right w:val="nil"/>
            </w:tcBorders>
          </w:tcPr>
          <w:p w14:paraId="22E50F3F"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4886BB07" w14:textId="77777777" w:rsidR="00211BBC" w:rsidRPr="0064799F" w:rsidRDefault="00211BBC" w:rsidP="00103CC5">
            <w:pPr>
              <w:jc w:val="center"/>
              <w:rPr>
                <w:rFonts w:cs="Times New Roman"/>
              </w:rPr>
            </w:pPr>
            <w:r w:rsidRPr="0064799F">
              <w:rPr>
                <w:rFonts w:cs="Times New Roman"/>
              </w:rPr>
              <w:t>100</w:t>
            </w:r>
          </w:p>
        </w:tc>
        <w:tc>
          <w:tcPr>
            <w:tcW w:w="450" w:type="pct"/>
            <w:tcBorders>
              <w:top w:val="nil"/>
              <w:left w:val="nil"/>
              <w:bottom w:val="nil"/>
              <w:right w:val="nil"/>
            </w:tcBorders>
            <w:vAlign w:val="center"/>
          </w:tcPr>
          <w:p w14:paraId="73C1DEE5" w14:textId="77777777" w:rsidR="00211BBC" w:rsidRPr="0064799F" w:rsidRDefault="00211BBC" w:rsidP="00103CC5">
            <w:pPr>
              <w:jc w:val="center"/>
              <w:rPr>
                <w:rFonts w:cs="Times New Roman"/>
              </w:rPr>
            </w:pPr>
            <w:r w:rsidRPr="0064799F">
              <w:rPr>
                <w:rFonts w:cs="Times New Roman"/>
              </w:rPr>
              <w:t>89</w:t>
            </w:r>
          </w:p>
        </w:tc>
        <w:tc>
          <w:tcPr>
            <w:tcW w:w="450" w:type="pct"/>
            <w:tcBorders>
              <w:top w:val="nil"/>
              <w:left w:val="nil"/>
              <w:bottom w:val="nil"/>
              <w:right w:val="nil"/>
            </w:tcBorders>
            <w:vAlign w:val="center"/>
          </w:tcPr>
          <w:p w14:paraId="6F90F1D9" w14:textId="77777777" w:rsidR="00211BBC" w:rsidRPr="0064799F" w:rsidRDefault="00211BBC" w:rsidP="00103CC5">
            <w:pPr>
              <w:jc w:val="center"/>
              <w:rPr>
                <w:rFonts w:cs="Times New Roman"/>
              </w:rPr>
            </w:pPr>
            <w:r w:rsidRPr="0064799F">
              <w:rPr>
                <w:rFonts w:cs="Times New Roman"/>
              </w:rPr>
              <w:t>79</w:t>
            </w:r>
          </w:p>
        </w:tc>
        <w:tc>
          <w:tcPr>
            <w:tcW w:w="449" w:type="pct"/>
            <w:tcBorders>
              <w:top w:val="nil"/>
              <w:left w:val="nil"/>
              <w:bottom w:val="nil"/>
              <w:right w:val="nil"/>
            </w:tcBorders>
            <w:vAlign w:val="center"/>
          </w:tcPr>
          <w:p w14:paraId="269AF903" w14:textId="77777777" w:rsidR="00211BBC" w:rsidRPr="0064799F" w:rsidRDefault="00211BBC" w:rsidP="00103CC5">
            <w:pPr>
              <w:jc w:val="center"/>
              <w:rPr>
                <w:rFonts w:cs="Times New Roman"/>
              </w:rPr>
            </w:pPr>
            <w:r w:rsidRPr="0064799F">
              <w:rPr>
                <w:rFonts w:cs="Times New Roman"/>
              </w:rPr>
              <w:t>75</w:t>
            </w:r>
          </w:p>
        </w:tc>
      </w:tr>
      <w:tr w:rsidR="00211BBC" w:rsidRPr="0064799F" w14:paraId="07053966" w14:textId="77777777" w:rsidTr="00103CC5">
        <w:trPr>
          <w:trHeight w:val="346"/>
        </w:trPr>
        <w:tc>
          <w:tcPr>
            <w:tcW w:w="743" w:type="pct"/>
            <w:tcBorders>
              <w:top w:val="nil"/>
              <w:left w:val="nil"/>
              <w:bottom w:val="nil"/>
              <w:right w:val="nil"/>
            </w:tcBorders>
            <w:vAlign w:val="center"/>
          </w:tcPr>
          <w:p w14:paraId="63C21354" w14:textId="77777777" w:rsidR="00211BBC" w:rsidRPr="0064799F" w:rsidRDefault="00211BBC" w:rsidP="00103CC5">
            <w:pPr>
              <w:rPr>
                <w:rFonts w:cs="Times New Roman"/>
              </w:rPr>
            </w:pPr>
            <w:r w:rsidRPr="0064799F">
              <w:rPr>
                <w:rFonts w:cs="Times New Roman"/>
              </w:rPr>
              <w:t>Tetflupyrolimet</w:t>
            </w:r>
          </w:p>
        </w:tc>
        <w:tc>
          <w:tcPr>
            <w:tcW w:w="455" w:type="pct"/>
            <w:tcBorders>
              <w:top w:val="nil"/>
              <w:left w:val="nil"/>
              <w:bottom w:val="nil"/>
              <w:right w:val="nil"/>
            </w:tcBorders>
            <w:vAlign w:val="center"/>
          </w:tcPr>
          <w:p w14:paraId="276C63F2" w14:textId="77777777" w:rsidR="00211BBC" w:rsidRPr="0064799F" w:rsidRDefault="00211BBC" w:rsidP="00103CC5">
            <w:pPr>
              <w:jc w:val="center"/>
              <w:rPr>
                <w:rFonts w:cs="Times New Roman"/>
              </w:rPr>
            </w:pPr>
            <w:r w:rsidRPr="0064799F">
              <w:rPr>
                <w:rFonts w:cs="Times New Roman"/>
              </w:rPr>
              <w:t>300</w:t>
            </w:r>
          </w:p>
        </w:tc>
        <w:tc>
          <w:tcPr>
            <w:tcW w:w="458" w:type="pct"/>
            <w:tcBorders>
              <w:top w:val="nil"/>
              <w:left w:val="nil"/>
              <w:bottom w:val="nil"/>
              <w:right w:val="nil"/>
            </w:tcBorders>
            <w:vAlign w:val="center"/>
          </w:tcPr>
          <w:p w14:paraId="0442FA02" w14:textId="77777777" w:rsidR="00211BBC" w:rsidRPr="0064799F" w:rsidRDefault="00211BBC" w:rsidP="00103CC5">
            <w:pPr>
              <w:jc w:val="center"/>
              <w:rPr>
                <w:rFonts w:cs="Times New Roman"/>
              </w:rPr>
            </w:pPr>
            <w:r w:rsidRPr="0064799F">
              <w:rPr>
                <w:rFonts w:cs="Times New Roman"/>
              </w:rPr>
              <w:t>98</w:t>
            </w:r>
          </w:p>
        </w:tc>
        <w:tc>
          <w:tcPr>
            <w:tcW w:w="458" w:type="pct"/>
            <w:tcBorders>
              <w:top w:val="nil"/>
              <w:left w:val="nil"/>
              <w:bottom w:val="nil"/>
              <w:right w:val="nil"/>
            </w:tcBorders>
            <w:vAlign w:val="center"/>
          </w:tcPr>
          <w:p w14:paraId="187DCFF5" w14:textId="77777777" w:rsidR="00211BBC" w:rsidRPr="0064799F" w:rsidRDefault="00211BBC" w:rsidP="00103CC5">
            <w:pPr>
              <w:jc w:val="center"/>
              <w:rPr>
                <w:rFonts w:cs="Times New Roman"/>
              </w:rPr>
            </w:pPr>
            <w:r w:rsidRPr="0064799F">
              <w:rPr>
                <w:rFonts w:cs="Times New Roman"/>
              </w:rPr>
              <w:t>66</w:t>
            </w:r>
          </w:p>
        </w:tc>
        <w:tc>
          <w:tcPr>
            <w:tcW w:w="458" w:type="pct"/>
            <w:tcBorders>
              <w:top w:val="nil"/>
              <w:left w:val="nil"/>
              <w:bottom w:val="nil"/>
              <w:right w:val="nil"/>
            </w:tcBorders>
            <w:vAlign w:val="center"/>
          </w:tcPr>
          <w:p w14:paraId="2D9FAA72" w14:textId="77777777" w:rsidR="00211BBC" w:rsidRPr="0064799F" w:rsidRDefault="00211BBC" w:rsidP="00103CC5">
            <w:pPr>
              <w:jc w:val="center"/>
              <w:rPr>
                <w:rFonts w:cs="Times New Roman"/>
              </w:rPr>
            </w:pPr>
            <w:r w:rsidRPr="0064799F">
              <w:rPr>
                <w:rFonts w:cs="Times New Roman"/>
              </w:rPr>
              <w:t>23</w:t>
            </w:r>
          </w:p>
        </w:tc>
        <w:tc>
          <w:tcPr>
            <w:tcW w:w="459" w:type="pct"/>
            <w:tcBorders>
              <w:top w:val="nil"/>
              <w:left w:val="nil"/>
              <w:bottom w:val="nil"/>
              <w:right w:val="nil"/>
            </w:tcBorders>
            <w:vAlign w:val="center"/>
          </w:tcPr>
          <w:p w14:paraId="615A92FB" w14:textId="77777777" w:rsidR="00211BBC" w:rsidRPr="0064799F" w:rsidRDefault="00211BBC" w:rsidP="00103CC5">
            <w:pPr>
              <w:jc w:val="center"/>
              <w:rPr>
                <w:rFonts w:cs="Times New Roman"/>
              </w:rPr>
            </w:pPr>
            <w:r w:rsidRPr="0064799F">
              <w:rPr>
                <w:rFonts w:cs="Times New Roman"/>
              </w:rPr>
              <w:t>8</w:t>
            </w:r>
          </w:p>
        </w:tc>
        <w:tc>
          <w:tcPr>
            <w:tcW w:w="171" w:type="pct"/>
            <w:tcBorders>
              <w:top w:val="nil"/>
              <w:left w:val="nil"/>
              <w:bottom w:val="nil"/>
              <w:right w:val="nil"/>
            </w:tcBorders>
          </w:tcPr>
          <w:p w14:paraId="6AC59088"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38469A15" w14:textId="77777777" w:rsidR="00211BBC" w:rsidRPr="0064799F" w:rsidRDefault="00211BBC" w:rsidP="00103CC5">
            <w:pPr>
              <w:jc w:val="center"/>
              <w:rPr>
                <w:rFonts w:cs="Times New Roman"/>
              </w:rPr>
            </w:pPr>
            <w:r w:rsidRPr="0064799F">
              <w:rPr>
                <w:rFonts w:cs="Times New Roman"/>
              </w:rPr>
              <w:t>100</w:t>
            </w:r>
          </w:p>
        </w:tc>
        <w:tc>
          <w:tcPr>
            <w:tcW w:w="450" w:type="pct"/>
            <w:tcBorders>
              <w:top w:val="nil"/>
              <w:left w:val="nil"/>
              <w:bottom w:val="nil"/>
              <w:right w:val="nil"/>
            </w:tcBorders>
            <w:vAlign w:val="center"/>
          </w:tcPr>
          <w:p w14:paraId="0791E808" w14:textId="77777777" w:rsidR="00211BBC" w:rsidRPr="0064799F" w:rsidRDefault="00211BBC" w:rsidP="00103CC5">
            <w:pPr>
              <w:jc w:val="center"/>
              <w:rPr>
                <w:rFonts w:cs="Times New Roman"/>
              </w:rPr>
            </w:pPr>
            <w:r w:rsidRPr="0064799F">
              <w:rPr>
                <w:rFonts w:cs="Times New Roman"/>
              </w:rPr>
              <w:t>95</w:t>
            </w:r>
          </w:p>
        </w:tc>
        <w:tc>
          <w:tcPr>
            <w:tcW w:w="450" w:type="pct"/>
            <w:tcBorders>
              <w:top w:val="nil"/>
              <w:left w:val="nil"/>
              <w:bottom w:val="nil"/>
              <w:right w:val="nil"/>
            </w:tcBorders>
            <w:vAlign w:val="center"/>
          </w:tcPr>
          <w:p w14:paraId="037F2A91" w14:textId="77777777" w:rsidR="00211BBC" w:rsidRPr="0064799F" w:rsidRDefault="00211BBC" w:rsidP="00103CC5">
            <w:pPr>
              <w:jc w:val="center"/>
              <w:rPr>
                <w:rFonts w:cs="Times New Roman"/>
              </w:rPr>
            </w:pPr>
            <w:r w:rsidRPr="0064799F">
              <w:rPr>
                <w:rFonts w:cs="Times New Roman"/>
              </w:rPr>
              <w:t>90</w:t>
            </w:r>
          </w:p>
        </w:tc>
        <w:tc>
          <w:tcPr>
            <w:tcW w:w="449" w:type="pct"/>
            <w:tcBorders>
              <w:top w:val="nil"/>
              <w:left w:val="nil"/>
              <w:bottom w:val="nil"/>
              <w:right w:val="nil"/>
            </w:tcBorders>
            <w:vAlign w:val="center"/>
          </w:tcPr>
          <w:p w14:paraId="40909DDF" w14:textId="77777777" w:rsidR="00211BBC" w:rsidRPr="0064799F" w:rsidRDefault="00211BBC" w:rsidP="00103CC5">
            <w:pPr>
              <w:jc w:val="center"/>
              <w:rPr>
                <w:rFonts w:cs="Times New Roman"/>
              </w:rPr>
            </w:pPr>
            <w:r w:rsidRPr="0064799F">
              <w:rPr>
                <w:rFonts w:cs="Times New Roman"/>
              </w:rPr>
              <w:t>89</w:t>
            </w:r>
          </w:p>
        </w:tc>
      </w:tr>
      <w:tr w:rsidR="00211BBC" w:rsidRPr="0064799F" w14:paraId="3770ACD7" w14:textId="77777777" w:rsidTr="00103CC5">
        <w:trPr>
          <w:trHeight w:val="346"/>
        </w:trPr>
        <w:tc>
          <w:tcPr>
            <w:tcW w:w="743" w:type="pct"/>
            <w:tcBorders>
              <w:top w:val="nil"/>
              <w:left w:val="nil"/>
              <w:bottom w:val="nil"/>
              <w:right w:val="nil"/>
            </w:tcBorders>
            <w:vAlign w:val="center"/>
          </w:tcPr>
          <w:p w14:paraId="6E77B92C" w14:textId="77777777" w:rsidR="00211BBC" w:rsidRPr="0064799F" w:rsidRDefault="00211BBC" w:rsidP="00103CC5">
            <w:pPr>
              <w:rPr>
                <w:rFonts w:cs="Times New Roman"/>
              </w:rPr>
            </w:pPr>
            <w:r w:rsidRPr="0064799F">
              <w:rPr>
                <w:rFonts w:cs="Times New Roman"/>
              </w:rPr>
              <w:t>Tetflupyrolimet</w:t>
            </w:r>
          </w:p>
        </w:tc>
        <w:tc>
          <w:tcPr>
            <w:tcW w:w="455" w:type="pct"/>
            <w:tcBorders>
              <w:top w:val="nil"/>
              <w:left w:val="nil"/>
              <w:bottom w:val="nil"/>
              <w:right w:val="nil"/>
            </w:tcBorders>
            <w:vAlign w:val="center"/>
          </w:tcPr>
          <w:p w14:paraId="0207B2E4" w14:textId="77777777" w:rsidR="00211BBC" w:rsidRPr="0064799F" w:rsidRDefault="00211BBC" w:rsidP="00103CC5">
            <w:pPr>
              <w:jc w:val="center"/>
              <w:rPr>
                <w:rFonts w:cs="Times New Roman"/>
              </w:rPr>
            </w:pPr>
            <w:r w:rsidRPr="0064799F">
              <w:rPr>
                <w:rFonts w:cs="Times New Roman"/>
              </w:rPr>
              <w:t>400</w:t>
            </w:r>
          </w:p>
        </w:tc>
        <w:tc>
          <w:tcPr>
            <w:tcW w:w="458" w:type="pct"/>
            <w:tcBorders>
              <w:top w:val="nil"/>
              <w:left w:val="nil"/>
              <w:bottom w:val="nil"/>
              <w:right w:val="nil"/>
            </w:tcBorders>
            <w:vAlign w:val="center"/>
          </w:tcPr>
          <w:p w14:paraId="7C668980" w14:textId="77777777" w:rsidR="00211BBC" w:rsidRPr="0064799F" w:rsidRDefault="00211BBC" w:rsidP="00103CC5">
            <w:pPr>
              <w:jc w:val="center"/>
              <w:rPr>
                <w:rFonts w:cs="Times New Roman"/>
              </w:rPr>
            </w:pPr>
            <w:r w:rsidRPr="0064799F">
              <w:rPr>
                <w:rFonts w:cs="Times New Roman"/>
              </w:rPr>
              <w:t>100</w:t>
            </w:r>
          </w:p>
        </w:tc>
        <w:tc>
          <w:tcPr>
            <w:tcW w:w="458" w:type="pct"/>
            <w:tcBorders>
              <w:top w:val="nil"/>
              <w:left w:val="nil"/>
              <w:bottom w:val="nil"/>
              <w:right w:val="nil"/>
            </w:tcBorders>
            <w:vAlign w:val="center"/>
          </w:tcPr>
          <w:p w14:paraId="04B5E7F2" w14:textId="77777777" w:rsidR="00211BBC" w:rsidRPr="0064799F" w:rsidRDefault="00211BBC" w:rsidP="00103CC5">
            <w:pPr>
              <w:jc w:val="center"/>
              <w:rPr>
                <w:rFonts w:cs="Times New Roman"/>
              </w:rPr>
            </w:pPr>
            <w:r w:rsidRPr="0064799F">
              <w:rPr>
                <w:rFonts w:cs="Times New Roman"/>
              </w:rPr>
              <w:t>81</w:t>
            </w:r>
          </w:p>
        </w:tc>
        <w:tc>
          <w:tcPr>
            <w:tcW w:w="458" w:type="pct"/>
            <w:tcBorders>
              <w:top w:val="nil"/>
              <w:left w:val="nil"/>
              <w:bottom w:val="nil"/>
              <w:right w:val="nil"/>
            </w:tcBorders>
            <w:vAlign w:val="center"/>
          </w:tcPr>
          <w:p w14:paraId="518FDD4B" w14:textId="77777777" w:rsidR="00211BBC" w:rsidRPr="0064799F" w:rsidRDefault="00211BBC" w:rsidP="00103CC5">
            <w:pPr>
              <w:jc w:val="center"/>
              <w:rPr>
                <w:rFonts w:cs="Times New Roman"/>
              </w:rPr>
            </w:pPr>
            <w:r w:rsidRPr="0064799F">
              <w:rPr>
                <w:rFonts w:cs="Times New Roman"/>
              </w:rPr>
              <w:t>44</w:t>
            </w:r>
          </w:p>
        </w:tc>
        <w:tc>
          <w:tcPr>
            <w:tcW w:w="459" w:type="pct"/>
            <w:tcBorders>
              <w:top w:val="nil"/>
              <w:left w:val="nil"/>
              <w:bottom w:val="nil"/>
              <w:right w:val="nil"/>
            </w:tcBorders>
            <w:vAlign w:val="center"/>
          </w:tcPr>
          <w:p w14:paraId="172970CC" w14:textId="77777777" w:rsidR="00211BBC" w:rsidRPr="0064799F" w:rsidRDefault="00211BBC" w:rsidP="00103CC5">
            <w:pPr>
              <w:jc w:val="center"/>
              <w:rPr>
                <w:rFonts w:cs="Times New Roman"/>
              </w:rPr>
            </w:pPr>
            <w:r w:rsidRPr="0064799F">
              <w:rPr>
                <w:rFonts w:cs="Times New Roman"/>
              </w:rPr>
              <w:t>40</w:t>
            </w:r>
          </w:p>
        </w:tc>
        <w:tc>
          <w:tcPr>
            <w:tcW w:w="171" w:type="pct"/>
            <w:tcBorders>
              <w:top w:val="nil"/>
              <w:left w:val="nil"/>
              <w:bottom w:val="nil"/>
              <w:right w:val="nil"/>
            </w:tcBorders>
          </w:tcPr>
          <w:p w14:paraId="2BD900D3"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3F0179C4" w14:textId="77777777" w:rsidR="00211BBC" w:rsidRPr="0064799F" w:rsidRDefault="00211BBC" w:rsidP="00103CC5">
            <w:pPr>
              <w:jc w:val="center"/>
              <w:rPr>
                <w:rFonts w:cs="Times New Roman"/>
              </w:rPr>
            </w:pPr>
            <w:r w:rsidRPr="0064799F">
              <w:rPr>
                <w:rFonts w:cs="Times New Roman"/>
              </w:rPr>
              <w:t>100</w:t>
            </w:r>
          </w:p>
        </w:tc>
        <w:tc>
          <w:tcPr>
            <w:tcW w:w="450" w:type="pct"/>
            <w:tcBorders>
              <w:top w:val="nil"/>
              <w:left w:val="nil"/>
              <w:bottom w:val="nil"/>
              <w:right w:val="nil"/>
            </w:tcBorders>
            <w:vAlign w:val="center"/>
          </w:tcPr>
          <w:p w14:paraId="36A9293F" w14:textId="77777777" w:rsidR="00211BBC" w:rsidRPr="0064799F" w:rsidRDefault="00211BBC" w:rsidP="00103CC5">
            <w:pPr>
              <w:jc w:val="center"/>
              <w:rPr>
                <w:rFonts w:cs="Times New Roman"/>
              </w:rPr>
            </w:pPr>
            <w:r w:rsidRPr="0064799F">
              <w:rPr>
                <w:rFonts w:cs="Times New Roman"/>
              </w:rPr>
              <w:t>96</w:t>
            </w:r>
          </w:p>
        </w:tc>
        <w:tc>
          <w:tcPr>
            <w:tcW w:w="450" w:type="pct"/>
            <w:tcBorders>
              <w:top w:val="nil"/>
              <w:left w:val="nil"/>
              <w:bottom w:val="nil"/>
              <w:right w:val="nil"/>
            </w:tcBorders>
            <w:vAlign w:val="center"/>
          </w:tcPr>
          <w:p w14:paraId="12A035F3" w14:textId="77777777" w:rsidR="00211BBC" w:rsidRPr="0064799F" w:rsidRDefault="00211BBC" w:rsidP="00103CC5">
            <w:pPr>
              <w:jc w:val="center"/>
              <w:rPr>
                <w:rFonts w:cs="Times New Roman"/>
              </w:rPr>
            </w:pPr>
            <w:r w:rsidRPr="0064799F">
              <w:rPr>
                <w:rFonts w:cs="Times New Roman"/>
              </w:rPr>
              <w:t>95</w:t>
            </w:r>
          </w:p>
        </w:tc>
        <w:tc>
          <w:tcPr>
            <w:tcW w:w="449" w:type="pct"/>
            <w:tcBorders>
              <w:top w:val="nil"/>
              <w:left w:val="nil"/>
              <w:bottom w:val="nil"/>
              <w:right w:val="nil"/>
            </w:tcBorders>
            <w:vAlign w:val="center"/>
          </w:tcPr>
          <w:p w14:paraId="27425983" w14:textId="77777777" w:rsidR="00211BBC" w:rsidRPr="0064799F" w:rsidRDefault="00211BBC" w:rsidP="00103CC5">
            <w:pPr>
              <w:jc w:val="center"/>
              <w:rPr>
                <w:rFonts w:cs="Times New Roman"/>
              </w:rPr>
            </w:pPr>
            <w:r w:rsidRPr="0064799F">
              <w:rPr>
                <w:rFonts w:cs="Times New Roman"/>
              </w:rPr>
              <w:t>88</w:t>
            </w:r>
          </w:p>
        </w:tc>
      </w:tr>
      <w:tr w:rsidR="00211BBC" w:rsidRPr="0064799F" w14:paraId="0DF12161" w14:textId="77777777" w:rsidTr="00103CC5">
        <w:trPr>
          <w:trHeight w:val="346"/>
        </w:trPr>
        <w:tc>
          <w:tcPr>
            <w:tcW w:w="743" w:type="pct"/>
            <w:tcBorders>
              <w:top w:val="nil"/>
              <w:left w:val="nil"/>
              <w:bottom w:val="nil"/>
              <w:right w:val="nil"/>
            </w:tcBorders>
            <w:vAlign w:val="center"/>
          </w:tcPr>
          <w:p w14:paraId="78A37B0F" w14:textId="77777777" w:rsidR="00211BBC" w:rsidRPr="0064799F" w:rsidRDefault="00211BBC" w:rsidP="00103CC5">
            <w:pPr>
              <w:rPr>
                <w:rFonts w:cs="Times New Roman"/>
              </w:rPr>
            </w:pPr>
            <w:r w:rsidRPr="0064799F">
              <w:rPr>
                <w:rFonts w:cs="Times New Roman"/>
              </w:rPr>
              <w:t>Prodiamine</w:t>
            </w:r>
          </w:p>
        </w:tc>
        <w:tc>
          <w:tcPr>
            <w:tcW w:w="455" w:type="pct"/>
            <w:tcBorders>
              <w:top w:val="nil"/>
              <w:left w:val="nil"/>
              <w:bottom w:val="nil"/>
              <w:right w:val="nil"/>
            </w:tcBorders>
            <w:vAlign w:val="center"/>
          </w:tcPr>
          <w:p w14:paraId="32B4EF2D" w14:textId="77777777" w:rsidR="00211BBC" w:rsidRPr="0064799F" w:rsidRDefault="00211BBC" w:rsidP="00103CC5">
            <w:pPr>
              <w:jc w:val="center"/>
              <w:rPr>
                <w:rFonts w:cs="Times New Roman"/>
              </w:rPr>
            </w:pPr>
            <w:r w:rsidRPr="0064799F">
              <w:rPr>
                <w:rFonts w:cs="Times New Roman"/>
              </w:rPr>
              <w:t>840</w:t>
            </w:r>
          </w:p>
        </w:tc>
        <w:tc>
          <w:tcPr>
            <w:tcW w:w="458" w:type="pct"/>
            <w:tcBorders>
              <w:top w:val="nil"/>
              <w:left w:val="nil"/>
              <w:bottom w:val="nil"/>
              <w:right w:val="nil"/>
            </w:tcBorders>
            <w:vAlign w:val="center"/>
          </w:tcPr>
          <w:p w14:paraId="62486D6F" w14:textId="77777777" w:rsidR="00211BBC" w:rsidRPr="0064799F" w:rsidRDefault="00211BBC" w:rsidP="00103CC5">
            <w:pPr>
              <w:jc w:val="center"/>
              <w:rPr>
                <w:rFonts w:cs="Times New Roman"/>
              </w:rPr>
            </w:pPr>
            <w:r w:rsidRPr="0064799F">
              <w:rPr>
                <w:rFonts w:cs="Times New Roman"/>
              </w:rPr>
              <w:t>100</w:t>
            </w:r>
          </w:p>
        </w:tc>
        <w:tc>
          <w:tcPr>
            <w:tcW w:w="458" w:type="pct"/>
            <w:tcBorders>
              <w:top w:val="nil"/>
              <w:left w:val="nil"/>
              <w:bottom w:val="nil"/>
              <w:right w:val="nil"/>
            </w:tcBorders>
            <w:vAlign w:val="center"/>
          </w:tcPr>
          <w:p w14:paraId="0F9B1E3C" w14:textId="77777777" w:rsidR="00211BBC" w:rsidRPr="0064799F" w:rsidRDefault="00211BBC" w:rsidP="00103CC5">
            <w:pPr>
              <w:jc w:val="center"/>
              <w:rPr>
                <w:rFonts w:cs="Times New Roman"/>
              </w:rPr>
            </w:pPr>
            <w:r w:rsidRPr="0064799F">
              <w:rPr>
                <w:rFonts w:cs="Times New Roman"/>
              </w:rPr>
              <w:t>99</w:t>
            </w:r>
          </w:p>
        </w:tc>
        <w:tc>
          <w:tcPr>
            <w:tcW w:w="458" w:type="pct"/>
            <w:tcBorders>
              <w:top w:val="nil"/>
              <w:left w:val="nil"/>
              <w:bottom w:val="nil"/>
              <w:right w:val="nil"/>
            </w:tcBorders>
            <w:vAlign w:val="center"/>
          </w:tcPr>
          <w:p w14:paraId="4CE38E48" w14:textId="77777777" w:rsidR="00211BBC" w:rsidRPr="0064799F" w:rsidRDefault="00211BBC" w:rsidP="00103CC5">
            <w:pPr>
              <w:jc w:val="center"/>
              <w:rPr>
                <w:rFonts w:cs="Times New Roman"/>
              </w:rPr>
            </w:pPr>
            <w:r w:rsidRPr="0064799F">
              <w:rPr>
                <w:rFonts w:cs="Times New Roman"/>
              </w:rPr>
              <w:t>96</w:t>
            </w:r>
          </w:p>
        </w:tc>
        <w:tc>
          <w:tcPr>
            <w:tcW w:w="459" w:type="pct"/>
            <w:tcBorders>
              <w:top w:val="nil"/>
              <w:left w:val="nil"/>
              <w:bottom w:val="nil"/>
              <w:right w:val="nil"/>
            </w:tcBorders>
            <w:vAlign w:val="center"/>
          </w:tcPr>
          <w:p w14:paraId="50D6399F" w14:textId="77777777" w:rsidR="00211BBC" w:rsidRPr="0064799F" w:rsidRDefault="00211BBC" w:rsidP="00103CC5">
            <w:pPr>
              <w:jc w:val="center"/>
              <w:rPr>
                <w:rFonts w:cs="Times New Roman"/>
              </w:rPr>
            </w:pPr>
            <w:r w:rsidRPr="0064799F">
              <w:rPr>
                <w:rFonts w:cs="Times New Roman"/>
              </w:rPr>
              <w:t>96</w:t>
            </w:r>
          </w:p>
        </w:tc>
        <w:tc>
          <w:tcPr>
            <w:tcW w:w="171" w:type="pct"/>
            <w:tcBorders>
              <w:top w:val="nil"/>
              <w:left w:val="nil"/>
              <w:bottom w:val="nil"/>
              <w:right w:val="nil"/>
            </w:tcBorders>
          </w:tcPr>
          <w:p w14:paraId="456D5DF5"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0FBA47A3" w14:textId="77777777" w:rsidR="00211BBC" w:rsidRPr="0064799F" w:rsidRDefault="00211BBC" w:rsidP="00103CC5">
            <w:pPr>
              <w:jc w:val="center"/>
              <w:rPr>
                <w:rFonts w:cs="Times New Roman"/>
              </w:rPr>
            </w:pPr>
            <w:r w:rsidRPr="0064799F">
              <w:rPr>
                <w:rFonts w:cs="Times New Roman"/>
              </w:rPr>
              <w:t>100</w:t>
            </w:r>
          </w:p>
        </w:tc>
        <w:tc>
          <w:tcPr>
            <w:tcW w:w="450" w:type="pct"/>
            <w:tcBorders>
              <w:top w:val="nil"/>
              <w:left w:val="nil"/>
              <w:bottom w:val="nil"/>
              <w:right w:val="nil"/>
            </w:tcBorders>
            <w:vAlign w:val="center"/>
          </w:tcPr>
          <w:p w14:paraId="785B0490" w14:textId="77777777" w:rsidR="00211BBC" w:rsidRPr="0064799F" w:rsidRDefault="00211BBC" w:rsidP="00103CC5">
            <w:pPr>
              <w:jc w:val="center"/>
              <w:rPr>
                <w:rFonts w:cs="Times New Roman"/>
              </w:rPr>
            </w:pPr>
            <w:r w:rsidRPr="0064799F">
              <w:rPr>
                <w:rFonts w:cs="Times New Roman"/>
              </w:rPr>
              <w:t>96</w:t>
            </w:r>
          </w:p>
        </w:tc>
        <w:tc>
          <w:tcPr>
            <w:tcW w:w="450" w:type="pct"/>
            <w:tcBorders>
              <w:top w:val="nil"/>
              <w:left w:val="nil"/>
              <w:bottom w:val="nil"/>
              <w:right w:val="nil"/>
            </w:tcBorders>
            <w:vAlign w:val="center"/>
          </w:tcPr>
          <w:p w14:paraId="56CB0C09" w14:textId="77777777" w:rsidR="00211BBC" w:rsidRPr="0064799F" w:rsidRDefault="00211BBC" w:rsidP="00103CC5">
            <w:pPr>
              <w:jc w:val="center"/>
              <w:rPr>
                <w:rFonts w:cs="Times New Roman"/>
              </w:rPr>
            </w:pPr>
            <w:r w:rsidRPr="0064799F">
              <w:rPr>
                <w:rFonts w:cs="Times New Roman"/>
              </w:rPr>
              <w:t>99</w:t>
            </w:r>
          </w:p>
        </w:tc>
        <w:tc>
          <w:tcPr>
            <w:tcW w:w="449" w:type="pct"/>
            <w:tcBorders>
              <w:top w:val="nil"/>
              <w:left w:val="nil"/>
              <w:bottom w:val="nil"/>
              <w:right w:val="nil"/>
            </w:tcBorders>
            <w:vAlign w:val="center"/>
          </w:tcPr>
          <w:p w14:paraId="46999B8C" w14:textId="77777777" w:rsidR="00211BBC" w:rsidRPr="0064799F" w:rsidRDefault="00211BBC" w:rsidP="00103CC5">
            <w:pPr>
              <w:jc w:val="center"/>
              <w:rPr>
                <w:rFonts w:cs="Times New Roman"/>
              </w:rPr>
            </w:pPr>
            <w:r w:rsidRPr="0064799F">
              <w:rPr>
                <w:rFonts w:cs="Times New Roman"/>
              </w:rPr>
              <w:t>98</w:t>
            </w:r>
          </w:p>
        </w:tc>
      </w:tr>
      <w:tr w:rsidR="00211BBC" w:rsidRPr="0064799F" w14:paraId="02EDB92F" w14:textId="77777777" w:rsidTr="00103CC5">
        <w:trPr>
          <w:trHeight w:val="346"/>
        </w:trPr>
        <w:tc>
          <w:tcPr>
            <w:tcW w:w="743" w:type="pct"/>
            <w:tcBorders>
              <w:top w:val="nil"/>
              <w:left w:val="nil"/>
              <w:bottom w:val="nil"/>
              <w:right w:val="nil"/>
            </w:tcBorders>
            <w:vAlign w:val="center"/>
          </w:tcPr>
          <w:p w14:paraId="769A3FB5" w14:textId="77777777" w:rsidR="00211BBC" w:rsidRPr="0064799F" w:rsidRDefault="00211BBC" w:rsidP="00103CC5">
            <w:pPr>
              <w:rPr>
                <w:rFonts w:cs="Times New Roman"/>
              </w:rPr>
            </w:pPr>
            <w:r w:rsidRPr="0064799F">
              <w:rPr>
                <w:rFonts w:cs="Times New Roman"/>
              </w:rPr>
              <w:t>Indaziflam</w:t>
            </w:r>
          </w:p>
        </w:tc>
        <w:tc>
          <w:tcPr>
            <w:tcW w:w="455" w:type="pct"/>
            <w:tcBorders>
              <w:top w:val="nil"/>
              <w:left w:val="nil"/>
              <w:bottom w:val="nil"/>
              <w:right w:val="nil"/>
            </w:tcBorders>
            <w:vAlign w:val="center"/>
          </w:tcPr>
          <w:p w14:paraId="168AE8CF" w14:textId="77777777" w:rsidR="00211BBC" w:rsidRPr="0064799F" w:rsidRDefault="00211BBC" w:rsidP="00103CC5">
            <w:pPr>
              <w:jc w:val="center"/>
              <w:rPr>
                <w:rFonts w:cs="Times New Roman"/>
              </w:rPr>
            </w:pPr>
            <w:r w:rsidRPr="0064799F">
              <w:rPr>
                <w:rFonts w:cs="Times New Roman"/>
              </w:rPr>
              <w:t>45</w:t>
            </w:r>
          </w:p>
        </w:tc>
        <w:tc>
          <w:tcPr>
            <w:tcW w:w="458" w:type="pct"/>
            <w:tcBorders>
              <w:top w:val="nil"/>
              <w:left w:val="nil"/>
              <w:bottom w:val="nil"/>
              <w:right w:val="nil"/>
            </w:tcBorders>
            <w:vAlign w:val="center"/>
          </w:tcPr>
          <w:p w14:paraId="6A120FCF" w14:textId="77777777" w:rsidR="00211BBC" w:rsidRPr="0064799F" w:rsidRDefault="00211BBC" w:rsidP="00103CC5">
            <w:pPr>
              <w:jc w:val="center"/>
              <w:rPr>
                <w:rFonts w:cs="Times New Roman"/>
              </w:rPr>
            </w:pPr>
            <w:r w:rsidRPr="0064799F">
              <w:rPr>
                <w:rFonts w:cs="Times New Roman"/>
              </w:rPr>
              <w:t>100</w:t>
            </w:r>
          </w:p>
        </w:tc>
        <w:tc>
          <w:tcPr>
            <w:tcW w:w="458" w:type="pct"/>
            <w:tcBorders>
              <w:top w:val="nil"/>
              <w:left w:val="nil"/>
              <w:bottom w:val="nil"/>
              <w:right w:val="nil"/>
            </w:tcBorders>
            <w:vAlign w:val="center"/>
          </w:tcPr>
          <w:p w14:paraId="51F56465" w14:textId="77777777" w:rsidR="00211BBC" w:rsidRPr="0064799F" w:rsidRDefault="00211BBC" w:rsidP="00103CC5">
            <w:pPr>
              <w:jc w:val="center"/>
              <w:rPr>
                <w:rFonts w:cs="Times New Roman"/>
              </w:rPr>
            </w:pPr>
            <w:r w:rsidRPr="0064799F">
              <w:rPr>
                <w:rFonts w:cs="Times New Roman"/>
              </w:rPr>
              <w:t>98</w:t>
            </w:r>
          </w:p>
        </w:tc>
        <w:tc>
          <w:tcPr>
            <w:tcW w:w="458" w:type="pct"/>
            <w:tcBorders>
              <w:top w:val="nil"/>
              <w:left w:val="nil"/>
              <w:bottom w:val="nil"/>
              <w:right w:val="nil"/>
            </w:tcBorders>
            <w:vAlign w:val="center"/>
          </w:tcPr>
          <w:p w14:paraId="4E195B9F" w14:textId="77777777" w:rsidR="00211BBC" w:rsidRPr="0064799F" w:rsidRDefault="00211BBC" w:rsidP="00103CC5">
            <w:pPr>
              <w:jc w:val="center"/>
              <w:rPr>
                <w:rFonts w:cs="Times New Roman"/>
              </w:rPr>
            </w:pPr>
            <w:r w:rsidRPr="0064799F">
              <w:rPr>
                <w:rFonts w:cs="Times New Roman"/>
              </w:rPr>
              <w:t>92</w:t>
            </w:r>
          </w:p>
        </w:tc>
        <w:tc>
          <w:tcPr>
            <w:tcW w:w="459" w:type="pct"/>
            <w:tcBorders>
              <w:top w:val="nil"/>
              <w:left w:val="nil"/>
              <w:bottom w:val="nil"/>
              <w:right w:val="nil"/>
            </w:tcBorders>
            <w:vAlign w:val="center"/>
          </w:tcPr>
          <w:p w14:paraId="3DDCAFF0" w14:textId="77777777" w:rsidR="00211BBC" w:rsidRPr="0064799F" w:rsidRDefault="00211BBC" w:rsidP="00103CC5">
            <w:pPr>
              <w:jc w:val="center"/>
              <w:rPr>
                <w:rFonts w:cs="Times New Roman"/>
              </w:rPr>
            </w:pPr>
            <w:r w:rsidRPr="0064799F">
              <w:rPr>
                <w:rFonts w:cs="Times New Roman"/>
              </w:rPr>
              <w:t>89</w:t>
            </w:r>
          </w:p>
        </w:tc>
        <w:tc>
          <w:tcPr>
            <w:tcW w:w="171" w:type="pct"/>
            <w:tcBorders>
              <w:top w:val="nil"/>
              <w:left w:val="nil"/>
              <w:bottom w:val="nil"/>
              <w:right w:val="nil"/>
            </w:tcBorders>
          </w:tcPr>
          <w:p w14:paraId="56566779"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4BCC6C44" w14:textId="77777777" w:rsidR="00211BBC" w:rsidRPr="0064799F" w:rsidRDefault="00211BBC" w:rsidP="00103CC5">
            <w:pPr>
              <w:jc w:val="center"/>
              <w:rPr>
                <w:rFonts w:cs="Times New Roman"/>
              </w:rPr>
            </w:pPr>
            <w:r w:rsidRPr="0064799F">
              <w:rPr>
                <w:rFonts w:cs="Times New Roman"/>
              </w:rPr>
              <w:t>100</w:t>
            </w:r>
          </w:p>
        </w:tc>
        <w:tc>
          <w:tcPr>
            <w:tcW w:w="450" w:type="pct"/>
            <w:tcBorders>
              <w:top w:val="nil"/>
              <w:left w:val="nil"/>
              <w:bottom w:val="nil"/>
              <w:right w:val="nil"/>
            </w:tcBorders>
            <w:vAlign w:val="center"/>
          </w:tcPr>
          <w:p w14:paraId="7C624856" w14:textId="77777777" w:rsidR="00211BBC" w:rsidRPr="0064799F" w:rsidRDefault="00211BBC" w:rsidP="00103CC5">
            <w:pPr>
              <w:jc w:val="center"/>
              <w:rPr>
                <w:rFonts w:cs="Times New Roman"/>
              </w:rPr>
            </w:pPr>
            <w:r w:rsidRPr="0064799F">
              <w:rPr>
                <w:rFonts w:cs="Times New Roman"/>
              </w:rPr>
              <w:t>96</w:t>
            </w:r>
          </w:p>
        </w:tc>
        <w:tc>
          <w:tcPr>
            <w:tcW w:w="450" w:type="pct"/>
            <w:tcBorders>
              <w:top w:val="nil"/>
              <w:left w:val="nil"/>
              <w:bottom w:val="nil"/>
              <w:right w:val="nil"/>
            </w:tcBorders>
            <w:vAlign w:val="center"/>
          </w:tcPr>
          <w:p w14:paraId="617E1110" w14:textId="77777777" w:rsidR="00211BBC" w:rsidRPr="0064799F" w:rsidRDefault="00211BBC" w:rsidP="00103CC5">
            <w:pPr>
              <w:jc w:val="center"/>
              <w:rPr>
                <w:rFonts w:cs="Times New Roman"/>
              </w:rPr>
            </w:pPr>
            <w:r w:rsidRPr="0064799F">
              <w:rPr>
                <w:rFonts w:cs="Times New Roman"/>
              </w:rPr>
              <w:t>90</w:t>
            </w:r>
          </w:p>
        </w:tc>
        <w:tc>
          <w:tcPr>
            <w:tcW w:w="449" w:type="pct"/>
            <w:tcBorders>
              <w:top w:val="nil"/>
              <w:left w:val="nil"/>
              <w:bottom w:val="nil"/>
              <w:right w:val="nil"/>
            </w:tcBorders>
            <w:vAlign w:val="center"/>
          </w:tcPr>
          <w:p w14:paraId="3C617C63" w14:textId="77777777" w:rsidR="00211BBC" w:rsidRPr="0064799F" w:rsidRDefault="00211BBC" w:rsidP="00103CC5">
            <w:pPr>
              <w:jc w:val="center"/>
              <w:rPr>
                <w:rFonts w:cs="Times New Roman"/>
              </w:rPr>
            </w:pPr>
            <w:r w:rsidRPr="0064799F">
              <w:rPr>
                <w:rFonts w:cs="Times New Roman"/>
              </w:rPr>
              <w:t>90</w:t>
            </w:r>
          </w:p>
        </w:tc>
      </w:tr>
      <w:tr w:rsidR="00211BBC" w:rsidRPr="0064799F" w14:paraId="16DEED5D" w14:textId="77777777" w:rsidTr="00103CC5">
        <w:trPr>
          <w:trHeight w:val="346"/>
        </w:trPr>
        <w:tc>
          <w:tcPr>
            <w:tcW w:w="1198" w:type="pct"/>
            <w:gridSpan w:val="2"/>
            <w:tcBorders>
              <w:top w:val="nil"/>
              <w:left w:val="nil"/>
              <w:bottom w:val="nil"/>
              <w:right w:val="nil"/>
            </w:tcBorders>
            <w:vAlign w:val="center"/>
          </w:tcPr>
          <w:p w14:paraId="74E60408" w14:textId="77777777" w:rsidR="00211BBC" w:rsidRPr="0064799F" w:rsidRDefault="00211BBC" w:rsidP="00103CC5">
            <w:pPr>
              <w:rPr>
                <w:rFonts w:cs="Times New Roman"/>
              </w:rPr>
            </w:pPr>
            <w:r w:rsidRPr="0064799F">
              <w:rPr>
                <w:rFonts w:cs="Times New Roman"/>
              </w:rPr>
              <w:t>P &gt; F</w:t>
            </w:r>
          </w:p>
        </w:tc>
        <w:tc>
          <w:tcPr>
            <w:tcW w:w="458" w:type="pct"/>
            <w:tcBorders>
              <w:top w:val="nil"/>
              <w:left w:val="nil"/>
              <w:bottom w:val="nil"/>
              <w:right w:val="nil"/>
            </w:tcBorders>
            <w:vAlign w:val="center"/>
          </w:tcPr>
          <w:p w14:paraId="37359D72" w14:textId="77777777" w:rsidR="00211BBC" w:rsidRPr="0064799F" w:rsidRDefault="00211BBC" w:rsidP="00103CC5">
            <w:pPr>
              <w:jc w:val="center"/>
              <w:rPr>
                <w:rFonts w:cs="Times New Roman"/>
              </w:rPr>
            </w:pPr>
            <w:r w:rsidRPr="0064799F">
              <w:rPr>
                <w:rFonts w:cs="Times New Roman"/>
              </w:rPr>
              <w:t>ns</w:t>
            </w:r>
          </w:p>
        </w:tc>
        <w:tc>
          <w:tcPr>
            <w:tcW w:w="458" w:type="pct"/>
            <w:tcBorders>
              <w:top w:val="nil"/>
              <w:left w:val="nil"/>
              <w:bottom w:val="nil"/>
              <w:right w:val="nil"/>
            </w:tcBorders>
            <w:vAlign w:val="center"/>
          </w:tcPr>
          <w:p w14:paraId="1EE5F675" w14:textId="77777777" w:rsidR="00211BBC" w:rsidRPr="00F91C54" w:rsidRDefault="00211BBC" w:rsidP="00103CC5">
            <w:pPr>
              <w:jc w:val="center"/>
              <w:rPr>
                <w:rFonts w:cs="Times New Roman"/>
                <w:vertAlign w:val="superscript"/>
              </w:rPr>
            </w:pPr>
            <w:r w:rsidRPr="0064799F">
              <w:rPr>
                <w:rFonts w:cs="Times New Roman"/>
              </w:rPr>
              <w:t>**</w:t>
            </w:r>
            <w:r>
              <w:rPr>
                <w:rFonts w:cs="Times New Roman"/>
                <w:vertAlign w:val="superscript"/>
              </w:rPr>
              <w:t>y</w:t>
            </w:r>
          </w:p>
        </w:tc>
        <w:tc>
          <w:tcPr>
            <w:tcW w:w="458" w:type="pct"/>
            <w:tcBorders>
              <w:top w:val="nil"/>
              <w:left w:val="nil"/>
              <w:bottom w:val="nil"/>
              <w:right w:val="nil"/>
            </w:tcBorders>
            <w:vAlign w:val="center"/>
          </w:tcPr>
          <w:p w14:paraId="772CAA63" w14:textId="77777777" w:rsidR="00211BBC" w:rsidRPr="0064799F" w:rsidRDefault="00211BBC" w:rsidP="00103CC5">
            <w:pPr>
              <w:jc w:val="center"/>
              <w:rPr>
                <w:rFonts w:cs="Times New Roman"/>
              </w:rPr>
            </w:pPr>
            <w:r w:rsidRPr="0064799F">
              <w:rPr>
                <w:rFonts w:cs="Times New Roman"/>
              </w:rPr>
              <w:t>***</w:t>
            </w:r>
          </w:p>
        </w:tc>
        <w:tc>
          <w:tcPr>
            <w:tcW w:w="459" w:type="pct"/>
            <w:tcBorders>
              <w:top w:val="nil"/>
              <w:left w:val="nil"/>
              <w:bottom w:val="nil"/>
              <w:right w:val="nil"/>
            </w:tcBorders>
            <w:vAlign w:val="center"/>
          </w:tcPr>
          <w:p w14:paraId="07918789" w14:textId="77777777" w:rsidR="00211BBC" w:rsidRPr="0064799F" w:rsidRDefault="00211BBC" w:rsidP="00103CC5">
            <w:pPr>
              <w:jc w:val="center"/>
              <w:rPr>
                <w:rFonts w:cs="Times New Roman"/>
              </w:rPr>
            </w:pPr>
            <w:r w:rsidRPr="0064799F">
              <w:rPr>
                <w:rFonts w:cs="Times New Roman"/>
              </w:rPr>
              <w:t>***</w:t>
            </w:r>
          </w:p>
        </w:tc>
        <w:tc>
          <w:tcPr>
            <w:tcW w:w="171" w:type="pct"/>
            <w:tcBorders>
              <w:top w:val="nil"/>
              <w:left w:val="nil"/>
              <w:bottom w:val="nil"/>
              <w:right w:val="nil"/>
            </w:tcBorders>
            <w:vAlign w:val="center"/>
          </w:tcPr>
          <w:p w14:paraId="75095813" w14:textId="77777777" w:rsidR="00211BBC" w:rsidRPr="0064799F" w:rsidRDefault="00211BBC" w:rsidP="00103CC5">
            <w:pPr>
              <w:jc w:val="center"/>
              <w:rPr>
                <w:rFonts w:cs="Times New Roman"/>
              </w:rPr>
            </w:pPr>
          </w:p>
        </w:tc>
        <w:tc>
          <w:tcPr>
            <w:tcW w:w="449" w:type="pct"/>
            <w:tcBorders>
              <w:top w:val="nil"/>
              <w:left w:val="nil"/>
              <w:bottom w:val="nil"/>
              <w:right w:val="nil"/>
            </w:tcBorders>
            <w:vAlign w:val="center"/>
          </w:tcPr>
          <w:p w14:paraId="0284D1C8" w14:textId="77777777" w:rsidR="00211BBC" w:rsidRPr="0064799F" w:rsidRDefault="00211BBC" w:rsidP="00103CC5">
            <w:pPr>
              <w:jc w:val="center"/>
              <w:rPr>
                <w:rFonts w:cs="Times New Roman"/>
              </w:rPr>
            </w:pPr>
            <w:r w:rsidRPr="0064799F">
              <w:rPr>
                <w:rFonts w:cs="Times New Roman"/>
              </w:rPr>
              <w:t>ns</w:t>
            </w:r>
          </w:p>
        </w:tc>
        <w:tc>
          <w:tcPr>
            <w:tcW w:w="450" w:type="pct"/>
            <w:tcBorders>
              <w:top w:val="nil"/>
              <w:left w:val="nil"/>
              <w:bottom w:val="nil"/>
              <w:right w:val="nil"/>
            </w:tcBorders>
            <w:vAlign w:val="center"/>
          </w:tcPr>
          <w:p w14:paraId="3C70A951" w14:textId="77777777" w:rsidR="00211BBC" w:rsidRPr="0064799F" w:rsidRDefault="00211BBC" w:rsidP="00103CC5">
            <w:pPr>
              <w:jc w:val="center"/>
              <w:rPr>
                <w:rFonts w:cs="Times New Roman"/>
              </w:rPr>
            </w:pPr>
            <w:r w:rsidRPr="0064799F">
              <w:rPr>
                <w:rFonts w:cs="Times New Roman"/>
              </w:rPr>
              <w:t>ns</w:t>
            </w:r>
          </w:p>
        </w:tc>
        <w:tc>
          <w:tcPr>
            <w:tcW w:w="450" w:type="pct"/>
            <w:tcBorders>
              <w:top w:val="nil"/>
              <w:left w:val="nil"/>
              <w:bottom w:val="nil"/>
              <w:right w:val="nil"/>
            </w:tcBorders>
            <w:vAlign w:val="center"/>
          </w:tcPr>
          <w:p w14:paraId="491C6317" w14:textId="77777777" w:rsidR="00211BBC" w:rsidRPr="0064799F" w:rsidRDefault="00211BBC" w:rsidP="00103CC5">
            <w:pPr>
              <w:jc w:val="center"/>
              <w:rPr>
                <w:rFonts w:cs="Times New Roman"/>
              </w:rPr>
            </w:pPr>
            <w:r w:rsidRPr="0064799F">
              <w:rPr>
                <w:rFonts w:cs="Times New Roman"/>
              </w:rPr>
              <w:t>ns</w:t>
            </w:r>
          </w:p>
        </w:tc>
        <w:tc>
          <w:tcPr>
            <w:tcW w:w="449" w:type="pct"/>
            <w:tcBorders>
              <w:top w:val="nil"/>
              <w:left w:val="nil"/>
              <w:bottom w:val="nil"/>
              <w:right w:val="nil"/>
            </w:tcBorders>
            <w:vAlign w:val="center"/>
          </w:tcPr>
          <w:p w14:paraId="611251F4" w14:textId="77777777" w:rsidR="00211BBC" w:rsidRPr="0064799F" w:rsidRDefault="00211BBC" w:rsidP="00103CC5">
            <w:pPr>
              <w:jc w:val="center"/>
              <w:rPr>
                <w:rFonts w:cs="Times New Roman"/>
              </w:rPr>
            </w:pPr>
            <w:r w:rsidRPr="0064799F">
              <w:rPr>
                <w:rFonts w:cs="Times New Roman"/>
              </w:rPr>
              <w:t>*</w:t>
            </w:r>
          </w:p>
        </w:tc>
      </w:tr>
      <w:tr w:rsidR="00211BBC" w:rsidRPr="0064799F" w14:paraId="621796A6" w14:textId="77777777" w:rsidTr="00103CC5">
        <w:trPr>
          <w:trHeight w:val="346"/>
        </w:trPr>
        <w:tc>
          <w:tcPr>
            <w:tcW w:w="1198" w:type="pct"/>
            <w:gridSpan w:val="2"/>
            <w:tcBorders>
              <w:top w:val="nil"/>
              <w:left w:val="nil"/>
              <w:bottom w:val="single" w:sz="4" w:space="0" w:color="auto"/>
              <w:right w:val="nil"/>
            </w:tcBorders>
            <w:vAlign w:val="center"/>
          </w:tcPr>
          <w:p w14:paraId="0144B599" w14:textId="77777777" w:rsidR="00211BBC" w:rsidRPr="0064799F" w:rsidRDefault="00211BBC" w:rsidP="00103CC5">
            <w:pPr>
              <w:rPr>
                <w:rFonts w:cs="Times New Roman"/>
              </w:rPr>
            </w:pPr>
            <w:r w:rsidRPr="0064799F">
              <w:rPr>
                <w:rFonts w:cs="Times New Roman"/>
              </w:rPr>
              <w:t>LSD</w:t>
            </w:r>
            <w:r w:rsidRPr="0064799F">
              <w:rPr>
                <w:rFonts w:cs="Times New Roman"/>
                <w:vertAlign w:val="subscript"/>
              </w:rPr>
              <w:t>0.05</w:t>
            </w:r>
          </w:p>
        </w:tc>
        <w:tc>
          <w:tcPr>
            <w:tcW w:w="458" w:type="pct"/>
            <w:tcBorders>
              <w:top w:val="nil"/>
              <w:left w:val="nil"/>
              <w:bottom w:val="single" w:sz="4" w:space="0" w:color="auto"/>
              <w:right w:val="nil"/>
            </w:tcBorders>
            <w:vAlign w:val="center"/>
          </w:tcPr>
          <w:p w14:paraId="43F75386" w14:textId="77777777" w:rsidR="00211BBC" w:rsidRPr="0064799F" w:rsidRDefault="00211BBC" w:rsidP="00103CC5">
            <w:pPr>
              <w:jc w:val="center"/>
              <w:rPr>
                <w:rFonts w:cs="Times New Roman"/>
              </w:rPr>
            </w:pPr>
            <w:r w:rsidRPr="0064799F">
              <w:rPr>
                <w:rFonts w:cs="Times New Roman"/>
              </w:rPr>
              <w:t>ns</w:t>
            </w:r>
          </w:p>
        </w:tc>
        <w:tc>
          <w:tcPr>
            <w:tcW w:w="458" w:type="pct"/>
            <w:tcBorders>
              <w:top w:val="nil"/>
              <w:left w:val="nil"/>
              <w:bottom w:val="single" w:sz="4" w:space="0" w:color="auto"/>
              <w:right w:val="nil"/>
            </w:tcBorders>
            <w:vAlign w:val="center"/>
          </w:tcPr>
          <w:p w14:paraId="024C0437" w14:textId="77777777" w:rsidR="00211BBC" w:rsidRPr="0064799F" w:rsidRDefault="00211BBC" w:rsidP="00103CC5">
            <w:pPr>
              <w:jc w:val="center"/>
              <w:rPr>
                <w:rFonts w:cs="Times New Roman"/>
              </w:rPr>
            </w:pPr>
            <w:r w:rsidRPr="0064799F">
              <w:rPr>
                <w:rFonts w:cs="Times New Roman"/>
              </w:rPr>
              <w:t>25</w:t>
            </w:r>
          </w:p>
        </w:tc>
        <w:tc>
          <w:tcPr>
            <w:tcW w:w="458" w:type="pct"/>
            <w:tcBorders>
              <w:top w:val="nil"/>
              <w:left w:val="nil"/>
              <w:bottom w:val="single" w:sz="4" w:space="0" w:color="auto"/>
              <w:right w:val="nil"/>
            </w:tcBorders>
            <w:vAlign w:val="center"/>
          </w:tcPr>
          <w:p w14:paraId="394A6A54" w14:textId="77777777" w:rsidR="00211BBC" w:rsidRPr="0064799F" w:rsidRDefault="00211BBC" w:rsidP="00103CC5">
            <w:pPr>
              <w:jc w:val="center"/>
              <w:rPr>
                <w:rFonts w:cs="Times New Roman"/>
              </w:rPr>
            </w:pPr>
            <w:r w:rsidRPr="0064799F">
              <w:rPr>
                <w:rFonts w:cs="Times New Roman"/>
              </w:rPr>
              <w:t>35</w:t>
            </w:r>
          </w:p>
        </w:tc>
        <w:tc>
          <w:tcPr>
            <w:tcW w:w="459" w:type="pct"/>
            <w:tcBorders>
              <w:top w:val="nil"/>
              <w:left w:val="nil"/>
              <w:bottom w:val="single" w:sz="4" w:space="0" w:color="auto"/>
              <w:right w:val="nil"/>
            </w:tcBorders>
            <w:vAlign w:val="center"/>
          </w:tcPr>
          <w:p w14:paraId="76DDE2C5" w14:textId="77777777" w:rsidR="00211BBC" w:rsidRPr="0064799F" w:rsidRDefault="00211BBC" w:rsidP="00103CC5">
            <w:pPr>
              <w:jc w:val="center"/>
              <w:rPr>
                <w:rFonts w:cs="Times New Roman"/>
              </w:rPr>
            </w:pPr>
            <w:r w:rsidRPr="0064799F">
              <w:rPr>
                <w:rFonts w:cs="Times New Roman"/>
              </w:rPr>
              <w:t>26</w:t>
            </w:r>
          </w:p>
        </w:tc>
        <w:tc>
          <w:tcPr>
            <w:tcW w:w="171" w:type="pct"/>
            <w:tcBorders>
              <w:top w:val="nil"/>
              <w:left w:val="nil"/>
              <w:bottom w:val="single" w:sz="4" w:space="0" w:color="auto"/>
              <w:right w:val="nil"/>
            </w:tcBorders>
            <w:vAlign w:val="center"/>
          </w:tcPr>
          <w:p w14:paraId="395190A2" w14:textId="77777777" w:rsidR="00211BBC" w:rsidRPr="0064799F" w:rsidRDefault="00211BBC" w:rsidP="00103CC5">
            <w:pPr>
              <w:jc w:val="center"/>
              <w:rPr>
                <w:rFonts w:cs="Times New Roman"/>
              </w:rPr>
            </w:pPr>
          </w:p>
        </w:tc>
        <w:tc>
          <w:tcPr>
            <w:tcW w:w="449" w:type="pct"/>
            <w:tcBorders>
              <w:top w:val="nil"/>
              <w:left w:val="nil"/>
              <w:bottom w:val="single" w:sz="4" w:space="0" w:color="auto"/>
              <w:right w:val="nil"/>
            </w:tcBorders>
            <w:vAlign w:val="center"/>
          </w:tcPr>
          <w:p w14:paraId="09267471" w14:textId="77777777" w:rsidR="00211BBC" w:rsidRPr="0064799F" w:rsidRDefault="00211BBC" w:rsidP="00103CC5">
            <w:pPr>
              <w:jc w:val="center"/>
              <w:rPr>
                <w:rFonts w:cs="Times New Roman"/>
              </w:rPr>
            </w:pPr>
            <w:r w:rsidRPr="0064799F">
              <w:rPr>
                <w:rFonts w:cs="Times New Roman"/>
              </w:rPr>
              <w:t>ns</w:t>
            </w:r>
          </w:p>
        </w:tc>
        <w:tc>
          <w:tcPr>
            <w:tcW w:w="450" w:type="pct"/>
            <w:tcBorders>
              <w:top w:val="nil"/>
              <w:left w:val="nil"/>
              <w:bottom w:val="single" w:sz="4" w:space="0" w:color="auto"/>
              <w:right w:val="nil"/>
            </w:tcBorders>
            <w:vAlign w:val="center"/>
          </w:tcPr>
          <w:p w14:paraId="234DC182" w14:textId="77777777" w:rsidR="00211BBC" w:rsidRPr="0064799F" w:rsidRDefault="00211BBC" w:rsidP="00103CC5">
            <w:pPr>
              <w:jc w:val="center"/>
              <w:rPr>
                <w:rFonts w:cs="Times New Roman"/>
              </w:rPr>
            </w:pPr>
            <w:r w:rsidRPr="0064799F">
              <w:rPr>
                <w:rFonts w:cs="Times New Roman"/>
              </w:rPr>
              <w:t>ns</w:t>
            </w:r>
          </w:p>
        </w:tc>
        <w:tc>
          <w:tcPr>
            <w:tcW w:w="450" w:type="pct"/>
            <w:tcBorders>
              <w:top w:val="nil"/>
              <w:left w:val="nil"/>
              <w:bottom w:val="single" w:sz="4" w:space="0" w:color="auto"/>
              <w:right w:val="nil"/>
            </w:tcBorders>
            <w:vAlign w:val="center"/>
          </w:tcPr>
          <w:p w14:paraId="79056360" w14:textId="77777777" w:rsidR="00211BBC" w:rsidRPr="0064799F" w:rsidRDefault="00211BBC" w:rsidP="00103CC5">
            <w:pPr>
              <w:jc w:val="center"/>
              <w:rPr>
                <w:rFonts w:cs="Times New Roman"/>
              </w:rPr>
            </w:pPr>
            <w:r w:rsidRPr="0064799F">
              <w:rPr>
                <w:rFonts w:cs="Times New Roman"/>
              </w:rPr>
              <w:t>ns</w:t>
            </w:r>
          </w:p>
        </w:tc>
        <w:tc>
          <w:tcPr>
            <w:tcW w:w="449" w:type="pct"/>
            <w:tcBorders>
              <w:top w:val="nil"/>
              <w:left w:val="nil"/>
              <w:bottom w:val="single" w:sz="4" w:space="0" w:color="auto"/>
              <w:right w:val="nil"/>
            </w:tcBorders>
            <w:vAlign w:val="center"/>
          </w:tcPr>
          <w:p w14:paraId="5EC26132" w14:textId="77777777" w:rsidR="00211BBC" w:rsidRPr="0064799F" w:rsidRDefault="00211BBC" w:rsidP="00103CC5">
            <w:pPr>
              <w:jc w:val="center"/>
              <w:rPr>
                <w:rFonts w:cs="Times New Roman"/>
              </w:rPr>
            </w:pPr>
            <w:r w:rsidRPr="0064799F">
              <w:rPr>
                <w:rFonts w:cs="Times New Roman"/>
              </w:rPr>
              <w:t>14</w:t>
            </w:r>
          </w:p>
        </w:tc>
      </w:tr>
    </w:tbl>
    <w:p w14:paraId="3DFB5631" w14:textId="77777777" w:rsidR="00211BBC" w:rsidRDefault="00211BBC" w:rsidP="00211BBC">
      <w:pPr>
        <w:rPr>
          <w:rFonts w:cs="Times New Roman"/>
        </w:rPr>
      </w:pPr>
      <w:r w:rsidRPr="0064799F">
        <w:rPr>
          <w:rFonts w:cs="Times New Roman"/>
          <w:vertAlign w:val="superscript"/>
        </w:rPr>
        <w:t>z</w:t>
      </w:r>
      <w:r w:rsidRPr="0064799F">
        <w:rPr>
          <w:rFonts w:cs="Times New Roman"/>
        </w:rPr>
        <w:t xml:space="preserve"> Abbreviations: WAIT = weeks after initial treatment</w:t>
      </w:r>
      <w:r>
        <w:rPr>
          <w:rFonts w:cs="Times New Roman"/>
        </w:rPr>
        <w:t>; ns = non-significant.</w:t>
      </w:r>
    </w:p>
    <w:p w14:paraId="6E266140" w14:textId="2B3ABF35" w:rsidR="00211BBC" w:rsidRPr="00406B30" w:rsidRDefault="00211BBC" w:rsidP="00211BBC">
      <w:pPr>
        <w:rPr>
          <w:rFonts w:cs="Times New Roman"/>
        </w:rPr>
        <w:sectPr w:rsidR="00211BBC" w:rsidRPr="00406B30" w:rsidSect="00211BBC">
          <w:pgSz w:w="15840" w:h="12240" w:orient="landscape"/>
          <w:pgMar w:top="1440" w:right="1440" w:bottom="1440" w:left="1440" w:header="720" w:footer="720" w:gutter="0"/>
          <w:cols w:space="720"/>
          <w:docGrid w:linePitch="360"/>
        </w:sectPr>
      </w:pPr>
      <w:r>
        <w:rPr>
          <w:rFonts w:cs="Times New Roman"/>
          <w:vertAlign w:val="superscript"/>
        </w:rPr>
        <w:t>y</w:t>
      </w:r>
      <w:r>
        <w:rPr>
          <w:rFonts w:cs="Times New Roman"/>
        </w:rPr>
        <w:t xml:space="preserve"> ***, **, * significant at p ≤ 0.001, 0.01, and 0.05, respective</w:t>
      </w:r>
      <w:r w:rsidR="00DF70E0">
        <w:rPr>
          <w:rFonts w:cs="Times New Roman"/>
        </w:rPr>
        <w:t>ly.</w:t>
      </w:r>
    </w:p>
    <w:p w14:paraId="077D70F6" w14:textId="77777777" w:rsidR="00493F8A" w:rsidRDefault="00CE3A3E" w:rsidP="000C799B">
      <w:pPr>
        <w:pStyle w:val="Heading1"/>
        <w:spacing w:line="360" w:lineRule="auto"/>
      </w:pPr>
      <w:bookmarkStart w:id="63" w:name="_Toc289175833"/>
      <w:bookmarkStart w:id="64" w:name="_Toc192766950"/>
      <w:bookmarkStart w:id="65" w:name="_Toc192781552"/>
      <w:r w:rsidRPr="00493F8A">
        <w:lastRenderedPageBreak/>
        <w:t>CHAPTER I</w:t>
      </w:r>
      <w:r w:rsidR="00236E6D" w:rsidRPr="00493F8A">
        <w:t>I</w:t>
      </w:r>
      <w:bookmarkEnd w:id="63"/>
      <w:bookmarkEnd w:id="64"/>
      <w:bookmarkEnd w:id="65"/>
    </w:p>
    <w:p w14:paraId="38BBEA44" w14:textId="55D92C18" w:rsidR="00634D11" w:rsidRPr="00493F8A" w:rsidRDefault="00634D11" w:rsidP="000C799B">
      <w:pPr>
        <w:pStyle w:val="Heading1"/>
        <w:spacing w:line="360" w:lineRule="auto"/>
      </w:pPr>
      <w:bookmarkStart w:id="66" w:name="_Toc192771483"/>
      <w:bookmarkStart w:id="67" w:name="_Toc192777586"/>
      <w:bookmarkStart w:id="68" w:name="_Toc192781553"/>
      <w:r w:rsidRPr="00493F8A">
        <w:t>SOIL TEXTURE EFFECTS ON TETFLUPYROLIMET EFFICACY IN</w:t>
      </w:r>
      <w:r w:rsidR="00C32FF2" w:rsidRPr="00493F8A">
        <w:t xml:space="preserve"> </w:t>
      </w:r>
      <w:r w:rsidRPr="00493F8A">
        <w:t>TURFGRASS</w:t>
      </w:r>
      <w:bookmarkEnd w:id="66"/>
      <w:bookmarkEnd w:id="67"/>
      <w:bookmarkEnd w:id="68"/>
    </w:p>
    <w:p w14:paraId="038D8512" w14:textId="77777777" w:rsidR="00634D11" w:rsidRPr="00634D11" w:rsidRDefault="00634D11" w:rsidP="00634D11">
      <w:pPr>
        <w:spacing w:line="360" w:lineRule="auto"/>
        <w:rPr>
          <w:rFonts w:cs="Times New Roman"/>
        </w:rPr>
      </w:pPr>
    </w:p>
    <w:p w14:paraId="0EC56235" w14:textId="77777777" w:rsidR="00F71ADC" w:rsidRPr="00634D11" w:rsidRDefault="00CE3A3E" w:rsidP="00634D11">
      <w:pPr>
        <w:spacing w:line="360" w:lineRule="auto"/>
        <w:rPr>
          <w:rFonts w:cs="Times New Roman"/>
          <w:sz w:val="28"/>
          <w:szCs w:val="28"/>
        </w:rPr>
      </w:pPr>
      <w:r w:rsidRPr="00634D11">
        <w:rPr>
          <w:rFonts w:cs="Times New Roman"/>
          <w:sz w:val="28"/>
          <w:szCs w:val="28"/>
        </w:rPr>
        <w:br w:type="page"/>
      </w:r>
    </w:p>
    <w:p w14:paraId="1E62C17F" w14:textId="006FB7CD" w:rsidR="003012A9" w:rsidRPr="003012A9" w:rsidRDefault="003012A9" w:rsidP="00D018FE">
      <w:pPr>
        <w:spacing w:line="360" w:lineRule="auto"/>
        <w:ind w:firstLine="720"/>
        <w:rPr>
          <w:rFonts w:cs="Times New Roman"/>
        </w:rPr>
      </w:pPr>
      <w:bookmarkStart w:id="69" w:name="_Toc289175834"/>
      <w:r w:rsidRPr="0028389F">
        <w:rPr>
          <w:rFonts w:cs="Times New Roman"/>
        </w:rPr>
        <w:lastRenderedPageBreak/>
        <w:t xml:space="preserve">A version of this chapter was </w:t>
      </w:r>
      <w:r w:rsidR="00F947BA">
        <w:rPr>
          <w:rFonts w:cs="Times New Roman"/>
        </w:rPr>
        <w:t xml:space="preserve">submitted for publication to </w:t>
      </w:r>
      <w:r w:rsidR="006F2B6E" w:rsidRPr="006F2B6E">
        <w:rPr>
          <w:rFonts w:cs="Times New Roman"/>
        </w:rPr>
        <w:t>Weed Science</w:t>
      </w:r>
      <w:r w:rsidR="00F947BA" w:rsidRPr="006F2B6E">
        <w:rPr>
          <w:rFonts w:cs="Times New Roman"/>
        </w:rPr>
        <w:t xml:space="preserve"> on </w:t>
      </w:r>
      <w:r w:rsidR="0028389F" w:rsidRPr="006F2B6E">
        <w:rPr>
          <w:rFonts w:cs="Times New Roman"/>
        </w:rPr>
        <w:t>1</w:t>
      </w:r>
      <w:r w:rsidR="006F2B6E" w:rsidRPr="006F2B6E">
        <w:rPr>
          <w:rFonts w:cs="Times New Roman"/>
        </w:rPr>
        <w:t>4</w:t>
      </w:r>
      <w:r w:rsidR="0028389F" w:rsidRPr="006F2B6E">
        <w:rPr>
          <w:rFonts w:cs="Times New Roman"/>
        </w:rPr>
        <w:t xml:space="preserve"> </w:t>
      </w:r>
      <w:r w:rsidR="006F2B6E" w:rsidRPr="006F2B6E">
        <w:rPr>
          <w:rFonts w:cs="Times New Roman"/>
        </w:rPr>
        <w:t>April</w:t>
      </w:r>
      <w:r w:rsidR="0028389F" w:rsidRPr="006F2B6E">
        <w:rPr>
          <w:rFonts w:cs="Times New Roman"/>
        </w:rPr>
        <w:t xml:space="preserve"> 2025</w:t>
      </w:r>
      <w:r w:rsidRPr="003012A9">
        <w:rPr>
          <w:rFonts w:cs="Times New Roman"/>
        </w:rPr>
        <w:t xml:space="preserve"> by Benjamin D. Pritchard, </w:t>
      </w:r>
      <w:r w:rsidR="00BE2832" w:rsidRPr="003012A9">
        <w:rPr>
          <w:rFonts w:cs="Times New Roman"/>
        </w:rPr>
        <w:t>Travis W. Gannon</w:t>
      </w:r>
      <w:r w:rsidRPr="003012A9">
        <w:rPr>
          <w:rFonts w:cs="Times New Roman"/>
        </w:rPr>
        <w:t xml:space="preserve">, </w:t>
      </w:r>
      <w:r w:rsidR="00BE2832">
        <w:rPr>
          <w:rFonts w:cs="Times New Roman"/>
        </w:rPr>
        <w:t xml:space="preserve">David M. Butler, </w:t>
      </w:r>
      <w:r w:rsidRPr="003012A9">
        <w:rPr>
          <w:rFonts w:cs="Times New Roman"/>
        </w:rPr>
        <w:t xml:space="preserve">Rebecca G. Bowling, </w:t>
      </w:r>
      <w:r w:rsidR="00BE2832">
        <w:rPr>
          <w:rFonts w:cs="Times New Roman"/>
        </w:rPr>
        <w:t>Atul Puri</w:t>
      </w:r>
      <w:r w:rsidRPr="003012A9">
        <w:rPr>
          <w:rFonts w:cs="Times New Roman"/>
        </w:rPr>
        <w:t>, and James T. Brosnan:</w:t>
      </w:r>
    </w:p>
    <w:p w14:paraId="4DA5E7BF" w14:textId="4667C84E" w:rsidR="003012A9" w:rsidRPr="003012A9" w:rsidRDefault="003012A9" w:rsidP="00D018FE">
      <w:pPr>
        <w:spacing w:line="360" w:lineRule="auto"/>
        <w:rPr>
          <w:rFonts w:cs="Times New Roman"/>
        </w:rPr>
      </w:pPr>
      <w:r w:rsidRPr="003012A9">
        <w:rPr>
          <w:rFonts w:cs="Times New Roman"/>
        </w:rPr>
        <w:tab/>
      </w:r>
      <w:r w:rsidR="0028389F">
        <w:rPr>
          <w:rFonts w:cs="Times New Roman"/>
        </w:rPr>
        <w:t xml:space="preserve">Pritchard BD, Gannon TW, Butler DM, Bowling RG, Puri A, and Brosnan JT. (2025). Soil Texture Effects on Tetflupyrolimet Efficacy in Turfgrass. </w:t>
      </w:r>
      <w:r w:rsidR="00FF11F5">
        <w:rPr>
          <w:rFonts w:cs="Times New Roman"/>
          <w:i/>
          <w:iCs/>
        </w:rPr>
        <w:t>Weed Science</w:t>
      </w:r>
      <w:r w:rsidR="0028389F">
        <w:rPr>
          <w:rFonts w:cs="Times New Roman"/>
        </w:rPr>
        <w:t>. In Review.</w:t>
      </w:r>
    </w:p>
    <w:p w14:paraId="0EC56236" w14:textId="072AE82C" w:rsidR="00236E6D" w:rsidRPr="00D018FE" w:rsidRDefault="003012A9" w:rsidP="00D018FE">
      <w:pPr>
        <w:spacing w:line="360" w:lineRule="auto"/>
        <w:ind w:firstLine="720"/>
        <w:rPr>
          <w:rFonts w:cs="Times New Roman"/>
          <w:b/>
          <w:bCs/>
          <w:iCs/>
        </w:rPr>
      </w:pPr>
      <w:r w:rsidRPr="003012A9">
        <w:rPr>
          <w:rFonts w:cs="Times New Roman"/>
        </w:rPr>
        <w:t xml:space="preserve">The publishing of this article involved an extensive peer-review process that improved the quality of the manuscript and allowed the authors to develop deeper hypotheses, arguments, and quality research methodology. The publishing of this article involved six authors from the University of Tennessee Department of Plant Sciences, North Carolina State University Department of Crop and Soil Science, and FMC </w:t>
      </w:r>
      <w:r w:rsidR="00D36CBD">
        <w:rPr>
          <w:rFonts w:cs="Times New Roman"/>
        </w:rPr>
        <w:t>Corporation</w:t>
      </w:r>
      <w:r w:rsidRPr="003012A9">
        <w:rPr>
          <w:rFonts w:cs="Times New Roman"/>
        </w:rPr>
        <w:t>. All authors made conceptual or technical contributions relative to their area of expertise. My primary contributions to this paper include (</w:t>
      </w:r>
      <w:proofErr w:type="spellStart"/>
      <w:r w:rsidRPr="003012A9">
        <w:rPr>
          <w:rFonts w:cs="Times New Roman"/>
        </w:rPr>
        <w:t>i</w:t>
      </w:r>
      <w:proofErr w:type="spellEnd"/>
      <w:r w:rsidRPr="003012A9">
        <w:rPr>
          <w:rFonts w:cs="Times New Roman"/>
        </w:rPr>
        <w:t xml:space="preserve">) reading literature, (ii) writing the manuscript, (iii) conducting the research, (iv) </w:t>
      </w:r>
      <w:proofErr w:type="spellStart"/>
      <w:r w:rsidRPr="003012A9">
        <w:rPr>
          <w:rFonts w:cs="Times New Roman"/>
        </w:rPr>
        <w:t>analysing</w:t>
      </w:r>
      <w:proofErr w:type="spellEnd"/>
      <w:r w:rsidRPr="003012A9">
        <w:rPr>
          <w:rFonts w:cs="Times New Roman"/>
        </w:rPr>
        <w:t xml:space="preserve"> data, and (v) revising during the review process.</w:t>
      </w:r>
      <w:r>
        <w:rPr>
          <w:rFonts w:cs="Times New Roman"/>
        </w:rPr>
        <w:br w:type="page"/>
      </w:r>
      <w:bookmarkStart w:id="70" w:name="_Toc192766951"/>
      <w:bookmarkStart w:id="71" w:name="_Toc192781554"/>
      <w:r w:rsidR="00F373B2" w:rsidRPr="00D018FE">
        <w:rPr>
          <w:b/>
          <w:bCs/>
        </w:rPr>
        <w:lastRenderedPageBreak/>
        <w:t>A</w:t>
      </w:r>
      <w:bookmarkEnd w:id="69"/>
      <w:bookmarkEnd w:id="70"/>
      <w:r w:rsidR="005F45DC" w:rsidRPr="00D018FE">
        <w:rPr>
          <w:b/>
          <w:bCs/>
        </w:rPr>
        <w:t>bstract</w:t>
      </w:r>
      <w:bookmarkEnd w:id="71"/>
    </w:p>
    <w:p w14:paraId="3CC29ED6" w14:textId="64A0D698" w:rsidR="00FA10A1" w:rsidRPr="000C799B" w:rsidRDefault="000F3877" w:rsidP="000C799B">
      <w:pPr>
        <w:spacing w:line="360" w:lineRule="auto"/>
        <w:ind w:firstLine="720"/>
      </w:pPr>
      <w:bookmarkStart w:id="72" w:name="_Toc289175835"/>
      <w:bookmarkStart w:id="73" w:name="_Toc192766952"/>
      <w:r w:rsidRPr="000F3877">
        <w:t>Tetflupyrolimet is a novel herbicide that inhibits dihydroorotate dehydrogenase (DHODH), interfering with de novo pyrimidine biosynthesis in susceptible plants. While tetflupyrolimet efficacy for preemergence grassy weed control in rice (</w:t>
      </w:r>
      <w:r w:rsidRPr="000F3877">
        <w:rPr>
          <w:i/>
        </w:rPr>
        <w:t>Oryza sativa</w:t>
      </w:r>
      <w:r w:rsidRPr="000F3877">
        <w:t xml:space="preserve"> L.) and managed turfgrass systems has been explored, there is minimal information regarding effects that edaphic factors may have on activity, particularly those pertaining to soil hydraulics.</w:t>
      </w:r>
      <w:r>
        <w:t xml:space="preserve"> </w:t>
      </w:r>
      <w:r w:rsidRPr="000F3877">
        <w:t xml:space="preserve">Dose-response experiments revealed 6- to 8-fold differences in tetflupyrolimet activity on </w:t>
      </w:r>
      <w:r w:rsidRPr="000F3877">
        <w:rPr>
          <w:i/>
        </w:rPr>
        <w:t>Poa annua</w:t>
      </w:r>
      <w:r w:rsidRPr="000F3877">
        <w:t xml:space="preserve"> due to soil texture, with higher activity reported following applications to sand compared to clay loam. Higher tetflupyrolimet activity in sand could be related to matric potential as activity following applications to plants growing in sand exceeded that observed on clay loam across a wide range of volumetric moisture contents (15 to 80%). Once volumetric moisture content increased to &gt; 80%, no differences in tetflupyrolimet activity were detected between soils, suggesting that post-application irrigation could mitigate potential reductions in efficacy on finer-textured soils when moisture is limited.</w:t>
      </w:r>
      <w:r>
        <w:t xml:space="preserve"> </w:t>
      </w:r>
      <w:r w:rsidRPr="000F3877">
        <w:t>These findings underscore that soil texture, and consequently moisture retention, affect tetflupyrolimet activity to the extent that application rates should vary based on soil texture in turfgrass systems. Further research exploring a broader range of soil types and field conditions is warranted to refine tetflupyrolimet rate recommendations based on soil type.</w:t>
      </w:r>
      <w:bookmarkStart w:id="74" w:name="_Toc192781555"/>
      <w:bookmarkEnd w:id="72"/>
      <w:bookmarkEnd w:id="73"/>
    </w:p>
    <w:p w14:paraId="0EC5624F" w14:textId="79B8AC9B" w:rsidR="00236E6D" w:rsidRPr="00FA10A1" w:rsidRDefault="00F373B2" w:rsidP="00FA10A1">
      <w:pPr>
        <w:spacing w:line="360" w:lineRule="auto"/>
        <w:jc w:val="center"/>
        <w:rPr>
          <w:b/>
          <w:bCs/>
        </w:rPr>
      </w:pPr>
      <w:r w:rsidRPr="00FA10A1">
        <w:rPr>
          <w:b/>
          <w:bCs/>
        </w:rPr>
        <w:t>I</w:t>
      </w:r>
      <w:r w:rsidR="005F45DC" w:rsidRPr="00FA10A1">
        <w:rPr>
          <w:b/>
          <w:bCs/>
        </w:rPr>
        <w:t>ntroduction</w:t>
      </w:r>
      <w:bookmarkEnd w:id="74"/>
    </w:p>
    <w:p w14:paraId="6B3D0EA7" w14:textId="5DB1B5A1" w:rsidR="000F3877" w:rsidRPr="000F3877" w:rsidRDefault="000F3877" w:rsidP="00327D85">
      <w:pPr>
        <w:spacing w:line="360" w:lineRule="auto"/>
        <w:ind w:firstLine="720"/>
        <w:rPr>
          <w:rFonts w:cs="Times New Roman"/>
        </w:rPr>
      </w:pPr>
      <w:r w:rsidRPr="000F3877">
        <w:rPr>
          <w:rFonts w:cs="Times New Roman"/>
        </w:rPr>
        <w:t>Tetflupyrolimet is a new herbicide with a unique mode of action (HRAC Group #28) that inhibits de novo pyrimidine biosynthesis in susceptible plants</w:t>
      </w:r>
      <w:r w:rsidR="001F7AC4">
        <w:rPr>
          <w:rFonts w:cs="Times New Roman"/>
        </w:rPr>
        <w:t xml:space="preserve"> (Kang et al. 2023).</w:t>
      </w:r>
      <w:r w:rsidRPr="000F3877">
        <w:rPr>
          <w:rFonts w:cs="Times New Roman"/>
        </w:rPr>
        <w:t xml:space="preserve"> The herbicide binds to dihydroorotate dehydrogenase (DHODH), an enzyme on the outer surface of the inner mitochondrial membran</w:t>
      </w:r>
      <w:r w:rsidR="001F7AC4">
        <w:rPr>
          <w:rFonts w:cs="Times New Roman"/>
        </w:rPr>
        <w:t>e (Reis et al. 2017)</w:t>
      </w:r>
      <w:r w:rsidRPr="000F3877">
        <w:rPr>
          <w:rFonts w:cs="Times New Roman"/>
        </w:rPr>
        <w:t xml:space="preserve">, thereby obstructing the ubiquinone-mediated oxidation of </w:t>
      </w:r>
      <w:proofErr w:type="spellStart"/>
      <w:r w:rsidRPr="000F3877">
        <w:rPr>
          <w:rFonts w:cs="Times New Roman"/>
        </w:rPr>
        <w:t>dihydroorate</w:t>
      </w:r>
      <w:proofErr w:type="spellEnd"/>
      <w:r w:rsidRPr="000F3877">
        <w:rPr>
          <w:rFonts w:cs="Times New Roman"/>
        </w:rPr>
        <w:t xml:space="preserve"> to orotate</w:t>
      </w:r>
      <w:r w:rsidR="00F91120">
        <w:rPr>
          <w:rFonts w:cs="Times New Roman"/>
        </w:rPr>
        <w:t xml:space="preserve"> (</w:t>
      </w:r>
      <w:proofErr w:type="spellStart"/>
      <w:r w:rsidR="00F91120">
        <w:rPr>
          <w:rFonts w:cs="Times New Roman"/>
        </w:rPr>
        <w:t>Zrenner</w:t>
      </w:r>
      <w:proofErr w:type="spellEnd"/>
      <w:r w:rsidR="00F91120">
        <w:rPr>
          <w:rFonts w:cs="Times New Roman"/>
        </w:rPr>
        <w:t xml:space="preserve"> et al. 2006).</w:t>
      </w:r>
      <w:r w:rsidRPr="000F3877">
        <w:rPr>
          <w:rFonts w:cs="Times New Roman"/>
        </w:rPr>
        <w:t xml:space="preserve"> This action renders tetflupyrolimet an effective option for preemergence (PRE) control of annual grassy weeds in rice (</w:t>
      </w:r>
      <w:r w:rsidRPr="000F3877">
        <w:rPr>
          <w:rFonts w:cs="Times New Roman"/>
          <w:i/>
          <w:iCs/>
        </w:rPr>
        <w:t>Oryza sativa</w:t>
      </w:r>
      <w:r w:rsidRPr="000F3877">
        <w:rPr>
          <w:rFonts w:cs="Times New Roman"/>
        </w:rPr>
        <w:t xml:space="preserve"> L.), including </w:t>
      </w:r>
      <w:proofErr w:type="spellStart"/>
      <w:r w:rsidRPr="000F3877">
        <w:rPr>
          <w:rFonts w:cs="Times New Roman"/>
        </w:rPr>
        <w:t>barnyardgrass</w:t>
      </w:r>
      <w:proofErr w:type="spellEnd"/>
      <w:r w:rsidRPr="000F3877">
        <w:rPr>
          <w:rFonts w:cs="Times New Roman"/>
        </w:rPr>
        <w:t xml:space="preserve"> [</w:t>
      </w:r>
      <w:proofErr w:type="spellStart"/>
      <w:r w:rsidRPr="000F3877">
        <w:rPr>
          <w:rFonts w:cs="Times New Roman"/>
          <w:i/>
          <w:iCs/>
        </w:rPr>
        <w:t>Echinochloa</w:t>
      </w:r>
      <w:proofErr w:type="spellEnd"/>
      <w:r w:rsidRPr="000F3877">
        <w:rPr>
          <w:rFonts w:cs="Times New Roman"/>
          <w:i/>
          <w:iCs/>
        </w:rPr>
        <w:t xml:space="preserve"> crus-galli</w:t>
      </w:r>
      <w:r w:rsidRPr="000F3877">
        <w:rPr>
          <w:rFonts w:cs="Times New Roman"/>
        </w:rPr>
        <w:t xml:space="preserve"> (L.) P. </w:t>
      </w:r>
      <w:proofErr w:type="spellStart"/>
      <w:r w:rsidRPr="000F3877">
        <w:rPr>
          <w:rFonts w:cs="Times New Roman"/>
        </w:rPr>
        <w:t>Beauv</w:t>
      </w:r>
      <w:proofErr w:type="spellEnd"/>
      <w:r w:rsidRPr="000F3877">
        <w:rPr>
          <w:rFonts w:cs="Times New Roman"/>
        </w:rPr>
        <w:t xml:space="preserve">.] and </w:t>
      </w:r>
      <w:proofErr w:type="spellStart"/>
      <w:r w:rsidRPr="000F3877">
        <w:rPr>
          <w:rFonts w:cs="Times New Roman"/>
        </w:rPr>
        <w:t>junglerice</w:t>
      </w:r>
      <w:proofErr w:type="spellEnd"/>
      <w:r w:rsidRPr="000F3877">
        <w:rPr>
          <w:rFonts w:cs="Times New Roman"/>
        </w:rPr>
        <w:t xml:space="preserve"> [</w:t>
      </w:r>
      <w:proofErr w:type="spellStart"/>
      <w:r w:rsidRPr="000F3877">
        <w:rPr>
          <w:rFonts w:cs="Times New Roman"/>
          <w:i/>
          <w:iCs/>
        </w:rPr>
        <w:t>Echinochloa</w:t>
      </w:r>
      <w:proofErr w:type="spellEnd"/>
      <w:r w:rsidRPr="000F3877">
        <w:rPr>
          <w:rFonts w:cs="Times New Roman"/>
          <w:i/>
          <w:iCs/>
        </w:rPr>
        <w:t xml:space="preserve"> </w:t>
      </w:r>
      <w:proofErr w:type="spellStart"/>
      <w:r w:rsidRPr="000F3877">
        <w:rPr>
          <w:rFonts w:cs="Times New Roman"/>
          <w:i/>
          <w:iCs/>
        </w:rPr>
        <w:t>colona</w:t>
      </w:r>
      <w:proofErr w:type="spellEnd"/>
      <w:r w:rsidRPr="000F3877">
        <w:rPr>
          <w:rFonts w:cs="Times New Roman"/>
          <w:i/>
          <w:iCs/>
        </w:rPr>
        <w:t xml:space="preserve"> </w:t>
      </w:r>
      <w:r w:rsidRPr="000F3877">
        <w:rPr>
          <w:rFonts w:cs="Times New Roman"/>
        </w:rPr>
        <w:t>(L.) Link]</w:t>
      </w:r>
      <w:r w:rsidR="009F120D">
        <w:rPr>
          <w:rFonts w:cs="Times New Roman"/>
        </w:rPr>
        <w:t xml:space="preserve"> (Castner et al. 2024a; Whitt et al. 2024).</w:t>
      </w:r>
    </w:p>
    <w:p w14:paraId="20680545" w14:textId="6367A00E" w:rsidR="000F3877" w:rsidRPr="000F3877" w:rsidRDefault="000F3877" w:rsidP="001C4124">
      <w:pPr>
        <w:spacing w:line="360" w:lineRule="auto"/>
        <w:rPr>
          <w:rFonts w:cs="Times New Roman"/>
          <w:vertAlign w:val="superscript"/>
        </w:rPr>
      </w:pPr>
      <w:r w:rsidRPr="000F3877">
        <w:rPr>
          <w:rFonts w:cs="Times New Roman"/>
        </w:rPr>
        <w:tab/>
        <w:t xml:space="preserve">In turfgrass systems, tetflupyrolimet offers a novel mode of action for effective PRE control of </w:t>
      </w:r>
      <w:r w:rsidRPr="000F3877">
        <w:rPr>
          <w:rFonts w:cs="Times New Roman"/>
          <w:i/>
          <w:iCs/>
        </w:rPr>
        <w:t>Poa annua</w:t>
      </w:r>
      <w:r w:rsidRPr="000F3877">
        <w:rPr>
          <w:rFonts w:cs="Times New Roman"/>
        </w:rPr>
        <w:t xml:space="preserve"> and smooth crabgrass [</w:t>
      </w:r>
      <w:proofErr w:type="spellStart"/>
      <w:r w:rsidRPr="000F3877">
        <w:rPr>
          <w:rFonts w:cs="Times New Roman"/>
          <w:i/>
          <w:iCs/>
        </w:rPr>
        <w:t>Digitaria</w:t>
      </w:r>
      <w:proofErr w:type="spellEnd"/>
      <w:r w:rsidRPr="000F3877">
        <w:rPr>
          <w:rFonts w:cs="Times New Roman"/>
          <w:i/>
          <w:iCs/>
        </w:rPr>
        <w:t xml:space="preserve"> </w:t>
      </w:r>
      <w:proofErr w:type="spellStart"/>
      <w:r w:rsidRPr="000F3877">
        <w:rPr>
          <w:rFonts w:cs="Times New Roman"/>
          <w:i/>
          <w:iCs/>
        </w:rPr>
        <w:t>ischaemum</w:t>
      </w:r>
      <w:proofErr w:type="spellEnd"/>
      <w:r w:rsidRPr="000F3877">
        <w:rPr>
          <w:rFonts w:cs="Times New Roman"/>
        </w:rPr>
        <w:t xml:space="preserve"> (</w:t>
      </w:r>
      <w:proofErr w:type="spellStart"/>
      <w:r w:rsidRPr="000F3877">
        <w:rPr>
          <w:rFonts w:cs="Times New Roman"/>
        </w:rPr>
        <w:t>Schreb</w:t>
      </w:r>
      <w:proofErr w:type="spellEnd"/>
      <w:r w:rsidRPr="000F3877">
        <w:rPr>
          <w:rFonts w:cs="Times New Roman"/>
        </w:rPr>
        <w:t xml:space="preserve">.) </w:t>
      </w:r>
      <w:proofErr w:type="spellStart"/>
      <w:r w:rsidRPr="000F3877">
        <w:rPr>
          <w:rFonts w:cs="Times New Roman"/>
        </w:rPr>
        <w:t>Schreb</w:t>
      </w:r>
      <w:proofErr w:type="spellEnd"/>
      <w:r w:rsidRPr="000F3877">
        <w:rPr>
          <w:rFonts w:cs="Times New Roman"/>
        </w:rPr>
        <w:t xml:space="preserve">. </w:t>
      </w:r>
      <w:proofErr w:type="spellStart"/>
      <w:r w:rsidRPr="000F3877">
        <w:rPr>
          <w:rFonts w:cs="Times New Roman"/>
        </w:rPr>
        <w:t>ex Muhl</w:t>
      </w:r>
      <w:proofErr w:type="spellEnd"/>
      <w:r w:rsidRPr="000F3877">
        <w:rPr>
          <w:rFonts w:cs="Times New Roman"/>
        </w:rPr>
        <w:t>.] for 11 to 13 weeks</w:t>
      </w:r>
      <w:r w:rsidR="009F120D">
        <w:rPr>
          <w:rFonts w:cs="Times New Roman"/>
        </w:rPr>
        <w:t xml:space="preserve"> (Pritchard et al. 202</w:t>
      </w:r>
      <w:r w:rsidR="00577BCF">
        <w:rPr>
          <w:rFonts w:cs="Times New Roman"/>
        </w:rPr>
        <w:t>5</w:t>
      </w:r>
      <w:r w:rsidR="009F120D">
        <w:rPr>
          <w:rFonts w:cs="Times New Roman"/>
        </w:rPr>
        <w:t>).</w:t>
      </w:r>
      <w:r w:rsidRPr="000F3877">
        <w:rPr>
          <w:rFonts w:cs="Times New Roman"/>
        </w:rPr>
        <w:t xml:space="preserve"> Given that herbicide resistance is an emerging issue in managed turfgrass, particularly within </w:t>
      </w:r>
      <w:r w:rsidRPr="000F3877">
        <w:rPr>
          <w:rFonts w:cs="Times New Roman"/>
          <w:i/>
          <w:iCs/>
        </w:rPr>
        <w:t>Poa annu</w:t>
      </w:r>
      <w:r w:rsidR="009F120D">
        <w:rPr>
          <w:rFonts w:cs="Times New Roman"/>
          <w:i/>
          <w:iCs/>
        </w:rPr>
        <w:t xml:space="preserve">a </w:t>
      </w:r>
      <w:r w:rsidR="009F120D">
        <w:rPr>
          <w:rFonts w:cs="Times New Roman"/>
        </w:rPr>
        <w:t xml:space="preserve">(Brosnan et al. 2020; McCurdy et al. 2023; </w:t>
      </w:r>
      <w:r w:rsidR="009F120D">
        <w:rPr>
          <w:rFonts w:cs="Times New Roman"/>
        </w:rPr>
        <w:lastRenderedPageBreak/>
        <w:t>Rutland et al. 2023)</w:t>
      </w:r>
      <w:r w:rsidRPr="000F3877">
        <w:rPr>
          <w:rFonts w:cs="Times New Roman"/>
        </w:rPr>
        <w:t>, tetflupyrolimet offers a new herbicide for resistance management, particularly in warm-season turfgrasses. No injury was observed following tetflupyrolimet applications up to 4800 g ha</w:t>
      </w:r>
      <w:r w:rsidRPr="000F3877">
        <w:rPr>
          <w:rFonts w:cs="Times New Roman"/>
          <w:vertAlign w:val="superscript"/>
        </w:rPr>
        <w:t xml:space="preserve">-1 </w:t>
      </w:r>
      <w:r w:rsidRPr="000F3877">
        <w:rPr>
          <w:rFonts w:cs="Times New Roman"/>
        </w:rPr>
        <w:t>on hybrid bermudagrass [</w:t>
      </w:r>
      <w:r w:rsidRPr="000F3877">
        <w:rPr>
          <w:rFonts w:cs="Times New Roman"/>
          <w:i/>
          <w:iCs/>
        </w:rPr>
        <w:t>C. dactylon</w:t>
      </w:r>
      <w:r w:rsidRPr="000F3877">
        <w:rPr>
          <w:rFonts w:cs="Times New Roman"/>
        </w:rPr>
        <w:t xml:space="preserve"> (L.) Pers. x </w:t>
      </w:r>
      <w:r w:rsidRPr="000F3877">
        <w:rPr>
          <w:rFonts w:cs="Times New Roman"/>
          <w:i/>
          <w:iCs/>
        </w:rPr>
        <w:t xml:space="preserve">C. </w:t>
      </w:r>
      <w:proofErr w:type="spellStart"/>
      <w:r w:rsidRPr="000F3877">
        <w:rPr>
          <w:rFonts w:cs="Times New Roman"/>
          <w:i/>
          <w:iCs/>
        </w:rPr>
        <w:t>transvaalensis</w:t>
      </w:r>
      <w:proofErr w:type="spellEnd"/>
      <w:r w:rsidRPr="000F3877">
        <w:rPr>
          <w:rFonts w:cs="Times New Roman"/>
        </w:rPr>
        <w:t xml:space="preserve"> Burtt-Davy] or </w:t>
      </w:r>
      <w:proofErr w:type="spellStart"/>
      <w:r w:rsidRPr="000F3877">
        <w:rPr>
          <w:rFonts w:cs="Times New Roman"/>
        </w:rPr>
        <w:t>manilagrass</w:t>
      </w:r>
      <w:proofErr w:type="spellEnd"/>
      <w:r w:rsidRPr="000F3877">
        <w:rPr>
          <w:rFonts w:cs="Times New Roman"/>
        </w:rPr>
        <w:t xml:space="preserve"> (</w:t>
      </w:r>
      <w:r w:rsidRPr="000F3877">
        <w:rPr>
          <w:rFonts w:cs="Times New Roman"/>
          <w:i/>
          <w:iCs/>
        </w:rPr>
        <w:t xml:space="preserve">Zoysia </w:t>
      </w:r>
      <w:proofErr w:type="spellStart"/>
      <w:r w:rsidRPr="000F3877">
        <w:rPr>
          <w:rFonts w:cs="Times New Roman"/>
          <w:i/>
          <w:iCs/>
        </w:rPr>
        <w:t>matrella</w:t>
      </w:r>
      <w:proofErr w:type="spellEnd"/>
      <w:r w:rsidRPr="000F3877">
        <w:rPr>
          <w:rFonts w:cs="Times New Roman"/>
        </w:rPr>
        <w:t xml:space="preserve"> L. </w:t>
      </w:r>
      <w:proofErr w:type="spellStart"/>
      <w:r w:rsidRPr="000F3877">
        <w:rPr>
          <w:rFonts w:cs="Times New Roman"/>
        </w:rPr>
        <w:t>Merr</w:t>
      </w:r>
      <w:proofErr w:type="spellEnd"/>
      <w:r w:rsidRPr="000F3877">
        <w:rPr>
          <w:rFonts w:cs="Times New Roman"/>
        </w:rPr>
        <w:t>.).</w:t>
      </w:r>
      <w:r w:rsidRPr="000F3877">
        <w:rPr>
          <w:rFonts w:cs="Times New Roman"/>
          <w:vertAlign w:val="superscript"/>
        </w:rPr>
        <w:t>6</w:t>
      </w:r>
      <w:r w:rsidRPr="000F3877">
        <w:rPr>
          <w:rFonts w:cs="Times New Roman"/>
        </w:rPr>
        <w:t xml:space="preserve"> Weed control and turfgrass tolerance with tetflupyrolimet could satisfy desires amongst turfgrass managers for new herbicides to quell resistance concerns</w:t>
      </w:r>
      <w:r w:rsidR="007E6110">
        <w:rPr>
          <w:rFonts w:cs="Times New Roman"/>
        </w:rPr>
        <w:t xml:space="preserve"> (</w:t>
      </w:r>
      <w:r w:rsidR="00AC3796">
        <w:rPr>
          <w:rFonts w:cs="Times New Roman"/>
        </w:rPr>
        <w:t>Allen et al. 2022).</w:t>
      </w:r>
    </w:p>
    <w:p w14:paraId="519EF16C" w14:textId="3C0B3CDF" w:rsidR="000F3877" w:rsidRPr="000F3877" w:rsidRDefault="000F3877" w:rsidP="001C4124">
      <w:pPr>
        <w:spacing w:line="360" w:lineRule="auto"/>
        <w:rPr>
          <w:rFonts w:cs="Times New Roman"/>
        </w:rPr>
      </w:pPr>
      <w:r w:rsidRPr="000F3877">
        <w:rPr>
          <w:rFonts w:cs="Times New Roman"/>
        </w:rPr>
        <w:tab/>
        <w:t>Managed turfgrass systems such as golf courses are constructed on soils varying in texture. Golf course putting greens and teeing grounds are often constructed with engineered sand root zones containing ≤ 8% silt and clay by volume</w:t>
      </w:r>
      <w:r w:rsidR="00A47525">
        <w:rPr>
          <w:rFonts w:cs="Times New Roman"/>
        </w:rPr>
        <w:t xml:space="preserve"> (Shaddox et al. 2023; United States Golf Association 2018).</w:t>
      </w:r>
      <w:r w:rsidRPr="000F3877">
        <w:rPr>
          <w:rFonts w:cs="Times New Roman"/>
        </w:rPr>
        <w:t xml:space="preserve"> Golf course fairways and roughs are primarily established on native soils that can vary widely in both texture and other edaphic parameters</w:t>
      </w:r>
      <w:r w:rsidR="00A47525">
        <w:rPr>
          <w:rFonts w:cs="Times New Roman"/>
        </w:rPr>
        <w:t xml:space="preserve"> (Soil Survey Staff).</w:t>
      </w:r>
      <w:r w:rsidRPr="000F3877">
        <w:rPr>
          <w:rFonts w:cs="Times New Roman"/>
        </w:rPr>
        <w:t xml:space="preserve"> Given that sand root zones are designed to optimize internal drainage and aeration under concentrated traffi</w:t>
      </w:r>
      <w:r w:rsidR="00A47525">
        <w:rPr>
          <w:rFonts w:cs="Times New Roman"/>
        </w:rPr>
        <w:t>c (Ok et al. 2004)</w:t>
      </w:r>
      <w:r w:rsidRPr="000F3877">
        <w:rPr>
          <w:rFonts w:cs="Times New Roman"/>
        </w:rPr>
        <w:t>, sand is often introduced to native soil sites via applications of topdressing to improve turfgrass quality and playability</w:t>
      </w:r>
      <w:r w:rsidR="00A47525">
        <w:rPr>
          <w:rFonts w:cs="Times New Roman"/>
        </w:rPr>
        <w:t xml:space="preserve"> (Beard 1973; Klingenberg 2009; Green et al. 2019).</w:t>
      </w:r>
      <w:r w:rsidRPr="000F3877">
        <w:rPr>
          <w:rFonts w:cs="Times New Roman"/>
        </w:rPr>
        <w:t xml:space="preserve"> Differences in soil texture can impact efficacy of herbicides including atrazin</w:t>
      </w:r>
      <w:r w:rsidR="00626B10">
        <w:rPr>
          <w:rFonts w:cs="Times New Roman"/>
        </w:rPr>
        <w:t>e (Blumhorst et al. 1990)</w:t>
      </w:r>
      <w:r w:rsidRPr="000F3877">
        <w:rPr>
          <w:rFonts w:cs="Times New Roman"/>
        </w:rPr>
        <w:t>, pendimethali</w:t>
      </w:r>
      <w:r w:rsidR="00626B10">
        <w:rPr>
          <w:rFonts w:cs="Times New Roman"/>
        </w:rPr>
        <w:t>n (Blumhorst et al. 1990)</w:t>
      </w:r>
      <w:r w:rsidRPr="000F3877">
        <w:rPr>
          <w:rFonts w:cs="Times New Roman"/>
        </w:rPr>
        <w:t>, metribuzin</w:t>
      </w:r>
      <w:r w:rsidR="00626B10">
        <w:rPr>
          <w:rFonts w:cs="Times New Roman"/>
          <w:vertAlign w:val="superscript"/>
        </w:rPr>
        <w:t xml:space="preserve"> </w:t>
      </w:r>
      <w:r w:rsidR="00626B10">
        <w:rPr>
          <w:rFonts w:cs="Times New Roman"/>
        </w:rPr>
        <w:t>(Weber et al. 1987)</w:t>
      </w:r>
      <w:r w:rsidRPr="000F3877">
        <w:rPr>
          <w:rFonts w:cs="Times New Roman"/>
        </w:rPr>
        <w:t xml:space="preserve">, and </w:t>
      </w:r>
      <w:proofErr w:type="spellStart"/>
      <w:r w:rsidRPr="000F3877">
        <w:rPr>
          <w:rFonts w:cs="Times New Roman"/>
        </w:rPr>
        <w:t>pronamide</w:t>
      </w:r>
      <w:proofErr w:type="spellEnd"/>
      <w:r w:rsidR="00626B10">
        <w:rPr>
          <w:rFonts w:cs="Times New Roman"/>
        </w:rPr>
        <w:t xml:space="preserve"> (Dutt &amp; Harvey 1980)</w:t>
      </w:r>
      <w:r w:rsidRPr="000F3877">
        <w:rPr>
          <w:rFonts w:cs="Times New Roman"/>
        </w:rPr>
        <w:t>. Commodity agriculture labels for these active ingredients often offer use directions based on soil texture</w:t>
      </w:r>
      <w:r w:rsidR="00961DFB">
        <w:rPr>
          <w:rFonts w:cs="Times New Roman"/>
        </w:rPr>
        <w:t xml:space="preserve"> (Anonymous 2008</w:t>
      </w:r>
      <w:r w:rsidR="00D000AD">
        <w:rPr>
          <w:rFonts w:cs="Times New Roman"/>
        </w:rPr>
        <w:t>a</w:t>
      </w:r>
      <w:r w:rsidR="00961DFB">
        <w:rPr>
          <w:rFonts w:cs="Times New Roman"/>
        </w:rPr>
        <w:t>, 2017, 2021</w:t>
      </w:r>
      <w:r w:rsidR="00EE1C35">
        <w:rPr>
          <w:rFonts w:cs="Times New Roman"/>
        </w:rPr>
        <w:t>a</w:t>
      </w:r>
      <w:r w:rsidR="00961DFB">
        <w:rPr>
          <w:rFonts w:cs="Times New Roman"/>
        </w:rPr>
        <w:t>, 2022</w:t>
      </w:r>
      <w:r w:rsidR="00EE1C35">
        <w:rPr>
          <w:rFonts w:cs="Times New Roman"/>
        </w:rPr>
        <w:t>a</w:t>
      </w:r>
      <w:r w:rsidR="00961DFB">
        <w:rPr>
          <w:rFonts w:cs="Times New Roman"/>
        </w:rPr>
        <w:t>).</w:t>
      </w:r>
      <w:r w:rsidRPr="000F3877">
        <w:rPr>
          <w:rFonts w:cs="Times New Roman"/>
        </w:rPr>
        <w:t xml:space="preserve"> For example, label rates for atrazine (AAtrex</w:t>
      </w:r>
      <w:r w:rsidRPr="000F3877">
        <w:rPr>
          <w:rFonts w:cs="Times New Roman"/>
          <w:vertAlign w:val="superscript"/>
        </w:rPr>
        <w:t>®</w:t>
      </w:r>
      <w:r w:rsidRPr="000F3877">
        <w:rPr>
          <w:rFonts w:cs="Times New Roman"/>
        </w:rPr>
        <w:t>4L. Syngenta Crop Protection. Greensboro, NC) can vary as much 673 g ha</w:t>
      </w:r>
      <w:r w:rsidRPr="000F3877">
        <w:rPr>
          <w:rFonts w:cs="Times New Roman"/>
          <w:vertAlign w:val="superscript"/>
        </w:rPr>
        <w:t>-1</w:t>
      </w:r>
      <w:r w:rsidRPr="000F3877">
        <w:rPr>
          <w:rFonts w:cs="Times New Roman"/>
        </w:rPr>
        <w:t xml:space="preserve"> due to soil texture</w:t>
      </w:r>
      <w:r w:rsidR="000C6ACA">
        <w:rPr>
          <w:rFonts w:cs="Times New Roman"/>
        </w:rPr>
        <w:t xml:space="preserve"> (Anonymous 2022</w:t>
      </w:r>
      <w:r w:rsidR="00EE1C35">
        <w:rPr>
          <w:rFonts w:cs="Times New Roman"/>
        </w:rPr>
        <w:t>a</w:t>
      </w:r>
      <w:r w:rsidR="000C6ACA">
        <w:rPr>
          <w:rFonts w:cs="Times New Roman"/>
        </w:rPr>
        <w:t>).</w:t>
      </w:r>
      <w:r w:rsidRPr="000F3877">
        <w:rPr>
          <w:rFonts w:cs="Times New Roman"/>
        </w:rPr>
        <w:t xml:space="preserve"> Rate specificity based on soil texture is not present within label directions for these same active ingredients in managed turfgrass</w:t>
      </w:r>
      <w:r w:rsidR="000C6ACA">
        <w:rPr>
          <w:rFonts w:cs="Times New Roman"/>
        </w:rPr>
        <w:t xml:space="preserve"> (Anonymous 2019, 2021</w:t>
      </w:r>
      <w:r w:rsidR="00EE1C35">
        <w:rPr>
          <w:rFonts w:cs="Times New Roman"/>
        </w:rPr>
        <w:t>b</w:t>
      </w:r>
      <w:r w:rsidR="000C6ACA">
        <w:rPr>
          <w:rFonts w:cs="Times New Roman"/>
        </w:rPr>
        <w:t>, 2022</w:t>
      </w:r>
      <w:r w:rsidR="00EE1C35">
        <w:rPr>
          <w:rFonts w:cs="Times New Roman"/>
        </w:rPr>
        <w:t>b</w:t>
      </w:r>
      <w:r w:rsidR="000C6ACA">
        <w:rPr>
          <w:rFonts w:cs="Times New Roman"/>
        </w:rPr>
        <w:t>).</w:t>
      </w:r>
      <w:r w:rsidRPr="000F3877">
        <w:rPr>
          <w:rFonts w:cs="Times New Roman"/>
        </w:rPr>
        <w:t xml:space="preserve"> While rate specificity for varied soil textures is not required by federal guideline</w:t>
      </w:r>
      <w:r w:rsidR="004D3A16">
        <w:rPr>
          <w:rFonts w:cs="Times New Roman"/>
        </w:rPr>
        <w:t>s (Anonymous</w:t>
      </w:r>
      <w:r w:rsidR="00D000AD">
        <w:rPr>
          <w:rFonts w:cs="Times New Roman"/>
        </w:rPr>
        <w:t xml:space="preserve"> 2007, 2008b, 2024)</w:t>
      </w:r>
      <w:r w:rsidRPr="000F3877">
        <w:rPr>
          <w:rFonts w:cs="Times New Roman"/>
        </w:rPr>
        <w:t xml:space="preserve"> and could be cost-prohibitive or logistically difficult, research aiming to improve sustainable use of new herbicides in turfgrass is warranted.</w:t>
      </w:r>
    </w:p>
    <w:p w14:paraId="072C4C47" w14:textId="77777777" w:rsidR="006923A9" w:rsidRDefault="000F3877" w:rsidP="006923A9">
      <w:pPr>
        <w:spacing w:line="360" w:lineRule="auto"/>
      </w:pPr>
      <w:r w:rsidRPr="000F3877">
        <w:rPr>
          <w:rFonts w:cs="Times New Roman"/>
        </w:rPr>
        <w:tab/>
      </w:r>
      <w:r w:rsidR="006923A9" w:rsidRPr="0040364B">
        <w:t xml:space="preserve">Textural differences can affect soil hydraulics, particularly soil moisture </w:t>
      </w:r>
      <w:r w:rsidR="006923A9">
        <w:t>availability</w:t>
      </w:r>
      <w:r w:rsidR="006923A9" w:rsidRPr="0040364B">
        <w:t xml:space="preserve">, that can influence herbicide performance. </w:t>
      </w:r>
      <w:proofErr w:type="spellStart"/>
      <w:r w:rsidR="006923A9" w:rsidRPr="0040364B">
        <w:t>Pyroxasulfone</w:t>
      </w:r>
      <w:proofErr w:type="spellEnd"/>
      <w:r w:rsidR="006923A9" w:rsidRPr="0040364B">
        <w:t xml:space="preserve"> efficacy for PRE weed control in corn (</w:t>
      </w:r>
      <w:proofErr w:type="spellStart"/>
      <w:r w:rsidR="006923A9" w:rsidRPr="0040364B">
        <w:rPr>
          <w:i/>
          <w:iCs/>
        </w:rPr>
        <w:t>Zea</w:t>
      </w:r>
      <w:proofErr w:type="spellEnd"/>
      <w:r w:rsidR="006923A9" w:rsidRPr="0040364B">
        <w:rPr>
          <w:i/>
          <w:iCs/>
        </w:rPr>
        <w:t xml:space="preserve"> maize</w:t>
      </w:r>
      <w:r w:rsidR="006923A9" w:rsidRPr="0040364B">
        <w:t xml:space="preserve"> L.) is affected by soil organic matter content and clod size, edaphic parameters that influence soil moisture retention</w:t>
      </w:r>
      <w:r w:rsidR="006923A9">
        <w:t xml:space="preserve"> following rainfall (Yamaji et al. 2016).</w:t>
      </w:r>
      <w:r w:rsidR="006923A9" w:rsidRPr="0040364B">
        <w:t xml:space="preserve"> Soil moisture deficits were attributed to reduced </w:t>
      </w:r>
      <w:proofErr w:type="spellStart"/>
      <w:r w:rsidR="006923A9" w:rsidRPr="0040364B">
        <w:rPr>
          <w:i/>
          <w:iCs/>
        </w:rPr>
        <w:t>Digitaria</w:t>
      </w:r>
      <w:proofErr w:type="spellEnd"/>
      <w:r w:rsidR="006923A9" w:rsidRPr="0040364B">
        <w:t xml:space="preserve"> spp. control with fenoxaprop applied at early- and mid- postemergence timings, whereas applications before a heavy rainfall increased efficacy at</w:t>
      </w:r>
      <w:r w:rsidR="006923A9">
        <w:t xml:space="preserve"> a</w:t>
      </w:r>
      <w:r w:rsidR="006923A9" w:rsidRPr="0040364B">
        <w:t xml:space="preserve"> late-</w:t>
      </w:r>
      <w:r w:rsidR="006923A9" w:rsidRPr="0040364B">
        <w:lastRenderedPageBreak/>
        <w:t>postemergence timing</w:t>
      </w:r>
      <w:r w:rsidR="006923A9">
        <w:t xml:space="preserve"> (Neal et al. 1990).</w:t>
      </w:r>
      <w:r w:rsidR="006923A9" w:rsidRPr="0040364B">
        <w:t xml:space="preserve"> </w:t>
      </w:r>
      <w:proofErr w:type="spellStart"/>
      <w:r w:rsidR="006923A9" w:rsidRPr="0040364B">
        <w:t>Foramsulfuron</w:t>
      </w:r>
      <w:proofErr w:type="spellEnd"/>
      <w:r w:rsidR="006923A9" w:rsidRPr="0040364B">
        <w:t xml:space="preserve"> efficacy versus goosegrass (</w:t>
      </w:r>
      <w:r w:rsidR="006923A9" w:rsidRPr="0040364B">
        <w:rPr>
          <w:i/>
          <w:iCs/>
        </w:rPr>
        <w:t>Eleusine indica</w:t>
      </w:r>
      <w:r w:rsidR="006923A9" w:rsidRPr="0040364B">
        <w:t xml:space="preserve"> L. </w:t>
      </w:r>
      <w:proofErr w:type="spellStart"/>
      <w:r w:rsidR="006923A9" w:rsidRPr="0040364B">
        <w:t>Gaertn</w:t>
      </w:r>
      <w:proofErr w:type="spellEnd"/>
      <w:r w:rsidR="006923A9" w:rsidRPr="0040364B">
        <w:t>.) is maximized under conditions of elevated soil moisture (≥ 20%) and lo</w:t>
      </w:r>
      <w:r w:rsidR="006923A9">
        <w:t>w</w:t>
      </w:r>
      <w:r w:rsidR="006923A9" w:rsidRPr="0040364B">
        <w:t xml:space="preserve"> evaporative demand</w:t>
      </w:r>
      <w:r w:rsidR="006923A9">
        <w:t xml:space="preserve"> (Shekoofa et al. 2020). </w:t>
      </w:r>
      <w:r w:rsidR="006923A9" w:rsidRPr="0040364B">
        <w:t>Post-application irrigation increased efficacy of pendimethalin for PRE smooth crabgrass control, likely by moving foliar residues intercepted by the turfgrass canopy after treatment into the soil</w:t>
      </w:r>
      <w:r w:rsidR="006923A9">
        <w:t xml:space="preserve"> (Gasper et al. 1994). Indaziflam and flumioxazin efficacy for </w:t>
      </w:r>
      <w:r w:rsidR="006923A9" w:rsidRPr="00DE30B6">
        <w:rPr>
          <w:i/>
          <w:iCs/>
        </w:rPr>
        <w:t>Kochia scoparia</w:t>
      </w:r>
      <w:r w:rsidR="006923A9">
        <w:t xml:space="preserve"> L. control decreased in drier soils (Sebastian et al. 2017). </w:t>
      </w:r>
      <w:r w:rsidR="006923A9" w:rsidRPr="003176AB">
        <w:t xml:space="preserve">A drought tolerant species, </w:t>
      </w:r>
      <w:r w:rsidR="006923A9" w:rsidRPr="003176AB">
        <w:rPr>
          <w:i/>
          <w:iCs/>
        </w:rPr>
        <w:t>Kochia scoparia</w:t>
      </w:r>
      <w:r w:rsidR="006923A9" w:rsidRPr="003176AB">
        <w:t xml:space="preserve"> L.</w:t>
      </w:r>
      <w:r w:rsidR="006923A9">
        <w:t>,</w:t>
      </w:r>
      <w:r w:rsidR="006923A9" w:rsidRPr="003176AB">
        <w:t xml:space="preserve"> was able to germinate in soils where soil water content limited water available for herbicide solubilization to soil solution</w:t>
      </w:r>
      <w:r w:rsidR="006923A9">
        <w:t xml:space="preserve"> (Everitt et al. 1983). Low soil moisture content can increase herbicide adsorption to soil, reducing ability for root uptake (Dao &amp; Lavy 1978).</w:t>
      </w:r>
    </w:p>
    <w:p w14:paraId="011537DC" w14:textId="1B3B100B" w:rsidR="00FF5005" w:rsidRDefault="000F3877" w:rsidP="000C799B">
      <w:pPr>
        <w:spacing w:line="360" w:lineRule="auto"/>
        <w:ind w:firstLine="720"/>
        <w:rPr>
          <w:rFonts w:cs="Times New Roman"/>
        </w:rPr>
      </w:pPr>
      <w:r w:rsidRPr="000F3877">
        <w:rPr>
          <w:rFonts w:cs="Times New Roman"/>
        </w:rPr>
        <w:t>There is minimal information available regarding the effects of edaphic factors, such as soil texture and moisture retention, on tetflupyrolimet efficacy for weed control in turfgrass. Considering that tetflupyrolimet is a promising tool for turfgrass managers, particularly those challenged with herbicide-resistant weeds, understanding the effects of soil texture and moisture retention on performance is needed to optimize efficacy. We hypothesized that tetflupyrolimet efficacy would vary among soils of differing textures and hydraulic properties. This paper presents a series of experiments designed to explore that hypothesis in detail.</w:t>
      </w:r>
      <w:bookmarkStart w:id="75" w:name="_Toc192766953"/>
      <w:bookmarkStart w:id="76" w:name="_Toc192781556"/>
    </w:p>
    <w:p w14:paraId="0BB5AFCD" w14:textId="5425FC2D" w:rsidR="00FF5005" w:rsidRPr="00FF5005" w:rsidRDefault="00F373B2" w:rsidP="00FF5005">
      <w:pPr>
        <w:spacing w:line="360" w:lineRule="auto"/>
        <w:jc w:val="center"/>
        <w:rPr>
          <w:b/>
          <w:bCs/>
        </w:rPr>
      </w:pPr>
      <w:r w:rsidRPr="00FF5005">
        <w:rPr>
          <w:b/>
          <w:bCs/>
        </w:rPr>
        <w:t>M</w:t>
      </w:r>
      <w:bookmarkEnd w:id="75"/>
      <w:r w:rsidR="005F45DC" w:rsidRPr="00FF5005">
        <w:rPr>
          <w:b/>
          <w:bCs/>
        </w:rPr>
        <w:t>aterials and Method</w:t>
      </w:r>
      <w:bookmarkStart w:id="77" w:name="_Toc192766954"/>
      <w:bookmarkStart w:id="78" w:name="_Toc192781557"/>
      <w:bookmarkEnd w:id="76"/>
      <w:r w:rsidR="00FF5005">
        <w:rPr>
          <w:b/>
          <w:bCs/>
        </w:rPr>
        <w:t>s</w:t>
      </w:r>
    </w:p>
    <w:p w14:paraId="0FE98F84" w14:textId="461E1919" w:rsidR="00D16BB2" w:rsidRPr="00FF5005" w:rsidRDefault="00D16BB2" w:rsidP="00FF5005">
      <w:pPr>
        <w:spacing w:line="360" w:lineRule="auto"/>
        <w:rPr>
          <w:rFonts w:cs="Times New Roman"/>
          <w:b/>
          <w:bCs/>
          <w:i/>
          <w:iCs/>
        </w:rPr>
      </w:pPr>
      <w:r w:rsidRPr="00FF5005">
        <w:rPr>
          <w:b/>
          <w:bCs/>
          <w:i/>
          <w:iCs/>
        </w:rPr>
        <w:t>Soil Selection</w:t>
      </w:r>
      <w:bookmarkEnd w:id="77"/>
      <w:bookmarkEnd w:id="78"/>
    </w:p>
    <w:p w14:paraId="41B8B0AF" w14:textId="43E33EAD" w:rsidR="005763AB" w:rsidRDefault="00D16BB2" w:rsidP="000C799B">
      <w:pPr>
        <w:spacing w:line="360" w:lineRule="auto"/>
        <w:ind w:firstLine="720"/>
      </w:pPr>
      <w:bookmarkStart w:id="79" w:name="_Toc192766955"/>
      <w:r w:rsidRPr="00D16BB2">
        <w:t>All experiments were conducted using two distinctly different soils: a Sequatchie clay loam (fine-loamy, siliceous, semiactive, thermic humic Hapludult) with 26.1% sand, 41% silt, and 32.1% clay, and a United States Golf Association specified sand that contained 98.3% sand, 1.2% silt, and 0.5% clay</w:t>
      </w:r>
      <w:r w:rsidR="00DE3F06">
        <w:t xml:space="preserve"> (United States Golf Association 2018).</w:t>
      </w:r>
      <w:r w:rsidRPr="00D16BB2">
        <w:t xml:space="preserve"> Per specification, this sand medium was uniformly blended with reed-sedge peat moss in </w:t>
      </w:r>
      <w:proofErr w:type="gramStart"/>
      <w:r w:rsidRPr="00D16BB2">
        <w:t>a</w:t>
      </w:r>
      <w:proofErr w:type="gramEnd"/>
      <w:r w:rsidRPr="00D16BB2">
        <w:t xml:space="preserve"> 80:20 sand-to-peat ratio (by volume). A complete analysis of the physical and chemical properties of each soil is presented in</w:t>
      </w:r>
      <w:r>
        <w:t xml:space="preserve"> </w:t>
      </w:r>
      <w:r w:rsidRPr="00401008">
        <w:rPr>
          <w:b/>
          <w:bCs/>
        </w:rPr>
        <w:t xml:space="preserve">Table </w:t>
      </w:r>
      <w:r w:rsidR="00686740" w:rsidRPr="00401008">
        <w:rPr>
          <w:b/>
          <w:bCs/>
        </w:rPr>
        <w:t>2.</w:t>
      </w:r>
      <w:r w:rsidRPr="00401008">
        <w:rPr>
          <w:b/>
          <w:bCs/>
        </w:rPr>
        <w:t>1</w:t>
      </w:r>
      <w:r w:rsidR="00FA7FF9">
        <w:t xml:space="preserve"> </w:t>
      </w:r>
      <w:r w:rsidR="00FA7FF9">
        <w:rPr>
          <w:rFonts w:cs="Times New Roman"/>
          <w:color w:val="000000" w:themeColor="text1"/>
        </w:rPr>
        <w:t>(All tables and figures can be found in the appendix at the end of the chapter)</w:t>
      </w:r>
      <w:r w:rsidRPr="00D16BB2">
        <w:t>. Add</w:t>
      </w:r>
      <w:r w:rsidR="008E4EFD">
        <w:t>i</w:t>
      </w:r>
      <w:r w:rsidRPr="00D16BB2">
        <w:t xml:space="preserve">tionally, soil moisture retention curves for each soil are presented in </w:t>
      </w:r>
      <w:r w:rsidRPr="00401008">
        <w:rPr>
          <w:b/>
          <w:bCs/>
        </w:rPr>
        <w:t xml:space="preserve">Figure </w:t>
      </w:r>
      <w:r w:rsidR="00686740" w:rsidRPr="00401008">
        <w:rPr>
          <w:b/>
          <w:bCs/>
        </w:rPr>
        <w:t>2.</w:t>
      </w:r>
      <w:r w:rsidRPr="00401008">
        <w:rPr>
          <w:b/>
          <w:bCs/>
        </w:rPr>
        <w:t>1</w:t>
      </w:r>
      <w:r w:rsidRPr="00D16BB2">
        <w:t xml:space="preserve">. Nutrient analyses for both soils are presented in </w:t>
      </w:r>
      <w:r w:rsidR="00686740" w:rsidRPr="00401008">
        <w:rPr>
          <w:b/>
          <w:bCs/>
        </w:rPr>
        <w:t>Table</w:t>
      </w:r>
      <w:r w:rsidRPr="00401008">
        <w:rPr>
          <w:b/>
          <w:bCs/>
        </w:rPr>
        <w:t xml:space="preserve"> </w:t>
      </w:r>
      <w:r w:rsidR="00686740" w:rsidRPr="00401008">
        <w:rPr>
          <w:b/>
          <w:bCs/>
        </w:rPr>
        <w:t>2.2</w:t>
      </w:r>
      <w:r w:rsidRPr="00D16BB2">
        <w:t>.</w:t>
      </w:r>
      <w:bookmarkStart w:id="80" w:name="_Toc192781558"/>
      <w:bookmarkEnd w:id="79"/>
    </w:p>
    <w:p w14:paraId="1A4398DE" w14:textId="33F7BA74" w:rsidR="005763AB" w:rsidRPr="005763AB" w:rsidRDefault="00D16BB2" w:rsidP="005763AB">
      <w:pPr>
        <w:spacing w:line="360" w:lineRule="auto"/>
        <w:rPr>
          <w:b/>
          <w:bCs/>
          <w:i/>
          <w:iCs/>
        </w:rPr>
      </w:pPr>
      <w:r w:rsidRPr="005763AB">
        <w:rPr>
          <w:b/>
          <w:bCs/>
          <w:i/>
          <w:iCs/>
        </w:rPr>
        <w:t xml:space="preserve">Dose </w:t>
      </w:r>
      <w:proofErr w:type="spellStart"/>
      <w:r w:rsidRPr="005763AB">
        <w:rPr>
          <w:b/>
          <w:bCs/>
          <w:i/>
          <w:iCs/>
        </w:rPr>
        <w:t>Reponse</w:t>
      </w:r>
      <w:proofErr w:type="spellEnd"/>
      <w:r w:rsidRPr="005763AB">
        <w:rPr>
          <w:b/>
          <w:bCs/>
          <w:i/>
          <w:iCs/>
        </w:rPr>
        <w:t xml:space="preserve"> Studies</w:t>
      </w:r>
      <w:bookmarkEnd w:id="80"/>
    </w:p>
    <w:p w14:paraId="06650988" w14:textId="22E08463" w:rsidR="00926F1C" w:rsidRPr="005763AB" w:rsidRDefault="00926F1C" w:rsidP="005763AB">
      <w:pPr>
        <w:spacing w:line="360" w:lineRule="auto"/>
        <w:ind w:firstLine="720"/>
      </w:pPr>
      <w:r w:rsidRPr="00926F1C">
        <w:rPr>
          <w:rFonts w:cs="Times New Roman"/>
        </w:rPr>
        <w:t xml:space="preserve">Experiments were conducted in a controlled glasshouse environment in Knoxville, TN (35.94 N, -83.93 W) evaluating the response of herbicide-susceptible </w:t>
      </w:r>
      <w:r w:rsidRPr="00926F1C">
        <w:rPr>
          <w:rFonts w:cs="Times New Roman"/>
          <w:i/>
          <w:iCs/>
        </w:rPr>
        <w:t>Poa annua</w:t>
      </w:r>
      <w:r w:rsidRPr="00926F1C">
        <w:rPr>
          <w:rFonts w:cs="Times New Roman"/>
        </w:rPr>
        <w:t xml:space="preserve"> to increasing </w:t>
      </w:r>
      <w:r w:rsidRPr="00926F1C">
        <w:rPr>
          <w:rFonts w:cs="Times New Roman"/>
        </w:rPr>
        <w:lastRenderedPageBreak/>
        <w:t>doses of tetflupyrolimet in two different soils. Experiments were repeated in both time and space during spring 2023 under conditions of natural and supplemental light for a 16/8 h (day/night) photoperiod (PKB, Arize Element L1000 Next-Gen, Current Lighting Solutions, LLC, Cleveland, OH, USA).</w:t>
      </w:r>
    </w:p>
    <w:p w14:paraId="6D2B5562" w14:textId="77777777" w:rsidR="00926F1C" w:rsidRPr="00926F1C" w:rsidRDefault="00926F1C" w:rsidP="001C4124">
      <w:pPr>
        <w:spacing w:line="360" w:lineRule="auto"/>
        <w:ind w:firstLine="720"/>
        <w:rPr>
          <w:rFonts w:cs="Times New Roman"/>
        </w:rPr>
      </w:pPr>
      <w:r w:rsidRPr="00926F1C">
        <w:rPr>
          <w:rFonts w:cs="Times New Roman"/>
        </w:rPr>
        <w:t xml:space="preserve">Each experiment was arranged in a randomized complete block design with five replications repeated in time and space. Greenhouse pots (1,065 cm³) pots were filled with each soil and irrigated thereafter to ensure settling throughout the profile.  After three days of irrigation cycling, pots were surface seeded with </w:t>
      </w:r>
      <w:r w:rsidRPr="00926F1C">
        <w:rPr>
          <w:rFonts w:cs="Times New Roman"/>
          <w:i/>
          <w:iCs/>
        </w:rPr>
        <w:t xml:space="preserve">Poa annua </w:t>
      </w:r>
      <w:r w:rsidRPr="00926F1C">
        <w:rPr>
          <w:rFonts w:cs="Times New Roman"/>
        </w:rPr>
        <w:t xml:space="preserve">(University Park, PA) prior to being treated with </w:t>
      </w:r>
      <w:proofErr w:type="spellStart"/>
      <w:r w:rsidRPr="00926F1C">
        <w:rPr>
          <w:rFonts w:cs="Times New Roman"/>
        </w:rPr>
        <w:t>tetflupyrolimet</w:t>
      </w:r>
      <w:proofErr w:type="spellEnd"/>
      <w:r w:rsidRPr="00926F1C">
        <w:rPr>
          <w:rFonts w:cs="Times New Roman"/>
        </w:rPr>
        <w:t xml:space="preserve"> (</w:t>
      </w:r>
      <w:proofErr w:type="spellStart"/>
      <w:r w:rsidRPr="00926F1C">
        <w:rPr>
          <w:rFonts w:cs="Times New Roman"/>
        </w:rPr>
        <w:t>Dodhylex</w:t>
      </w:r>
      <w:proofErr w:type="spellEnd"/>
      <w:r w:rsidRPr="00926F1C">
        <w:rPr>
          <w:rFonts w:cs="Times New Roman"/>
        </w:rPr>
        <w:t xml:space="preserve">™ Active, FMC Corporation, Philadelphia, PA) at rates of 0, 25, 50, 100, 200, 400, 800, 1600, 3200, or 6400 g ai ha⁻¹ using an enclosed spray chamber (Generation III Research Sprayer, DeVries Manufacturing, Hollandale, MN), calibrated to deliver 215 L ha⁻¹ using a single flat-fan nozzle (8004EVS, </w:t>
      </w:r>
      <w:proofErr w:type="spellStart"/>
      <w:r w:rsidRPr="00926F1C">
        <w:rPr>
          <w:rFonts w:cs="Times New Roman"/>
        </w:rPr>
        <w:t>TeeJet</w:t>
      </w:r>
      <w:proofErr w:type="spellEnd"/>
      <w:r w:rsidRPr="00926F1C">
        <w:rPr>
          <w:rFonts w:cs="Times New Roman"/>
        </w:rPr>
        <w:t xml:space="preserve"> Spraying Systems, Wheaton, IL).</w:t>
      </w:r>
    </w:p>
    <w:p w14:paraId="32778C89" w14:textId="114E4535" w:rsidR="00926F1C" w:rsidRPr="00926F1C" w:rsidRDefault="00926F1C" w:rsidP="001C4124">
      <w:pPr>
        <w:spacing w:line="360" w:lineRule="auto"/>
        <w:ind w:firstLine="720"/>
        <w:rPr>
          <w:rFonts w:cs="Times New Roman"/>
        </w:rPr>
      </w:pPr>
      <w:r w:rsidRPr="00926F1C">
        <w:rPr>
          <w:rFonts w:cs="Times New Roman"/>
        </w:rPr>
        <w:t xml:space="preserve">Temperature conditions in the glasshouse were monitored using greenhouse control sensors (PRIVA, Ontario, CA) whereas a </w:t>
      </w:r>
      <w:proofErr w:type="spellStart"/>
      <w:r w:rsidRPr="00926F1C">
        <w:rPr>
          <w:rFonts w:cs="Times New Roman"/>
        </w:rPr>
        <w:t>quantam</w:t>
      </w:r>
      <w:proofErr w:type="spellEnd"/>
      <w:r w:rsidRPr="00926F1C">
        <w:rPr>
          <w:rFonts w:cs="Times New Roman"/>
        </w:rPr>
        <w:t xml:space="preserve"> sensor (SQ-500 Full-Spectrum Quantum Sensor. Apogee Instruments, Logan, UT, USA) was used to record photosynthetically active radiation (</w:t>
      </w:r>
      <w:r w:rsidRPr="00401008">
        <w:rPr>
          <w:rFonts w:cs="Times New Roman"/>
          <w:b/>
          <w:bCs/>
        </w:rPr>
        <w:t xml:space="preserve">Table </w:t>
      </w:r>
      <w:r w:rsidR="002A5AE4" w:rsidRPr="00401008">
        <w:rPr>
          <w:rFonts w:cs="Times New Roman"/>
          <w:b/>
          <w:bCs/>
        </w:rPr>
        <w:t>2.3</w:t>
      </w:r>
      <w:r w:rsidRPr="00926F1C">
        <w:rPr>
          <w:rFonts w:cs="Times New Roman"/>
        </w:rPr>
        <w:t xml:space="preserve">). Irrigation was supplied via misting heads (Ein Dor Mini-Sprinklers, </w:t>
      </w:r>
      <w:proofErr w:type="spellStart"/>
      <w:r w:rsidRPr="00926F1C">
        <w:rPr>
          <w:rFonts w:cs="Times New Roman"/>
        </w:rPr>
        <w:t>Tavlit</w:t>
      </w:r>
      <w:proofErr w:type="spellEnd"/>
      <w:r w:rsidRPr="00926F1C">
        <w:rPr>
          <w:rFonts w:cs="Times New Roman"/>
        </w:rPr>
        <w:t xml:space="preserve"> Plastic Ltd., Yavne, Israel) connected to a timer (</w:t>
      </w:r>
      <w:proofErr w:type="spellStart"/>
      <w:r w:rsidRPr="00926F1C">
        <w:rPr>
          <w:rFonts w:cs="Times New Roman"/>
        </w:rPr>
        <w:t>Galcon</w:t>
      </w:r>
      <w:proofErr w:type="spellEnd"/>
      <w:r w:rsidRPr="00926F1C">
        <w:rPr>
          <w:rFonts w:cs="Times New Roman"/>
        </w:rPr>
        <w:t xml:space="preserve"> 8056AC-6S Timer. </w:t>
      </w:r>
      <w:proofErr w:type="spellStart"/>
      <w:r w:rsidRPr="00926F1C">
        <w:rPr>
          <w:rFonts w:cs="Times New Roman"/>
        </w:rPr>
        <w:t>Galcon</w:t>
      </w:r>
      <w:proofErr w:type="spellEnd"/>
      <w:r w:rsidRPr="00926F1C">
        <w:rPr>
          <w:rFonts w:cs="Times New Roman"/>
        </w:rPr>
        <w:t xml:space="preserve"> USA, LTD., San Rafael, CA, USA) that was configured to apply light (0.4 to 0.6 cm hr</w:t>
      </w:r>
      <w:r w:rsidRPr="00926F1C">
        <w:rPr>
          <w:rFonts w:cs="Times New Roman"/>
          <w:vertAlign w:val="superscript"/>
        </w:rPr>
        <w:t>-1</w:t>
      </w:r>
      <w:r w:rsidRPr="00926F1C">
        <w:rPr>
          <w:rFonts w:cs="Times New Roman"/>
        </w:rPr>
        <w:t>) irrigation cycles throughout the day.</w:t>
      </w:r>
    </w:p>
    <w:p w14:paraId="2F5727E1" w14:textId="77777777" w:rsidR="00926F1C" w:rsidRPr="00926F1C" w:rsidRDefault="00926F1C" w:rsidP="001C4124">
      <w:pPr>
        <w:spacing w:line="360" w:lineRule="auto"/>
        <w:ind w:firstLine="720"/>
        <w:rPr>
          <w:rFonts w:cs="Times New Roman"/>
        </w:rPr>
      </w:pPr>
      <w:r w:rsidRPr="00926F1C">
        <w:rPr>
          <w:rFonts w:cs="Times New Roman"/>
          <w:i/>
          <w:iCs/>
        </w:rPr>
        <w:t>Poa annua</w:t>
      </w:r>
      <w:r w:rsidRPr="00926F1C">
        <w:rPr>
          <w:rFonts w:cs="Times New Roman"/>
        </w:rPr>
        <w:t xml:space="preserve"> control was evaluated using a 0 (i.e., no control) to 100% (i.e., complete plant death) scale relative to non-treated check pots (i.e., 0 g ha</w:t>
      </w:r>
      <w:r w:rsidRPr="00926F1C">
        <w:rPr>
          <w:rFonts w:cs="Times New Roman"/>
          <w:vertAlign w:val="superscript"/>
        </w:rPr>
        <w:t>-1</w:t>
      </w:r>
      <w:r w:rsidRPr="00926F1C">
        <w:rPr>
          <w:rFonts w:cs="Times New Roman"/>
        </w:rPr>
        <w:t xml:space="preserve"> tetflupyrolimet) in each replication 42 days after treatment (DAT). After control assessments were made, aboveground biomass was harvested at the soil surface of each pot, bagged, dried in a forced-air oven (Laboratory Oven; The Grieve Corporation, Round Lake, IL) for 72 hours at 105°C, and weighed. Aboveground biomass data were expressed as a percentage of non-treated check pots in each replication.</w:t>
      </w:r>
    </w:p>
    <w:p w14:paraId="1F74B4B1" w14:textId="7FE85407" w:rsidR="005763AB" w:rsidRPr="000C799B" w:rsidRDefault="00926F1C" w:rsidP="000C799B">
      <w:pPr>
        <w:spacing w:line="360" w:lineRule="auto"/>
        <w:ind w:firstLine="720"/>
        <w:rPr>
          <w:rFonts w:cs="Times New Roman"/>
        </w:rPr>
      </w:pPr>
      <w:r w:rsidRPr="00926F1C">
        <w:rPr>
          <w:rFonts w:cs="Times New Roman"/>
        </w:rPr>
        <w:t xml:space="preserve">Aboveground biomass and </w:t>
      </w:r>
      <w:r w:rsidRPr="00926F1C">
        <w:rPr>
          <w:rFonts w:cs="Times New Roman"/>
          <w:i/>
          <w:iCs/>
        </w:rPr>
        <w:t>Poa annua</w:t>
      </w:r>
      <w:r w:rsidRPr="00926F1C">
        <w:rPr>
          <w:rFonts w:cs="Times New Roman"/>
        </w:rPr>
        <w:t xml:space="preserve"> control data were subjected to non-linear regression analysis using GraphPad Prism software (v.10.1.1. </w:t>
      </w:r>
      <w:proofErr w:type="spellStart"/>
      <w:r w:rsidRPr="00926F1C">
        <w:rPr>
          <w:rFonts w:cs="Times New Roman"/>
        </w:rPr>
        <w:t>Graphpad</w:t>
      </w:r>
      <w:proofErr w:type="spellEnd"/>
      <w:r w:rsidRPr="00926F1C">
        <w:rPr>
          <w:rFonts w:cs="Times New Roman"/>
        </w:rPr>
        <w:t xml:space="preserve"> Prism. </w:t>
      </w:r>
      <w:proofErr w:type="spellStart"/>
      <w:r w:rsidRPr="00926F1C">
        <w:rPr>
          <w:rFonts w:cs="Times New Roman"/>
        </w:rPr>
        <w:t>LaJolla</w:t>
      </w:r>
      <w:proofErr w:type="spellEnd"/>
      <w:r w:rsidRPr="00926F1C">
        <w:rPr>
          <w:rFonts w:cs="Times New Roman"/>
        </w:rPr>
        <w:t xml:space="preserve">, CA). Data from each soil type were fit to an ‘EC anything’ model that was used to calculate doses of tetflupyrolimet required to achieve 90% </w:t>
      </w:r>
      <w:r w:rsidRPr="00926F1C">
        <w:rPr>
          <w:rFonts w:cs="Times New Roman"/>
          <w:i/>
          <w:iCs/>
        </w:rPr>
        <w:t>Poa annua</w:t>
      </w:r>
      <w:r w:rsidRPr="00926F1C">
        <w:rPr>
          <w:rFonts w:cs="Times New Roman"/>
        </w:rPr>
        <w:t xml:space="preserve"> control and 90% reductions in aboveground biomass. Confidence intervals (95%) were used to compare values between soil types.</w:t>
      </w:r>
      <w:bookmarkStart w:id="81" w:name="_Toc192781559"/>
    </w:p>
    <w:p w14:paraId="635F8039" w14:textId="43C2B3B3" w:rsidR="00D16BB2" w:rsidRPr="005763AB" w:rsidRDefault="00D16BB2" w:rsidP="005763AB">
      <w:pPr>
        <w:spacing w:line="360" w:lineRule="auto"/>
        <w:rPr>
          <w:rFonts w:cs="Times New Roman"/>
          <w:b/>
          <w:bCs/>
          <w:i/>
          <w:iCs/>
        </w:rPr>
      </w:pPr>
      <w:r w:rsidRPr="005763AB">
        <w:rPr>
          <w:b/>
          <w:bCs/>
          <w:i/>
          <w:iCs/>
        </w:rPr>
        <w:lastRenderedPageBreak/>
        <w:t>Soil Moisture Effects on Tetflupyrolimet</w:t>
      </w:r>
      <w:bookmarkEnd w:id="81"/>
    </w:p>
    <w:p w14:paraId="3CB51D87" w14:textId="0282EC91" w:rsidR="00926F1C" w:rsidRPr="00926F1C" w:rsidRDefault="00926F1C" w:rsidP="001C4124">
      <w:pPr>
        <w:spacing w:line="360" w:lineRule="auto"/>
        <w:ind w:firstLine="720"/>
        <w:rPr>
          <w:rFonts w:cs="Times New Roman"/>
        </w:rPr>
      </w:pPr>
      <w:r w:rsidRPr="00926F1C">
        <w:rPr>
          <w:rFonts w:cs="Times New Roman"/>
        </w:rPr>
        <w:t>Laboratory research was conducted in 2024 to evaluate the effect of soil moisture on tetflupyrolimet activity in different soil types. Trials were arranged in a completely randomized design with four replications and repeated in time. Treatments included the factorial combination of two soil types (</w:t>
      </w:r>
      <w:r w:rsidRPr="00401008">
        <w:rPr>
          <w:rFonts w:cs="Times New Roman"/>
          <w:b/>
          <w:bCs/>
        </w:rPr>
        <w:t xml:space="preserve">Table </w:t>
      </w:r>
      <w:r w:rsidR="002A5AE4" w:rsidRPr="00401008">
        <w:rPr>
          <w:rFonts w:cs="Times New Roman"/>
          <w:b/>
          <w:bCs/>
        </w:rPr>
        <w:t>2.</w:t>
      </w:r>
      <w:r w:rsidRPr="00401008">
        <w:rPr>
          <w:rFonts w:cs="Times New Roman"/>
          <w:b/>
          <w:bCs/>
        </w:rPr>
        <w:t>1</w:t>
      </w:r>
      <w:r w:rsidRPr="00926F1C">
        <w:rPr>
          <w:rFonts w:cs="Times New Roman"/>
        </w:rPr>
        <w:t xml:space="preserve">) and 10 soil moisture treatments. </w:t>
      </w:r>
    </w:p>
    <w:p w14:paraId="0B3A90A0" w14:textId="31D071D4" w:rsidR="00926F1C" w:rsidRPr="00926F1C" w:rsidRDefault="00926F1C" w:rsidP="001C4124">
      <w:pPr>
        <w:spacing w:line="360" w:lineRule="auto"/>
        <w:ind w:firstLine="720"/>
        <w:rPr>
          <w:rFonts w:cs="Times New Roman"/>
        </w:rPr>
      </w:pPr>
      <w:r w:rsidRPr="00926F1C">
        <w:rPr>
          <w:rFonts w:cs="Times New Roman"/>
        </w:rPr>
        <w:t xml:space="preserve">Petri dishes (100 x 15 mm. </w:t>
      </w:r>
      <w:proofErr w:type="spellStart"/>
      <w:r w:rsidRPr="00926F1C">
        <w:rPr>
          <w:rFonts w:cs="Times New Roman"/>
        </w:rPr>
        <w:t>Fisherbrand</w:t>
      </w:r>
      <w:proofErr w:type="spellEnd"/>
      <w:r w:rsidRPr="00926F1C">
        <w:rPr>
          <w:rFonts w:cs="Times New Roman"/>
        </w:rPr>
        <w:t>™ Petri Dishes with Clear Lid, Thermo-Fisher Scientific, St. Louis, MO, USA) were filled with 50 cm</w:t>
      </w:r>
      <w:r w:rsidRPr="00926F1C">
        <w:rPr>
          <w:rFonts w:cs="Times New Roman"/>
          <w:vertAlign w:val="superscript"/>
        </w:rPr>
        <w:t>3</w:t>
      </w:r>
      <w:r w:rsidRPr="00926F1C">
        <w:rPr>
          <w:rFonts w:cs="Times New Roman"/>
        </w:rPr>
        <w:t xml:space="preserve"> of each soil. Mean bulk density values within Petri dishes were 1.23 and 1.48 g cm</w:t>
      </w:r>
      <w:r w:rsidRPr="00926F1C">
        <w:rPr>
          <w:rFonts w:cs="Times New Roman"/>
          <w:vertAlign w:val="superscript"/>
        </w:rPr>
        <w:t>-3</w:t>
      </w:r>
      <w:r w:rsidRPr="00926F1C">
        <w:rPr>
          <w:rFonts w:cs="Times New Roman"/>
        </w:rPr>
        <w:t xml:space="preserve"> for the clay loam and sand, respectively. Distilled water was added to each plate using a syringe (10 mL </w:t>
      </w:r>
      <w:proofErr w:type="spellStart"/>
      <w:r w:rsidRPr="00926F1C">
        <w:rPr>
          <w:rFonts w:cs="Times New Roman"/>
        </w:rPr>
        <w:t>Fisherbrand</w:t>
      </w:r>
      <w:proofErr w:type="spellEnd"/>
      <w:r w:rsidRPr="00926F1C">
        <w:rPr>
          <w:rFonts w:cs="Times New Roman"/>
        </w:rPr>
        <w:t xml:space="preserve">™ Sterile Syringes for Single Use, Thermo-Fisher Scientific, St. Louis, MO, USA) to create </w:t>
      </w:r>
      <w:r w:rsidR="00515DBC">
        <w:rPr>
          <w:rFonts w:cs="Times New Roman"/>
        </w:rPr>
        <w:t>volumetric water content treatments</w:t>
      </w:r>
      <w:r w:rsidRPr="00926F1C">
        <w:rPr>
          <w:rFonts w:cs="Times New Roman"/>
        </w:rPr>
        <w:t>: 0%, 5%, 10%, 15%, 20%, 30%, 40%, 60%, 80%, and 100%. Ten perennial ryegrass (</w:t>
      </w:r>
      <w:r w:rsidRPr="00926F1C">
        <w:rPr>
          <w:rFonts w:cs="Times New Roman"/>
          <w:i/>
          <w:iCs/>
        </w:rPr>
        <w:t>Lolium perenne</w:t>
      </w:r>
      <w:r w:rsidRPr="00926F1C">
        <w:rPr>
          <w:rFonts w:cs="Times New Roman"/>
        </w:rPr>
        <w:t xml:space="preserve"> L.) seeds were added to each plate to serve as a bioindicator of tetflupyrolimet activity after treatment at 50 g ai ha</w:t>
      </w:r>
      <w:r w:rsidRPr="00926F1C">
        <w:rPr>
          <w:rFonts w:cs="Times New Roman"/>
          <w:vertAlign w:val="superscript"/>
        </w:rPr>
        <w:t>-1</w:t>
      </w:r>
      <w:r w:rsidRPr="00926F1C">
        <w:rPr>
          <w:rFonts w:cs="Times New Roman"/>
        </w:rPr>
        <w:t xml:space="preserve"> using the previously described enclosed spray chamber. This rate was selected based on dose-response experiments discussed earlier (</w:t>
      </w:r>
      <w:r w:rsidRPr="00401008">
        <w:rPr>
          <w:rFonts w:cs="Times New Roman"/>
          <w:b/>
          <w:bCs/>
        </w:rPr>
        <w:t xml:space="preserve">Figure </w:t>
      </w:r>
      <w:r w:rsidR="002A5AE4" w:rsidRPr="00401008">
        <w:rPr>
          <w:rFonts w:cs="Times New Roman"/>
          <w:b/>
          <w:bCs/>
        </w:rPr>
        <w:t>2.</w:t>
      </w:r>
      <w:r w:rsidRPr="00401008">
        <w:rPr>
          <w:rFonts w:cs="Times New Roman"/>
          <w:b/>
          <w:bCs/>
        </w:rPr>
        <w:t>2</w:t>
      </w:r>
      <w:r w:rsidRPr="00926F1C">
        <w:rPr>
          <w:rFonts w:cs="Times New Roman"/>
        </w:rPr>
        <w:t xml:space="preserve">, </w:t>
      </w:r>
      <w:r w:rsidRPr="00401008">
        <w:rPr>
          <w:rFonts w:cs="Times New Roman"/>
          <w:b/>
          <w:bCs/>
        </w:rPr>
        <w:t xml:space="preserve">Table </w:t>
      </w:r>
      <w:r w:rsidR="002A5AE4" w:rsidRPr="00401008">
        <w:rPr>
          <w:rFonts w:cs="Times New Roman"/>
          <w:b/>
          <w:bCs/>
        </w:rPr>
        <w:t>2.4</w:t>
      </w:r>
      <w:r w:rsidRPr="00926F1C">
        <w:rPr>
          <w:rFonts w:cs="Times New Roman"/>
        </w:rPr>
        <w:t>).</w:t>
      </w:r>
    </w:p>
    <w:p w14:paraId="1CCF08CB" w14:textId="32145DCD" w:rsidR="0003064B" w:rsidRPr="000C799B" w:rsidRDefault="00926F1C" w:rsidP="000C799B">
      <w:pPr>
        <w:spacing w:line="360" w:lineRule="auto"/>
        <w:ind w:firstLine="720"/>
        <w:rPr>
          <w:rFonts w:cs="Times New Roman"/>
        </w:rPr>
      </w:pPr>
      <w:r w:rsidRPr="00926F1C">
        <w:rPr>
          <w:rFonts w:cs="Times New Roman"/>
        </w:rPr>
        <w:t xml:space="preserve">After herbicide application, Petri dishes were sealed with parafilm (2 IN All-Purpose Laboratory Film; Amcor, Menasha, WI) and placed inside a growth chamber (G1000-Germinator; </w:t>
      </w:r>
      <w:proofErr w:type="spellStart"/>
      <w:r w:rsidRPr="00926F1C">
        <w:rPr>
          <w:rFonts w:cs="Times New Roman"/>
        </w:rPr>
        <w:t>Conviron</w:t>
      </w:r>
      <w:proofErr w:type="spellEnd"/>
      <w:r w:rsidRPr="00926F1C">
        <w:rPr>
          <w:rFonts w:cs="Times New Roman"/>
        </w:rPr>
        <w:t xml:space="preserve">, Winnipeg, Manitoba, Canada) that provided a constant 16˚C air temperature and 16 h photoperiod.  The number of perennial ryegrass seeds germinating in each plate were counted 15 days after treatment. Data were subjected to ANOVA in R (v.6.2) to discern effects of soil type, </w:t>
      </w:r>
      <w:r w:rsidR="00515DBC">
        <w:rPr>
          <w:rFonts w:cs="Times New Roman"/>
        </w:rPr>
        <w:t>volumetric water</w:t>
      </w:r>
      <w:r w:rsidRPr="00926F1C">
        <w:rPr>
          <w:rFonts w:cs="Times New Roman"/>
        </w:rPr>
        <w:t xml:space="preserve"> content, and their interaction on tetflupyrolimet activity. For each soil, perennial ryegrass germination means were plotted across </w:t>
      </w:r>
      <w:r w:rsidR="00515DBC">
        <w:rPr>
          <w:rFonts w:cs="Times New Roman"/>
        </w:rPr>
        <w:t>volumetric water content</w:t>
      </w:r>
      <w:r w:rsidRPr="00926F1C">
        <w:rPr>
          <w:rFonts w:cs="Times New Roman"/>
        </w:rPr>
        <w:t xml:space="preserve"> in GraphPad Prism with </w:t>
      </w:r>
      <w:proofErr w:type="gramStart"/>
      <w:r w:rsidRPr="00926F1C">
        <w:rPr>
          <w:rFonts w:cs="Times New Roman"/>
        </w:rPr>
        <w:t>means separated</w:t>
      </w:r>
      <w:proofErr w:type="gramEnd"/>
      <w:r w:rsidRPr="00926F1C">
        <w:rPr>
          <w:rFonts w:cs="Times New Roman"/>
        </w:rPr>
        <w:t xml:space="preserve"> using standard error assessments.</w:t>
      </w:r>
      <w:bookmarkStart w:id="82" w:name="_Toc192781560"/>
    </w:p>
    <w:p w14:paraId="5E6D95C5" w14:textId="06FC6C2F" w:rsidR="001C4124" w:rsidRPr="001C4124" w:rsidRDefault="00DD666B" w:rsidP="00007915">
      <w:pPr>
        <w:spacing w:line="360" w:lineRule="auto"/>
        <w:ind w:firstLine="720"/>
        <w:jc w:val="center"/>
        <w:rPr>
          <w:b/>
          <w:bCs/>
        </w:rPr>
      </w:pPr>
      <w:r w:rsidRPr="001C4124">
        <w:rPr>
          <w:b/>
          <w:bCs/>
        </w:rPr>
        <w:t>Results and Dis</w:t>
      </w:r>
      <w:r w:rsidR="001C4124" w:rsidRPr="001C4124">
        <w:rPr>
          <w:b/>
          <w:bCs/>
        </w:rPr>
        <w:t>c</w:t>
      </w:r>
      <w:r w:rsidRPr="001C4124">
        <w:rPr>
          <w:b/>
          <w:bCs/>
        </w:rPr>
        <w:t>ussio</w:t>
      </w:r>
      <w:bookmarkStart w:id="83" w:name="_Toc192781561"/>
      <w:bookmarkEnd w:id="82"/>
      <w:r w:rsidR="001C4124" w:rsidRPr="001C4124">
        <w:rPr>
          <w:b/>
          <w:bCs/>
        </w:rPr>
        <w:t>n</w:t>
      </w:r>
    </w:p>
    <w:p w14:paraId="7010AB16" w14:textId="3487F277" w:rsidR="00D16BB2" w:rsidRPr="001C4124" w:rsidRDefault="00D16BB2" w:rsidP="00007915">
      <w:pPr>
        <w:spacing w:line="360" w:lineRule="auto"/>
        <w:rPr>
          <w:rFonts w:cs="Times New Roman"/>
          <w:b/>
          <w:bCs/>
        </w:rPr>
      </w:pPr>
      <w:r w:rsidRPr="001C4124">
        <w:rPr>
          <w:b/>
          <w:bCs/>
          <w:i/>
          <w:iCs/>
        </w:rPr>
        <w:t>Soil-Type Dose Response</w:t>
      </w:r>
      <w:bookmarkEnd w:id="83"/>
    </w:p>
    <w:p w14:paraId="0CFEDEFF" w14:textId="0518FBCA" w:rsidR="00D16BB2" w:rsidRDefault="00926F1C" w:rsidP="001C4124">
      <w:pPr>
        <w:spacing w:line="360" w:lineRule="auto"/>
        <w:ind w:firstLine="720"/>
        <w:rPr>
          <w:rFonts w:cs="Times New Roman"/>
        </w:rPr>
      </w:pPr>
      <w:r w:rsidRPr="00401008">
        <w:rPr>
          <w:rFonts w:cs="Times New Roman"/>
        </w:rPr>
        <w:t xml:space="preserve">Significant differences in </w:t>
      </w:r>
      <w:r w:rsidRPr="00401008">
        <w:rPr>
          <w:rFonts w:cs="Times New Roman"/>
          <w:i/>
          <w:iCs/>
        </w:rPr>
        <w:t>Poa annua</w:t>
      </w:r>
      <w:r w:rsidRPr="00401008">
        <w:rPr>
          <w:rFonts w:cs="Times New Roman"/>
        </w:rPr>
        <w:t xml:space="preserve"> control were detected between soils treated with</w:t>
      </w:r>
      <w:r w:rsidRPr="00926F1C">
        <w:rPr>
          <w:rFonts w:cs="Times New Roman"/>
        </w:rPr>
        <w:t xml:space="preserve"> increasing doses of tetflupyrolimet from rates of 25 to 400 g ha</w:t>
      </w:r>
      <w:r w:rsidRPr="00926F1C">
        <w:rPr>
          <w:rFonts w:cs="Times New Roman"/>
          <w:vertAlign w:val="superscript"/>
        </w:rPr>
        <w:t>-1</w:t>
      </w:r>
      <w:r w:rsidRPr="00926F1C">
        <w:rPr>
          <w:rFonts w:cs="Times New Roman"/>
        </w:rPr>
        <w:t xml:space="preserve"> in this study (</w:t>
      </w:r>
      <w:r w:rsidRPr="00401008">
        <w:rPr>
          <w:rFonts w:cs="Times New Roman"/>
          <w:b/>
          <w:bCs/>
        </w:rPr>
        <w:t xml:space="preserve">Figure </w:t>
      </w:r>
      <w:r w:rsidR="00C314EA" w:rsidRPr="00401008">
        <w:rPr>
          <w:rFonts w:cs="Times New Roman"/>
          <w:b/>
          <w:bCs/>
        </w:rPr>
        <w:t>2.</w:t>
      </w:r>
      <w:r w:rsidRPr="00401008">
        <w:rPr>
          <w:rFonts w:cs="Times New Roman"/>
          <w:b/>
          <w:bCs/>
        </w:rPr>
        <w:t>2</w:t>
      </w:r>
      <w:r w:rsidRPr="00926F1C">
        <w:rPr>
          <w:rFonts w:cs="Times New Roman"/>
        </w:rPr>
        <w:t xml:space="preserve">, </w:t>
      </w:r>
      <w:r w:rsidRPr="00401008">
        <w:rPr>
          <w:rFonts w:cs="Times New Roman"/>
          <w:b/>
          <w:bCs/>
        </w:rPr>
        <w:t xml:space="preserve">Table </w:t>
      </w:r>
      <w:r w:rsidR="00C314EA" w:rsidRPr="00401008">
        <w:rPr>
          <w:rFonts w:cs="Times New Roman"/>
          <w:b/>
          <w:bCs/>
        </w:rPr>
        <w:t>2.4</w:t>
      </w:r>
      <w:r w:rsidRPr="00926F1C">
        <w:rPr>
          <w:rFonts w:cs="Times New Roman"/>
        </w:rPr>
        <w:t>). Tetflupyrolimet rates of 38 and 231 g ha</w:t>
      </w:r>
      <w:r w:rsidRPr="00926F1C">
        <w:rPr>
          <w:rFonts w:cs="Times New Roman"/>
          <w:vertAlign w:val="superscript"/>
        </w:rPr>
        <w:t>-1</w:t>
      </w:r>
      <w:r w:rsidRPr="00926F1C">
        <w:rPr>
          <w:rFonts w:cs="Times New Roman"/>
        </w:rPr>
        <w:t xml:space="preserve"> were required to control </w:t>
      </w:r>
      <w:r w:rsidRPr="00926F1C">
        <w:rPr>
          <w:rFonts w:cs="Times New Roman"/>
          <w:i/>
          <w:iCs/>
        </w:rPr>
        <w:t>Poa annua</w:t>
      </w:r>
      <w:r w:rsidRPr="00926F1C">
        <w:rPr>
          <w:rFonts w:cs="Times New Roman"/>
        </w:rPr>
        <w:t xml:space="preserve"> 90% in sand and clay loam, respectively. Similarly, rates of tetflupyrolimet required to reduce </w:t>
      </w:r>
      <w:r w:rsidRPr="00926F1C">
        <w:rPr>
          <w:rFonts w:cs="Times New Roman"/>
          <w:i/>
          <w:iCs/>
        </w:rPr>
        <w:t>Poa annua</w:t>
      </w:r>
      <w:r w:rsidRPr="00926F1C">
        <w:rPr>
          <w:rFonts w:cs="Times New Roman"/>
        </w:rPr>
        <w:t xml:space="preserve"> biomass 90% also varied between soil types (</w:t>
      </w:r>
      <w:r w:rsidRPr="00401008">
        <w:rPr>
          <w:rFonts w:cs="Times New Roman"/>
          <w:b/>
          <w:bCs/>
        </w:rPr>
        <w:t xml:space="preserve">Figure </w:t>
      </w:r>
      <w:r w:rsidR="00C314EA" w:rsidRPr="00401008">
        <w:rPr>
          <w:rFonts w:cs="Times New Roman"/>
          <w:b/>
          <w:bCs/>
        </w:rPr>
        <w:t>2.</w:t>
      </w:r>
      <w:r w:rsidRPr="00401008">
        <w:rPr>
          <w:rFonts w:cs="Times New Roman"/>
          <w:b/>
          <w:bCs/>
        </w:rPr>
        <w:t>2</w:t>
      </w:r>
      <w:r w:rsidRPr="00926F1C">
        <w:rPr>
          <w:rFonts w:cs="Times New Roman"/>
        </w:rPr>
        <w:t xml:space="preserve">, </w:t>
      </w:r>
      <w:r w:rsidRPr="00401008">
        <w:rPr>
          <w:rFonts w:cs="Times New Roman"/>
          <w:b/>
          <w:bCs/>
        </w:rPr>
        <w:t xml:space="preserve">Table </w:t>
      </w:r>
      <w:r w:rsidR="00C314EA" w:rsidRPr="00401008">
        <w:rPr>
          <w:rFonts w:cs="Times New Roman"/>
          <w:b/>
          <w:bCs/>
        </w:rPr>
        <w:t>2.4</w:t>
      </w:r>
      <w:r w:rsidRPr="00926F1C">
        <w:rPr>
          <w:rFonts w:cs="Times New Roman"/>
        </w:rPr>
        <w:t>). A rate of 30 g ha</w:t>
      </w:r>
      <w:r w:rsidRPr="00926F1C">
        <w:rPr>
          <w:rFonts w:cs="Times New Roman"/>
          <w:vertAlign w:val="superscript"/>
        </w:rPr>
        <w:t>-1</w:t>
      </w:r>
      <w:r w:rsidRPr="00926F1C">
        <w:rPr>
          <w:rFonts w:cs="Times New Roman"/>
        </w:rPr>
        <w:t xml:space="preserve"> was </w:t>
      </w:r>
      <w:r w:rsidRPr="00926F1C">
        <w:rPr>
          <w:rFonts w:cs="Times New Roman"/>
        </w:rPr>
        <w:lastRenderedPageBreak/>
        <w:t>required for a 90% biomass reduction in sand compared to 237 g ha</w:t>
      </w:r>
      <w:r w:rsidRPr="00926F1C">
        <w:rPr>
          <w:rFonts w:cs="Times New Roman"/>
          <w:vertAlign w:val="superscript"/>
        </w:rPr>
        <w:t>-1</w:t>
      </w:r>
      <w:r w:rsidRPr="00926F1C">
        <w:rPr>
          <w:rFonts w:cs="Times New Roman"/>
        </w:rPr>
        <w:t xml:space="preserve"> in clay loam, representing a near 8-fold document difference in herbicide activity between soil textures.</w:t>
      </w:r>
    </w:p>
    <w:p w14:paraId="5CC214B2" w14:textId="7564E316" w:rsidR="001C4124" w:rsidRDefault="00926F1C" w:rsidP="000C799B">
      <w:pPr>
        <w:spacing w:line="360" w:lineRule="auto"/>
        <w:ind w:firstLine="720"/>
        <w:rPr>
          <w:rFonts w:cs="Times New Roman"/>
        </w:rPr>
      </w:pPr>
      <w:r w:rsidRPr="00926F1C">
        <w:rPr>
          <w:rFonts w:cs="Times New Roman"/>
        </w:rPr>
        <w:t xml:space="preserve">Our experiments identified 6- to 8-fold differences in tetflupyrolimet activity on </w:t>
      </w:r>
      <w:r w:rsidRPr="00926F1C">
        <w:rPr>
          <w:rFonts w:cs="Times New Roman"/>
          <w:i/>
          <w:iCs/>
        </w:rPr>
        <w:t>Poa annua</w:t>
      </w:r>
      <w:r w:rsidRPr="00926F1C">
        <w:rPr>
          <w:rFonts w:cs="Times New Roman"/>
        </w:rPr>
        <w:t xml:space="preserve"> due to soil texture. Soil texture effects on herbicide efficacy have been documented for other preemergence herbicides. For example, differences in efficacy have been documented with atrazine and pendimethalin in corn (</w:t>
      </w:r>
      <w:proofErr w:type="spellStart"/>
      <w:r w:rsidRPr="00926F1C">
        <w:rPr>
          <w:rFonts w:cs="Times New Roman"/>
          <w:i/>
          <w:iCs/>
        </w:rPr>
        <w:t>Zea</w:t>
      </w:r>
      <w:proofErr w:type="spellEnd"/>
      <w:r w:rsidRPr="00926F1C">
        <w:rPr>
          <w:rFonts w:cs="Times New Roman"/>
          <w:i/>
          <w:iCs/>
        </w:rPr>
        <w:t xml:space="preserve"> mays</w:t>
      </w:r>
      <w:r w:rsidRPr="00926F1C">
        <w:rPr>
          <w:rFonts w:cs="Times New Roman"/>
        </w:rPr>
        <w:t xml:space="preserve"> L.) production where humic matter, organic matter, and cation exchange capacity were significantly correlated with increasing herbicide rates required to reach 80% weed control</w:t>
      </w:r>
      <w:r w:rsidR="0053674F">
        <w:rPr>
          <w:rFonts w:cs="Times New Roman"/>
        </w:rPr>
        <w:t xml:space="preserve"> (</w:t>
      </w:r>
      <w:proofErr w:type="spellStart"/>
      <w:r w:rsidR="0053674F">
        <w:rPr>
          <w:rFonts w:cs="Times New Roman"/>
        </w:rPr>
        <w:t>Blunhorst</w:t>
      </w:r>
      <w:proofErr w:type="spellEnd"/>
      <w:r w:rsidR="0053674F">
        <w:rPr>
          <w:rFonts w:cs="Times New Roman"/>
        </w:rPr>
        <w:t xml:space="preserve"> et al. 1990).</w:t>
      </w:r>
      <w:r w:rsidRPr="00926F1C">
        <w:rPr>
          <w:rFonts w:cs="Times New Roman"/>
        </w:rPr>
        <w:t xml:space="preserve"> In addition, higher rates of metribuzin were needed for effective weed control as humic and organic matter content increased across 201 soils evaluated representative of the</w:t>
      </w:r>
      <w:r w:rsidRPr="00926F1C">
        <w:rPr>
          <w:rFonts w:cs="Times New Roman"/>
          <w:i/>
          <w:iCs/>
        </w:rPr>
        <w:t xml:space="preserve"> </w:t>
      </w:r>
      <w:r w:rsidRPr="00926F1C">
        <w:rPr>
          <w:rFonts w:cs="Times New Roman"/>
        </w:rPr>
        <w:t>corn, wheat (</w:t>
      </w:r>
      <w:r w:rsidRPr="00926F1C">
        <w:rPr>
          <w:rFonts w:cs="Times New Roman"/>
          <w:i/>
          <w:iCs/>
        </w:rPr>
        <w:t>Triticum</w:t>
      </w:r>
      <w:r w:rsidRPr="00926F1C">
        <w:rPr>
          <w:rFonts w:cs="Times New Roman"/>
        </w:rPr>
        <w:t xml:space="preserve"> spp.), and cotton (</w:t>
      </w:r>
      <w:r w:rsidRPr="00926F1C">
        <w:rPr>
          <w:rFonts w:cs="Times New Roman"/>
          <w:i/>
          <w:iCs/>
        </w:rPr>
        <w:t>Gossypium</w:t>
      </w:r>
      <w:r w:rsidRPr="00926F1C">
        <w:rPr>
          <w:rFonts w:cs="Times New Roman"/>
        </w:rPr>
        <w:t xml:space="preserve"> spp.) production belts of the United States</w:t>
      </w:r>
      <w:r w:rsidR="0053674F">
        <w:rPr>
          <w:rFonts w:cs="Times New Roman"/>
        </w:rPr>
        <w:t xml:space="preserve"> Weber et al. 1987).</w:t>
      </w:r>
      <w:r w:rsidRPr="00926F1C">
        <w:rPr>
          <w:rFonts w:cs="Times New Roman"/>
        </w:rPr>
        <w:t xml:space="preserve"> To date, minimal information has been published regarding the effect of soil-type on tetflupyrolimet; efficacy in rice production has been reported on a single soil-type (clay)</w:t>
      </w:r>
      <w:r w:rsidR="0053674F">
        <w:rPr>
          <w:rFonts w:cs="Times New Roman"/>
        </w:rPr>
        <w:t xml:space="preserve"> (Lombardi &amp; Al-Khatib 2024).</w:t>
      </w:r>
      <w:r w:rsidRPr="00926F1C">
        <w:rPr>
          <w:rFonts w:cs="Times New Roman"/>
        </w:rPr>
        <w:t xml:space="preserve"> Similarly, tetflupyrolimet efficacy in turfgrass has only been evaluated on silt and clay loam soils</w:t>
      </w:r>
      <w:r w:rsidR="0053674F">
        <w:rPr>
          <w:rFonts w:cs="Times New Roman"/>
        </w:rPr>
        <w:t xml:space="preserve"> (Pritchard et al. 202</w:t>
      </w:r>
      <w:r w:rsidR="00577BCF">
        <w:rPr>
          <w:rFonts w:cs="Times New Roman"/>
        </w:rPr>
        <w:t>5</w:t>
      </w:r>
      <w:r w:rsidR="0053674F">
        <w:rPr>
          <w:rFonts w:cs="Times New Roman"/>
        </w:rPr>
        <w:t>).</w:t>
      </w:r>
      <w:bookmarkStart w:id="84" w:name="_Toc192781562"/>
    </w:p>
    <w:p w14:paraId="2B022ED2" w14:textId="5D4C8CCA" w:rsidR="00D16BB2" w:rsidRPr="001C4124" w:rsidRDefault="00D16BB2" w:rsidP="001C4124">
      <w:pPr>
        <w:spacing w:line="360" w:lineRule="auto"/>
        <w:rPr>
          <w:rFonts w:cs="Times New Roman"/>
          <w:b/>
          <w:bCs/>
          <w:i/>
          <w:iCs/>
        </w:rPr>
      </w:pPr>
      <w:r w:rsidRPr="001C4124">
        <w:rPr>
          <w:b/>
          <w:bCs/>
          <w:i/>
          <w:iCs/>
        </w:rPr>
        <w:t>Soil-Moisture Impacting Tetflupyrolimet Efficacy</w:t>
      </w:r>
      <w:bookmarkEnd w:id="84"/>
    </w:p>
    <w:p w14:paraId="51AAE7A4" w14:textId="28B86ABA" w:rsidR="00926F1C" w:rsidRDefault="00926F1C" w:rsidP="001C4124">
      <w:pPr>
        <w:spacing w:line="360" w:lineRule="auto"/>
        <w:ind w:firstLine="720"/>
        <w:rPr>
          <w:rFonts w:cs="Times New Roman"/>
        </w:rPr>
      </w:pPr>
      <w:r w:rsidRPr="00926F1C">
        <w:rPr>
          <w:rFonts w:cs="Times New Roman"/>
        </w:rPr>
        <w:t>A significant soil type-by-</w:t>
      </w:r>
      <w:r w:rsidR="00EE5888">
        <w:rPr>
          <w:rFonts w:cs="Times New Roman"/>
        </w:rPr>
        <w:t>volumetric water content</w:t>
      </w:r>
      <w:r w:rsidRPr="00926F1C">
        <w:rPr>
          <w:rFonts w:cs="Times New Roman"/>
        </w:rPr>
        <w:t>-by-herbicide treatment interaction was detected in perennial ryegrass germination data (</w:t>
      </w:r>
      <w:r w:rsidRPr="00401008">
        <w:rPr>
          <w:rFonts w:cs="Times New Roman"/>
          <w:b/>
          <w:bCs/>
        </w:rPr>
        <w:t xml:space="preserve">Figure </w:t>
      </w:r>
      <w:r w:rsidR="00C314EA" w:rsidRPr="00401008">
        <w:rPr>
          <w:rFonts w:cs="Times New Roman"/>
          <w:b/>
          <w:bCs/>
        </w:rPr>
        <w:t>2.</w:t>
      </w:r>
      <w:r w:rsidRPr="00401008">
        <w:rPr>
          <w:rFonts w:cs="Times New Roman"/>
          <w:b/>
          <w:bCs/>
        </w:rPr>
        <w:t>3</w:t>
      </w:r>
      <w:r w:rsidRPr="00926F1C">
        <w:rPr>
          <w:rFonts w:cs="Times New Roman"/>
        </w:rPr>
        <w:t xml:space="preserve">). When no herbicide was present, a minimum of 5% soil moisture (v/v) was required for perennial ryegrass germination in sand, whereas 15% soil moisture was required for similar germination in clay loam. While not measured directly, this difference could be a function water being held at greater matric potential in the clay loam compared to the sand rootzone. Although total porosity was similar among these two soils, the sand rootzone contained a greater quantity of macropores (27.6% compared to 18.5%) leading to significant increase in saturated hydraulic conductivity and reduced soil moisture </w:t>
      </w:r>
      <w:proofErr w:type="spellStart"/>
      <w:r w:rsidRPr="00926F1C">
        <w:rPr>
          <w:rFonts w:cs="Times New Roman"/>
        </w:rPr>
        <w:t>rentention</w:t>
      </w:r>
      <w:proofErr w:type="spellEnd"/>
      <w:r w:rsidRPr="00926F1C">
        <w:rPr>
          <w:rFonts w:cs="Times New Roman"/>
        </w:rPr>
        <w:t xml:space="preserve"> (</w:t>
      </w:r>
      <w:r w:rsidRPr="00401008">
        <w:rPr>
          <w:rFonts w:cs="Times New Roman"/>
          <w:b/>
          <w:bCs/>
        </w:rPr>
        <w:t xml:space="preserve">Table </w:t>
      </w:r>
      <w:r w:rsidR="00C314EA" w:rsidRPr="00401008">
        <w:rPr>
          <w:rFonts w:cs="Times New Roman"/>
          <w:b/>
          <w:bCs/>
        </w:rPr>
        <w:t>2.</w:t>
      </w:r>
      <w:r w:rsidRPr="00401008">
        <w:rPr>
          <w:rFonts w:cs="Times New Roman"/>
          <w:b/>
          <w:bCs/>
        </w:rPr>
        <w:t>1</w:t>
      </w:r>
      <w:r w:rsidRPr="00926F1C">
        <w:rPr>
          <w:rFonts w:cs="Times New Roman"/>
        </w:rPr>
        <w:t xml:space="preserve">, </w:t>
      </w:r>
      <w:r w:rsidRPr="00401008">
        <w:rPr>
          <w:rFonts w:cs="Times New Roman"/>
          <w:b/>
          <w:bCs/>
        </w:rPr>
        <w:t xml:space="preserve">Figure </w:t>
      </w:r>
      <w:r w:rsidR="00C314EA" w:rsidRPr="00401008">
        <w:rPr>
          <w:rFonts w:cs="Times New Roman"/>
          <w:b/>
          <w:bCs/>
        </w:rPr>
        <w:t>2.</w:t>
      </w:r>
      <w:r w:rsidRPr="00401008">
        <w:rPr>
          <w:rFonts w:cs="Times New Roman"/>
          <w:b/>
          <w:bCs/>
        </w:rPr>
        <w:t>1</w:t>
      </w:r>
      <w:r w:rsidRPr="00926F1C">
        <w:rPr>
          <w:rFonts w:cs="Times New Roman"/>
        </w:rPr>
        <w:t xml:space="preserve">). While herbicide sorption and bioavailability can differ amongst soil textures, these proxy measures suggest that less energy is required for perennial ryegrass to access moisture in this sand rootzone compared to clay loam. </w:t>
      </w:r>
      <w:proofErr w:type="gramStart"/>
      <w:r w:rsidRPr="00926F1C">
        <w:rPr>
          <w:rFonts w:cs="Times New Roman"/>
        </w:rPr>
        <w:t>Similar to</w:t>
      </w:r>
      <w:proofErr w:type="gramEnd"/>
      <w:r w:rsidRPr="00926F1C">
        <w:rPr>
          <w:rFonts w:cs="Times New Roman"/>
        </w:rPr>
        <w:t xml:space="preserve"> field reports on smooth crabgrass</w:t>
      </w:r>
      <w:r w:rsidR="001E7CAC">
        <w:rPr>
          <w:rFonts w:cs="Times New Roman"/>
          <w:vertAlign w:val="superscript"/>
        </w:rPr>
        <w:t xml:space="preserve"> </w:t>
      </w:r>
      <w:r w:rsidR="001E7CAC">
        <w:rPr>
          <w:rFonts w:cs="Times New Roman"/>
        </w:rPr>
        <w:t>(Pritchard et al. 202</w:t>
      </w:r>
      <w:r w:rsidR="00577BCF">
        <w:rPr>
          <w:rFonts w:cs="Times New Roman"/>
        </w:rPr>
        <w:t>5</w:t>
      </w:r>
      <w:r w:rsidR="001E7CAC">
        <w:rPr>
          <w:rFonts w:cs="Times New Roman"/>
        </w:rPr>
        <w:t>)</w:t>
      </w:r>
      <w:r w:rsidRPr="00926F1C">
        <w:rPr>
          <w:rFonts w:cs="Times New Roman"/>
        </w:rPr>
        <w:t>, overall activity of tetflupyrolimet (50 g ha</w:t>
      </w:r>
      <w:r w:rsidRPr="00926F1C">
        <w:rPr>
          <w:rFonts w:cs="Times New Roman"/>
          <w:vertAlign w:val="superscript"/>
        </w:rPr>
        <w:t>-1</w:t>
      </w:r>
      <w:r w:rsidRPr="00926F1C">
        <w:rPr>
          <w:rFonts w:cs="Times New Roman"/>
        </w:rPr>
        <w:t xml:space="preserve">) in the current laboratory study increased in both soils as </w:t>
      </w:r>
      <w:r w:rsidR="00EE5888">
        <w:rPr>
          <w:rFonts w:cs="Times New Roman"/>
        </w:rPr>
        <w:t>volumetric water content</w:t>
      </w:r>
      <w:r w:rsidRPr="00926F1C">
        <w:rPr>
          <w:rFonts w:cs="Times New Roman"/>
        </w:rPr>
        <w:t xml:space="preserve"> increased (</w:t>
      </w:r>
      <w:r w:rsidRPr="00401008">
        <w:rPr>
          <w:rFonts w:cs="Times New Roman"/>
          <w:b/>
          <w:bCs/>
        </w:rPr>
        <w:t xml:space="preserve">Figure </w:t>
      </w:r>
      <w:r w:rsidR="00C314EA" w:rsidRPr="00401008">
        <w:rPr>
          <w:rFonts w:cs="Times New Roman"/>
          <w:b/>
          <w:bCs/>
        </w:rPr>
        <w:t>2.</w:t>
      </w:r>
      <w:r w:rsidRPr="00401008">
        <w:rPr>
          <w:rFonts w:cs="Times New Roman"/>
          <w:b/>
          <w:bCs/>
        </w:rPr>
        <w:t>3</w:t>
      </w:r>
      <w:r w:rsidRPr="00926F1C">
        <w:rPr>
          <w:rFonts w:cs="Times New Roman"/>
        </w:rPr>
        <w:t>). However, tetflupyrolimet activity in sand was greater than clay loam at each soil moisture content from 15 to 80% (</w:t>
      </w:r>
      <w:r w:rsidRPr="00401008">
        <w:rPr>
          <w:rFonts w:cs="Times New Roman"/>
          <w:b/>
          <w:bCs/>
        </w:rPr>
        <w:t xml:space="preserve">Figure </w:t>
      </w:r>
      <w:r w:rsidR="00C314EA" w:rsidRPr="00401008">
        <w:rPr>
          <w:rFonts w:cs="Times New Roman"/>
          <w:b/>
          <w:bCs/>
        </w:rPr>
        <w:t>2.</w:t>
      </w:r>
      <w:r w:rsidRPr="00401008">
        <w:rPr>
          <w:rFonts w:cs="Times New Roman"/>
          <w:b/>
          <w:bCs/>
        </w:rPr>
        <w:t>3</w:t>
      </w:r>
      <w:r w:rsidRPr="00926F1C">
        <w:rPr>
          <w:rFonts w:cs="Times New Roman"/>
        </w:rPr>
        <w:t>).</w:t>
      </w:r>
    </w:p>
    <w:p w14:paraId="34C2C846" w14:textId="1957F388" w:rsidR="00926F1C" w:rsidRPr="00926F1C" w:rsidRDefault="00926F1C" w:rsidP="001C4124">
      <w:pPr>
        <w:spacing w:line="360" w:lineRule="auto"/>
        <w:ind w:firstLine="720"/>
        <w:rPr>
          <w:rFonts w:cs="Times New Roman"/>
        </w:rPr>
      </w:pPr>
      <w:r w:rsidRPr="00926F1C">
        <w:rPr>
          <w:rFonts w:cs="Times New Roman"/>
        </w:rPr>
        <w:lastRenderedPageBreak/>
        <w:t xml:space="preserve">Higher tetflupyrolimet activity in sand could be related to matric potential as activity on perennial ryegrass was higher in sand (compared to clay loam) across a wide range of volumetric </w:t>
      </w:r>
      <w:r w:rsidR="003D1876">
        <w:rPr>
          <w:rFonts w:cs="Times New Roman"/>
        </w:rPr>
        <w:t>water</w:t>
      </w:r>
      <w:r w:rsidRPr="00926F1C">
        <w:rPr>
          <w:rFonts w:cs="Times New Roman"/>
        </w:rPr>
        <w:t xml:space="preserve"> contents (15 to 80%). Once </w:t>
      </w:r>
      <w:r w:rsidR="003D1876">
        <w:rPr>
          <w:rFonts w:cs="Times New Roman"/>
        </w:rPr>
        <w:t>volumetric water</w:t>
      </w:r>
      <w:r w:rsidRPr="00926F1C">
        <w:rPr>
          <w:rFonts w:cs="Times New Roman"/>
        </w:rPr>
        <w:t xml:space="preserve"> content increased to &gt; 80%, no differences in tetflupyrolimet activity were detected among soils with perennial ryegrass germination measuring 0% (</w:t>
      </w:r>
      <w:r w:rsidRPr="00401008">
        <w:rPr>
          <w:rFonts w:cs="Times New Roman"/>
          <w:b/>
          <w:bCs/>
        </w:rPr>
        <w:t xml:space="preserve">Figure </w:t>
      </w:r>
      <w:r w:rsidR="002C2627" w:rsidRPr="00401008">
        <w:rPr>
          <w:rFonts w:cs="Times New Roman"/>
          <w:b/>
          <w:bCs/>
        </w:rPr>
        <w:t>2.</w:t>
      </w:r>
      <w:r w:rsidRPr="00401008">
        <w:rPr>
          <w:rFonts w:cs="Times New Roman"/>
          <w:b/>
          <w:bCs/>
        </w:rPr>
        <w:t>3</w:t>
      </w:r>
      <w:r w:rsidRPr="00926F1C">
        <w:rPr>
          <w:rFonts w:cs="Times New Roman"/>
        </w:rPr>
        <w:t>). Similar to what has been reported with other preemergence herbicides</w:t>
      </w:r>
      <w:r w:rsidR="00274CB6">
        <w:rPr>
          <w:rFonts w:cs="Times New Roman"/>
          <w:vertAlign w:val="superscript"/>
        </w:rPr>
        <w:t xml:space="preserve"> </w:t>
      </w:r>
      <w:r w:rsidR="00274CB6">
        <w:rPr>
          <w:rFonts w:cs="Times New Roman"/>
        </w:rPr>
        <w:t>(Gasper et al. 1994; Sebastian et al. 2017; Olson et al. 2000)</w:t>
      </w:r>
      <w:r w:rsidRPr="00926F1C">
        <w:rPr>
          <w:rFonts w:cs="Times New Roman"/>
        </w:rPr>
        <w:t xml:space="preserve">, this response indicates that post-application irrigation could mitigate potential reductions in efficacy on heavier soils, particularly when soil moisture is limited. </w:t>
      </w:r>
    </w:p>
    <w:p w14:paraId="51FD736A" w14:textId="3A68BDF3" w:rsidR="001C4124" w:rsidRDefault="00926F1C" w:rsidP="000C799B">
      <w:pPr>
        <w:spacing w:line="360" w:lineRule="auto"/>
        <w:ind w:firstLine="720"/>
        <w:rPr>
          <w:rFonts w:cs="Times New Roman"/>
        </w:rPr>
      </w:pPr>
      <w:r w:rsidRPr="00926F1C">
        <w:rPr>
          <w:rFonts w:cs="Times New Roman"/>
        </w:rPr>
        <w:t xml:space="preserve">While this study provides valuable information regarding the effects of soil type on tetflupyrolimet efficacy in turfgrass, this research has limitations. First, only two soil types were included in our experiments. Future research exploring tetflupyrolimet efficacy on different soils is warranted, particularly those with edaphic </w:t>
      </w:r>
      <w:proofErr w:type="spellStart"/>
      <w:r w:rsidRPr="00926F1C">
        <w:rPr>
          <w:rFonts w:cs="Times New Roman"/>
        </w:rPr>
        <w:t>paramaters</w:t>
      </w:r>
      <w:proofErr w:type="spellEnd"/>
      <w:r w:rsidRPr="00926F1C">
        <w:rPr>
          <w:rFonts w:cs="Times New Roman"/>
        </w:rPr>
        <w:t xml:space="preserve"> different from those presented in </w:t>
      </w:r>
      <w:r w:rsidRPr="00401008">
        <w:rPr>
          <w:rFonts w:cs="Times New Roman"/>
          <w:b/>
          <w:bCs/>
        </w:rPr>
        <w:t xml:space="preserve">Table </w:t>
      </w:r>
      <w:r w:rsidR="00816A18" w:rsidRPr="00401008">
        <w:rPr>
          <w:rFonts w:cs="Times New Roman"/>
          <w:b/>
          <w:bCs/>
        </w:rPr>
        <w:t>2.</w:t>
      </w:r>
      <w:r w:rsidRPr="00401008">
        <w:rPr>
          <w:rFonts w:cs="Times New Roman"/>
          <w:b/>
          <w:bCs/>
        </w:rPr>
        <w:t>1</w:t>
      </w:r>
      <w:r w:rsidRPr="00926F1C">
        <w:rPr>
          <w:rFonts w:cs="Times New Roman"/>
        </w:rPr>
        <w:t xml:space="preserve">. It should be noted that pilot experiments found no significant differences in tetflupyrolimet efficacy due to soil pH, total exchange capacity, or calcium content (data not shown). Secondly, matric potential was not directly measured in our experiment. Similar to research with </w:t>
      </w:r>
      <w:r w:rsidRPr="00926F1C">
        <w:rPr>
          <w:rFonts w:cs="Times New Roman"/>
          <w:i/>
          <w:iCs/>
        </w:rPr>
        <w:t>Kochia scoparia</w:t>
      </w:r>
      <w:r w:rsidRPr="00926F1C">
        <w:rPr>
          <w:rFonts w:cs="Times New Roman"/>
        </w:rPr>
        <w:t xml:space="preserve"> L.</w:t>
      </w:r>
      <w:r w:rsidR="00274CB6">
        <w:rPr>
          <w:rFonts w:cs="Times New Roman"/>
          <w:vertAlign w:val="superscript"/>
        </w:rPr>
        <w:t xml:space="preserve"> </w:t>
      </w:r>
      <w:r w:rsidR="00274CB6">
        <w:rPr>
          <w:rFonts w:cs="Times New Roman"/>
        </w:rPr>
        <w:t>(Sebastian et al. 2017)</w:t>
      </w:r>
      <w:r w:rsidRPr="00926F1C">
        <w:rPr>
          <w:rFonts w:cs="Times New Roman"/>
        </w:rPr>
        <w:t xml:space="preserve">, direct assessments of matric potential on tetflupyrolimet efficacy are warranted. Lastly, we selected a laboratory assay with Petri plates that prevented internal drainage (through the soil profile) from confounding our results. Field research confirming enhanced efficacy of tetflupyrolimet in sandy soils is also warranted. </w:t>
      </w:r>
      <w:bookmarkStart w:id="85" w:name="_Toc192781563"/>
    </w:p>
    <w:p w14:paraId="0246F985" w14:textId="52BA5937" w:rsidR="00D16BB2" w:rsidRPr="001C4124" w:rsidRDefault="00DD666B" w:rsidP="001C4124">
      <w:pPr>
        <w:spacing w:line="360" w:lineRule="auto"/>
        <w:jc w:val="center"/>
        <w:rPr>
          <w:rFonts w:cs="Times New Roman"/>
          <w:b/>
          <w:bCs/>
        </w:rPr>
      </w:pPr>
      <w:r w:rsidRPr="001C4124">
        <w:rPr>
          <w:b/>
          <w:bCs/>
        </w:rPr>
        <w:t>Conclusions</w:t>
      </w:r>
      <w:bookmarkEnd w:id="85"/>
    </w:p>
    <w:p w14:paraId="20D1D7C2" w14:textId="4387B8E2" w:rsidR="00926F1C" w:rsidRPr="00D16BB2" w:rsidRDefault="00926F1C" w:rsidP="001C4124">
      <w:pPr>
        <w:spacing w:line="360" w:lineRule="auto"/>
        <w:ind w:firstLine="720"/>
        <w:rPr>
          <w:rFonts w:cs="Times New Roman"/>
          <w:b/>
          <w:bCs/>
        </w:rPr>
      </w:pPr>
      <w:r w:rsidRPr="00926F1C">
        <w:rPr>
          <w:rFonts w:cs="Times New Roman"/>
        </w:rPr>
        <w:t xml:space="preserve">Overall, our experiments highlight a 6- to 8-fold difference in </w:t>
      </w:r>
      <w:proofErr w:type="spellStart"/>
      <w:r w:rsidRPr="00926F1C">
        <w:rPr>
          <w:rFonts w:cs="Times New Roman"/>
        </w:rPr>
        <w:t>tetflupurolimet</w:t>
      </w:r>
      <w:proofErr w:type="spellEnd"/>
      <w:r w:rsidRPr="00926F1C">
        <w:rPr>
          <w:rFonts w:cs="Times New Roman"/>
        </w:rPr>
        <w:t xml:space="preserve"> activity on </w:t>
      </w:r>
      <w:r w:rsidRPr="00926F1C">
        <w:rPr>
          <w:rFonts w:cs="Times New Roman"/>
          <w:i/>
          <w:iCs/>
        </w:rPr>
        <w:t>Poa annua</w:t>
      </w:r>
      <w:r w:rsidRPr="00926F1C">
        <w:rPr>
          <w:rFonts w:cs="Times New Roman"/>
        </w:rPr>
        <w:t xml:space="preserve"> following treatments to plants growing in a sand rootzone compared to a clay loam. These data suggest that tetflupyrolimet application rates in sand should be different from those recommended for use in finer-textured soils, such as clay loam. Additionally, greater activity of tetflupyrolimet in sand offers several benefits for turfgrass managers, including its suitability for use on golf course putting greens which are predominantly constructed on sand profiles. Use of tetflupyrolimet on putting greens could address widespread infestations of ALS-resistant </w:t>
      </w:r>
      <w:r w:rsidRPr="00926F1C">
        <w:rPr>
          <w:rFonts w:cs="Times New Roman"/>
          <w:i/>
          <w:iCs/>
        </w:rPr>
        <w:t xml:space="preserve">Poa annua </w:t>
      </w:r>
      <w:r w:rsidRPr="00926F1C">
        <w:rPr>
          <w:rFonts w:cs="Times New Roman"/>
        </w:rPr>
        <w:t>on these surface</w:t>
      </w:r>
      <w:r w:rsidR="00274CB6">
        <w:rPr>
          <w:rFonts w:cs="Times New Roman"/>
        </w:rPr>
        <w:t>s (Singh et al. 2021).</w:t>
      </w:r>
      <w:r w:rsidRPr="00926F1C">
        <w:rPr>
          <w:rFonts w:cs="Times New Roman"/>
        </w:rPr>
        <w:t xml:space="preserve"> Secondly, new golf courses are often constructed on sandy sites given that they offer a growing medium that can withstand traffic and provide optimal ball-to-surface interactions. Greater tetflupyrolimet activity in these sandy mediums could allow for reduced application rates to be used for acceptable weed control.</w:t>
      </w:r>
    </w:p>
    <w:p w14:paraId="0EC56251" w14:textId="57B4152B" w:rsidR="004C2071" w:rsidRPr="00DD666B" w:rsidRDefault="00F710F9" w:rsidP="000C799B">
      <w:pPr>
        <w:pStyle w:val="Heading2"/>
        <w:spacing w:before="0" w:after="0" w:line="360" w:lineRule="auto"/>
      </w:pPr>
      <w:r w:rsidRPr="00D16BB2">
        <w:br w:type="page"/>
      </w:r>
      <w:bookmarkStart w:id="86" w:name="_Toc289175842"/>
      <w:bookmarkStart w:id="87" w:name="_Toc192766956"/>
      <w:bookmarkStart w:id="88" w:name="_Toc192781564"/>
      <w:r w:rsidR="004C2071" w:rsidRPr="00DD666B">
        <w:lastRenderedPageBreak/>
        <w:t>R</w:t>
      </w:r>
      <w:bookmarkEnd w:id="86"/>
      <w:bookmarkEnd w:id="87"/>
      <w:r w:rsidR="00DD666B" w:rsidRPr="00DD666B">
        <w:t>eferences</w:t>
      </w:r>
      <w:bookmarkEnd w:id="88"/>
    </w:p>
    <w:p w14:paraId="162DEFDD" w14:textId="72FCC48F"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Allen JH, Ervin DE, Frisvold GB, Brosnan JT, McCurdy JD, Bowling RG, Patton AJ, Elmore MT, Gannon TW, McCarty LB, McCullough PE, Kaminski JE, Askew SD, Kowalewski AR, Unruh JB, McElroy JS,</w:t>
      </w:r>
      <w:r w:rsidR="004920D0">
        <w:rPr>
          <w:rFonts w:cs="Times New Roman"/>
          <w:color w:val="222222"/>
          <w:shd w:val="clear" w:color="auto" w:fill="FFFFFF"/>
        </w:rPr>
        <w:t xml:space="preserve"> &amp;</w:t>
      </w:r>
      <w:r w:rsidRPr="00864A35">
        <w:rPr>
          <w:rFonts w:cs="Times New Roman"/>
          <w:color w:val="222222"/>
          <w:shd w:val="clear" w:color="auto" w:fill="FFFFFF"/>
        </w:rPr>
        <w:t xml:space="preserve"> </w:t>
      </w:r>
      <w:proofErr w:type="spellStart"/>
      <w:r w:rsidRPr="00864A35">
        <w:rPr>
          <w:rFonts w:cs="Times New Roman"/>
          <w:color w:val="222222"/>
          <w:shd w:val="clear" w:color="auto" w:fill="FFFFFF"/>
        </w:rPr>
        <w:t>Bagavathiannan</w:t>
      </w:r>
      <w:proofErr w:type="spellEnd"/>
      <w:r w:rsidRPr="00864A35">
        <w:rPr>
          <w:rFonts w:cs="Times New Roman"/>
          <w:color w:val="222222"/>
          <w:shd w:val="clear" w:color="auto" w:fill="FFFFFF"/>
        </w:rPr>
        <w:t xml:space="preserve"> MV</w:t>
      </w:r>
      <w:r w:rsidR="004920D0">
        <w:rPr>
          <w:rFonts w:cs="Times New Roman"/>
          <w:color w:val="222222"/>
          <w:shd w:val="clear" w:color="auto" w:fill="FFFFFF"/>
        </w:rPr>
        <w:t>.</w:t>
      </w:r>
      <w:r w:rsidRPr="00864A35">
        <w:rPr>
          <w:rFonts w:cs="Times New Roman"/>
          <w:color w:val="222222"/>
          <w:shd w:val="clear" w:color="auto" w:fill="FFFFFF"/>
        </w:rPr>
        <w:t xml:space="preserve"> (2022). Herbicide-resistance in turf systems: insights and options for managing</w:t>
      </w:r>
      <w:r>
        <w:rPr>
          <w:rFonts w:cs="Times New Roman"/>
          <w:color w:val="222222"/>
          <w:shd w:val="clear" w:color="auto" w:fill="FFFFFF"/>
        </w:rPr>
        <w:t xml:space="preserve"> </w:t>
      </w:r>
      <w:r w:rsidRPr="00864A35">
        <w:rPr>
          <w:rFonts w:cs="Times New Roman"/>
          <w:color w:val="222222"/>
          <w:shd w:val="clear" w:color="auto" w:fill="FFFFFF"/>
        </w:rPr>
        <w:t>complexity. </w:t>
      </w:r>
      <w:r>
        <w:rPr>
          <w:rFonts w:cs="Times New Roman"/>
          <w:color w:val="222222"/>
          <w:shd w:val="clear" w:color="auto" w:fill="FFFFFF"/>
        </w:rPr>
        <w:br/>
      </w:r>
      <w:r w:rsidRPr="00864A35">
        <w:rPr>
          <w:rFonts w:cs="Times New Roman"/>
          <w:color w:val="222222"/>
          <w:shd w:val="clear" w:color="auto" w:fill="FFFFFF"/>
        </w:rPr>
        <w:t>Sustainability, 14(20), 13399.</w:t>
      </w:r>
    </w:p>
    <w:p w14:paraId="7B818931" w14:textId="4ABE660B" w:rsidR="00E41936" w:rsidRDefault="00E41936"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(2007). </w:t>
      </w:r>
      <w:hyperlink r:id="rId20" w:history="1">
        <w:r w:rsidRPr="00864A35">
          <w:rPr>
            <w:rFonts w:cs="Times New Roman"/>
            <w:color w:val="222222"/>
          </w:rPr>
          <w:t>https://www.ecfr.gov/current/title-40/chapter-I/subchapter-E/part-158</w:t>
        </w:r>
      </w:hyperlink>
      <w:r w:rsidRPr="00864A35">
        <w:rPr>
          <w:rFonts w:cs="Times New Roman"/>
          <w:color w:val="222222"/>
          <w:shd w:val="clear" w:color="auto" w:fill="FFFFFF"/>
        </w:rPr>
        <w:t xml:space="preserve">. [accessed 9 February </w:t>
      </w:r>
      <w:proofErr w:type="gramStart"/>
      <w:r w:rsidRPr="00864A35">
        <w:rPr>
          <w:rFonts w:cs="Times New Roman"/>
          <w:color w:val="222222"/>
          <w:shd w:val="clear" w:color="auto" w:fill="FFFFFF"/>
        </w:rPr>
        <w:t>2025]Kang</w:t>
      </w:r>
      <w:proofErr w:type="gramEnd"/>
      <w:r w:rsidRPr="00864A35">
        <w:rPr>
          <w:rFonts w:cs="Times New Roman"/>
          <w:color w:val="222222"/>
          <w:shd w:val="clear" w:color="auto" w:fill="FFFFFF"/>
        </w:rPr>
        <w:t xml:space="preserve"> IH, Emptage RP, Kim SI, &amp; Gutteridge S. (2023). A novel mechanism of herbicide action through disruption of pyrimidine biosynthesis. Proceedings of the National Academy of Sciences, 120(48), e2313197120.</w:t>
      </w:r>
    </w:p>
    <w:p w14:paraId="5B07228F" w14:textId="714A4ED0"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(2008</w:t>
      </w:r>
      <w:r w:rsidR="0094433F">
        <w:rPr>
          <w:rFonts w:cs="Times New Roman"/>
          <w:color w:val="222222"/>
          <w:shd w:val="clear" w:color="auto" w:fill="FFFFFF"/>
        </w:rPr>
        <w:t>a</w:t>
      </w:r>
      <w:r w:rsidRPr="00864A35">
        <w:rPr>
          <w:rFonts w:cs="Times New Roman"/>
          <w:color w:val="222222"/>
          <w:shd w:val="clear" w:color="auto" w:fill="FFFFFF"/>
        </w:rPr>
        <w:t xml:space="preserve">). </w:t>
      </w:r>
      <w:proofErr w:type="spellStart"/>
      <w:r w:rsidRPr="002435BF">
        <w:rPr>
          <w:rFonts w:cs="Times New Roman"/>
          <w:color w:val="222222"/>
          <w:shd w:val="clear" w:color="auto" w:fill="FFFFFF"/>
          <w:lang w:val="es-US"/>
        </w:rPr>
        <w:t>Prowl</w:t>
      </w:r>
      <w:proofErr w:type="spellEnd"/>
      <w:r w:rsidRPr="002435BF">
        <w:rPr>
          <w:rFonts w:cs="Times New Roman"/>
          <w:color w:val="222222"/>
          <w:shd w:val="clear" w:color="auto" w:fill="FFFFFF"/>
          <w:lang w:val="es-US"/>
        </w:rPr>
        <w:t xml:space="preserve">® 3.3 EC </w:t>
      </w:r>
      <w:proofErr w:type="spellStart"/>
      <w:r w:rsidRPr="002435BF">
        <w:rPr>
          <w:rFonts w:cs="Times New Roman"/>
          <w:color w:val="222222"/>
          <w:shd w:val="clear" w:color="auto" w:fill="FFFFFF"/>
          <w:lang w:val="es-US"/>
        </w:rPr>
        <w:t>herbicide</w:t>
      </w:r>
      <w:proofErr w:type="spellEnd"/>
      <w:r w:rsidRPr="002435BF">
        <w:rPr>
          <w:rFonts w:cs="Times New Roman"/>
          <w:color w:val="222222"/>
          <w:shd w:val="clear" w:color="auto" w:fill="FFFFFF"/>
          <w:lang w:val="es-US"/>
        </w:rPr>
        <w:t xml:space="preserve"> </w:t>
      </w:r>
      <w:proofErr w:type="spellStart"/>
      <w:r w:rsidRPr="002435BF">
        <w:rPr>
          <w:rFonts w:cs="Times New Roman"/>
          <w:color w:val="222222"/>
          <w:shd w:val="clear" w:color="auto" w:fill="FFFFFF"/>
          <w:lang w:val="es-US"/>
        </w:rPr>
        <w:t>label</w:t>
      </w:r>
      <w:proofErr w:type="spellEnd"/>
      <w:r w:rsidRPr="002435BF">
        <w:rPr>
          <w:rFonts w:cs="Times New Roman"/>
          <w:color w:val="222222"/>
          <w:shd w:val="clear" w:color="auto" w:fill="FFFFFF"/>
          <w:lang w:val="es-US"/>
        </w:rPr>
        <w:t xml:space="preserve">. </w:t>
      </w:r>
      <w:hyperlink r:id="rId21" w:history="1">
        <w:r w:rsidRPr="002435BF">
          <w:rPr>
            <w:rFonts w:cs="Times New Roman"/>
            <w:color w:val="222222"/>
            <w:shd w:val="clear" w:color="auto" w:fill="FFFFFF"/>
            <w:lang w:val="es-US"/>
          </w:rPr>
          <w:t>https://www.cdms.net/ldat/ld867008.pdf</w:t>
        </w:r>
      </w:hyperlink>
      <w:r w:rsidRPr="002435BF">
        <w:rPr>
          <w:rFonts w:cs="Times New Roman"/>
          <w:color w:val="222222"/>
          <w:shd w:val="clear" w:color="auto" w:fill="FFFFFF"/>
          <w:lang w:val="es-US"/>
        </w:rPr>
        <w:t xml:space="preserve">. </w:t>
      </w:r>
      <w:r w:rsidRPr="00864A35">
        <w:rPr>
          <w:rFonts w:cs="Times New Roman"/>
          <w:color w:val="222222"/>
          <w:shd w:val="clear" w:color="auto" w:fill="FFFFFF"/>
        </w:rPr>
        <w:t>[accessed 17 September 2024]</w:t>
      </w:r>
    </w:p>
    <w:p w14:paraId="1A097E90" w14:textId="779A30AD" w:rsidR="0094433F" w:rsidRPr="00864A35" w:rsidRDefault="0094433F"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(2008</w:t>
      </w:r>
      <w:r>
        <w:rPr>
          <w:rFonts w:cs="Times New Roman"/>
          <w:color w:val="222222"/>
          <w:shd w:val="clear" w:color="auto" w:fill="FFFFFF"/>
        </w:rPr>
        <w:t>b</w:t>
      </w:r>
      <w:r w:rsidRPr="00864A35">
        <w:rPr>
          <w:rFonts w:cs="Times New Roman"/>
          <w:color w:val="222222"/>
          <w:shd w:val="clear" w:color="auto" w:fill="FFFFFF"/>
        </w:rPr>
        <w:t xml:space="preserve">). </w:t>
      </w:r>
      <w:hyperlink r:id="rId22" w:history="1">
        <w:r w:rsidRPr="00864A35">
          <w:rPr>
            <w:rFonts w:cs="Times New Roman"/>
            <w:color w:val="222222"/>
          </w:rPr>
          <w:t>https://www.ecfr.gov/current/title-40/chapter-I/subchapter-E/part-156</w:t>
        </w:r>
      </w:hyperlink>
      <w:r w:rsidRPr="00864A35">
        <w:rPr>
          <w:rFonts w:cs="Times New Roman"/>
          <w:color w:val="222222"/>
          <w:shd w:val="clear" w:color="auto" w:fill="FFFFFF"/>
        </w:rPr>
        <w:t>. [accessed 9 February 2025]</w:t>
      </w:r>
    </w:p>
    <w:p w14:paraId="3BC5A35D" w14:textId="7EED7B25"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(2017). Mauler™ herbicide label. </w:t>
      </w:r>
      <w:hyperlink r:id="rId23" w:history="1">
        <w:r w:rsidRPr="00864A35">
          <w:rPr>
            <w:rFonts w:cs="Times New Roman"/>
            <w:color w:val="222222"/>
            <w:shd w:val="clear" w:color="auto" w:fill="FFFFFF"/>
          </w:rPr>
          <w:t>https://www.cdms.net/ldat/ldEF9000.pdf</w:t>
        </w:r>
      </w:hyperlink>
      <w:r w:rsidRPr="00864A35">
        <w:rPr>
          <w:rFonts w:cs="Times New Roman"/>
          <w:color w:val="222222"/>
          <w:shd w:val="clear" w:color="auto" w:fill="FFFFFF"/>
        </w:rPr>
        <w:t>. [accessed 17 September 2024]</w:t>
      </w:r>
    </w:p>
    <w:p w14:paraId="3CC2E613" w14:textId="18BBFD34" w:rsidR="000E01A4" w:rsidRPr="00864A35" w:rsidRDefault="000E01A4"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(2019). Pendulum® AquaCap herbicide label. </w:t>
      </w:r>
      <w:hyperlink r:id="rId24" w:history="1">
        <w:r w:rsidRPr="00864A35">
          <w:rPr>
            <w:rFonts w:cs="Times New Roman"/>
            <w:color w:val="222222"/>
            <w:shd w:val="clear" w:color="auto" w:fill="FFFFFF"/>
          </w:rPr>
          <w:t>https://www.cdms.net/ldat/ld3BO000.pdf</w:t>
        </w:r>
      </w:hyperlink>
      <w:r w:rsidRPr="00864A35">
        <w:rPr>
          <w:rFonts w:cs="Times New Roman"/>
          <w:color w:val="222222"/>
          <w:shd w:val="clear" w:color="auto" w:fill="FFFFFF"/>
        </w:rPr>
        <w:t>. [accessed 17 September 2024]</w:t>
      </w:r>
    </w:p>
    <w:p w14:paraId="0A37555D" w14:textId="1E1B4F40"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(2021</w:t>
      </w:r>
      <w:r w:rsidR="002750B5">
        <w:rPr>
          <w:rFonts w:cs="Times New Roman"/>
          <w:color w:val="222222"/>
          <w:shd w:val="clear" w:color="auto" w:fill="FFFFFF"/>
        </w:rPr>
        <w:t>a</w:t>
      </w:r>
      <w:r w:rsidRPr="00864A35">
        <w:rPr>
          <w:rFonts w:cs="Times New Roman"/>
          <w:color w:val="222222"/>
          <w:shd w:val="clear" w:color="auto" w:fill="FFFFFF"/>
        </w:rPr>
        <w:t xml:space="preserve">). </w:t>
      </w:r>
      <w:proofErr w:type="spellStart"/>
      <w:r w:rsidRPr="00864A35">
        <w:rPr>
          <w:rFonts w:cs="Times New Roman"/>
          <w:color w:val="222222"/>
          <w:shd w:val="clear" w:color="auto" w:fill="FFFFFF"/>
        </w:rPr>
        <w:t>Kerb</w:t>
      </w:r>
      <w:proofErr w:type="spellEnd"/>
      <w:r w:rsidRPr="00864A35">
        <w:rPr>
          <w:rFonts w:cs="Times New Roman"/>
          <w:color w:val="222222"/>
          <w:shd w:val="clear" w:color="auto" w:fill="FFFFFF"/>
        </w:rPr>
        <w:t xml:space="preserve">® SC T&amp;O herbicide label. </w:t>
      </w:r>
      <w:hyperlink r:id="rId25" w:history="1">
        <w:r w:rsidRPr="00864A35">
          <w:rPr>
            <w:rFonts w:cs="Times New Roman"/>
            <w:color w:val="222222"/>
            <w:shd w:val="clear" w:color="auto" w:fill="FFFFFF"/>
          </w:rPr>
          <w:t>https://www.cdms.net/ldat/ldAE3001.pdf</w:t>
        </w:r>
      </w:hyperlink>
      <w:r w:rsidRPr="00864A35">
        <w:rPr>
          <w:rFonts w:cs="Times New Roman"/>
          <w:color w:val="222222"/>
          <w:shd w:val="clear" w:color="auto" w:fill="FFFFFF"/>
        </w:rPr>
        <w:t>. [accessed 17 September 2024]</w:t>
      </w:r>
    </w:p>
    <w:p w14:paraId="2AAA0986" w14:textId="534F23C0" w:rsidR="002750B5" w:rsidRDefault="002750B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(2021</w:t>
      </w:r>
      <w:r>
        <w:rPr>
          <w:rFonts w:cs="Times New Roman"/>
          <w:color w:val="222222"/>
          <w:shd w:val="clear" w:color="auto" w:fill="FFFFFF"/>
        </w:rPr>
        <w:t>b</w:t>
      </w:r>
      <w:r w:rsidRPr="00864A35">
        <w:rPr>
          <w:rFonts w:cs="Times New Roman"/>
          <w:color w:val="222222"/>
          <w:shd w:val="clear" w:color="auto" w:fill="FFFFFF"/>
        </w:rPr>
        <w:t xml:space="preserve">). </w:t>
      </w:r>
      <w:proofErr w:type="spellStart"/>
      <w:r w:rsidRPr="00864A35">
        <w:rPr>
          <w:rFonts w:cs="Times New Roman"/>
          <w:color w:val="222222"/>
          <w:shd w:val="clear" w:color="auto" w:fill="FFFFFF"/>
        </w:rPr>
        <w:t>Kerb</w:t>
      </w:r>
      <w:proofErr w:type="spellEnd"/>
      <w:r w:rsidRPr="00864A35">
        <w:rPr>
          <w:rFonts w:cs="Times New Roman"/>
          <w:color w:val="222222"/>
          <w:shd w:val="clear" w:color="auto" w:fill="FFFFFF"/>
        </w:rPr>
        <w:t xml:space="preserve">® SC herbicide label. </w:t>
      </w:r>
      <w:hyperlink r:id="rId26" w:history="1">
        <w:r w:rsidRPr="00864A35">
          <w:rPr>
            <w:rFonts w:cs="Times New Roman"/>
            <w:color w:val="222222"/>
            <w:shd w:val="clear" w:color="auto" w:fill="FFFFFF"/>
          </w:rPr>
          <w:t>https://www.cdms.net/ldat/ldEP2011.pdf</w:t>
        </w:r>
      </w:hyperlink>
      <w:r w:rsidRPr="00864A35">
        <w:rPr>
          <w:rFonts w:cs="Times New Roman"/>
          <w:color w:val="222222"/>
          <w:shd w:val="clear" w:color="auto" w:fill="FFFFFF"/>
        </w:rPr>
        <w:t>. [accessed 17 September 2024]</w:t>
      </w:r>
    </w:p>
    <w:p w14:paraId="73FFF0FD" w14:textId="71AB4A52" w:rsidR="002750B5" w:rsidRPr="00864A35" w:rsidRDefault="002750B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(2022</w:t>
      </w:r>
      <w:r>
        <w:rPr>
          <w:rFonts w:cs="Times New Roman"/>
          <w:color w:val="222222"/>
          <w:shd w:val="clear" w:color="auto" w:fill="FFFFFF"/>
        </w:rPr>
        <w:t>a</w:t>
      </w:r>
      <w:r w:rsidRPr="00864A35">
        <w:rPr>
          <w:rFonts w:cs="Times New Roman"/>
          <w:color w:val="222222"/>
          <w:shd w:val="clear" w:color="auto" w:fill="FFFFFF"/>
        </w:rPr>
        <w:t xml:space="preserve">). </w:t>
      </w:r>
      <w:proofErr w:type="spellStart"/>
      <w:r w:rsidRPr="00864A35">
        <w:rPr>
          <w:rFonts w:cs="Times New Roman"/>
          <w:color w:val="222222"/>
          <w:shd w:val="clear" w:color="auto" w:fill="FFFFFF"/>
        </w:rPr>
        <w:t>AAtrex</w:t>
      </w:r>
      <w:proofErr w:type="spellEnd"/>
      <w:r w:rsidRPr="00864A35">
        <w:rPr>
          <w:rFonts w:cs="Times New Roman"/>
          <w:color w:val="222222"/>
          <w:shd w:val="clear" w:color="auto" w:fill="FFFFFF"/>
        </w:rPr>
        <w:t xml:space="preserve">® 4L herbicide label. </w:t>
      </w:r>
      <w:hyperlink r:id="rId27" w:history="1">
        <w:r w:rsidRPr="00864A35">
          <w:rPr>
            <w:rFonts w:cs="Times New Roman"/>
            <w:color w:val="222222"/>
            <w:shd w:val="clear" w:color="auto" w:fill="FFFFFF"/>
          </w:rPr>
          <w:t>https://www.cdms.net/ldat/ld280014.pdf</w:t>
        </w:r>
      </w:hyperlink>
      <w:r w:rsidRPr="00864A35">
        <w:rPr>
          <w:rFonts w:cs="Times New Roman"/>
          <w:color w:val="222222"/>
          <w:shd w:val="clear" w:color="auto" w:fill="FFFFFF"/>
        </w:rPr>
        <w:t>. [accessed 3 September 2024]</w:t>
      </w:r>
    </w:p>
    <w:p w14:paraId="07D2920D" w14:textId="7764D0CD" w:rsidR="00014AD7" w:rsidRPr="00864A35"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w:t>
      </w:r>
      <w:r w:rsidRPr="002435BF">
        <w:rPr>
          <w:rFonts w:cs="Times New Roman"/>
          <w:color w:val="222222"/>
          <w:shd w:val="clear" w:color="auto" w:fill="FFFFFF"/>
          <w:lang w:val="es-US"/>
        </w:rPr>
        <w:t>(2022</w:t>
      </w:r>
      <w:r w:rsidR="002750B5" w:rsidRPr="002435BF">
        <w:rPr>
          <w:rFonts w:cs="Times New Roman"/>
          <w:color w:val="222222"/>
          <w:shd w:val="clear" w:color="auto" w:fill="FFFFFF"/>
          <w:lang w:val="es-US"/>
        </w:rPr>
        <w:t>b</w:t>
      </w:r>
      <w:r w:rsidRPr="002435BF">
        <w:rPr>
          <w:rFonts w:cs="Times New Roman"/>
          <w:color w:val="222222"/>
          <w:shd w:val="clear" w:color="auto" w:fill="FFFFFF"/>
          <w:lang w:val="es-US"/>
        </w:rPr>
        <w:t xml:space="preserve">). </w:t>
      </w:r>
      <w:proofErr w:type="spellStart"/>
      <w:r w:rsidRPr="002435BF">
        <w:rPr>
          <w:rFonts w:cs="Times New Roman"/>
          <w:color w:val="222222"/>
          <w:shd w:val="clear" w:color="auto" w:fill="FFFFFF"/>
          <w:lang w:val="es-US"/>
        </w:rPr>
        <w:t>Sencor</w:t>
      </w:r>
      <w:proofErr w:type="spellEnd"/>
      <w:r w:rsidRPr="002435BF">
        <w:rPr>
          <w:rFonts w:cs="Times New Roman"/>
          <w:color w:val="222222"/>
          <w:shd w:val="clear" w:color="auto" w:fill="FFFFFF"/>
          <w:lang w:val="es-US"/>
        </w:rPr>
        <w:t xml:space="preserve">® 75% turf </w:t>
      </w:r>
      <w:proofErr w:type="spellStart"/>
      <w:r w:rsidRPr="002435BF">
        <w:rPr>
          <w:rFonts w:cs="Times New Roman"/>
          <w:color w:val="222222"/>
          <w:shd w:val="clear" w:color="auto" w:fill="FFFFFF"/>
          <w:lang w:val="es-US"/>
        </w:rPr>
        <w:t>herbicide</w:t>
      </w:r>
      <w:proofErr w:type="spellEnd"/>
      <w:r w:rsidRPr="002435BF">
        <w:rPr>
          <w:rFonts w:cs="Times New Roman"/>
          <w:color w:val="222222"/>
          <w:shd w:val="clear" w:color="auto" w:fill="FFFFFF"/>
          <w:lang w:val="es-US"/>
        </w:rPr>
        <w:t xml:space="preserve"> </w:t>
      </w:r>
      <w:proofErr w:type="spellStart"/>
      <w:r w:rsidRPr="002435BF">
        <w:rPr>
          <w:rFonts w:cs="Times New Roman"/>
          <w:color w:val="222222"/>
          <w:shd w:val="clear" w:color="auto" w:fill="FFFFFF"/>
          <w:lang w:val="es-US"/>
        </w:rPr>
        <w:t>label</w:t>
      </w:r>
      <w:proofErr w:type="spellEnd"/>
      <w:r w:rsidRPr="002435BF">
        <w:rPr>
          <w:rFonts w:cs="Times New Roman"/>
          <w:color w:val="222222"/>
          <w:shd w:val="clear" w:color="auto" w:fill="FFFFFF"/>
          <w:lang w:val="es-US"/>
        </w:rPr>
        <w:t xml:space="preserve">. </w:t>
      </w:r>
      <w:hyperlink r:id="rId28" w:history="1">
        <w:r w:rsidRPr="00864A35">
          <w:rPr>
            <w:rFonts w:cs="Times New Roman"/>
            <w:color w:val="222222"/>
            <w:shd w:val="clear" w:color="auto" w:fill="FFFFFF"/>
          </w:rPr>
          <w:t>https://www.cdms.net/ldat/ldJEP000.pdf</w:t>
        </w:r>
      </w:hyperlink>
      <w:r w:rsidRPr="00864A35">
        <w:rPr>
          <w:rFonts w:cs="Times New Roman"/>
          <w:color w:val="222222"/>
          <w:shd w:val="clear" w:color="auto" w:fill="FFFFFF"/>
        </w:rPr>
        <w:t>. [accessed 17 September 2024]</w:t>
      </w:r>
    </w:p>
    <w:p w14:paraId="3439B837" w14:textId="72EFDFAC" w:rsidR="00014AD7" w:rsidRPr="00864A35"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Anonymous</w:t>
      </w:r>
      <w:r w:rsidR="004920D0">
        <w:rPr>
          <w:rFonts w:cs="Times New Roman"/>
          <w:color w:val="222222"/>
          <w:shd w:val="clear" w:color="auto" w:fill="FFFFFF"/>
        </w:rPr>
        <w:t>.</w:t>
      </w:r>
      <w:r w:rsidRPr="00864A35">
        <w:rPr>
          <w:rFonts w:cs="Times New Roman"/>
          <w:color w:val="222222"/>
          <w:shd w:val="clear" w:color="auto" w:fill="FFFFFF"/>
        </w:rPr>
        <w:t xml:space="preserve"> (2024). Series 835 – Fate, Transport, and Transformation Test Guidelines. </w:t>
      </w:r>
      <w:hyperlink r:id="rId29" w:history="1">
        <w:r w:rsidRPr="00864A35">
          <w:rPr>
            <w:rFonts w:cs="Times New Roman"/>
            <w:color w:val="222222"/>
          </w:rPr>
          <w:t>https://www.epa.gov/test-guidelines-pesticides-and-toxic-substances/series-835-fate-transport-and-transformation-test</w:t>
        </w:r>
      </w:hyperlink>
      <w:r w:rsidRPr="00864A35">
        <w:rPr>
          <w:rFonts w:cs="Times New Roman"/>
          <w:color w:val="222222"/>
          <w:shd w:val="clear" w:color="auto" w:fill="FFFFFF"/>
        </w:rPr>
        <w:t>. [accessed 9 February 2025]</w:t>
      </w:r>
    </w:p>
    <w:p w14:paraId="2FC224E2" w14:textId="0BA9076D" w:rsidR="00864A35" w:rsidRPr="00864A35"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Beard JB. 1973. Turfgrass science and culture. Prentice-Hall Inc., Englewood Cliffs, NJ.</w:t>
      </w:r>
    </w:p>
    <w:p w14:paraId="30E2D8F1" w14:textId="2299B353" w:rsidR="00864A35"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lastRenderedPageBreak/>
        <w:t>Blumhorst MR, Weber JB, &amp; Swain LR. (1990). Efficacy of selected herbicides as influenced by soil properties. Weed Technology, 4(2), 279-283.</w:t>
      </w:r>
    </w:p>
    <w:p w14:paraId="559FD0F1" w14:textId="14A62006" w:rsidR="00E41936" w:rsidRDefault="00E41936"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Brosnan JT, Vargas JJ, Breeden GK, &amp; Zobel JM. (2020). Herbicide resistance in annual bluegrass on Tennessee golf courses. Crop, Forage &amp; Turfgrass Management, 6(1), e20050.</w:t>
      </w:r>
    </w:p>
    <w:p w14:paraId="49811E76" w14:textId="2FD31418" w:rsidR="00E41936" w:rsidRPr="00864A35" w:rsidRDefault="00E41936"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Castner MC, Norsworthy JK, Edmund RM, Avent TH, Noe SC (2024a, January 22-25). Tetflupyrolimet Targets a Novel Site for </w:t>
      </w:r>
      <w:proofErr w:type="spellStart"/>
      <w:r w:rsidRPr="00864A35">
        <w:rPr>
          <w:rFonts w:cs="Times New Roman"/>
          <w:color w:val="222222"/>
          <w:shd w:val="clear" w:color="auto" w:fill="FFFFFF"/>
        </w:rPr>
        <w:t>Barnyardgrass</w:t>
      </w:r>
      <w:proofErr w:type="spellEnd"/>
      <w:r w:rsidRPr="00864A35">
        <w:rPr>
          <w:rFonts w:cs="Times New Roman"/>
          <w:color w:val="222222"/>
          <w:shd w:val="clear" w:color="auto" w:fill="FFFFFF"/>
        </w:rPr>
        <w:t xml:space="preserve"> Management in Rice [Poster Abstract]. 2024 Weed Science Society of America Annual Meeting, San Antonio, TX, United States.</w:t>
      </w:r>
    </w:p>
    <w:p w14:paraId="28954162" w14:textId="62AC501F"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Dao TH &amp; Lavy TL. (1978). Atrazine adsorption on soil as influenced by temperature, moisture content and electrolyte concentration. Weed Science, 26(3), 303-308.</w:t>
      </w:r>
    </w:p>
    <w:p w14:paraId="40EFE5DC" w14:textId="4CC982F9" w:rsidR="00864A35"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Dutt TE &amp; Harvey RG. (1980). Pronamide phytotoxicity in ten Wisconsin soils. Weed Science, 28(4), 429-432.</w:t>
      </w:r>
    </w:p>
    <w:p w14:paraId="7E3FB78D" w14:textId="05F06C88" w:rsidR="00AD2551" w:rsidRPr="00864A35"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Everitt JH, Alaniz MA, &amp; Lee JB. (1983). Seed germination characteristics of Kochia scoparia. Rangeland Ecology &amp; Management/Journal of Range Management Archives, 36(5), 646-648.</w:t>
      </w:r>
    </w:p>
    <w:p w14:paraId="7B45F6A0" w14:textId="1EE32123" w:rsidR="00864A35"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Gasper JJ, Street JR, Harrison SK, &amp; Pound WE. (1994). Pendimethalin efficacy and dissipation in turfgrass as influenced by rainfall incorporation. Weed Science, 42(4), 586-592.</w:t>
      </w:r>
    </w:p>
    <w:p w14:paraId="23096CBA" w14:textId="49F43CEC"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Green TO, Rogers JN, Crum JR, Vargas JM, &amp; Nikolai TA. (2019). Effects of rolling and sand topdressing on dollar spot severity in fairway turfgrass. </w:t>
      </w:r>
      <w:proofErr w:type="spellStart"/>
      <w:r w:rsidRPr="00864A35">
        <w:rPr>
          <w:rFonts w:cs="Times New Roman"/>
          <w:color w:val="222222"/>
          <w:shd w:val="clear" w:color="auto" w:fill="FFFFFF"/>
        </w:rPr>
        <w:t>HortTechnology</w:t>
      </w:r>
      <w:proofErr w:type="spellEnd"/>
      <w:r w:rsidRPr="00864A35">
        <w:rPr>
          <w:rFonts w:cs="Times New Roman"/>
          <w:color w:val="222222"/>
          <w:shd w:val="clear" w:color="auto" w:fill="FFFFFF"/>
        </w:rPr>
        <w:t>, 29(4), 394-401.</w:t>
      </w:r>
    </w:p>
    <w:p w14:paraId="7348D240" w14:textId="6EB7B4FF" w:rsidR="00AD2551" w:rsidRPr="002435BF" w:rsidRDefault="00AD2551" w:rsidP="000C799B">
      <w:pPr>
        <w:spacing w:line="360" w:lineRule="auto"/>
        <w:ind w:left="576" w:hanging="576"/>
        <w:rPr>
          <w:rFonts w:cs="Times New Roman"/>
          <w:color w:val="222222"/>
          <w:shd w:val="clear" w:color="auto" w:fill="FFFFFF"/>
          <w:lang w:val="it-IT"/>
        </w:rPr>
      </w:pPr>
      <w:r w:rsidRPr="00864A35">
        <w:rPr>
          <w:rFonts w:cs="Times New Roman"/>
          <w:color w:val="222222"/>
          <w:shd w:val="clear" w:color="auto" w:fill="FFFFFF"/>
        </w:rPr>
        <w:t xml:space="preserve">Klingenberg MT. (2009). Topdressing and aerification programs on creeping bentgrass fairways. </w:t>
      </w:r>
      <w:r w:rsidRPr="002435BF">
        <w:rPr>
          <w:rFonts w:cs="Times New Roman"/>
          <w:color w:val="222222"/>
          <w:shd w:val="clear" w:color="auto" w:fill="FFFFFF"/>
          <w:lang w:val="it-IT"/>
        </w:rPr>
        <w:t>Iowa State University. (Master’s Thesis)</w:t>
      </w:r>
    </w:p>
    <w:p w14:paraId="1F7EC6AF" w14:textId="7533E2B6" w:rsidR="00864A35" w:rsidRPr="002435BF" w:rsidRDefault="00864A35" w:rsidP="000C799B">
      <w:pPr>
        <w:spacing w:line="360" w:lineRule="auto"/>
        <w:ind w:left="576" w:hanging="576"/>
        <w:rPr>
          <w:rFonts w:cs="Times New Roman"/>
          <w:color w:val="222222"/>
          <w:shd w:val="clear" w:color="auto" w:fill="FFFFFF"/>
          <w:lang w:val="it-IT"/>
        </w:rPr>
      </w:pPr>
      <w:r w:rsidRPr="002435BF">
        <w:rPr>
          <w:rFonts w:cs="Times New Roman"/>
          <w:color w:val="222222"/>
          <w:shd w:val="clear" w:color="auto" w:fill="FFFFFF"/>
          <w:lang w:val="it-IT"/>
        </w:rPr>
        <w:t>Lombardi MA &amp; Al-Khatib K. (2024). Control of Echinochloa spp. and Leptochloa fascicularis with the Novel Dihydroorotate Dehydrogenase Inhibitor Herbicide Tetflupyrolimet in California Water-seeded Rice. Weed Technology, 1-34.</w:t>
      </w:r>
    </w:p>
    <w:p w14:paraId="11032B38" w14:textId="49AC215E" w:rsidR="00E41936" w:rsidRDefault="00E41936" w:rsidP="000C799B">
      <w:pPr>
        <w:spacing w:line="360" w:lineRule="auto"/>
        <w:ind w:left="576" w:hanging="576"/>
        <w:rPr>
          <w:rFonts w:cs="Times New Roman"/>
          <w:color w:val="222222"/>
          <w:shd w:val="clear" w:color="auto" w:fill="FFFFFF"/>
        </w:rPr>
      </w:pPr>
      <w:r w:rsidRPr="002435BF">
        <w:rPr>
          <w:rFonts w:cs="Times New Roman"/>
          <w:color w:val="222222"/>
          <w:shd w:val="clear" w:color="auto" w:fill="FFFFFF"/>
          <w:lang w:val="it-IT"/>
        </w:rPr>
        <w:t xml:space="preserve">McCurdy JD, Bowling RG, Patton AJ, de Castro EB, Kowalewski AR, Mattox CM, Brosnan JT, Ervin DE, Askew SD, Gonclaves CG, Elmore MT, McElroy JS, McNally BC, Pritchard BD, Kaminski JE, Bagavathiannan MV (2023). </w:t>
      </w:r>
      <w:r w:rsidRPr="00864A35">
        <w:rPr>
          <w:rFonts w:cs="Times New Roman"/>
          <w:color w:val="222222"/>
          <w:shd w:val="clear" w:color="auto" w:fill="FFFFFF"/>
        </w:rPr>
        <w:t>Developing and implementing a sustainable, integrated weed management program for herbicide‐resistant Poa annua in turfgrass. Crop, Forage &amp; Turfgrass Management, 9(1), e20225.</w:t>
      </w:r>
    </w:p>
    <w:p w14:paraId="7ADA4373" w14:textId="00865B42"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lastRenderedPageBreak/>
        <w:t>Neal JC, Bhowmik PC, &amp; Senesac AF. (1990). Factors influencing fenoxaprop efficacy in cool-season turfgrass. Weed Technology, 4(2), 272-278.</w:t>
      </w:r>
    </w:p>
    <w:p w14:paraId="524E35C1" w14:textId="2A74B3D4" w:rsidR="00417A83" w:rsidRPr="00864A35" w:rsidRDefault="00417A83"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Ok CH, Anderson SH, &amp; Ervin EH. (2004). Amendments and construction systems for improving the performance of sand-based putting greens. Asian Journal of Turfgrass Science, 18(3), 149-163.</w:t>
      </w:r>
    </w:p>
    <w:p w14:paraId="4C6B7DD6" w14:textId="77777777" w:rsidR="00F57F03"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Olson BL, Al-Khatib K, Stahlman P, &amp; Isakson PJ. (2000). Efficacy and metabolism of MON 37500 in Triticum aestivum and weedy grass species as affected by temperature and soil moisture. Weed Science, 48(5), 541-548.37 </w:t>
      </w:r>
    </w:p>
    <w:p w14:paraId="3E6BA92F" w14:textId="64848936" w:rsidR="00E41936" w:rsidRPr="002435BF" w:rsidRDefault="00E41936" w:rsidP="000C799B">
      <w:pPr>
        <w:spacing w:line="360" w:lineRule="auto"/>
        <w:ind w:left="576" w:hanging="576"/>
        <w:rPr>
          <w:rFonts w:cs="Times New Roman"/>
          <w:color w:val="222222"/>
          <w:shd w:val="clear" w:color="auto" w:fill="FFFFFF"/>
          <w:lang w:val="pt-BR"/>
        </w:rPr>
      </w:pPr>
      <w:r w:rsidRPr="00201176">
        <w:rPr>
          <w:rFonts w:cs="Times New Roman"/>
          <w:color w:val="222222"/>
          <w:shd w:val="clear" w:color="auto" w:fill="FFFFFF"/>
        </w:rPr>
        <w:t xml:space="preserve">Pritchard BD, Breeden GK, Bowling RG, Gannon TW, Hutto KC, &amp; Brosnan JT. </w:t>
      </w:r>
      <w:r w:rsidR="00376F7C">
        <w:rPr>
          <w:rFonts w:cs="Times New Roman"/>
          <w:color w:val="222222"/>
          <w:shd w:val="clear" w:color="auto" w:fill="FFFFFF"/>
        </w:rPr>
        <w:t xml:space="preserve">(2024). </w:t>
      </w:r>
      <w:r w:rsidRPr="00201176">
        <w:rPr>
          <w:rFonts w:cs="Times New Roman"/>
          <w:color w:val="222222"/>
          <w:shd w:val="clear" w:color="auto" w:fill="FFFFFF"/>
        </w:rPr>
        <w:t>Turfgrass Tolerance to Tetflupyrolimet Applications for Preemergence Grassy Weed Control.</w:t>
      </w:r>
      <w:r w:rsidR="00201176" w:rsidRPr="003012A9">
        <w:rPr>
          <w:rFonts w:cs="Times New Roman"/>
          <w:i/>
          <w:iCs/>
        </w:rPr>
        <w:t xml:space="preserve"> </w:t>
      </w:r>
      <w:r w:rsidR="00201176" w:rsidRPr="002435BF">
        <w:rPr>
          <w:rFonts w:cs="Times New Roman"/>
          <w:i/>
          <w:iCs/>
          <w:lang w:val="pt-BR"/>
        </w:rPr>
        <w:t>Weed Science</w:t>
      </w:r>
      <w:r w:rsidR="00201176" w:rsidRPr="002435BF">
        <w:rPr>
          <w:rFonts w:cs="Times New Roman"/>
          <w:lang w:val="pt-BR"/>
        </w:rPr>
        <w:t>, </w:t>
      </w:r>
      <w:r w:rsidR="00201176" w:rsidRPr="002435BF">
        <w:rPr>
          <w:rFonts w:cs="Times New Roman"/>
          <w:i/>
          <w:iCs/>
          <w:lang w:val="pt-BR"/>
        </w:rPr>
        <w:t>73</w:t>
      </w:r>
      <w:r w:rsidR="00201176" w:rsidRPr="002435BF">
        <w:rPr>
          <w:rFonts w:cs="Times New Roman"/>
          <w:lang w:val="pt-BR"/>
        </w:rPr>
        <w:t>, e17. doi:10.1017/wsc.2024.97</w:t>
      </w:r>
    </w:p>
    <w:p w14:paraId="5B4BA1D3" w14:textId="3AFBEA6A" w:rsidR="00014AD7" w:rsidRDefault="00014AD7" w:rsidP="000C799B">
      <w:pPr>
        <w:spacing w:line="360" w:lineRule="auto"/>
        <w:ind w:left="576" w:hanging="576"/>
        <w:rPr>
          <w:rFonts w:cs="Times New Roman"/>
          <w:color w:val="222222"/>
          <w:shd w:val="clear" w:color="auto" w:fill="FFFFFF"/>
        </w:rPr>
      </w:pPr>
      <w:r w:rsidRPr="002435BF">
        <w:rPr>
          <w:rFonts w:cs="Times New Roman"/>
          <w:color w:val="222222"/>
          <w:shd w:val="clear" w:color="auto" w:fill="FFFFFF"/>
          <w:lang w:val="pt-BR"/>
        </w:rPr>
        <w:t xml:space="preserve">Reis RA, Calil FA, Feliciano PR, Pinheiro MP, &amp; Nonato MC. </w:t>
      </w:r>
      <w:r w:rsidRPr="00864A35">
        <w:rPr>
          <w:rFonts w:cs="Times New Roman"/>
          <w:color w:val="222222"/>
          <w:shd w:val="clear" w:color="auto" w:fill="FFFFFF"/>
        </w:rPr>
        <w:t>(2017). The dihydroorotate dehydrogenases: past and present. Archives of biochemistry and biophysics, 632, 175-191.</w:t>
      </w:r>
    </w:p>
    <w:p w14:paraId="0095347C" w14:textId="6522F202" w:rsidR="002A1875" w:rsidRDefault="002A187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Rutland CA, Bowling RG, Russell EC, Hall ND, Patel J, Askew SD, </w:t>
      </w:r>
      <w:proofErr w:type="spellStart"/>
      <w:r w:rsidRPr="00864A35">
        <w:rPr>
          <w:rFonts w:cs="Times New Roman"/>
          <w:color w:val="222222"/>
          <w:shd w:val="clear" w:color="auto" w:fill="FFFFFF"/>
        </w:rPr>
        <w:t>Bagavathiannan</w:t>
      </w:r>
      <w:proofErr w:type="spellEnd"/>
      <w:r w:rsidRPr="00864A35">
        <w:rPr>
          <w:rFonts w:cs="Times New Roman"/>
          <w:color w:val="222222"/>
          <w:shd w:val="clear" w:color="auto" w:fill="FFFFFF"/>
        </w:rPr>
        <w:t xml:space="preserve"> MV, Brosnan JT, Gannon TW, </w:t>
      </w:r>
      <w:proofErr w:type="spellStart"/>
      <w:r w:rsidRPr="00864A35">
        <w:rPr>
          <w:rFonts w:cs="Times New Roman"/>
          <w:color w:val="222222"/>
          <w:shd w:val="clear" w:color="auto" w:fill="FFFFFF"/>
        </w:rPr>
        <w:t>Gonclaves</w:t>
      </w:r>
      <w:proofErr w:type="spellEnd"/>
      <w:r w:rsidRPr="00864A35">
        <w:rPr>
          <w:rFonts w:cs="Times New Roman"/>
          <w:color w:val="222222"/>
          <w:shd w:val="clear" w:color="auto" w:fill="FFFFFF"/>
        </w:rPr>
        <w:t xml:space="preserve"> CG, Hathcoat D, McCarty LB, McCullough PE, McCurdy JD, Patton AJ, Unruh JB, </w:t>
      </w:r>
      <w:r w:rsidR="00376F7C">
        <w:rPr>
          <w:rFonts w:cs="Times New Roman"/>
          <w:color w:val="222222"/>
          <w:shd w:val="clear" w:color="auto" w:fill="FFFFFF"/>
        </w:rPr>
        <w:t xml:space="preserve">&amp; </w:t>
      </w:r>
      <w:r w:rsidRPr="00864A35">
        <w:rPr>
          <w:rFonts w:cs="Times New Roman"/>
          <w:color w:val="222222"/>
          <w:shd w:val="clear" w:color="auto" w:fill="FFFFFF"/>
        </w:rPr>
        <w:t>McElroy JS</w:t>
      </w:r>
      <w:r w:rsidR="00376F7C">
        <w:rPr>
          <w:rFonts w:cs="Times New Roman"/>
          <w:color w:val="222222"/>
          <w:shd w:val="clear" w:color="auto" w:fill="FFFFFF"/>
        </w:rPr>
        <w:t>.</w:t>
      </w:r>
      <w:r w:rsidRPr="00864A35">
        <w:rPr>
          <w:rFonts w:cs="Times New Roman"/>
          <w:color w:val="222222"/>
          <w:shd w:val="clear" w:color="auto" w:fill="FFFFFF"/>
        </w:rPr>
        <w:t xml:space="preserve"> (2023). Survey of target site resistance alleles conferring resistance in Poa annua. Crop Science, 63(5), 3110-3121.</w:t>
      </w:r>
    </w:p>
    <w:p w14:paraId="44D31A57" w14:textId="0BC96FC9"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Sebastian DJ, Nissen SJ, Westra P, Shaner DL, &amp; Butters G. (2017). Influence of soil properties and soil moisture on the efficacy of indaziflam and flumioxazin on Kochia scoparia L. Pest management science, 73(2), 444-451.</w:t>
      </w:r>
    </w:p>
    <w:p w14:paraId="13D09C98" w14:textId="42541FF1"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Shaddox TW, Unruh JB, Johnson ME, Brown CD, &amp; Stacey G. (2023). Land-use and energy practices on US golf courses. </w:t>
      </w:r>
      <w:proofErr w:type="spellStart"/>
      <w:r w:rsidRPr="00864A35">
        <w:rPr>
          <w:rFonts w:cs="Times New Roman"/>
          <w:color w:val="222222"/>
          <w:shd w:val="clear" w:color="auto" w:fill="FFFFFF"/>
        </w:rPr>
        <w:t>HortTechnology</w:t>
      </w:r>
      <w:proofErr w:type="spellEnd"/>
      <w:r w:rsidRPr="00864A35">
        <w:rPr>
          <w:rFonts w:cs="Times New Roman"/>
          <w:color w:val="222222"/>
          <w:shd w:val="clear" w:color="auto" w:fill="FFFFFF"/>
        </w:rPr>
        <w:t>, 33(3), 296-304.</w:t>
      </w:r>
    </w:p>
    <w:p w14:paraId="301D8AB0" w14:textId="5C6C6911" w:rsidR="00014AD7" w:rsidRPr="00864A35"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Shekoofa A, Brosnan JT, Vargas JJ, Tuck DP, &amp; Elmore MT. (2020). Environmental effects on efficacy of herbicides for postemergence goosegrass (Eleusine indica) control. Scientific reports, 10(1), 20579.</w:t>
      </w:r>
    </w:p>
    <w:p w14:paraId="586F7EEF" w14:textId="0411B055" w:rsidR="00574AFF" w:rsidRDefault="00864A3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Singh V, Dos Reis FC, Reynolds C, Elmore M, &amp; </w:t>
      </w:r>
      <w:proofErr w:type="spellStart"/>
      <w:r w:rsidRPr="00864A35">
        <w:rPr>
          <w:rFonts w:cs="Times New Roman"/>
          <w:color w:val="222222"/>
          <w:shd w:val="clear" w:color="auto" w:fill="FFFFFF"/>
        </w:rPr>
        <w:t>Bagavathiannan</w:t>
      </w:r>
      <w:proofErr w:type="spellEnd"/>
      <w:r w:rsidRPr="00864A35">
        <w:rPr>
          <w:rFonts w:cs="Times New Roman"/>
          <w:color w:val="222222"/>
          <w:shd w:val="clear" w:color="auto" w:fill="FFFFFF"/>
        </w:rPr>
        <w:t xml:space="preserve"> M. (2021). Cross and multiple herbicide resistance in annual bluegrass (Poa annua) populations from eastern Texas golf courses. Pest management science, 77(4), 1903-1914.</w:t>
      </w:r>
    </w:p>
    <w:p w14:paraId="597A808D" w14:textId="585B74D4"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Soil Survey Staff, Natural Resources Conservation Service, United States Department of Agriculture. Web Soil Survey. Available online at the following link: http://websoilsurvey.sc.egov.usda.gov/. Accessed [10 September 2024].</w:t>
      </w:r>
    </w:p>
    <w:p w14:paraId="1EEB8AE1" w14:textId="021DCC5F" w:rsidR="002A1875" w:rsidRDefault="002A1875"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lastRenderedPageBreak/>
        <w:t xml:space="preserve">United States Golf Association. (2018). USGA Recommendations </w:t>
      </w:r>
      <w:proofErr w:type="gramStart"/>
      <w:r w:rsidRPr="00864A35">
        <w:rPr>
          <w:rFonts w:cs="Times New Roman"/>
          <w:color w:val="222222"/>
          <w:shd w:val="clear" w:color="auto" w:fill="FFFFFF"/>
        </w:rPr>
        <w:t>For</w:t>
      </w:r>
      <w:proofErr w:type="gramEnd"/>
      <w:r w:rsidRPr="00864A35">
        <w:rPr>
          <w:rFonts w:cs="Times New Roman"/>
          <w:color w:val="222222"/>
          <w:shd w:val="clear" w:color="auto" w:fill="FFFFFF"/>
        </w:rPr>
        <w:t xml:space="preserve"> a Method of Putting Green Construction 2018 Revision. United States Golf Association. </w:t>
      </w:r>
      <w:hyperlink r:id="rId30" w:history="1">
        <w:r w:rsidRPr="00864A35">
          <w:rPr>
            <w:rFonts w:cs="Times New Roman"/>
            <w:color w:val="222222"/>
            <w:shd w:val="clear" w:color="auto" w:fill="FFFFFF"/>
          </w:rPr>
          <w:t>https://archive.lib.msu.edu/tic/usgamisc/monos/2018recommendationsmethodputtinggreen.pdf</w:t>
        </w:r>
      </w:hyperlink>
      <w:r w:rsidRPr="00864A35">
        <w:rPr>
          <w:rFonts w:cs="Times New Roman"/>
          <w:color w:val="222222"/>
          <w:shd w:val="clear" w:color="auto" w:fill="FFFFFF"/>
        </w:rPr>
        <w:t>. Accessed [17 September 2024].</w:t>
      </w:r>
    </w:p>
    <w:p w14:paraId="04ABE10A" w14:textId="1B983E21" w:rsidR="00AD2551" w:rsidRDefault="00AD2551"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Weber JB, Tucker MR, &amp; Isaac RA. (1987). Making herbicide rate recommendations based on soil tests. Weed Technology, 1(1), 41-45.</w:t>
      </w:r>
    </w:p>
    <w:p w14:paraId="5C0E97E0" w14:textId="60B06D46"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Whitt DR, Bowman HD, Bond JA, Burrell II TD, Eubank TW, Mangialardi GA. (2024, January 22-25). The Evaluation of </w:t>
      </w:r>
      <w:proofErr w:type="spellStart"/>
      <w:r w:rsidRPr="00864A35">
        <w:rPr>
          <w:rFonts w:cs="Times New Roman"/>
          <w:color w:val="222222"/>
          <w:shd w:val="clear" w:color="auto" w:fill="FFFFFF"/>
        </w:rPr>
        <w:t>Dodhylex</w:t>
      </w:r>
      <w:proofErr w:type="spellEnd"/>
      <w:r w:rsidRPr="00864A35">
        <w:rPr>
          <w:rFonts w:cs="Times New Roman"/>
          <w:color w:val="222222"/>
          <w:shd w:val="clear" w:color="auto" w:fill="FFFFFF"/>
        </w:rPr>
        <w:t xml:space="preserve"> in Mississippi Rice Production [Poster Abstract]. 2024 Weed Science Society of America Annual Meeting, San Antonio, TX, United States.</w:t>
      </w:r>
    </w:p>
    <w:p w14:paraId="1AF582C8" w14:textId="6958B7E4" w:rsidR="00014AD7" w:rsidRDefault="00014AD7" w:rsidP="000C799B">
      <w:pPr>
        <w:spacing w:line="360" w:lineRule="auto"/>
        <w:ind w:left="576" w:hanging="576"/>
        <w:rPr>
          <w:rFonts w:cs="Times New Roman"/>
          <w:color w:val="222222"/>
          <w:shd w:val="clear" w:color="auto" w:fill="FFFFFF"/>
        </w:rPr>
      </w:pPr>
      <w:r w:rsidRPr="00864A35">
        <w:rPr>
          <w:rFonts w:cs="Times New Roman"/>
          <w:color w:val="222222"/>
          <w:shd w:val="clear" w:color="auto" w:fill="FFFFFF"/>
        </w:rPr>
        <w:t xml:space="preserve">Yamaji Y, Honda H. Hanai R, &amp; Inoue J. (2016). Soil and environmental factors affecting the efficacy of </w:t>
      </w:r>
      <w:proofErr w:type="spellStart"/>
      <w:r w:rsidRPr="00864A35">
        <w:rPr>
          <w:rFonts w:cs="Times New Roman"/>
          <w:color w:val="222222"/>
          <w:shd w:val="clear" w:color="auto" w:fill="FFFFFF"/>
        </w:rPr>
        <w:t>pyroxasulfone</w:t>
      </w:r>
      <w:proofErr w:type="spellEnd"/>
      <w:r w:rsidRPr="00864A35">
        <w:rPr>
          <w:rFonts w:cs="Times New Roman"/>
          <w:color w:val="222222"/>
          <w:shd w:val="clear" w:color="auto" w:fill="FFFFFF"/>
        </w:rPr>
        <w:t xml:space="preserve"> for weed control. Journal of pesticide science, 41(1), 1-5.</w:t>
      </w:r>
    </w:p>
    <w:p w14:paraId="033FDAE6" w14:textId="09F40BE4" w:rsidR="006576B5" w:rsidRDefault="00014AD7" w:rsidP="000C799B">
      <w:pPr>
        <w:spacing w:line="360" w:lineRule="auto"/>
        <w:ind w:left="576" w:hanging="576"/>
        <w:rPr>
          <w:rFonts w:cs="Times New Roman"/>
          <w:color w:val="222222"/>
          <w:shd w:val="clear" w:color="auto" w:fill="FFFFFF"/>
        </w:rPr>
      </w:pPr>
      <w:proofErr w:type="spellStart"/>
      <w:r w:rsidRPr="00864A35">
        <w:rPr>
          <w:rFonts w:cs="Times New Roman"/>
          <w:color w:val="222222"/>
          <w:shd w:val="clear" w:color="auto" w:fill="FFFFFF"/>
        </w:rPr>
        <w:t>Zrenner</w:t>
      </w:r>
      <w:proofErr w:type="spellEnd"/>
      <w:r w:rsidRPr="00864A35">
        <w:rPr>
          <w:rFonts w:cs="Times New Roman"/>
          <w:color w:val="222222"/>
          <w:shd w:val="clear" w:color="auto" w:fill="FFFFFF"/>
        </w:rPr>
        <w:t xml:space="preserve"> R, Stitt M, </w:t>
      </w:r>
      <w:proofErr w:type="spellStart"/>
      <w:r w:rsidRPr="00864A35">
        <w:rPr>
          <w:rFonts w:cs="Times New Roman"/>
          <w:color w:val="222222"/>
          <w:shd w:val="clear" w:color="auto" w:fill="FFFFFF"/>
        </w:rPr>
        <w:t>Sonnewald</w:t>
      </w:r>
      <w:proofErr w:type="spellEnd"/>
      <w:r w:rsidRPr="00864A35">
        <w:rPr>
          <w:rFonts w:cs="Times New Roman"/>
          <w:color w:val="222222"/>
          <w:shd w:val="clear" w:color="auto" w:fill="FFFFFF"/>
        </w:rPr>
        <w:t xml:space="preserve"> U, &amp; Boldt R. (2006). Pyrimidine and purine biosynthesis and degradation in plants. Annu. Rev. Plant Biol., 57, 805-836.</w:t>
      </w:r>
    </w:p>
    <w:p w14:paraId="7278DA4E" w14:textId="77777777" w:rsidR="006576B5" w:rsidRDefault="006576B5" w:rsidP="000C799B">
      <w:pPr>
        <w:spacing w:line="360" w:lineRule="auto"/>
        <w:rPr>
          <w:rFonts w:cs="Times New Roman"/>
          <w:color w:val="222222"/>
          <w:shd w:val="clear" w:color="auto" w:fill="FFFFFF"/>
        </w:rPr>
      </w:pPr>
      <w:r>
        <w:rPr>
          <w:rFonts w:cs="Times New Roman"/>
          <w:color w:val="222222"/>
          <w:shd w:val="clear" w:color="auto" w:fill="FFFFFF"/>
        </w:rPr>
        <w:br w:type="page"/>
      </w:r>
    </w:p>
    <w:p w14:paraId="66519896" w14:textId="77777777" w:rsidR="00881036" w:rsidRDefault="00881036" w:rsidP="00AF6B1F">
      <w:pPr>
        <w:pStyle w:val="Heading2"/>
        <w:jc w:val="left"/>
        <w:rPr>
          <w:shd w:val="clear" w:color="auto" w:fill="FFFFFF"/>
        </w:rPr>
        <w:sectPr w:rsidR="00881036" w:rsidSect="00881036">
          <w:pgSz w:w="12240" w:h="15840"/>
          <w:pgMar w:top="1440" w:right="1440" w:bottom="1440" w:left="1440" w:header="720" w:footer="720" w:gutter="0"/>
          <w:cols w:space="720"/>
          <w:docGrid w:linePitch="360"/>
        </w:sectPr>
      </w:pPr>
    </w:p>
    <w:p w14:paraId="145131E6" w14:textId="1CE8B90F" w:rsidR="00014AD7" w:rsidRPr="00864A35" w:rsidRDefault="00EC3DF9" w:rsidP="00FF5005">
      <w:pPr>
        <w:pStyle w:val="Heading2"/>
        <w:spacing w:line="360" w:lineRule="auto"/>
        <w:rPr>
          <w:shd w:val="clear" w:color="auto" w:fill="FFFFFF"/>
        </w:rPr>
      </w:pPr>
      <w:bookmarkStart w:id="89" w:name="_Toc192781565"/>
      <w:r>
        <w:rPr>
          <w:shd w:val="clear" w:color="auto" w:fill="FFFFFF"/>
        </w:rPr>
        <w:lastRenderedPageBreak/>
        <w:t>Appendix</w:t>
      </w:r>
      <w:bookmarkEnd w:id="89"/>
    </w:p>
    <w:p w14:paraId="143B4042" w14:textId="7E74DFAF" w:rsidR="00881036" w:rsidRDefault="006C5D9B" w:rsidP="000C799B">
      <w:pPr>
        <w:pStyle w:val="Caption"/>
      </w:pPr>
      <w:bookmarkStart w:id="90" w:name="_Toc192779571"/>
      <w:bookmarkStart w:id="91" w:name="_Toc192846043"/>
      <w:r>
        <w:t>Table 2</w:t>
      </w:r>
      <w:r w:rsidR="00980623">
        <w:t>.</w:t>
      </w:r>
      <w:fldSimple w:instr=" SEQ Table \* ARABIC \s 1 ">
        <w:r w:rsidR="00980623">
          <w:rPr>
            <w:noProof/>
          </w:rPr>
          <w:t>1</w:t>
        </w:r>
      </w:fldSimple>
      <w:r>
        <w:t xml:space="preserve">. </w:t>
      </w:r>
      <w:r w:rsidR="00881036" w:rsidRPr="00AF6B1F">
        <w:rPr>
          <w:b w:val="0"/>
          <w:bCs w:val="0"/>
        </w:rPr>
        <w:t xml:space="preserve">Physical and chemical properties of soils used in glasshouse and laboratory experiments exploring effects of various edaphic factors on </w:t>
      </w:r>
      <w:proofErr w:type="spellStart"/>
      <w:r w:rsidR="00881036" w:rsidRPr="00AF6B1F">
        <w:rPr>
          <w:b w:val="0"/>
          <w:bCs w:val="0"/>
        </w:rPr>
        <w:t>tetflupyrolimet</w:t>
      </w:r>
      <w:proofErr w:type="spellEnd"/>
      <w:r w:rsidR="00881036" w:rsidRPr="00AF6B1F">
        <w:rPr>
          <w:b w:val="0"/>
          <w:bCs w:val="0"/>
        </w:rPr>
        <w:t xml:space="preserve"> (</w:t>
      </w:r>
      <w:proofErr w:type="spellStart"/>
      <w:r w:rsidR="00881036" w:rsidRPr="00AF6B1F">
        <w:rPr>
          <w:b w:val="0"/>
          <w:bCs w:val="0"/>
        </w:rPr>
        <w:t>Dodhylex</w:t>
      </w:r>
      <w:proofErr w:type="spellEnd"/>
      <w:r w:rsidR="00881036" w:rsidRPr="00AF6B1F">
        <w:rPr>
          <w:b w:val="0"/>
          <w:bCs w:val="0"/>
        </w:rPr>
        <w:t xml:space="preserve">™ Active) efficacy for grassy weed control. Organic matter, total exchange </w:t>
      </w:r>
      <w:proofErr w:type="spellStart"/>
      <w:r w:rsidR="00881036" w:rsidRPr="00AF6B1F">
        <w:rPr>
          <w:b w:val="0"/>
          <w:bCs w:val="0"/>
        </w:rPr>
        <w:t>capcity</w:t>
      </w:r>
      <w:proofErr w:type="spellEnd"/>
      <w:r w:rsidR="00881036" w:rsidRPr="00AF6B1F">
        <w:rPr>
          <w:b w:val="0"/>
          <w:bCs w:val="0"/>
        </w:rPr>
        <w:t xml:space="preserve">, and pH analyses conducted by Brookside Laboratories (New Bremen, OH). Soil texture, porosity, and saturated hydraulic conductivity analyses conducted by A. McNitt &amp; </w:t>
      </w:r>
      <w:proofErr w:type="spellStart"/>
      <w:r w:rsidR="00881036" w:rsidRPr="00AF6B1F">
        <w:rPr>
          <w:b w:val="0"/>
          <w:bCs w:val="0"/>
        </w:rPr>
        <w:t>SerenSoil</w:t>
      </w:r>
      <w:proofErr w:type="spellEnd"/>
      <w:r w:rsidR="00881036" w:rsidRPr="00AF6B1F">
        <w:rPr>
          <w:b w:val="0"/>
          <w:bCs w:val="0"/>
        </w:rPr>
        <w:t xml:space="preserve"> (State College, PA).</w:t>
      </w:r>
      <w:bookmarkEnd w:id="90"/>
      <w:bookmarkEnd w:id="91"/>
    </w:p>
    <w:p w14:paraId="401CDAD3" w14:textId="77777777" w:rsidR="00881036" w:rsidRDefault="00881036" w:rsidP="00881036">
      <w:pPr>
        <w:contextualSpacing/>
        <w:jc w:val="both"/>
      </w:pPr>
    </w:p>
    <w:tbl>
      <w:tblPr>
        <w:tblStyle w:val="TableGrid"/>
        <w:tblW w:w="13045" w:type="dxa"/>
        <w:tblLayout w:type="fixed"/>
        <w:tblLook w:val="04A0" w:firstRow="1" w:lastRow="0" w:firstColumn="1" w:lastColumn="0" w:noHBand="0" w:noVBand="1"/>
      </w:tblPr>
      <w:tblGrid>
        <w:gridCol w:w="1361"/>
        <w:gridCol w:w="704"/>
        <w:gridCol w:w="720"/>
        <w:gridCol w:w="720"/>
        <w:gridCol w:w="990"/>
        <w:gridCol w:w="1080"/>
        <w:gridCol w:w="1260"/>
        <w:gridCol w:w="1170"/>
        <w:gridCol w:w="1800"/>
        <w:gridCol w:w="2070"/>
        <w:gridCol w:w="1170"/>
      </w:tblGrid>
      <w:tr w:rsidR="00881036" w14:paraId="6DBF93A6" w14:textId="77777777" w:rsidTr="00103CC5">
        <w:tc>
          <w:tcPr>
            <w:tcW w:w="1361" w:type="dxa"/>
          </w:tcPr>
          <w:p w14:paraId="2E03A8FF" w14:textId="77777777" w:rsidR="00881036" w:rsidRDefault="00881036" w:rsidP="00103CC5">
            <w:pPr>
              <w:contextualSpacing/>
              <w:jc w:val="both"/>
            </w:pPr>
            <w:r>
              <w:t>Soil Type</w:t>
            </w:r>
          </w:p>
        </w:tc>
        <w:tc>
          <w:tcPr>
            <w:tcW w:w="704" w:type="dxa"/>
          </w:tcPr>
          <w:p w14:paraId="5D76F808" w14:textId="77777777" w:rsidR="00881036" w:rsidRDefault="00881036" w:rsidP="00103CC5">
            <w:pPr>
              <w:contextualSpacing/>
              <w:jc w:val="center"/>
            </w:pPr>
            <w:r>
              <w:t>Sand</w:t>
            </w:r>
          </w:p>
        </w:tc>
        <w:tc>
          <w:tcPr>
            <w:tcW w:w="720" w:type="dxa"/>
          </w:tcPr>
          <w:p w14:paraId="381629FE" w14:textId="77777777" w:rsidR="00881036" w:rsidRDefault="00881036" w:rsidP="00103CC5">
            <w:pPr>
              <w:contextualSpacing/>
              <w:jc w:val="center"/>
            </w:pPr>
            <w:r>
              <w:t>Silt</w:t>
            </w:r>
          </w:p>
        </w:tc>
        <w:tc>
          <w:tcPr>
            <w:tcW w:w="720" w:type="dxa"/>
          </w:tcPr>
          <w:p w14:paraId="4555BC01" w14:textId="77777777" w:rsidR="00881036" w:rsidRDefault="00881036" w:rsidP="00103CC5">
            <w:pPr>
              <w:contextualSpacing/>
              <w:jc w:val="center"/>
            </w:pPr>
            <w:r>
              <w:t>Clay</w:t>
            </w:r>
          </w:p>
        </w:tc>
        <w:tc>
          <w:tcPr>
            <w:tcW w:w="990" w:type="dxa"/>
          </w:tcPr>
          <w:p w14:paraId="051A5E30" w14:textId="77777777" w:rsidR="00881036" w:rsidRDefault="00881036" w:rsidP="00103CC5">
            <w:pPr>
              <w:contextualSpacing/>
              <w:jc w:val="center"/>
            </w:pPr>
            <w:r>
              <w:t>Organic Matter</w:t>
            </w:r>
          </w:p>
        </w:tc>
        <w:tc>
          <w:tcPr>
            <w:tcW w:w="1080" w:type="dxa"/>
          </w:tcPr>
          <w:p w14:paraId="5F9C1986" w14:textId="77777777" w:rsidR="00881036" w:rsidRDefault="00881036" w:rsidP="00103CC5">
            <w:pPr>
              <w:contextualSpacing/>
              <w:jc w:val="center"/>
            </w:pPr>
            <w:r>
              <w:t>Total Porosity</w:t>
            </w:r>
          </w:p>
        </w:tc>
        <w:tc>
          <w:tcPr>
            <w:tcW w:w="1260" w:type="dxa"/>
          </w:tcPr>
          <w:p w14:paraId="028C0B77" w14:textId="77777777" w:rsidR="00881036" w:rsidRDefault="00881036" w:rsidP="00103CC5">
            <w:pPr>
              <w:contextualSpacing/>
              <w:jc w:val="center"/>
            </w:pPr>
            <w:r>
              <w:t>Air-Filled Porosity</w:t>
            </w:r>
          </w:p>
        </w:tc>
        <w:tc>
          <w:tcPr>
            <w:tcW w:w="1170" w:type="dxa"/>
          </w:tcPr>
          <w:p w14:paraId="51A08947" w14:textId="77777777" w:rsidR="00881036" w:rsidRDefault="00881036" w:rsidP="00103CC5">
            <w:pPr>
              <w:contextualSpacing/>
              <w:jc w:val="center"/>
            </w:pPr>
            <w:r>
              <w:t>Capillary Porosity</w:t>
            </w:r>
          </w:p>
        </w:tc>
        <w:tc>
          <w:tcPr>
            <w:tcW w:w="1800" w:type="dxa"/>
          </w:tcPr>
          <w:p w14:paraId="16BF59B7" w14:textId="77777777" w:rsidR="00881036" w:rsidRDefault="00881036" w:rsidP="00103CC5">
            <w:pPr>
              <w:contextualSpacing/>
              <w:jc w:val="center"/>
            </w:pPr>
            <w:r>
              <w:t>Total Exchange Capacity</w:t>
            </w:r>
          </w:p>
        </w:tc>
        <w:tc>
          <w:tcPr>
            <w:tcW w:w="2070" w:type="dxa"/>
          </w:tcPr>
          <w:p w14:paraId="45E181B2" w14:textId="77777777" w:rsidR="00881036" w:rsidRDefault="00881036" w:rsidP="00103CC5">
            <w:pPr>
              <w:contextualSpacing/>
              <w:jc w:val="center"/>
            </w:pPr>
            <w:r>
              <w:t xml:space="preserve">Saturated </w:t>
            </w:r>
            <w:proofErr w:type="spellStart"/>
            <w:r>
              <w:t>Hydaulic</w:t>
            </w:r>
            <w:proofErr w:type="spellEnd"/>
            <w:r>
              <w:t xml:space="preserve"> Conductivity</w:t>
            </w:r>
          </w:p>
        </w:tc>
        <w:tc>
          <w:tcPr>
            <w:tcW w:w="1170" w:type="dxa"/>
          </w:tcPr>
          <w:p w14:paraId="773956B0" w14:textId="77777777" w:rsidR="00881036" w:rsidRDefault="00881036" w:rsidP="00103CC5">
            <w:pPr>
              <w:contextualSpacing/>
              <w:jc w:val="center"/>
            </w:pPr>
            <w:r>
              <w:t>pH</w:t>
            </w:r>
          </w:p>
        </w:tc>
      </w:tr>
      <w:tr w:rsidR="00881036" w14:paraId="6C68BE69" w14:textId="77777777" w:rsidTr="00103CC5">
        <w:tc>
          <w:tcPr>
            <w:tcW w:w="1361" w:type="dxa"/>
          </w:tcPr>
          <w:p w14:paraId="69902EEE" w14:textId="77777777" w:rsidR="00881036" w:rsidRDefault="00881036" w:rsidP="00103CC5">
            <w:pPr>
              <w:contextualSpacing/>
              <w:jc w:val="both"/>
            </w:pPr>
          </w:p>
        </w:tc>
        <w:tc>
          <w:tcPr>
            <w:tcW w:w="6644" w:type="dxa"/>
            <w:gridSpan w:val="7"/>
          </w:tcPr>
          <w:p w14:paraId="5B654264" w14:textId="77777777" w:rsidR="00881036" w:rsidRDefault="00881036" w:rsidP="00103CC5">
            <w:pPr>
              <w:contextualSpacing/>
              <w:jc w:val="center"/>
            </w:pPr>
            <w:r>
              <w:rPr>
                <w:vertAlign w:val="superscript"/>
              </w:rPr>
              <w:t>______________________________</w:t>
            </w:r>
            <w:r>
              <w:t>%</w:t>
            </w:r>
            <w:r>
              <w:rPr>
                <w:vertAlign w:val="superscript"/>
              </w:rPr>
              <w:t>_________________________________________</w:t>
            </w:r>
          </w:p>
        </w:tc>
        <w:tc>
          <w:tcPr>
            <w:tcW w:w="1800" w:type="dxa"/>
          </w:tcPr>
          <w:p w14:paraId="56B0DFAD" w14:textId="77777777" w:rsidR="00881036" w:rsidRPr="00EC2854" w:rsidRDefault="00881036" w:rsidP="00103CC5">
            <w:pPr>
              <w:contextualSpacing/>
              <w:jc w:val="center"/>
              <w:rPr>
                <w:vertAlign w:val="superscript"/>
              </w:rPr>
            </w:pPr>
            <w:proofErr w:type="spellStart"/>
            <w:r>
              <w:t>meq</w:t>
            </w:r>
            <w:proofErr w:type="spellEnd"/>
            <w:r>
              <w:t xml:space="preserve"> 100 g</w:t>
            </w:r>
            <w:r w:rsidRPr="00EC2854">
              <w:rPr>
                <w:vertAlign w:val="superscript"/>
              </w:rPr>
              <w:t>-1</w:t>
            </w:r>
          </w:p>
        </w:tc>
        <w:tc>
          <w:tcPr>
            <w:tcW w:w="2070" w:type="dxa"/>
          </w:tcPr>
          <w:p w14:paraId="5A81D885" w14:textId="77777777" w:rsidR="00881036" w:rsidRPr="00EC2854" w:rsidRDefault="00881036" w:rsidP="00103CC5">
            <w:pPr>
              <w:contextualSpacing/>
              <w:jc w:val="center"/>
              <w:rPr>
                <w:vertAlign w:val="superscript"/>
              </w:rPr>
            </w:pPr>
            <w:r>
              <w:t>cm hr</w:t>
            </w:r>
            <w:r w:rsidRPr="00EC2854">
              <w:rPr>
                <w:vertAlign w:val="superscript"/>
              </w:rPr>
              <w:t>-1</w:t>
            </w:r>
          </w:p>
        </w:tc>
        <w:tc>
          <w:tcPr>
            <w:tcW w:w="1170" w:type="dxa"/>
          </w:tcPr>
          <w:p w14:paraId="425C5D01" w14:textId="77777777" w:rsidR="00881036" w:rsidRPr="008F1D66" w:rsidRDefault="00881036" w:rsidP="00103CC5">
            <w:pPr>
              <w:contextualSpacing/>
              <w:jc w:val="center"/>
            </w:pPr>
            <w:r w:rsidRPr="00EC2854">
              <w:t>(H</w:t>
            </w:r>
            <w:r w:rsidRPr="00EC2854">
              <w:rPr>
                <w:vertAlign w:val="subscript"/>
              </w:rPr>
              <w:t>2</w:t>
            </w:r>
            <w:r w:rsidRPr="00EC2854">
              <w:t>O 1:1)</w:t>
            </w:r>
          </w:p>
        </w:tc>
      </w:tr>
      <w:tr w:rsidR="00881036" w14:paraId="7B9CAC3F" w14:textId="77777777" w:rsidTr="00103CC5">
        <w:tc>
          <w:tcPr>
            <w:tcW w:w="1361" w:type="dxa"/>
          </w:tcPr>
          <w:p w14:paraId="095DB430" w14:textId="77777777" w:rsidR="00881036" w:rsidRDefault="00881036" w:rsidP="00103CC5">
            <w:pPr>
              <w:contextualSpacing/>
              <w:jc w:val="both"/>
            </w:pPr>
            <w:r>
              <w:t>Clay Loam</w:t>
            </w:r>
          </w:p>
        </w:tc>
        <w:tc>
          <w:tcPr>
            <w:tcW w:w="704" w:type="dxa"/>
          </w:tcPr>
          <w:p w14:paraId="6AD65A72" w14:textId="77777777" w:rsidR="00881036" w:rsidRDefault="00881036" w:rsidP="00103CC5">
            <w:pPr>
              <w:contextualSpacing/>
              <w:jc w:val="center"/>
            </w:pPr>
            <w:r>
              <w:t>26.1</w:t>
            </w:r>
          </w:p>
        </w:tc>
        <w:tc>
          <w:tcPr>
            <w:tcW w:w="720" w:type="dxa"/>
          </w:tcPr>
          <w:p w14:paraId="3C58AC6B" w14:textId="77777777" w:rsidR="00881036" w:rsidRDefault="00881036" w:rsidP="00103CC5">
            <w:pPr>
              <w:contextualSpacing/>
              <w:jc w:val="center"/>
            </w:pPr>
            <w:r>
              <w:t>41.0</w:t>
            </w:r>
          </w:p>
        </w:tc>
        <w:tc>
          <w:tcPr>
            <w:tcW w:w="720" w:type="dxa"/>
          </w:tcPr>
          <w:p w14:paraId="30DB5904" w14:textId="77777777" w:rsidR="00881036" w:rsidRDefault="00881036" w:rsidP="00103CC5">
            <w:pPr>
              <w:contextualSpacing/>
              <w:jc w:val="center"/>
            </w:pPr>
            <w:r>
              <w:t>32.1</w:t>
            </w:r>
          </w:p>
        </w:tc>
        <w:tc>
          <w:tcPr>
            <w:tcW w:w="990" w:type="dxa"/>
          </w:tcPr>
          <w:p w14:paraId="69F2C79E" w14:textId="77777777" w:rsidR="00881036" w:rsidRDefault="00881036" w:rsidP="00103CC5">
            <w:pPr>
              <w:contextualSpacing/>
              <w:jc w:val="center"/>
            </w:pPr>
            <w:r>
              <w:t>2.2</w:t>
            </w:r>
          </w:p>
        </w:tc>
        <w:tc>
          <w:tcPr>
            <w:tcW w:w="1080" w:type="dxa"/>
          </w:tcPr>
          <w:p w14:paraId="21E0D816" w14:textId="77777777" w:rsidR="00881036" w:rsidRDefault="00881036" w:rsidP="00103CC5">
            <w:pPr>
              <w:contextualSpacing/>
              <w:jc w:val="center"/>
            </w:pPr>
            <w:r>
              <w:t>54.5</w:t>
            </w:r>
          </w:p>
        </w:tc>
        <w:tc>
          <w:tcPr>
            <w:tcW w:w="1260" w:type="dxa"/>
          </w:tcPr>
          <w:p w14:paraId="49CE75BF" w14:textId="77777777" w:rsidR="00881036" w:rsidRDefault="00881036" w:rsidP="00103CC5">
            <w:pPr>
              <w:contextualSpacing/>
              <w:jc w:val="center"/>
            </w:pPr>
            <w:r>
              <w:t>18.5</w:t>
            </w:r>
          </w:p>
        </w:tc>
        <w:tc>
          <w:tcPr>
            <w:tcW w:w="1170" w:type="dxa"/>
          </w:tcPr>
          <w:p w14:paraId="1087EB3E" w14:textId="77777777" w:rsidR="00881036" w:rsidRDefault="00881036" w:rsidP="00103CC5">
            <w:pPr>
              <w:contextualSpacing/>
              <w:jc w:val="center"/>
            </w:pPr>
            <w:r>
              <w:t>36.0</w:t>
            </w:r>
          </w:p>
        </w:tc>
        <w:tc>
          <w:tcPr>
            <w:tcW w:w="1800" w:type="dxa"/>
          </w:tcPr>
          <w:p w14:paraId="49586E9B" w14:textId="77777777" w:rsidR="00881036" w:rsidRDefault="00881036" w:rsidP="00103CC5">
            <w:pPr>
              <w:contextualSpacing/>
              <w:jc w:val="center"/>
            </w:pPr>
            <w:r>
              <w:t>6.7</w:t>
            </w:r>
          </w:p>
        </w:tc>
        <w:tc>
          <w:tcPr>
            <w:tcW w:w="2070" w:type="dxa"/>
          </w:tcPr>
          <w:p w14:paraId="60981C47" w14:textId="77777777" w:rsidR="00881036" w:rsidRPr="00EC2854" w:rsidRDefault="00881036" w:rsidP="00103CC5">
            <w:pPr>
              <w:contextualSpacing/>
              <w:jc w:val="center"/>
              <w:rPr>
                <w:vertAlign w:val="superscript"/>
              </w:rPr>
            </w:pPr>
            <w:r>
              <w:t>25.1</w:t>
            </w:r>
            <w:r>
              <w:rPr>
                <w:vertAlign w:val="superscript"/>
              </w:rPr>
              <w:t>†</w:t>
            </w:r>
          </w:p>
        </w:tc>
        <w:tc>
          <w:tcPr>
            <w:tcW w:w="1170" w:type="dxa"/>
          </w:tcPr>
          <w:p w14:paraId="4681C62E" w14:textId="77777777" w:rsidR="00881036" w:rsidRDefault="00881036" w:rsidP="00103CC5">
            <w:pPr>
              <w:contextualSpacing/>
              <w:jc w:val="center"/>
            </w:pPr>
            <w:r>
              <w:t>5.7</w:t>
            </w:r>
          </w:p>
        </w:tc>
      </w:tr>
      <w:tr w:rsidR="00881036" w14:paraId="0FEEA270" w14:textId="77777777" w:rsidTr="00103CC5">
        <w:tc>
          <w:tcPr>
            <w:tcW w:w="1361" w:type="dxa"/>
          </w:tcPr>
          <w:p w14:paraId="4488EF69" w14:textId="77777777" w:rsidR="00881036" w:rsidRDefault="00881036" w:rsidP="00103CC5">
            <w:pPr>
              <w:contextualSpacing/>
              <w:jc w:val="both"/>
            </w:pPr>
            <w:r>
              <w:t>Sand</w:t>
            </w:r>
          </w:p>
        </w:tc>
        <w:tc>
          <w:tcPr>
            <w:tcW w:w="704" w:type="dxa"/>
          </w:tcPr>
          <w:p w14:paraId="54557904" w14:textId="77777777" w:rsidR="00881036" w:rsidRDefault="00881036" w:rsidP="00103CC5">
            <w:pPr>
              <w:contextualSpacing/>
              <w:jc w:val="center"/>
            </w:pPr>
            <w:r>
              <w:t>98.3</w:t>
            </w:r>
          </w:p>
        </w:tc>
        <w:tc>
          <w:tcPr>
            <w:tcW w:w="720" w:type="dxa"/>
          </w:tcPr>
          <w:p w14:paraId="6E10818A" w14:textId="77777777" w:rsidR="00881036" w:rsidRDefault="00881036" w:rsidP="00103CC5">
            <w:pPr>
              <w:contextualSpacing/>
              <w:jc w:val="center"/>
            </w:pPr>
            <w:r>
              <w:t>1.2</w:t>
            </w:r>
          </w:p>
        </w:tc>
        <w:tc>
          <w:tcPr>
            <w:tcW w:w="720" w:type="dxa"/>
          </w:tcPr>
          <w:p w14:paraId="0A468B57" w14:textId="77777777" w:rsidR="00881036" w:rsidRDefault="00881036" w:rsidP="00103CC5">
            <w:pPr>
              <w:contextualSpacing/>
              <w:jc w:val="center"/>
            </w:pPr>
            <w:r>
              <w:t>0.5</w:t>
            </w:r>
          </w:p>
        </w:tc>
        <w:tc>
          <w:tcPr>
            <w:tcW w:w="990" w:type="dxa"/>
          </w:tcPr>
          <w:p w14:paraId="4F5C33FD" w14:textId="77777777" w:rsidR="00881036" w:rsidRDefault="00881036" w:rsidP="00103CC5">
            <w:pPr>
              <w:contextualSpacing/>
              <w:jc w:val="center"/>
            </w:pPr>
            <w:r>
              <w:t>0.5</w:t>
            </w:r>
          </w:p>
        </w:tc>
        <w:tc>
          <w:tcPr>
            <w:tcW w:w="1080" w:type="dxa"/>
          </w:tcPr>
          <w:p w14:paraId="1F435145" w14:textId="77777777" w:rsidR="00881036" w:rsidRDefault="00881036" w:rsidP="00103CC5">
            <w:pPr>
              <w:contextualSpacing/>
              <w:jc w:val="center"/>
            </w:pPr>
            <w:r>
              <w:t>43.7</w:t>
            </w:r>
          </w:p>
        </w:tc>
        <w:tc>
          <w:tcPr>
            <w:tcW w:w="1260" w:type="dxa"/>
          </w:tcPr>
          <w:p w14:paraId="74918E2B" w14:textId="77777777" w:rsidR="00881036" w:rsidRDefault="00881036" w:rsidP="00103CC5">
            <w:pPr>
              <w:contextualSpacing/>
              <w:jc w:val="center"/>
            </w:pPr>
            <w:r>
              <w:t>27.6</w:t>
            </w:r>
          </w:p>
        </w:tc>
        <w:tc>
          <w:tcPr>
            <w:tcW w:w="1170" w:type="dxa"/>
          </w:tcPr>
          <w:p w14:paraId="0F07FA1D" w14:textId="77777777" w:rsidR="00881036" w:rsidRDefault="00881036" w:rsidP="00103CC5">
            <w:pPr>
              <w:contextualSpacing/>
              <w:jc w:val="center"/>
            </w:pPr>
            <w:r>
              <w:t>16.1</w:t>
            </w:r>
          </w:p>
        </w:tc>
        <w:tc>
          <w:tcPr>
            <w:tcW w:w="1800" w:type="dxa"/>
          </w:tcPr>
          <w:p w14:paraId="4012F2FE" w14:textId="77777777" w:rsidR="00881036" w:rsidRDefault="00881036" w:rsidP="00103CC5">
            <w:pPr>
              <w:contextualSpacing/>
              <w:jc w:val="center"/>
            </w:pPr>
            <w:r>
              <w:t>1.6</w:t>
            </w:r>
          </w:p>
        </w:tc>
        <w:tc>
          <w:tcPr>
            <w:tcW w:w="2070" w:type="dxa"/>
          </w:tcPr>
          <w:p w14:paraId="3200C68D" w14:textId="77777777" w:rsidR="00881036" w:rsidRDefault="00881036" w:rsidP="00103CC5">
            <w:pPr>
              <w:contextualSpacing/>
              <w:jc w:val="center"/>
            </w:pPr>
            <w:r>
              <w:t>70.6</w:t>
            </w:r>
          </w:p>
        </w:tc>
        <w:tc>
          <w:tcPr>
            <w:tcW w:w="1170" w:type="dxa"/>
          </w:tcPr>
          <w:p w14:paraId="62CDE59D" w14:textId="77777777" w:rsidR="00881036" w:rsidRDefault="00881036" w:rsidP="00103CC5">
            <w:pPr>
              <w:contextualSpacing/>
              <w:jc w:val="center"/>
            </w:pPr>
            <w:r>
              <w:t>4.8</w:t>
            </w:r>
          </w:p>
        </w:tc>
      </w:tr>
      <w:tr w:rsidR="00881036" w14:paraId="62C0DF95" w14:textId="77777777" w:rsidTr="00103CC5">
        <w:tc>
          <w:tcPr>
            <w:tcW w:w="13045" w:type="dxa"/>
            <w:gridSpan w:val="11"/>
          </w:tcPr>
          <w:p w14:paraId="50DA5377" w14:textId="77777777" w:rsidR="00881036" w:rsidRPr="008F1D66" w:rsidRDefault="00881036" w:rsidP="00103CC5">
            <w:pPr>
              <w:contextualSpacing/>
            </w:pPr>
            <w:r>
              <w:rPr>
                <w:vertAlign w:val="superscript"/>
              </w:rPr>
              <w:t xml:space="preserve">† </w:t>
            </w:r>
            <w:r>
              <w:t xml:space="preserve">Testing after compacting soil to 75% compaction using </w:t>
            </w:r>
            <w:r w:rsidRPr="00EE7A54">
              <w:t>ASTM D698-12</w:t>
            </w:r>
            <w:r>
              <w:t>.</w:t>
            </w:r>
          </w:p>
        </w:tc>
      </w:tr>
    </w:tbl>
    <w:p w14:paraId="1C4E51CA" w14:textId="77777777" w:rsidR="00881036" w:rsidRDefault="00881036" w:rsidP="00881036">
      <w:pPr>
        <w:contextualSpacing/>
        <w:jc w:val="both"/>
      </w:pPr>
    </w:p>
    <w:p w14:paraId="03A47320" w14:textId="059F6945" w:rsidR="00881036" w:rsidRDefault="00881036" w:rsidP="00881036">
      <w:pPr>
        <w:sectPr w:rsidR="00881036" w:rsidSect="00881036">
          <w:pgSz w:w="15840" w:h="12240" w:orient="landscape"/>
          <w:pgMar w:top="1440" w:right="1440" w:bottom="1440" w:left="1440" w:header="720" w:footer="720" w:gutter="0"/>
          <w:cols w:space="720"/>
          <w:docGrid w:linePitch="360"/>
        </w:sectPr>
      </w:pPr>
    </w:p>
    <w:p w14:paraId="610BB298" w14:textId="6439663C" w:rsidR="00A07EE3" w:rsidRPr="0040364B" w:rsidRDefault="00A96DE2" w:rsidP="00A96DE2">
      <w:pPr>
        <w:contextualSpacing/>
        <w:rPr>
          <w:color w:val="000000" w:themeColor="text1"/>
        </w:rPr>
      </w:pPr>
      <w:r>
        <w:rPr>
          <w:noProof/>
          <w:color w:val="000000" w:themeColor="text1"/>
        </w:rPr>
        <w:lastRenderedPageBreak/>
        <w:drawing>
          <wp:inline distT="0" distB="0" distL="0" distR="0" wp14:anchorId="0913FD2B" wp14:editId="10D5B54D">
            <wp:extent cx="5943600" cy="4015105"/>
            <wp:effectExtent l="0" t="0" r="0" b="0"/>
            <wp:docPr id="1976631444" name="Picture 1" descr="A graph of a normalized press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31444" name="Picture 1" descr="A graph of a normalized pressur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4015105"/>
                    </a:xfrm>
                    <a:prstGeom prst="rect">
                      <a:avLst/>
                    </a:prstGeom>
                  </pic:spPr>
                </pic:pic>
              </a:graphicData>
            </a:graphic>
          </wp:inline>
        </w:drawing>
      </w:r>
    </w:p>
    <w:p w14:paraId="18CF497D" w14:textId="557FB8CD" w:rsidR="00A07EE3" w:rsidRDefault="00FF45A6" w:rsidP="00A07EE3">
      <w:pPr>
        <w:pStyle w:val="Caption"/>
      </w:pPr>
      <w:bookmarkStart w:id="92" w:name="_Toc192779572"/>
      <w:bookmarkStart w:id="93" w:name="_Toc192868772"/>
      <w:r>
        <w:t>Figure 2</w:t>
      </w:r>
      <w:r w:rsidR="00E32A6E">
        <w:t>.</w:t>
      </w:r>
      <w:fldSimple w:instr=" SEQ Figure \* ARABIC \s 1 ">
        <w:r w:rsidR="00E32A6E">
          <w:rPr>
            <w:noProof/>
          </w:rPr>
          <w:t>1</w:t>
        </w:r>
      </w:fldSimple>
      <w:r>
        <w:t xml:space="preserve">. </w:t>
      </w:r>
      <w:r w:rsidR="00A07EE3" w:rsidRPr="002C2C75">
        <w:rPr>
          <w:b w:val="0"/>
          <w:bCs w:val="0"/>
          <w:color w:val="000000" w:themeColor="text1"/>
        </w:rPr>
        <w:t xml:space="preserve">Soil moisture retention curves for the two soils used </w:t>
      </w:r>
      <w:r w:rsidR="00A07EE3" w:rsidRPr="002C2C75">
        <w:rPr>
          <w:b w:val="0"/>
          <w:bCs w:val="0"/>
        </w:rPr>
        <w:t xml:space="preserve">in glasshouse and laboratory experiments exploring effects of various edaphic factor on </w:t>
      </w:r>
      <w:proofErr w:type="spellStart"/>
      <w:r w:rsidR="00A07EE3" w:rsidRPr="002C2C75">
        <w:rPr>
          <w:b w:val="0"/>
          <w:bCs w:val="0"/>
        </w:rPr>
        <w:t>tetflupyrolimet</w:t>
      </w:r>
      <w:proofErr w:type="spellEnd"/>
      <w:r w:rsidR="00A07EE3" w:rsidRPr="002C2C75">
        <w:rPr>
          <w:b w:val="0"/>
          <w:bCs w:val="0"/>
        </w:rPr>
        <w:t xml:space="preserve"> (</w:t>
      </w:r>
      <w:proofErr w:type="spellStart"/>
      <w:r w:rsidR="00A07EE3" w:rsidRPr="002C2C75">
        <w:rPr>
          <w:b w:val="0"/>
          <w:bCs w:val="0"/>
        </w:rPr>
        <w:t>Dodhylex</w:t>
      </w:r>
      <w:proofErr w:type="spellEnd"/>
      <w:r w:rsidR="00A07EE3" w:rsidRPr="002C2C75">
        <w:rPr>
          <w:b w:val="0"/>
          <w:bCs w:val="0"/>
        </w:rPr>
        <w:t>™ Active) efficacy for grassy weed control.</w:t>
      </w:r>
      <w:r w:rsidR="00A07EE3" w:rsidRPr="002C2C75">
        <w:rPr>
          <w:b w:val="0"/>
          <w:bCs w:val="0"/>
          <w:color w:val="000000" w:themeColor="text1"/>
        </w:rPr>
        <w:t xml:space="preserve"> Soil moisture retention curves generated by </w:t>
      </w:r>
      <w:r w:rsidR="00A07EE3" w:rsidRPr="002C2C75">
        <w:rPr>
          <w:b w:val="0"/>
          <w:bCs w:val="0"/>
        </w:rPr>
        <w:t xml:space="preserve">Turf &amp; Soil Diagnostics (Trumansburg, NY) using ASTM D6836. Data were fit to a one-phase exponential decay model in GraphPad Prism </w:t>
      </w:r>
      <w:r w:rsidR="00A07EE3" w:rsidRPr="002C2C75">
        <w:rPr>
          <w:b w:val="0"/>
          <w:bCs w:val="0"/>
          <w:color w:val="000000" w:themeColor="text1"/>
        </w:rPr>
        <w:t xml:space="preserve">(v.10.1.1. </w:t>
      </w:r>
      <w:proofErr w:type="spellStart"/>
      <w:r w:rsidR="00A07EE3" w:rsidRPr="002C2C75">
        <w:rPr>
          <w:b w:val="0"/>
          <w:bCs w:val="0"/>
          <w:color w:val="000000" w:themeColor="text1"/>
        </w:rPr>
        <w:t>Graphpad</w:t>
      </w:r>
      <w:proofErr w:type="spellEnd"/>
      <w:r w:rsidR="00A07EE3" w:rsidRPr="002C2C75">
        <w:rPr>
          <w:b w:val="0"/>
          <w:bCs w:val="0"/>
          <w:color w:val="000000" w:themeColor="text1"/>
        </w:rPr>
        <w:t xml:space="preserve"> Prism. </w:t>
      </w:r>
      <w:proofErr w:type="spellStart"/>
      <w:r w:rsidR="00A07EE3" w:rsidRPr="002C2C75">
        <w:rPr>
          <w:b w:val="0"/>
          <w:bCs w:val="0"/>
          <w:color w:val="000000" w:themeColor="text1"/>
        </w:rPr>
        <w:t>LaJolla</w:t>
      </w:r>
      <w:proofErr w:type="spellEnd"/>
      <w:r w:rsidR="00A07EE3" w:rsidRPr="002C2C75">
        <w:rPr>
          <w:b w:val="0"/>
          <w:bCs w:val="0"/>
          <w:color w:val="000000" w:themeColor="text1"/>
        </w:rPr>
        <w:t xml:space="preserve">, CA) and compared using a global sums-of-squares F-test at </w:t>
      </w:r>
      <w:r w:rsidR="00A07EE3" w:rsidRPr="002C2C75">
        <w:rPr>
          <w:b w:val="0"/>
          <w:bCs w:val="0"/>
          <w:color w:val="000000" w:themeColor="text1"/>
        </w:rPr>
        <w:sym w:font="Symbol" w:char="F061"/>
      </w:r>
      <w:r w:rsidR="00A07EE3" w:rsidRPr="002C2C75">
        <w:rPr>
          <w:b w:val="0"/>
          <w:bCs w:val="0"/>
          <w:color w:val="000000" w:themeColor="text1"/>
        </w:rPr>
        <w:t xml:space="preserve"> = 0.05.</w:t>
      </w:r>
      <w:bookmarkEnd w:id="92"/>
      <w:bookmarkEnd w:id="93"/>
    </w:p>
    <w:p w14:paraId="01E5FF31" w14:textId="1500EF1C" w:rsidR="00C21A36" w:rsidRPr="00C21A36" w:rsidRDefault="00A07EE3" w:rsidP="00C21A36">
      <w:pPr>
        <w:rPr>
          <w:b/>
          <w:bCs/>
        </w:rPr>
        <w:sectPr w:rsidR="00C21A36" w:rsidRPr="00C21A36" w:rsidSect="00881036">
          <w:pgSz w:w="12240" w:h="15840"/>
          <w:pgMar w:top="1440" w:right="1440" w:bottom="1440" w:left="1440" w:header="720" w:footer="720" w:gutter="0"/>
          <w:cols w:space="720"/>
          <w:docGrid w:linePitch="360"/>
        </w:sectPr>
      </w:pPr>
      <w:r>
        <w:br w:type="page"/>
      </w:r>
    </w:p>
    <w:p w14:paraId="079663A9" w14:textId="273994DF" w:rsidR="00C21A36" w:rsidRDefault="006C5D9B" w:rsidP="000C799B">
      <w:pPr>
        <w:pStyle w:val="Caption"/>
      </w:pPr>
      <w:bookmarkStart w:id="94" w:name="_Toc192779573"/>
      <w:bookmarkStart w:id="95" w:name="_Toc192846044"/>
      <w:r>
        <w:lastRenderedPageBreak/>
        <w:t>Table 2</w:t>
      </w:r>
      <w:r w:rsidR="00980623">
        <w:t>.</w:t>
      </w:r>
      <w:fldSimple w:instr=" SEQ Table \* ARABIC \s 1 ">
        <w:r w:rsidR="00980623">
          <w:rPr>
            <w:noProof/>
          </w:rPr>
          <w:t>2</w:t>
        </w:r>
      </w:fldSimple>
      <w:r>
        <w:t xml:space="preserve">. </w:t>
      </w:r>
      <w:r w:rsidR="00C21A36" w:rsidRPr="00C21A36">
        <w:rPr>
          <w:b w:val="0"/>
          <w:bCs w:val="0"/>
        </w:rPr>
        <w:t xml:space="preserve">Nutrient analyses of soils used in glasshouse and laboratory experiments exploring effects of various edaphic factors on </w:t>
      </w:r>
      <w:proofErr w:type="spellStart"/>
      <w:r w:rsidR="00C21A36" w:rsidRPr="00C21A36">
        <w:rPr>
          <w:b w:val="0"/>
          <w:bCs w:val="0"/>
        </w:rPr>
        <w:t>tetflupyrolimet</w:t>
      </w:r>
      <w:proofErr w:type="spellEnd"/>
      <w:r w:rsidR="00C21A36" w:rsidRPr="00C21A36">
        <w:rPr>
          <w:b w:val="0"/>
          <w:bCs w:val="0"/>
        </w:rPr>
        <w:t xml:space="preserve"> (</w:t>
      </w:r>
      <w:proofErr w:type="spellStart"/>
      <w:r w:rsidR="00C21A36" w:rsidRPr="00C21A36">
        <w:rPr>
          <w:b w:val="0"/>
          <w:bCs w:val="0"/>
        </w:rPr>
        <w:t>Dodhylex</w:t>
      </w:r>
      <w:proofErr w:type="spellEnd"/>
      <w:r w:rsidR="00C21A36" w:rsidRPr="00C21A36">
        <w:rPr>
          <w:b w:val="0"/>
          <w:bCs w:val="0"/>
        </w:rPr>
        <w:t>™ Active) efficacy for grassy weed control. Analysis was conducted by Brookside Laboratories (New Bremen, OH).</w:t>
      </w:r>
      <w:bookmarkEnd w:id="94"/>
      <w:bookmarkEnd w:id="95"/>
    </w:p>
    <w:p w14:paraId="2F79FD1F" w14:textId="77777777" w:rsidR="00C21A36" w:rsidRDefault="00C21A36" w:rsidP="00C21A36">
      <w:pPr>
        <w:contextualSpacing/>
        <w:jc w:val="both"/>
      </w:pPr>
    </w:p>
    <w:tbl>
      <w:tblPr>
        <w:tblStyle w:val="TableGrid"/>
        <w:tblW w:w="12960" w:type="dxa"/>
        <w:tblInd w:w="-5" w:type="dxa"/>
        <w:tblLook w:val="04A0" w:firstRow="1" w:lastRow="0" w:firstColumn="1" w:lastColumn="0" w:noHBand="0" w:noVBand="1"/>
      </w:tblPr>
      <w:tblGrid>
        <w:gridCol w:w="1396"/>
        <w:gridCol w:w="816"/>
        <w:gridCol w:w="1030"/>
        <w:gridCol w:w="1350"/>
        <w:gridCol w:w="1203"/>
        <w:gridCol w:w="963"/>
        <w:gridCol w:w="892"/>
        <w:gridCol w:w="720"/>
        <w:gridCol w:w="1336"/>
        <w:gridCol w:w="923"/>
        <w:gridCol w:w="983"/>
        <w:gridCol w:w="1348"/>
      </w:tblGrid>
      <w:tr w:rsidR="00C724CA" w14:paraId="6EC2FFEF" w14:textId="77777777" w:rsidTr="00C724CA">
        <w:tc>
          <w:tcPr>
            <w:tcW w:w="1396" w:type="dxa"/>
          </w:tcPr>
          <w:p w14:paraId="75F066F9" w14:textId="77777777" w:rsidR="00C21A36" w:rsidRDefault="00C21A36" w:rsidP="00103CC5">
            <w:pPr>
              <w:contextualSpacing/>
              <w:jc w:val="both"/>
            </w:pPr>
            <w:r>
              <w:t>Soil Texture</w:t>
            </w:r>
          </w:p>
        </w:tc>
        <w:tc>
          <w:tcPr>
            <w:tcW w:w="816" w:type="dxa"/>
          </w:tcPr>
          <w:p w14:paraId="22AB610F" w14:textId="77777777" w:rsidR="00C21A36" w:rsidRDefault="00C21A36" w:rsidP="00103CC5">
            <w:pPr>
              <w:contextualSpacing/>
              <w:jc w:val="center"/>
            </w:pPr>
            <w:r>
              <w:t>Sulfur</w:t>
            </w:r>
          </w:p>
        </w:tc>
        <w:tc>
          <w:tcPr>
            <w:tcW w:w="0" w:type="auto"/>
          </w:tcPr>
          <w:p w14:paraId="23B74701" w14:textId="77777777" w:rsidR="00C21A36" w:rsidRDefault="00C21A36" w:rsidP="00103CC5">
            <w:pPr>
              <w:contextualSpacing/>
              <w:jc w:val="center"/>
            </w:pPr>
            <w:r>
              <w:t>Calcium</w:t>
            </w:r>
          </w:p>
        </w:tc>
        <w:tc>
          <w:tcPr>
            <w:tcW w:w="0" w:type="auto"/>
          </w:tcPr>
          <w:p w14:paraId="492BC0F0" w14:textId="77777777" w:rsidR="00C21A36" w:rsidRDefault="00C21A36" w:rsidP="00103CC5">
            <w:pPr>
              <w:contextualSpacing/>
              <w:jc w:val="center"/>
            </w:pPr>
            <w:r>
              <w:t>Magnesium</w:t>
            </w:r>
          </w:p>
        </w:tc>
        <w:tc>
          <w:tcPr>
            <w:tcW w:w="0" w:type="auto"/>
          </w:tcPr>
          <w:p w14:paraId="2E958D48" w14:textId="77777777" w:rsidR="00C21A36" w:rsidRDefault="00C21A36" w:rsidP="00103CC5">
            <w:pPr>
              <w:contextualSpacing/>
              <w:jc w:val="center"/>
            </w:pPr>
            <w:r>
              <w:t>Potassium</w:t>
            </w:r>
          </w:p>
        </w:tc>
        <w:tc>
          <w:tcPr>
            <w:tcW w:w="0" w:type="auto"/>
          </w:tcPr>
          <w:p w14:paraId="3A59D1AF" w14:textId="77777777" w:rsidR="00C21A36" w:rsidRDefault="00C21A36" w:rsidP="00103CC5">
            <w:pPr>
              <w:contextualSpacing/>
              <w:jc w:val="center"/>
            </w:pPr>
            <w:r>
              <w:t>Sodium</w:t>
            </w:r>
          </w:p>
        </w:tc>
        <w:tc>
          <w:tcPr>
            <w:tcW w:w="892" w:type="dxa"/>
          </w:tcPr>
          <w:p w14:paraId="22CDE7D7" w14:textId="77777777" w:rsidR="00C21A36" w:rsidRDefault="00C21A36" w:rsidP="00103CC5">
            <w:pPr>
              <w:contextualSpacing/>
              <w:jc w:val="center"/>
            </w:pPr>
            <w:r>
              <w:t>Boron</w:t>
            </w:r>
          </w:p>
        </w:tc>
        <w:tc>
          <w:tcPr>
            <w:tcW w:w="720" w:type="dxa"/>
          </w:tcPr>
          <w:p w14:paraId="5043DE99" w14:textId="77777777" w:rsidR="00C21A36" w:rsidRDefault="00C21A36" w:rsidP="00103CC5">
            <w:pPr>
              <w:contextualSpacing/>
              <w:jc w:val="center"/>
            </w:pPr>
            <w:r>
              <w:t>Iron</w:t>
            </w:r>
          </w:p>
        </w:tc>
        <w:tc>
          <w:tcPr>
            <w:tcW w:w="1336" w:type="dxa"/>
          </w:tcPr>
          <w:p w14:paraId="56BF75F6" w14:textId="77777777" w:rsidR="00C21A36" w:rsidRDefault="00C21A36" w:rsidP="00103CC5">
            <w:pPr>
              <w:contextualSpacing/>
              <w:jc w:val="center"/>
            </w:pPr>
            <w:r>
              <w:t>Manganese</w:t>
            </w:r>
          </w:p>
        </w:tc>
        <w:tc>
          <w:tcPr>
            <w:tcW w:w="923" w:type="dxa"/>
          </w:tcPr>
          <w:p w14:paraId="0A1D4B2B" w14:textId="77777777" w:rsidR="00C21A36" w:rsidRDefault="00C21A36" w:rsidP="00103CC5">
            <w:pPr>
              <w:contextualSpacing/>
              <w:jc w:val="center"/>
            </w:pPr>
            <w:r>
              <w:t>Copper</w:t>
            </w:r>
          </w:p>
        </w:tc>
        <w:tc>
          <w:tcPr>
            <w:tcW w:w="983" w:type="dxa"/>
          </w:tcPr>
          <w:p w14:paraId="20D95A35" w14:textId="77777777" w:rsidR="00C21A36" w:rsidRDefault="00C21A36" w:rsidP="00103CC5">
            <w:pPr>
              <w:contextualSpacing/>
              <w:jc w:val="center"/>
            </w:pPr>
            <w:r>
              <w:t>Zinc</w:t>
            </w:r>
          </w:p>
        </w:tc>
        <w:tc>
          <w:tcPr>
            <w:tcW w:w="1348" w:type="dxa"/>
          </w:tcPr>
          <w:p w14:paraId="4D6675D3" w14:textId="77777777" w:rsidR="00C21A36" w:rsidRDefault="00C21A36" w:rsidP="00103CC5">
            <w:pPr>
              <w:contextualSpacing/>
              <w:jc w:val="center"/>
            </w:pPr>
            <w:r>
              <w:t>Aluminum</w:t>
            </w:r>
          </w:p>
        </w:tc>
      </w:tr>
      <w:tr w:rsidR="00C21A36" w14:paraId="79637C7F" w14:textId="77777777" w:rsidTr="00C724CA">
        <w:tc>
          <w:tcPr>
            <w:tcW w:w="1396" w:type="dxa"/>
          </w:tcPr>
          <w:p w14:paraId="49E15D53" w14:textId="77777777" w:rsidR="00C21A36" w:rsidRDefault="00C21A36" w:rsidP="00103CC5">
            <w:pPr>
              <w:contextualSpacing/>
              <w:jc w:val="both"/>
            </w:pPr>
          </w:p>
        </w:tc>
        <w:tc>
          <w:tcPr>
            <w:tcW w:w="11564" w:type="dxa"/>
            <w:gridSpan w:val="11"/>
          </w:tcPr>
          <w:p w14:paraId="65C60966" w14:textId="77777777" w:rsidR="00C21A36" w:rsidRDefault="00C21A36" w:rsidP="00103CC5">
            <w:pPr>
              <w:contextualSpacing/>
              <w:jc w:val="center"/>
            </w:pPr>
            <w:r>
              <w:rPr>
                <w:vertAlign w:val="superscript"/>
              </w:rPr>
              <w:t xml:space="preserve">______________________________________________________ </w:t>
            </w:r>
            <w:r w:rsidRPr="00CD4C48">
              <w:t>ppm</w:t>
            </w:r>
            <w:r>
              <w:rPr>
                <w:vertAlign w:val="superscript"/>
              </w:rPr>
              <w:t xml:space="preserve"> _________________________________________________________________</w:t>
            </w:r>
          </w:p>
        </w:tc>
      </w:tr>
      <w:tr w:rsidR="00C724CA" w14:paraId="5D549650" w14:textId="77777777" w:rsidTr="00C724CA">
        <w:tc>
          <w:tcPr>
            <w:tcW w:w="1396" w:type="dxa"/>
          </w:tcPr>
          <w:p w14:paraId="78AC0A4C" w14:textId="77777777" w:rsidR="00C21A36" w:rsidRDefault="00C21A36" w:rsidP="00103CC5">
            <w:pPr>
              <w:contextualSpacing/>
              <w:jc w:val="both"/>
            </w:pPr>
            <w:r>
              <w:t>Clay Loam</w:t>
            </w:r>
          </w:p>
        </w:tc>
        <w:tc>
          <w:tcPr>
            <w:tcW w:w="816" w:type="dxa"/>
          </w:tcPr>
          <w:p w14:paraId="7B13F0AE" w14:textId="77777777" w:rsidR="00C21A36" w:rsidRDefault="00C21A36" w:rsidP="00103CC5">
            <w:pPr>
              <w:contextualSpacing/>
              <w:jc w:val="center"/>
            </w:pPr>
            <w:r>
              <w:t>9</w:t>
            </w:r>
          </w:p>
        </w:tc>
        <w:tc>
          <w:tcPr>
            <w:tcW w:w="0" w:type="auto"/>
          </w:tcPr>
          <w:p w14:paraId="470532C7" w14:textId="77777777" w:rsidR="00C21A36" w:rsidRDefault="00C21A36" w:rsidP="00103CC5">
            <w:pPr>
              <w:contextualSpacing/>
              <w:jc w:val="center"/>
            </w:pPr>
            <w:r>
              <w:t>708</w:t>
            </w:r>
          </w:p>
        </w:tc>
        <w:tc>
          <w:tcPr>
            <w:tcW w:w="0" w:type="auto"/>
          </w:tcPr>
          <w:p w14:paraId="2D79E7F7" w14:textId="77777777" w:rsidR="00C21A36" w:rsidRDefault="00C21A36" w:rsidP="00103CC5">
            <w:pPr>
              <w:contextualSpacing/>
              <w:jc w:val="center"/>
            </w:pPr>
            <w:r>
              <w:t>107</w:t>
            </w:r>
          </w:p>
        </w:tc>
        <w:tc>
          <w:tcPr>
            <w:tcW w:w="0" w:type="auto"/>
          </w:tcPr>
          <w:p w14:paraId="38C4C93F" w14:textId="77777777" w:rsidR="00C21A36" w:rsidRDefault="00C21A36" w:rsidP="00103CC5">
            <w:pPr>
              <w:contextualSpacing/>
              <w:jc w:val="center"/>
            </w:pPr>
            <w:r>
              <w:t>87</w:t>
            </w:r>
          </w:p>
        </w:tc>
        <w:tc>
          <w:tcPr>
            <w:tcW w:w="0" w:type="auto"/>
          </w:tcPr>
          <w:p w14:paraId="7069398B" w14:textId="77777777" w:rsidR="00C21A36" w:rsidRDefault="00C21A36" w:rsidP="00103CC5">
            <w:pPr>
              <w:contextualSpacing/>
              <w:jc w:val="center"/>
            </w:pPr>
            <w:r>
              <w:t>10</w:t>
            </w:r>
          </w:p>
        </w:tc>
        <w:tc>
          <w:tcPr>
            <w:tcW w:w="892" w:type="dxa"/>
          </w:tcPr>
          <w:p w14:paraId="0FD18A87" w14:textId="77777777" w:rsidR="00C21A36" w:rsidRDefault="00C21A36" w:rsidP="00103CC5">
            <w:pPr>
              <w:contextualSpacing/>
              <w:jc w:val="center"/>
            </w:pPr>
            <w:r>
              <w:t>0.24</w:t>
            </w:r>
          </w:p>
        </w:tc>
        <w:tc>
          <w:tcPr>
            <w:tcW w:w="720" w:type="dxa"/>
          </w:tcPr>
          <w:p w14:paraId="74BC0846" w14:textId="77777777" w:rsidR="00C21A36" w:rsidRDefault="00C21A36" w:rsidP="00103CC5">
            <w:pPr>
              <w:contextualSpacing/>
              <w:jc w:val="center"/>
            </w:pPr>
            <w:r>
              <w:t>94</w:t>
            </w:r>
          </w:p>
        </w:tc>
        <w:tc>
          <w:tcPr>
            <w:tcW w:w="1336" w:type="dxa"/>
          </w:tcPr>
          <w:p w14:paraId="6C965E36" w14:textId="77777777" w:rsidR="00C21A36" w:rsidRDefault="00C21A36" w:rsidP="00103CC5">
            <w:pPr>
              <w:contextualSpacing/>
              <w:jc w:val="center"/>
            </w:pPr>
            <w:r>
              <w:t>185</w:t>
            </w:r>
          </w:p>
        </w:tc>
        <w:tc>
          <w:tcPr>
            <w:tcW w:w="923" w:type="dxa"/>
          </w:tcPr>
          <w:p w14:paraId="5FA93653" w14:textId="77777777" w:rsidR="00C21A36" w:rsidRDefault="00C21A36" w:rsidP="00103CC5">
            <w:pPr>
              <w:contextualSpacing/>
              <w:jc w:val="center"/>
            </w:pPr>
            <w:r>
              <w:t>0.48</w:t>
            </w:r>
          </w:p>
        </w:tc>
        <w:tc>
          <w:tcPr>
            <w:tcW w:w="983" w:type="dxa"/>
          </w:tcPr>
          <w:p w14:paraId="7995FFF7" w14:textId="77777777" w:rsidR="00C21A36" w:rsidRDefault="00C21A36" w:rsidP="00103CC5">
            <w:pPr>
              <w:contextualSpacing/>
              <w:jc w:val="center"/>
            </w:pPr>
            <w:r>
              <w:t>1.40</w:t>
            </w:r>
          </w:p>
        </w:tc>
        <w:tc>
          <w:tcPr>
            <w:tcW w:w="1348" w:type="dxa"/>
          </w:tcPr>
          <w:p w14:paraId="0A89A391" w14:textId="77777777" w:rsidR="00C21A36" w:rsidRPr="002F7EE8" w:rsidRDefault="00C21A36" w:rsidP="00103CC5">
            <w:pPr>
              <w:contextualSpacing/>
              <w:jc w:val="center"/>
            </w:pPr>
            <w:r>
              <w:t>749</w:t>
            </w:r>
          </w:p>
        </w:tc>
      </w:tr>
      <w:tr w:rsidR="00C724CA" w14:paraId="2115B684" w14:textId="77777777" w:rsidTr="00C724CA">
        <w:tc>
          <w:tcPr>
            <w:tcW w:w="1396" w:type="dxa"/>
          </w:tcPr>
          <w:p w14:paraId="11177473" w14:textId="77777777" w:rsidR="00C21A36" w:rsidRDefault="00C21A36" w:rsidP="00103CC5">
            <w:pPr>
              <w:contextualSpacing/>
              <w:jc w:val="both"/>
            </w:pPr>
            <w:r>
              <w:t>Sand</w:t>
            </w:r>
          </w:p>
        </w:tc>
        <w:tc>
          <w:tcPr>
            <w:tcW w:w="816" w:type="dxa"/>
          </w:tcPr>
          <w:p w14:paraId="4BDB1D25" w14:textId="77777777" w:rsidR="00C21A36" w:rsidRDefault="00C21A36" w:rsidP="00103CC5">
            <w:pPr>
              <w:contextualSpacing/>
              <w:jc w:val="center"/>
            </w:pPr>
            <w:r>
              <w:t>6</w:t>
            </w:r>
          </w:p>
        </w:tc>
        <w:tc>
          <w:tcPr>
            <w:tcW w:w="0" w:type="auto"/>
          </w:tcPr>
          <w:p w14:paraId="2FF9E537" w14:textId="77777777" w:rsidR="00C21A36" w:rsidRDefault="00C21A36" w:rsidP="00103CC5">
            <w:pPr>
              <w:contextualSpacing/>
              <w:jc w:val="center"/>
            </w:pPr>
            <w:r>
              <w:t>104</w:t>
            </w:r>
          </w:p>
        </w:tc>
        <w:tc>
          <w:tcPr>
            <w:tcW w:w="0" w:type="auto"/>
          </w:tcPr>
          <w:p w14:paraId="20DB417B" w14:textId="77777777" w:rsidR="00C21A36" w:rsidRDefault="00C21A36" w:rsidP="00103CC5">
            <w:pPr>
              <w:contextualSpacing/>
              <w:jc w:val="center"/>
            </w:pPr>
            <w:r>
              <w:t>16</w:t>
            </w:r>
          </w:p>
        </w:tc>
        <w:tc>
          <w:tcPr>
            <w:tcW w:w="0" w:type="auto"/>
          </w:tcPr>
          <w:p w14:paraId="166BBEA3" w14:textId="77777777" w:rsidR="00C21A36" w:rsidRDefault="00C21A36" w:rsidP="00103CC5">
            <w:pPr>
              <w:contextualSpacing/>
              <w:jc w:val="center"/>
            </w:pPr>
            <w:r>
              <w:t>6</w:t>
            </w:r>
          </w:p>
        </w:tc>
        <w:tc>
          <w:tcPr>
            <w:tcW w:w="0" w:type="auto"/>
          </w:tcPr>
          <w:p w14:paraId="3E7D3A79" w14:textId="77777777" w:rsidR="00C21A36" w:rsidRDefault="00C21A36" w:rsidP="00103CC5">
            <w:pPr>
              <w:contextualSpacing/>
              <w:jc w:val="center"/>
            </w:pPr>
            <w:r>
              <w:t>9</w:t>
            </w:r>
          </w:p>
        </w:tc>
        <w:tc>
          <w:tcPr>
            <w:tcW w:w="892" w:type="dxa"/>
          </w:tcPr>
          <w:p w14:paraId="653903D4" w14:textId="77777777" w:rsidR="00C21A36" w:rsidRDefault="00C21A36" w:rsidP="00103CC5">
            <w:pPr>
              <w:contextualSpacing/>
              <w:jc w:val="center"/>
            </w:pPr>
            <w:r>
              <w:t>0.43</w:t>
            </w:r>
          </w:p>
        </w:tc>
        <w:tc>
          <w:tcPr>
            <w:tcW w:w="720" w:type="dxa"/>
          </w:tcPr>
          <w:p w14:paraId="5754CDFB" w14:textId="77777777" w:rsidR="00C21A36" w:rsidRDefault="00C21A36" w:rsidP="00103CC5">
            <w:pPr>
              <w:contextualSpacing/>
              <w:jc w:val="center"/>
            </w:pPr>
            <w:r>
              <w:t>82</w:t>
            </w:r>
          </w:p>
        </w:tc>
        <w:tc>
          <w:tcPr>
            <w:tcW w:w="1336" w:type="dxa"/>
          </w:tcPr>
          <w:p w14:paraId="6B6EFA96" w14:textId="77777777" w:rsidR="00C21A36" w:rsidRDefault="00C21A36" w:rsidP="00103CC5">
            <w:pPr>
              <w:contextualSpacing/>
              <w:jc w:val="center"/>
            </w:pPr>
            <w:r>
              <w:t>3</w:t>
            </w:r>
          </w:p>
        </w:tc>
        <w:tc>
          <w:tcPr>
            <w:tcW w:w="923" w:type="dxa"/>
          </w:tcPr>
          <w:p w14:paraId="1B90359E" w14:textId="77777777" w:rsidR="00C21A36" w:rsidRDefault="00C21A36" w:rsidP="00103CC5">
            <w:pPr>
              <w:contextualSpacing/>
              <w:jc w:val="center"/>
            </w:pPr>
            <w:r>
              <w:t>&lt; 0.2</w:t>
            </w:r>
          </w:p>
        </w:tc>
        <w:tc>
          <w:tcPr>
            <w:tcW w:w="983" w:type="dxa"/>
          </w:tcPr>
          <w:p w14:paraId="0665C23F" w14:textId="77777777" w:rsidR="00C21A36" w:rsidRDefault="00C21A36" w:rsidP="00103CC5">
            <w:pPr>
              <w:contextualSpacing/>
              <w:jc w:val="center"/>
            </w:pPr>
            <w:r>
              <w:t>&lt; 0.4</w:t>
            </w:r>
          </w:p>
        </w:tc>
        <w:tc>
          <w:tcPr>
            <w:tcW w:w="1348" w:type="dxa"/>
          </w:tcPr>
          <w:p w14:paraId="08D9A82F" w14:textId="77777777" w:rsidR="00C21A36" w:rsidRDefault="00C21A36" w:rsidP="00103CC5">
            <w:pPr>
              <w:contextualSpacing/>
              <w:jc w:val="center"/>
            </w:pPr>
            <w:r>
              <w:t>37</w:t>
            </w:r>
          </w:p>
        </w:tc>
      </w:tr>
    </w:tbl>
    <w:p w14:paraId="2BAA19D9" w14:textId="77777777" w:rsidR="00C21A36" w:rsidRDefault="00C21A36" w:rsidP="00783FF5">
      <w:pPr>
        <w:pStyle w:val="Caption"/>
        <w:jc w:val="both"/>
      </w:pPr>
    </w:p>
    <w:p w14:paraId="38313AD5" w14:textId="77777777" w:rsidR="00C21A36" w:rsidRDefault="00C21A36">
      <w:pPr>
        <w:rPr>
          <w:b/>
          <w:bCs/>
        </w:rPr>
      </w:pPr>
      <w:r>
        <w:br w:type="page"/>
      </w:r>
    </w:p>
    <w:p w14:paraId="18732937" w14:textId="77777777" w:rsidR="00C21A36" w:rsidRDefault="00C21A36" w:rsidP="00783FF5">
      <w:pPr>
        <w:pStyle w:val="Caption"/>
        <w:jc w:val="both"/>
        <w:sectPr w:rsidR="00C21A36" w:rsidSect="00C21A36">
          <w:pgSz w:w="15840" w:h="12240" w:orient="landscape"/>
          <w:pgMar w:top="1440" w:right="1440" w:bottom="1440" w:left="1440" w:header="720" w:footer="720" w:gutter="0"/>
          <w:cols w:space="720"/>
          <w:docGrid w:linePitch="360"/>
        </w:sectPr>
      </w:pPr>
    </w:p>
    <w:p w14:paraId="5285327E" w14:textId="77777777" w:rsidR="00C7209F" w:rsidRPr="00DF61B3" w:rsidRDefault="00C7209F" w:rsidP="00C7209F">
      <w:pPr>
        <w:spacing w:line="480" w:lineRule="auto"/>
        <w:contextualSpacing/>
        <w:rPr>
          <w:color w:val="000000" w:themeColor="text1"/>
        </w:rPr>
      </w:pPr>
      <w:r>
        <w:rPr>
          <w:noProof/>
        </w:rPr>
        <w:lastRenderedPageBreak/>
        <w:drawing>
          <wp:inline distT="0" distB="0" distL="0" distR="0" wp14:anchorId="1986EE3C" wp14:editId="686E43F8">
            <wp:extent cx="5943600" cy="2113915"/>
            <wp:effectExtent l="0" t="0" r="0" b="0"/>
            <wp:docPr id="479599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9958" name="Picture 47959958"/>
                    <pic:cNvPicPr/>
                  </pic:nvPicPr>
                  <pic:blipFill>
                    <a:blip r:embed="rId32"/>
                    <a:stretch>
                      <a:fillRect/>
                    </a:stretch>
                  </pic:blipFill>
                  <pic:spPr>
                    <a:xfrm>
                      <a:off x="0" y="0"/>
                      <a:ext cx="5943600" cy="2113915"/>
                    </a:xfrm>
                    <a:prstGeom prst="rect">
                      <a:avLst/>
                    </a:prstGeom>
                  </pic:spPr>
                </pic:pic>
              </a:graphicData>
            </a:graphic>
          </wp:inline>
        </w:drawing>
      </w:r>
    </w:p>
    <w:p w14:paraId="5AEEE2FD" w14:textId="58D920DF" w:rsidR="00C7209F" w:rsidRPr="00C409B0" w:rsidRDefault="00C409B0" w:rsidP="00C7209F">
      <w:pPr>
        <w:pStyle w:val="Caption"/>
      </w:pPr>
      <w:bookmarkStart w:id="96" w:name="_Toc192779574"/>
      <w:bookmarkStart w:id="97" w:name="_Toc192868773"/>
      <w:r>
        <w:t>Figure 2</w:t>
      </w:r>
      <w:r w:rsidR="00E32A6E">
        <w:t>.</w:t>
      </w:r>
      <w:fldSimple w:instr=" SEQ Figure \* ARABIC \s 1 ">
        <w:r w:rsidR="00E32A6E">
          <w:rPr>
            <w:noProof/>
          </w:rPr>
          <w:t>2</w:t>
        </w:r>
      </w:fldSimple>
      <w:r>
        <w:t xml:space="preserve">. </w:t>
      </w:r>
      <w:r w:rsidR="00C7209F" w:rsidRPr="00DF61B3">
        <w:rPr>
          <w:b w:val="0"/>
          <w:bCs w:val="0"/>
          <w:i/>
          <w:iCs/>
        </w:rPr>
        <w:t>Poa annua</w:t>
      </w:r>
      <w:r w:rsidR="00C7209F" w:rsidRPr="00DF61B3">
        <w:rPr>
          <w:b w:val="0"/>
          <w:bCs w:val="0"/>
        </w:rPr>
        <w:t xml:space="preserve"> control (A) and aboveground biomass (B) response to increasing doses of </w:t>
      </w:r>
      <w:proofErr w:type="spellStart"/>
      <w:r w:rsidR="00C7209F" w:rsidRPr="00DF61B3">
        <w:rPr>
          <w:b w:val="0"/>
          <w:bCs w:val="0"/>
        </w:rPr>
        <w:t>tetflupyrolimet</w:t>
      </w:r>
      <w:proofErr w:type="spellEnd"/>
      <w:r w:rsidR="00C7209F" w:rsidRPr="00DF61B3">
        <w:rPr>
          <w:b w:val="0"/>
          <w:bCs w:val="0"/>
        </w:rPr>
        <w:t xml:space="preserve"> </w:t>
      </w:r>
      <w:r w:rsidR="00C7209F" w:rsidRPr="00DF61B3">
        <w:rPr>
          <w:b w:val="0"/>
          <w:bCs w:val="0"/>
          <w:color w:val="000000"/>
        </w:rPr>
        <w:t>(</w:t>
      </w:r>
      <w:proofErr w:type="spellStart"/>
      <w:r w:rsidR="00C7209F" w:rsidRPr="00DF61B3">
        <w:rPr>
          <w:b w:val="0"/>
          <w:bCs w:val="0"/>
          <w:color w:val="000000"/>
        </w:rPr>
        <w:t>Dodhylex</w:t>
      </w:r>
      <w:proofErr w:type="spellEnd"/>
      <w:r w:rsidR="00C7209F" w:rsidRPr="00DF61B3">
        <w:rPr>
          <w:b w:val="0"/>
          <w:bCs w:val="0"/>
          <w:color w:val="000000"/>
        </w:rPr>
        <w:t xml:space="preserve">™ Active, FMC Corporation, Philadelphia, PA) applied preemergence to herbicide susceptible </w:t>
      </w:r>
      <w:r w:rsidR="00C7209F" w:rsidRPr="00DF61B3">
        <w:rPr>
          <w:b w:val="0"/>
          <w:bCs w:val="0"/>
          <w:i/>
          <w:iCs/>
          <w:color w:val="000000"/>
        </w:rPr>
        <w:t>Poa annua</w:t>
      </w:r>
      <w:r w:rsidR="00C7209F" w:rsidRPr="00DF61B3">
        <w:rPr>
          <w:b w:val="0"/>
          <w:bCs w:val="0"/>
          <w:color w:val="000000"/>
        </w:rPr>
        <w:t xml:space="preserve"> planted in a sand that conformed to United States Golf Association specifications, as well as a clay loam soil native to Knoxville, TN. Edaphic factors for each soil type are presented in Table </w:t>
      </w:r>
      <w:r w:rsidR="002C2627">
        <w:rPr>
          <w:b w:val="0"/>
          <w:bCs w:val="0"/>
          <w:color w:val="000000"/>
        </w:rPr>
        <w:t>2.</w:t>
      </w:r>
      <w:r w:rsidR="00C7209F" w:rsidRPr="00DF61B3">
        <w:rPr>
          <w:b w:val="0"/>
          <w:bCs w:val="0"/>
          <w:color w:val="000000"/>
        </w:rPr>
        <w:t>1.</w:t>
      </w:r>
      <w:r w:rsidR="0091421D">
        <w:rPr>
          <w:b w:val="0"/>
          <w:bCs w:val="0"/>
          <w:color w:val="000000"/>
        </w:rPr>
        <w:t xml:space="preserve"> </w:t>
      </w:r>
      <w:r w:rsidR="0091421D" w:rsidRPr="0091421D">
        <w:rPr>
          <w:b w:val="0"/>
          <w:bCs w:val="0"/>
          <w:color w:val="000000"/>
        </w:rPr>
        <w:t>Data pooled from two experimental runs conducted in a glasshouse in 2023.</w:t>
      </w:r>
      <w:r w:rsidR="00C7209F" w:rsidRPr="00DF61B3">
        <w:rPr>
          <w:b w:val="0"/>
          <w:bCs w:val="0"/>
          <w:color w:val="000000"/>
        </w:rPr>
        <w:t xml:space="preserve"> Bars represent standard error of each mean.</w:t>
      </w:r>
      <w:bookmarkEnd w:id="96"/>
      <w:bookmarkEnd w:id="97"/>
    </w:p>
    <w:p w14:paraId="3A71BF2C" w14:textId="77777777" w:rsidR="00C7209F" w:rsidRDefault="00C7209F">
      <w:pPr>
        <w:rPr>
          <w:b/>
          <w:bCs/>
        </w:rPr>
      </w:pPr>
      <w:r>
        <w:br w:type="page"/>
      </w:r>
    </w:p>
    <w:p w14:paraId="1AEF2942" w14:textId="55E59357" w:rsidR="00881036" w:rsidRPr="00783FF5" w:rsidRDefault="003A42B8" w:rsidP="000C799B">
      <w:pPr>
        <w:pStyle w:val="Caption"/>
      </w:pPr>
      <w:bookmarkStart w:id="98" w:name="_Toc192779575"/>
      <w:bookmarkStart w:id="99" w:name="_Toc192846045"/>
      <w:r>
        <w:lastRenderedPageBreak/>
        <w:t xml:space="preserve">Table </w:t>
      </w:r>
      <w:r w:rsidR="002D24D9">
        <w:t>2</w:t>
      </w:r>
      <w:r w:rsidR="00980623">
        <w:t>.</w:t>
      </w:r>
      <w:fldSimple w:instr=" SEQ Table \* ARABIC \s 1 ">
        <w:r w:rsidR="00980623">
          <w:rPr>
            <w:noProof/>
          </w:rPr>
          <w:t>3</w:t>
        </w:r>
      </w:fldSimple>
      <w:r>
        <w:t xml:space="preserve">. </w:t>
      </w:r>
      <w:r w:rsidR="00881036" w:rsidRPr="00783FF5">
        <w:rPr>
          <w:b w:val="0"/>
          <w:bCs w:val="0"/>
        </w:rPr>
        <w:t xml:space="preserve">Conditions inside glasshouses during dose response experiments evaluating efficacy </w:t>
      </w:r>
      <w:proofErr w:type="gramStart"/>
      <w:r w:rsidR="00881036" w:rsidRPr="00783FF5">
        <w:rPr>
          <w:b w:val="0"/>
          <w:bCs w:val="0"/>
        </w:rPr>
        <w:t xml:space="preserve">of  </w:t>
      </w:r>
      <w:proofErr w:type="spellStart"/>
      <w:r w:rsidR="00881036" w:rsidRPr="00783FF5">
        <w:rPr>
          <w:b w:val="0"/>
          <w:bCs w:val="0"/>
        </w:rPr>
        <w:t>tetflupyrolimet</w:t>
      </w:r>
      <w:proofErr w:type="spellEnd"/>
      <w:proofErr w:type="gramEnd"/>
      <w:r w:rsidR="00881036" w:rsidRPr="00783FF5">
        <w:rPr>
          <w:b w:val="0"/>
          <w:bCs w:val="0"/>
        </w:rPr>
        <w:t xml:space="preserve"> (</w:t>
      </w:r>
      <w:proofErr w:type="spellStart"/>
      <w:r w:rsidR="00881036" w:rsidRPr="00783FF5">
        <w:rPr>
          <w:b w:val="0"/>
          <w:bCs w:val="0"/>
        </w:rPr>
        <w:t>Dodhylex</w:t>
      </w:r>
      <w:proofErr w:type="spellEnd"/>
      <w:r w:rsidR="00881036" w:rsidRPr="00783FF5">
        <w:rPr>
          <w:b w:val="0"/>
          <w:bCs w:val="0"/>
        </w:rPr>
        <w:t xml:space="preserve">™ Active) for preemergence control of herbicide-susceptible </w:t>
      </w:r>
      <w:r w:rsidR="00881036" w:rsidRPr="00783FF5">
        <w:rPr>
          <w:b w:val="0"/>
          <w:bCs w:val="0"/>
          <w:i/>
          <w:iCs/>
        </w:rPr>
        <w:t>Poa annua</w:t>
      </w:r>
      <w:r w:rsidR="00881036" w:rsidRPr="00783FF5">
        <w:rPr>
          <w:b w:val="0"/>
          <w:bCs w:val="0"/>
        </w:rPr>
        <w:t xml:space="preserve"> L. in two soil types. Experiments conducted in Knoxville, TN (35.94 N, -83.93 W) during spring 2023.</w:t>
      </w:r>
      <w:bookmarkEnd w:id="98"/>
      <w:bookmarkEnd w:id="99"/>
    </w:p>
    <w:p w14:paraId="640E8CC9" w14:textId="77777777" w:rsidR="00881036" w:rsidRPr="0040364B" w:rsidRDefault="00881036" w:rsidP="00881036">
      <w:pPr>
        <w:contextualSpacing/>
        <w:rPr>
          <w:b/>
          <w:bCs/>
          <w:color w:val="000000"/>
        </w:rPr>
      </w:pPr>
    </w:p>
    <w:tbl>
      <w:tblPr>
        <w:tblStyle w:val="TableGrid"/>
        <w:tblW w:w="9895" w:type="dxa"/>
        <w:tblLook w:val="04A0" w:firstRow="1" w:lastRow="0" w:firstColumn="1" w:lastColumn="0" w:noHBand="0" w:noVBand="1"/>
      </w:tblPr>
      <w:tblGrid>
        <w:gridCol w:w="5035"/>
        <w:gridCol w:w="2430"/>
        <w:gridCol w:w="2430"/>
      </w:tblGrid>
      <w:tr w:rsidR="00881036" w:rsidRPr="0040364B" w14:paraId="71B1FBD7" w14:textId="77777777" w:rsidTr="00103CC5">
        <w:trPr>
          <w:trHeight w:val="711"/>
        </w:trPr>
        <w:tc>
          <w:tcPr>
            <w:tcW w:w="5035" w:type="dxa"/>
          </w:tcPr>
          <w:p w14:paraId="1D3BE39F" w14:textId="77777777" w:rsidR="00881036" w:rsidRPr="0040364B" w:rsidRDefault="00881036" w:rsidP="00103CC5">
            <w:pPr>
              <w:contextualSpacing/>
              <w:rPr>
                <w:b/>
                <w:bCs/>
              </w:rPr>
            </w:pPr>
          </w:p>
        </w:tc>
        <w:tc>
          <w:tcPr>
            <w:tcW w:w="2430" w:type="dxa"/>
          </w:tcPr>
          <w:p w14:paraId="1D98141E" w14:textId="77777777" w:rsidR="00881036" w:rsidRPr="0040364B" w:rsidRDefault="00881036" w:rsidP="00103CC5">
            <w:pPr>
              <w:contextualSpacing/>
              <w:jc w:val="center"/>
            </w:pPr>
            <w:r w:rsidRPr="0040364B">
              <w:t>Experimental Run 1</w:t>
            </w:r>
          </w:p>
        </w:tc>
        <w:tc>
          <w:tcPr>
            <w:tcW w:w="2430" w:type="dxa"/>
          </w:tcPr>
          <w:p w14:paraId="6E489611" w14:textId="77777777" w:rsidR="00881036" w:rsidRPr="0040364B" w:rsidRDefault="00881036" w:rsidP="00103CC5">
            <w:pPr>
              <w:contextualSpacing/>
              <w:jc w:val="center"/>
            </w:pPr>
            <w:r w:rsidRPr="0040364B">
              <w:t>Experimental Run 2</w:t>
            </w:r>
          </w:p>
        </w:tc>
      </w:tr>
      <w:tr w:rsidR="00881036" w:rsidRPr="0040364B" w14:paraId="152B5367" w14:textId="77777777" w:rsidTr="00103CC5">
        <w:trPr>
          <w:trHeight w:val="711"/>
        </w:trPr>
        <w:tc>
          <w:tcPr>
            <w:tcW w:w="5035" w:type="dxa"/>
            <w:hideMark/>
          </w:tcPr>
          <w:p w14:paraId="54175613" w14:textId="77777777" w:rsidR="00881036" w:rsidRPr="0040364B" w:rsidRDefault="00881036" w:rsidP="00103CC5">
            <w:pPr>
              <w:contextualSpacing/>
            </w:pPr>
            <w:proofErr w:type="spellStart"/>
            <w:r w:rsidRPr="0040364B">
              <w:t>Irrigation</w:t>
            </w:r>
            <w:r>
              <w:rPr>
                <w:vertAlign w:val="superscript"/>
              </w:rPr>
              <w:t>z</w:t>
            </w:r>
            <w:proofErr w:type="spellEnd"/>
            <w:r w:rsidRPr="0040364B">
              <w:t xml:space="preserve"> (cm day </w:t>
            </w:r>
            <w:r w:rsidRPr="0040364B">
              <w:rPr>
                <w:vertAlign w:val="superscript"/>
              </w:rPr>
              <w:t>-1</w:t>
            </w:r>
            <w:r w:rsidRPr="0040364B">
              <w:t>)</w:t>
            </w:r>
          </w:p>
        </w:tc>
        <w:tc>
          <w:tcPr>
            <w:tcW w:w="2430" w:type="dxa"/>
            <w:hideMark/>
          </w:tcPr>
          <w:p w14:paraId="1E4DF131" w14:textId="77777777" w:rsidR="00881036" w:rsidRPr="0040364B" w:rsidRDefault="00881036" w:rsidP="00103CC5">
            <w:pPr>
              <w:contextualSpacing/>
              <w:jc w:val="center"/>
            </w:pPr>
            <w:r w:rsidRPr="0040364B">
              <w:t>0.43</w:t>
            </w:r>
          </w:p>
        </w:tc>
        <w:tc>
          <w:tcPr>
            <w:tcW w:w="2430" w:type="dxa"/>
            <w:hideMark/>
          </w:tcPr>
          <w:p w14:paraId="2F2AB9EC" w14:textId="77777777" w:rsidR="00881036" w:rsidRPr="0040364B" w:rsidRDefault="00881036" w:rsidP="00103CC5">
            <w:pPr>
              <w:contextualSpacing/>
              <w:jc w:val="center"/>
            </w:pPr>
            <w:r w:rsidRPr="0040364B">
              <w:t>0.58</w:t>
            </w:r>
          </w:p>
        </w:tc>
      </w:tr>
      <w:tr w:rsidR="00881036" w:rsidRPr="0040364B" w14:paraId="523C6BBA" w14:textId="77777777" w:rsidTr="00103CC5">
        <w:trPr>
          <w:trHeight w:val="711"/>
        </w:trPr>
        <w:tc>
          <w:tcPr>
            <w:tcW w:w="5035" w:type="dxa"/>
            <w:hideMark/>
          </w:tcPr>
          <w:p w14:paraId="3A2B4087" w14:textId="77777777" w:rsidR="00881036" w:rsidRPr="0040364B" w:rsidRDefault="00881036" w:rsidP="00103CC5">
            <w:pPr>
              <w:contextualSpacing/>
            </w:pPr>
            <w:proofErr w:type="spellStart"/>
            <w:r w:rsidRPr="0040364B">
              <w:t>Temperature</w:t>
            </w:r>
            <w:r>
              <w:rPr>
                <w:vertAlign w:val="superscript"/>
              </w:rPr>
              <w:t>y</w:t>
            </w:r>
            <w:proofErr w:type="spellEnd"/>
            <w:r w:rsidRPr="0040364B">
              <w:t xml:space="preserve"> (˚C)</w:t>
            </w:r>
          </w:p>
        </w:tc>
        <w:tc>
          <w:tcPr>
            <w:tcW w:w="2430" w:type="dxa"/>
            <w:hideMark/>
          </w:tcPr>
          <w:p w14:paraId="28575808" w14:textId="77777777" w:rsidR="00881036" w:rsidRPr="0040364B" w:rsidRDefault="00881036" w:rsidP="00103CC5">
            <w:pPr>
              <w:contextualSpacing/>
              <w:jc w:val="center"/>
            </w:pPr>
            <w:r w:rsidRPr="0040364B">
              <w:t>22.6</w:t>
            </w:r>
          </w:p>
        </w:tc>
        <w:tc>
          <w:tcPr>
            <w:tcW w:w="2430" w:type="dxa"/>
            <w:hideMark/>
          </w:tcPr>
          <w:p w14:paraId="39D8EE58" w14:textId="77777777" w:rsidR="00881036" w:rsidRPr="0040364B" w:rsidRDefault="00881036" w:rsidP="00103CC5">
            <w:pPr>
              <w:contextualSpacing/>
              <w:jc w:val="center"/>
            </w:pPr>
            <w:r w:rsidRPr="0040364B">
              <w:t>23.6</w:t>
            </w:r>
          </w:p>
        </w:tc>
      </w:tr>
      <w:tr w:rsidR="00881036" w:rsidRPr="0040364B" w14:paraId="742658AC" w14:textId="77777777" w:rsidTr="00103CC5">
        <w:trPr>
          <w:trHeight w:val="711"/>
        </w:trPr>
        <w:tc>
          <w:tcPr>
            <w:tcW w:w="5035" w:type="dxa"/>
            <w:hideMark/>
          </w:tcPr>
          <w:p w14:paraId="72FD9C87" w14:textId="77777777" w:rsidR="00881036" w:rsidRPr="0040364B" w:rsidRDefault="00881036" w:rsidP="00103CC5">
            <w:pPr>
              <w:contextualSpacing/>
            </w:pPr>
            <w:r>
              <w:t xml:space="preserve">Photosynthetically active </w:t>
            </w:r>
            <w:proofErr w:type="spellStart"/>
            <w:r>
              <w:t>radiation</w:t>
            </w:r>
            <w:r>
              <w:rPr>
                <w:vertAlign w:val="superscript"/>
              </w:rPr>
              <w:t>x</w:t>
            </w:r>
            <w:proofErr w:type="spellEnd"/>
            <w:r w:rsidRPr="0040364B">
              <w:t xml:space="preserve"> (µmol m</w:t>
            </w:r>
            <w:r w:rsidRPr="0040364B">
              <w:rPr>
                <w:vertAlign w:val="superscript"/>
              </w:rPr>
              <w:t>-2</w:t>
            </w:r>
            <w:r w:rsidRPr="0040364B">
              <w:t xml:space="preserve"> s</w:t>
            </w:r>
            <w:r w:rsidRPr="0040364B">
              <w:rPr>
                <w:vertAlign w:val="superscript"/>
              </w:rPr>
              <w:t>-1</w:t>
            </w:r>
            <w:r w:rsidRPr="0040364B">
              <w:t>)</w:t>
            </w:r>
          </w:p>
        </w:tc>
        <w:tc>
          <w:tcPr>
            <w:tcW w:w="2430" w:type="dxa"/>
            <w:hideMark/>
          </w:tcPr>
          <w:p w14:paraId="066ADEB5" w14:textId="77777777" w:rsidR="00881036" w:rsidRPr="0040364B" w:rsidRDefault="00881036" w:rsidP="00103CC5">
            <w:pPr>
              <w:contextualSpacing/>
              <w:jc w:val="center"/>
            </w:pPr>
            <w:r w:rsidRPr="0040364B">
              <w:t>495</w:t>
            </w:r>
          </w:p>
        </w:tc>
        <w:tc>
          <w:tcPr>
            <w:tcW w:w="2430" w:type="dxa"/>
            <w:hideMark/>
          </w:tcPr>
          <w:p w14:paraId="4CEE7C60" w14:textId="77777777" w:rsidR="00881036" w:rsidRPr="0040364B" w:rsidRDefault="00881036" w:rsidP="00103CC5">
            <w:pPr>
              <w:contextualSpacing/>
              <w:jc w:val="center"/>
            </w:pPr>
            <w:r w:rsidRPr="0040364B">
              <w:t>716</w:t>
            </w:r>
          </w:p>
        </w:tc>
      </w:tr>
    </w:tbl>
    <w:p w14:paraId="7E24AA9A" w14:textId="77777777" w:rsidR="00881036" w:rsidRPr="0053050F" w:rsidRDefault="00881036" w:rsidP="00881036">
      <w:pPr>
        <w:rPr>
          <w:color w:val="000000" w:themeColor="text1"/>
        </w:rPr>
      </w:pPr>
      <w:r w:rsidRPr="0040364B">
        <w:rPr>
          <w:color w:val="000000" w:themeColor="text1"/>
          <w:vertAlign w:val="superscript"/>
        </w:rPr>
        <w:t xml:space="preserve">z </w:t>
      </w:r>
      <w:r>
        <w:rPr>
          <w:color w:val="000000" w:themeColor="text1"/>
        </w:rPr>
        <w:t xml:space="preserve">Irrigation delivered </w:t>
      </w:r>
      <w:r>
        <w:t>via misting heads (</w:t>
      </w:r>
      <w:r w:rsidRPr="006263C6">
        <w:t>Ein Dor Mini-Sprinklers</w:t>
      </w:r>
      <w:r>
        <w:t xml:space="preserve">, </w:t>
      </w:r>
      <w:proofErr w:type="spellStart"/>
      <w:r>
        <w:t>Tavlit</w:t>
      </w:r>
      <w:proofErr w:type="spellEnd"/>
      <w:r>
        <w:t xml:space="preserve"> Plastic Ltd., Yavne, Israel) connected to a timer (</w:t>
      </w:r>
      <w:proofErr w:type="spellStart"/>
      <w:r>
        <w:t>Galcon</w:t>
      </w:r>
      <w:proofErr w:type="spellEnd"/>
      <w:r>
        <w:t xml:space="preserve"> 8056AC-6S Timer. </w:t>
      </w:r>
      <w:proofErr w:type="spellStart"/>
      <w:r w:rsidRPr="00005E84">
        <w:t>Galcon</w:t>
      </w:r>
      <w:proofErr w:type="spellEnd"/>
      <w:r w:rsidRPr="00005E84">
        <w:t xml:space="preserve"> USA, LTD., San Rafael, CA, USA)</w:t>
      </w:r>
    </w:p>
    <w:p w14:paraId="5FB1DA58" w14:textId="77777777" w:rsidR="00881036" w:rsidRPr="0053050F" w:rsidRDefault="00881036" w:rsidP="00881036">
      <w:pPr>
        <w:rPr>
          <w:color w:val="000000" w:themeColor="text1"/>
        </w:rPr>
      </w:pPr>
      <w:r w:rsidRPr="0040364B">
        <w:rPr>
          <w:color w:val="000000" w:themeColor="text1"/>
          <w:vertAlign w:val="superscript"/>
        </w:rPr>
        <w:t>y</w:t>
      </w:r>
      <w:r w:rsidRPr="0040364B">
        <w:rPr>
          <w:color w:val="000000" w:themeColor="text1"/>
        </w:rPr>
        <w:t xml:space="preserve"> </w:t>
      </w:r>
      <w:r>
        <w:rPr>
          <w:color w:val="000000" w:themeColor="text1"/>
        </w:rPr>
        <w:t xml:space="preserve">Measurements made </w:t>
      </w:r>
      <w:r w:rsidRPr="00553897">
        <w:t>using greenhouse control sensors (PRIVA, Ontario, CA)</w:t>
      </w:r>
    </w:p>
    <w:p w14:paraId="143E0F97" w14:textId="16F5BC23" w:rsidR="00881036" w:rsidRPr="00AF6B1F" w:rsidRDefault="00881036" w:rsidP="00AF6B1F">
      <w:pPr>
        <w:rPr>
          <w:color w:val="000000" w:themeColor="text1"/>
        </w:rPr>
        <w:sectPr w:rsidR="00881036" w:rsidRPr="00AF6B1F" w:rsidSect="00C21A36">
          <w:pgSz w:w="12240" w:h="15840"/>
          <w:pgMar w:top="1440" w:right="1440" w:bottom="1440" w:left="1440" w:header="720" w:footer="720" w:gutter="0"/>
          <w:cols w:space="720"/>
          <w:docGrid w:linePitch="360"/>
        </w:sectPr>
      </w:pPr>
      <w:r w:rsidRPr="0040364B">
        <w:rPr>
          <w:color w:val="000000" w:themeColor="text1"/>
          <w:vertAlign w:val="superscript"/>
        </w:rPr>
        <w:t xml:space="preserve">x </w:t>
      </w:r>
      <w:r>
        <w:rPr>
          <w:color w:val="000000" w:themeColor="text1"/>
        </w:rPr>
        <w:t xml:space="preserve">Data is the daily average collected using a </w:t>
      </w:r>
      <w:r>
        <w:t>quantum sensor (SQ-500</w:t>
      </w:r>
      <w:r w:rsidRPr="00553897">
        <w:t xml:space="preserve"> Full-Spectrum Quantum Sensor</w:t>
      </w:r>
      <w:r>
        <w:t>.</w:t>
      </w:r>
      <w:r w:rsidRPr="00553897">
        <w:t xml:space="preserve"> Apogee Instruments, Logan, UT, USA)</w:t>
      </w:r>
    </w:p>
    <w:p w14:paraId="2BE8DA97" w14:textId="77777777" w:rsidR="00881036" w:rsidRDefault="00881036" w:rsidP="00881036">
      <w:pPr>
        <w:contextualSpacing/>
        <w:jc w:val="both"/>
        <w:sectPr w:rsidR="00881036" w:rsidSect="00881036">
          <w:type w:val="continuous"/>
          <w:pgSz w:w="12240" w:h="15840"/>
          <w:pgMar w:top="1440" w:right="1440" w:bottom="1440" w:left="1440" w:header="720" w:footer="720" w:gutter="0"/>
          <w:cols w:space="720"/>
          <w:docGrid w:linePitch="360"/>
        </w:sectPr>
      </w:pPr>
    </w:p>
    <w:p w14:paraId="1F169851" w14:textId="69578E0E" w:rsidR="00881036" w:rsidRPr="0068325E" w:rsidRDefault="00585C4C" w:rsidP="000C799B">
      <w:pPr>
        <w:pStyle w:val="Caption"/>
      </w:pPr>
      <w:bookmarkStart w:id="100" w:name="_Toc192779576"/>
      <w:bookmarkStart w:id="101" w:name="_Toc192846046"/>
      <w:r>
        <w:lastRenderedPageBreak/>
        <w:t>Table 2</w:t>
      </w:r>
      <w:r w:rsidR="00980623">
        <w:t>.</w:t>
      </w:r>
      <w:fldSimple w:instr=" SEQ Table \* ARABIC \s 1 ">
        <w:r w:rsidR="00980623">
          <w:rPr>
            <w:noProof/>
          </w:rPr>
          <w:t>4</w:t>
        </w:r>
      </w:fldSimple>
      <w:r>
        <w:t xml:space="preserve">. </w:t>
      </w:r>
      <w:r w:rsidR="00881036" w:rsidRPr="0068325E">
        <w:rPr>
          <w:b w:val="0"/>
          <w:bCs w:val="0"/>
        </w:rPr>
        <w:t xml:space="preserve">Rate of </w:t>
      </w:r>
      <w:proofErr w:type="spellStart"/>
      <w:r w:rsidR="00881036" w:rsidRPr="0068325E">
        <w:rPr>
          <w:b w:val="0"/>
          <w:bCs w:val="0"/>
        </w:rPr>
        <w:t>tetflupyrolimet</w:t>
      </w:r>
      <w:proofErr w:type="spellEnd"/>
      <w:r w:rsidR="00881036" w:rsidRPr="0068325E">
        <w:rPr>
          <w:b w:val="0"/>
          <w:bCs w:val="0"/>
        </w:rPr>
        <w:t xml:space="preserve"> (</w:t>
      </w:r>
      <w:proofErr w:type="spellStart"/>
      <w:r w:rsidR="00881036" w:rsidRPr="0068325E">
        <w:rPr>
          <w:b w:val="0"/>
          <w:bCs w:val="0"/>
        </w:rPr>
        <w:t>Dodhylex</w:t>
      </w:r>
      <w:proofErr w:type="spellEnd"/>
      <w:r w:rsidR="00881036" w:rsidRPr="0068325E">
        <w:rPr>
          <w:b w:val="0"/>
          <w:bCs w:val="0"/>
        </w:rPr>
        <w:sym w:font="Symbol" w:char="F0D4"/>
      </w:r>
      <w:r w:rsidR="00881036" w:rsidRPr="0068325E">
        <w:rPr>
          <w:b w:val="0"/>
          <w:bCs w:val="0"/>
        </w:rPr>
        <w:t xml:space="preserve"> Active. FMC Corporation. Philadelphia, PA) to achieve 90% </w:t>
      </w:r>
      <w:r w:rsidR="00881036" w:rsidRPr="0068325E">
        <w:rPr>
          <w:b w:val="0"/>
          <w:bCs w:val="0"/>
          <w:i/>
          <w:iCs/>
        </w:rPr>
        <w:t>Poa annua</w:t>
      </w:r>
      <w:r w:rsidR="00881036" w:rsidRPr="0068325E">
        <w:rPr>
          <w:b w:val="0"/>
          <w:bCs w:val="0"/>
        </w:rPr>
        <w:t xml:space="preserve"> control or 90% reductions in </w:t>
      </w:r>
      <w:r w:rsidR="00881036" w:rsidRPr="0068325E">
        <w:rPr>
          <w:b w:val="0"/>
          <w:bCs w:val="0"/>
          <w:i/>
          <w:iCs/>
        </w:rPr>
        <w:t xml:space="preserve">Poa annua </w:t>
      </w:r>
      <w:r w:rsidR="00881036" w:rsidRPr="0068325E">
        <w:rPr>
          <w:b w:val="0"/>
          <w:bCs w:val="0"/>
        </w:rPr>
        <w:t>biomass (EC</w:t>
      </w:r>
      <w:r w:rsidR="00881036" w:rsidRPr="0068325E">
        <w:rPr>
          <w:b w:val="0"/>
          <w:bCs w:val="0"/>
          <w:vertAlign w:val="subscript"/>
        </w:rPr>
        <w:t>90</w:t>
      </w:r>
      <w:r w:rsidR="00881036" w:rsidRPr="0068325E">
        <w:rPr>
          <w:b w:val="0"/>
          <w:bCs w:val="0"/>
        </w:rPr>
        <w:t>) in glasshouse experiments conducted in Knoxville, TN (35.94 N, -83.93 W) during spring 2023.</w:t>
      </w:r>
      <w:bookmarkEnd w:id="100"/>
      <w:bookmarkEnd w:id="101"/>
    </w:p>
    <w:p w14:paraId="40DE1D83" w14:textId="77777777" w:rsidR="00881036" w:rsidRDefault="00881036" w:rsidP="00881036">
      <w:pPr>
        <w:contextualSpacing/>
        <w:jc w:val="both"/>
      </w:pPr>
    </w:p>
    <w:tbl>
      <w:tblPr>
        <w:tblStyle w:val="TableGrid"/>
        <w:tblW w:w="0" w:type="auto"/>
        <w:jc w:val="center"/>
        <w:tblLook w:val="04A0" w:firstRow="1" w:lastRow="0" w:firstColumn="1" w:lastColumn="0" w:noHBand="0" w:noVBand="1"/>
      </w:tblPr>
      <w:tblGrid>
        <w:gridCol w:w="2245"/>
        <w:gridCol w:w="1776"/>
        <w:gridCol w:w="1776"/>
        <w:gridCol w:w="1776"/>
        <w:gridCol w:w="1777"/>
      </w:tblGrid>
      <w:tr w:rsidR="00881036" w14:paraId="7281773D" w14:textId="77777777" w:rsidTr="00103CC5">
        <w:trPr>
          <w:jc w:val="center"/>
        </w:trPr>
        <w:tc>
          <w:tcPr>
            <w:tcW w:w="2245" w:type="dxa"/>
          </w:tcPr>
          <w:p w14:paraId="241F0C60" w14:textId="77777777" w:rsidR="00881036" w:rsidRPr="004872FB" w:rsidRDefault="00881036" w:rsidP="00103CC5">
            <w:pPr>
              <w:contextualSpacing/>
              <w:jc w:val="center"/>
            </w:pPr>
          </w:p>
        </w:tc>
        <w:tc>
          <w:tcPr>
            <w:tcW w:w="3552" w:type="dxa"/>
            <w:gridSpan w:val="2"/>
            <w:vAlign w:val="center"/>
          </w:tcPr>
          <w:p w14:paraId="562A73EC" w14:textId="77777777" w:rsidR="00881036" w:rsidRPr="004872FB" w:rsidRDefault="00881036" w:rsidP="00103CC5">
            <w:pPr>
              <w:pStyle w:val="NormalWeb"/>
              <w:spacing w:before="0" w:beforeAutospacing="0" w:after="0" w:afterAutospacing="0"/>
              <w:jc w:val="center"/>
            </w:pPr>
            <w:r w:rsidRPr="004872FB">
              <w:rPr>
                <w:color w:val="000000" w:themeColor="text1"/>
                <w:kern w:val="24"/>
              </w:rPr>
              <w:t>Sand</w:t>
            </w:r>
          </w:p>
        </w:tc>
        <w:tc>
          <w:tcPr>
            <w:tcW w:w="3553" w:type="dxa"/>
            <w:gridSpan w:val="2"/>
            <w:vAlign w:val="center"/>
          </w:tcPr>
          <w:p w14:paraId="35AE15A7" w14:textId="77777777" w:rsidR="00881036" w:rsidRPr="004872FB" w:rsidRDefault="00881036" w:rsidP="00103CC5">
            <w:pPr>
              <w:pStyle w:val="NormalWeb"/>
              <w:spacing w:before="0" w:beforeAutospacing="0" w:after="0" w:afterAutospacing="0"/>
              <w:jc w:val="center"/>
            </w:pPr>
            <w:r w:rsidRPr="004872FB">
              <w:rPr>
                <w:color w:val="000000" w:themeColor="text1"/>
                <w:kern w:val="24"/>
              </w:rPr>
              <w:t>Clay loam</w:t>
            </w:r>
          </w:p>
        </w:tc>
      </w:tr>
      <w:tr w:rsidR="00881036" w14:paraId="21C66C91" w14:textId="77777777" w:rsidTr="00103CC5">
        <w:trPr>
          <w:jc w:val="center"/>
        </w:trPr>
        <w:tc>
          <w:tcPr>
            <w:tcW w:w="2245" w:type="dxa"/>
          </w:tcPr>
          <w:p w14:paraId="6BC85B9D" w14:textId="77777777" w:rsidR="00881036" w:rsidRPr="004872FB" w:rsidRDefault="00881036" w:rsidP="00103CC5">
            <w:pPr>
              <w:contextualSpacing/>
              <w:jc w:val="center"/>
              <w:rPr>
                <w:color w:val="000000" w:themeColor="text1"/>
                <w:kern w:val="24"/>
              </w:rPr>
            </w:pPr>
          </w:p>
        </w:tc>
        <w:tc>
          <w:tcPr>
            <w:tcW w:w="1776" w:type="dxa"/>
            <w:vAlign w:val="center"/>
          </w:tcPr>
          <w:p w14:paraId="006F8B01" w14:textId="77777777" w:rsidR="00881036" w:rsidRPr="004872FB" w:rsidRDefault="00881036" w:rsidP="00103CC5">
            <w:pPr>
              <w:contextualSpacing/>
              <w:jc w:val="center"/>
              <w:rPr>
                <w:color w:val="000000" w:themeColor="dark1"/>
                <w:kern w:val="24"/>
              </w:rPr>
            </w:pPr>
            <w:r w:rsidRPr="004872FB">
              <w:rPr>
                <w:color w:val="000000" w:themeColor="dark1"/>
                <w:kern w:val="24"/>
              </w:rPr>
              <w:t>Control (%)</w:t>
            </w:r>
          </w:p>
        </w:tc>
        <w:tc>
          <w:tcPr>
            <w:tcW w:w="1776" w:type="dxa"/>
            <w:vAlign w:val="center"/>
          </w:tcPr>
          <w:p w14:paraId="5234474E" w14:textId="77777777" w:rsidR="00881036" w:rsidRPr="004872FB" w:rsidRDefault="00881036" w:rsidP="00103CC5">
            <w:pPr>
              <w:contextualSpacing/>
              <w:jc w:val="center"/>
              <w:rPr>
                <w:color w:val="000000" w:themeColor="dark1"/>
                <w:kern w:val="24"/>
              </w:rPr>
            </w:pPr>
            <w:r w:rsidRPr="004872FB">
              <w:rPr>
                <w:color w:val="000000" w:themeColor="dark1"/>
                <w:kern w:val="24"/>
              </w:rPr>
              <w:t xml:space="preserve">Biomass </w:t>
            </w:r>
            <w:r>
              <w:rPr>
                <w:color w:val="000000" w:themeColor="dark1"/>
                <w:kern w:val="24"/>
              </w:rPr>
              <w:t xml:space="preserve">Reduction </w:t>
            </w:r>
            <w:r w:rsidRPr="004872FB">
              <w:rPr>
                <w:color w:val="000000" w:themeColor="dark1"/>
                <w:kern w:val="24"/>
              </w:rPr>
              <w:t>(%)</w:t>
            </w:r>
          </w:p>
        </w:tc>
        <w:tc>
          <w:tcPr>
            <w:tcW w:w="1776" w:type="dxa"/>
            <w:vAlign w:val="center"/>
          </w:tcPr>
          <w:p w14:paraId="3AA0600B" w14:textId="77777777" w:rsidR="00881036" w:rsidRPr="004872FB" w:rsidRDefault="00881036" w:rsidP="00103CC5">
            <w:pPr>
              <w:contextualSpacing/>
              <w:jc w:val="center"/>
              <w:rPr>
                <w:color w:val="000000" w:themeColor="dark1"/>
                <w:kern w:val="24"/>
              </w:rPr>
            </w:pPr>
            <w:r w:rsidRPr="004872FB">
              <w:rPr>
                <w:color w:val="000000" w:themeColor="dark1"/>
                <w:kern w:val="24"/>
              </w:rPr>
              <w:t>Control (%)</w:t>
            </w:r>
          </w:p>
        </w:tc>
        <w:tc>
          <w:tcPr>
            <w:tcW w:w="1777" w:type="dxa"/>
            <w:vAlign w:val="center"/>
          </w:tcPr>
          <w:p w14:paraId="359149BB" w14:textId="77777777" w:rsidR="00881036" w:rsidRPr="004872FB" w:rsidRDefault="00881036" w:rsidP="00103CC5">
            <w:pPr>
              <w:contextualSpacing/>
              <w:jc w:val="center"/>
              <w:rPr>
                <w:color w:val="000000" w:themeColor="dark1"/>
                <w:kern w:val="24"/>
              </w:rPr>
            </w:pPr>
            <w:r w:rsidRPr="004872FB">
              <w:rPr>
                <w:color w:val="000000" w:themeColor="dark1"/>
                <w:kern w:val="24"/>
              </w:rPr>
              <w:t>Biomass</w:t>
            </w:r>
            <w:r>
              <w:rPr>
                <w:color w:val="000000" w:themeColor="dark1"/>
                <w:kern w:val="24"/>
              </w:rPr>
              <w:t xml:space="preserve"> Reduction</w:t>
            </w:r>
            <w:r w:rsidRPr="004872FB">
              <w:rPr>
                <w:color w:val="000000" w:themeColor="dark1"/>
                <w:kern w:val="24"/>
              </w:rPr>
              <w:t xml:space="preserve"> (%)</w:t>
            </w:r>
          </w:p>
        </w:tc>
      </w:tr>
      <w:tr w:rsidR="00881036" w14:paraId="4D5FCFA5" w14:textId="77777777" w:rsidTr="00103CC5">
        <w:trPr>
          <w:jc w:val="center"/>
        </w:trPr>
        <w:tc>
          <w:tcPr>
            <w:tcW w:w="2245" w:type="dxa"/>
          </w:tcPr>
          <w:p w14:paraId="543FC427" w14:textId="77777777" w:rsidR="00881036" w:rsidRPr="004872FB" w:rsidRDefault="00881036" w:rsidP="00103CC5">
            <w:pPr>
              <w:contextualSpacing/>
              <w:jc w:val="center"/>
            </w:pPr>
            <w:r w:rsidRPr="004872FB">
              <w:rPr>
                <w:color w:val="000000" w:themeColor="text1"/>
                <w:kern w:val="24"/>
              </w:rPr>
              <w:t>EC</w:t>
            </w:r>
            <w:r w:rsidRPr="004872FB">
              <w:rPr>
                <w:color w:val="000000" w:themeColor="text1"/>
                <w:kern w:val="24"/>
                <w:vertAlign w:val="subscript"/>
              </w:rPr>
              <w:t>90</w:t>
            </w:r>
            <w:r w:rsidRPr="004872FB">
              <w:rPr>
                <w:color w:val="000000" w:themeColor="text1"/>
                <w:kern w:val="24"/>
              </w:rPr>
              <w:t xml:space="preserve"> (g ha</w:t>
            </w:r>
            <w:r w:rsidRPr="004872FB">
              <w:rPr>
                <w:color w:val="000000" w:themeColor="text1"/>
                <w:kern w:val="24"/>
                <w:vertAlign w:val="superscript"/>
              </w:rPr>
              <w:t>-1</w:t>
            </w:r>
            <w:r w:rsidRPr="004872FB">
              <w:rPr>
                <w:color w:val="000000" w:themeColor="text1"/>
                <w:kern w:val="24"/>
              </w:rPr>
              <w:t>)</w:t>
            </w:r>
          </w:p>
        </w:tc>
        <w:tc>
          <w:tcPr>
            <w:tcW w:w="1776" w:type="dxa"/>
            <w:vAlign w:val="center"/>
          </w:tcPr>
          <w:p w14:paraId="2D54DEF7" w14:textId="77777777" w:rsidR="00881036" w:rsidRPr="004872FB" w:rsidRDefault="00881036" w:rsidP="00103CC5">
            <w:pPr>
              <w:contextualSpacing/>
              <w:jc w:val="center"/>
            </w:pPr>
            <w:r w:rsidRPr="004872FB">
              <w:rPr>
                <w:color w:val="000000" w:themeColor="dark1"/>
                <w:kern w:val="24"/>
              </w:rPr>
              <w:t>3</w:t>
            </w:r>
            <w:r>
              <w:rPr>
                <w:color w:val="000000" w:themeColor="dark1"/>
                <w:kern w:val="24"/>
              </w:rPr>
              <w:t>8</w:t>
            </w:r>
          </w:p>
        </w:tc>
        <w:tc>
          <w:tcPr>
            <w:tcW w:w="1776" w:type="dxa"/>
            <w:vAlign w:val="center"/>
          </w:tcPr>
          <w:p w14:paraId="2BFA788E" w14:textId="77777777" w:rsidR="00881036" w:rsidRPr="004872FB" w:rsidRDefault="00881036" w:rsidP="00103CC5">
            <w:pPr>
              <w:contextualSpacing/>
              <w:jc w:val="center"/>
            </w:pPr>
            <w:r w:rsidRPr="004872FB">
              <w:t>30</w:t>
            </w:r>
          </w:p>
        </w:tc>
        <w:tc>
          <w:tcPr>
            <w:tcW w:w="1776" w:type="dxa"/>
            <w:vAlign w:val="center"/>
          </w:tcPr>
          <w:p w14:paraId="42EFBCB9" w14:textId="77777777" w:rsidR="00881036" w:rsidRPr="004872FB" w:rsidRDefault="00881036" w:rsidP="00103CC5">
            <w:pPr>
              <w:contextualSpacing/>
              <w:jc w:val="center"/>
            </w:pPr>
            <w:r w:rsidRPr="004872FB">
              <w:rPr>
                <w:color w:val="000000" w:themeColor="dark1"/>
                <w:kern w:val="24"/>
              </w:rPr>
              <w:t>23</w:t>
            </w:r>
            <w:r>
              <w:rPr>
                <w:color w:val="000000" w:themeColor="dark1"/>
                <w:kern w:val="24"/>
              </w:rPr>
              <w:t>1</w:t>
            </w:r>
          </w:p>
        </w:tc>
        <w:tc>
          <w:tcPr>
            <w:tcW w:w="1777" w:type="dxa"/>
            <w:vAlign w:val="center"/>
          </w:tcPr>
          <w:p w14:paraId="0227D695" w14:textId="77777777" w:rsidR="00881036" w:rsidRPr="004872FB" w:rsidRDefault="00881036" w:rsidP="00103CC5">
            <w:pPr>
              <w:contextualSpacing/>
              <w:jc w:val="center"/>
            </w:pPr>
            <w:r>
              <w:t>237</w:t>
            </w:r>
          </w:p>
        </w:tc>
      </w:tr>
      <w:tr w:rsidR="00881036" w14:paraId="06478941" w14:textId="77777777" w:rsidTr="00103CC5">
        <w:trPr>
          <w:jc w:val="center"/>
        </w:trPr>
        <w:tc>
          <w:tcPr>
            <w:tcW w:w="2245" w:type="dxa"/>
          </w:tcPr>
          <w:p w14:paraId="6FADCBA7" w14:textId="77777777" w:rsidR="00881036" w:rsidRPr="004872FB" w:rsidRDefault="00881036" w:rsidP="00103CC5">
            <w:pPr>
              <w:contextualSpacing/>
              <w:jc w:val="center"/>
              <w:rPr>
                <w:color w:val="000000" w:themeColor="text1"/>
                <w:kern w:val="24"/>
              </w:rPr>
            </w:pPr>
            <w:r w:rsidRPr="004872FB">
              <w:rPr>
                <w:color w:val="000000" w:themeColor="text1"/>
                <w:kern w:val="24"/>
              </w:rPr>
              <w:t>Confidence Interval</w:t>
            </w:r>
            <w:r>
              <w:rPr>
                <w:color w:val="000000" w:themeColor="text1"/>
                <w:kern w:val="24"/>
              </w:rPr>
              <w:t xml:space="preserve"> (95%)</w:t>
            </w:r>
          </w:p>
        </w:tc>
        <w:tc>
          <w:tcPr>
            <w:tcW w:w="1776" w:type="dxa"/>
            <w:vAlign w:val="center"/>
          </w:tcPr>
          <w:p w14:paraId="796AA6EC" w14:textId="77777777" w:rsidR="00881036" w:rsidRPr="004872FB" w:rsidRDefault="00881036" w:rsidP="00103CC5">
            <w:pPr>
              <w:contextualSpacing/>
              <w:jc w:val="center"/>
              <w:rPr>
                <w:color w:val="000000" w:themeColor="dark1"/>
                <w:kern w:val="24"/>
              </w:rPr>
            </w:pPr>
            <w:r>
              <w:rPr>
                <w:color w:val="000000" w:themeColor="dark1"/>
                <w:kern w:val="24"/>
              </w:rPr>
              <w:t xml:space="preserve">~ </w:t>
            </w:r>
            <w:r w:rsidRPr="004872FB">
              <w:rPr>
                <w:color w:val="000000" w:themeColor="dark1"/>
                <w:kern w:val="24"/>
              </w:rPr>
              <w:t>to 47</w:t>
            </w:r>
          </w:p>
        </w:tc>
        <w:tc>
          <w:tcPr>
            <w:tcW w:w="1776" w:type="dxa"/>
            <w:vAlign w:val="center"/>
          </w:tcPr>
          <w:p w14:paraId="0B92A319" w14:textId="77777777" w:rsidR="00881036" w:rsidRPr="004872FB" w:rsidRDefault="00881036" w:rsidP="00103CC5">
            <w:pPr>
              <w:contextualSpacing/>
              <w:jc w:val="center"/>
            </w:pPr>
            <w:r>
              <w:t>~ to 33</w:t>
            </w:r>
          </w:p>
        </w:tc>
        <w:tc>
          <w:tcPr>
            <w:tcW w:w="1776" w:type="dxa"/>
            <w:vAlign w:val="center"/>
          </w:tcPr>
          <w:p w14:paraId="1387B733" w14:textId="77777777" w:rsidR="00881036" w:rsidRPr="004872FB" w:rsidRDefault="00881036" w:rsidP="00103CC5">
            <w:pPr>
              <w:contextualSpacing/>
              <w:jc w:val="center"/>
              <w:rPr>
                <w:color w:val="000000" w:themeColor="dark1"/>
                <w:kern w:val="24"/>
              </w:rPr>
            </w:pPr>
            <w:r w:rsidRPr="004872FB">
              <w:rPr>
                <w:color w:val="000000" w:themeColor="dark1"/>
                <w:kern w:val="24"/>
              </w:rPr>
              <w:t>175 to 317</w:t>
            </w:r>
          </w:p>
        </w:tc>
        <w:tc>
          <w:tcPr>
            <w:tcW w:w="1777" w:type="dxa"/>
            <w:vAlign w:val="center"/>
          </w:tcPr>
          <w:p w14:paraId="588BCD15" w14:textId="77777777" w:rsidR="00881036" w:rsidRPr="004872FB" w:rsidRDefault="00881036" w:rsidP="00103CC5">
            <w:pPr>
              <w:jc w:val="center"/>
            </w:pPr>
            <w:r w:rsidRPr="004872FB">
              <w:t>15</w:t>
            </w:r>
            <w:r>
              <w:t>7</w:t>
            </w:r>
            <w:r w:rsidRPr="004872FB">
              <w:t> to 38</w:t>
            </w:r>
            <w:r>
              <w:t>3</w:t>
            </w:r>
          </w:p>
        </w:tc>
      </w:tr>
      <w:tr w:rsidR="00881036" w14:paraId="2B44B7D6" w14:textId="77777777" w:rsidTr="00103CC5">
        <w:trPr>
          <w:jc w:val="center"/>
        </w:trPr>
        <w:tc>
          <w:tcPr>
            <w:tcW w:w="2245" w:type="dxa"/>
          </w:tcPr>
          <w:p w14:paraId="0169484D" w14:textId="77777777" w:rsidR="00881036" w:rsidRPr="004872FB" w:rsidRDefault="00881036" w:rsidP="00103CC5">
            <w:pPr>
              <w:contextualSpacing/>
              <w:jc w:val="center"/>
              <w:rPr>
                <w:vertAlign w:val="superscript"/>
              </w:rPr>
            </w:pPr>
            <w:r w:rsidRPr="004872FB">
              <w:rPr>
                <w:color w:val="000000" w:themeColor="text1"/>
                <w:kern w:val="24"/>
              </w:rPr>
              <w:t>R</w:t>
            </w:r>
            <w:r w:rsidRPr="004872FB">
              <w:rPr>
                <w:color w:val="000000" w:themeColor="text1"/>
                <w:kern w:val="24"/>
                <w:vertAlign w:val="superscript"/>
              </w:rPr>
              <w:t>2</w:t>
            </w:r>
          </w:p>
        </w:tc>
        <w:tc>
          <w:tcPr>
            <w:tcW w:w="1776" w:type="dxa"/>
            <w:vAlign w:val="center"/>
          </w:tcPr>
          <w:p w14:paraId="3F07629A" w14:textId="77777777" w:rsidR="00881036" w:rsidRPr="004872FB" w:rsidRDefault="00881036" w:rsidP="00103CC5">
            <w:pPr>
              <w:contextualSpacing/>
              <w:jc w:val="center"/>
            </w:pPr>
            <w:r w:rsidRPr="004872FB">
              <w:rPr>
                <w:color w:val="000000" w:themeColor="dark1"/>
                <w:kern w:val="24"/>
              </w:rPr>
              <w:t>0.92</w:t>
            </w:r>
          </w:p>
        </w:tc>
        <w:tc>
          <w:tcPr>
            <w:tcW w:w="1776" w:type="dxa"/>
            <w:vAlign w:val="center"/>
          </w:tcPr>
          <w:p w14:paraId="195E835E" w14:textId="77777777" w:rsidR="00881036" w:rsidRPr="004872FB" w:rsidRDefault="00881036" w:rsidP="00103CC5">
            <w:pPr>
              <w:contextualSpacing/>
              <w:jc w:val="center"/>
            </w:pPr>
            <w:r>
              <w:t>0.99</w:t>
            </w:r>
          </w:p>
        </w:tc>
        <w:tc>
          <w:tcPr>
            <w:tcW w:w="1776" w:type="dxa"/>
            <w:vAlign w:val="center"/>
          </w:tcPr>
          <w:p w14:paraId="59E26EC9" w14:textId="77777777" w:rsidR="00881036" w:rsidRPr="004872FB" w:rsidRDefault="00881036" w:rsidP="00103CC5">
            <w:pPr>
              <w:contextualSpacing/>
              <w:jc w:val="center"/>
            </w:pPr>
            <w:r w:rsidRPr="004872FB">
              <w:rPr>
                <w:color w:val="000000" w:themeColor="dark1"/>
                <w:kern w:val="24"/>
              </w:rPr>
              <w:t>0.86</w:t>
            </w:r>
          </w:p>
        </w:tc>
        <w:tc>
          <w:tcPr>
            <w:tcW w:w="1777" w:type="dxa"/>
            <w:vAlign w:val="center"/>
          </w:tcPr>
          <w:p w14:paraId="5EC0F35A" w14:textId="77777777" w:rsidR="00881036" w:rsidRPr="004872FB" w:rsidRDefault="00881036" w:rsidP="00103CC5">
            <w:pPr>
              <w:contextualSpacing/>
              <w:jc w:val="center"/>
            </w:pPr>
            <w:r>
              <w:t>0.77</w:t>
            </w:r>
          </w:p>
        </w:tc>
      </w:tr>
    </w:tbl>
    <w:p w14:paraId="064D550D" w14:textId="77777777" w:rsidR="00881036" w:rsidRDefault="00881036" w:rsidP="00881036">
      <w:pPr>
        <w:contextualSpacing/>
        <w:jc w:val="both"/>
      </w:pPr>
    </w:p>
    <w:p w14:paraId="5FC49210" w14:textId="77777777" w:rsidR="00881036" w:rsidRDefault="00881036" w:rsidP="00881036">
      <w:pPr>
        <w:contextualSpacing/>
        <w:jc w:val="both"/>
      </w:pPr>
    </w:p>
    <w:p w14:paraId="539DDBFD" w14:textId="31E7393D" w:rsidR="00881036" w:rsidRPr="00C7209F" w:rsidRDefault="00881036" w:rsidP="00881036">
      <w:pPr>
        <w:rPr>
          <w:color w:val="000000" w:themeColor="text1"/>
        </w:rPr>
      </w:pPr>
      <w:r w:rsidRPr="00F9404A">
        <w:br w:type="page"/>
      </w:r>
    </w:p>
    <w:p w14:paraId="6A0D6C13" w14:textId="6A8297F2" w:rsidR="00881036" w:rsidRPr="009F7044" w:rsidRDefault="009A6A54" w:rsidP="00881036">
      <w:pPr>
        <w:spacing w:line="480" w:lineRule="auto"/>
        <w:contextualSpacing/>
      </w:pPr>
      <w:r>
        <w:rPr>
          <w:noProof/>
        </w:rPr>
        <w:lastRenderedPageBreak/>
        <w:drawing>
          <wp:inline distT="0" distB="0" distL="0" distR="0" wp14:anchorId="67F85F2F" wp14:editId="311AC19E">
            <wp:extent cx="5943600" cy="3992245"/>
            <wp:effectExtent l="0" t="0" r="0" b="0"/>
            <wp:docPr id="168171032" name="Picture 2" descr="A diagram of water con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1032" name="Picture 2" descr="A diagram of water content&#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992245"/>
                    </a:xfrm>
                    <a:prstGeom prst="rect">
                      <a:avLst/>
                    </a:prstGeom>
                  </pic:spPr>
                </pic:pic>
              </a:graphicData>
            </a:graphic>
          </wp:inline>
        </w:drawing>
      </w:r>
    </w:p>
    <w:p w14:paraId="1FF7F5B6" w14:textId="14DDEAE7" w:rsidR="00881036" w:rsidRPr="000523FD" w:rsidRDefault="00A9605D" w:rsidP="00B47DEB">
      <w:pPr>
        <w:pStyle w:val="Caption"/>
      </w:pPr>
      <w:bookmarkStart w:id="102" w:name="_Toc192779577"/>
      <w:bookmarkStart w:id="103" w:name="_Toc192868774"/>
      <w:r>
        <w:t>Figure 2</w:t>
      </w:r>
      <w:r w:rsidR="00E32A6E">
        <w:t>.</w:t>
      </w:r>
      <w:fldSimple w:instr=" SEQ Figure \* ARABIC \s 1 ">
        <w:r w:rsidR="00E32A6E">
          <w:rPr>
            <w:noProof/>
          </w:rPr>
          <w:t>3</w:t>
        </w:r>
      </w:fldSimple>
      <w:r>
        <w:t xml:space="preserve">. </w:t>
      </w:r>
      <w:r w:rsidR="00881036" w:rsidRPr="00B47DEB">
        <w:rPr>
          <w:b w:val="0"/>
          <w:bCs w:val="0"/>
          <w:color w:val="000000" w:themeColor="text1"/>
        </w:rPr>
        <w:t>Effect of tetflupyrolimet (50 g ha</w:t>
      </w:r>
      <w:r w:rsidR="00881036" w:rsidRPr="00B47DEB">
        <w:rPr>
          <w:b w:val="0"/>
          <w:bCs w:val="0"/>
          <w:color w:val="000000" w:themeColor="text1"/>
          <w:vertAlign w:val="superscript"/>
        </w:rPr>
        <w:t>-1</w:t>
      </w:r>
      <w:r w:rsidR="00881036" w:rsidRPr="00B47DEB">
        <w:rPr>
          <w:b w:val="0"/>
          <w:bCs w:val="0"/>
          <w:color w:val="000000" w:themeColor="text1"/>
        </w:rPr>
        <w:t xml:space="preserve">) on </w:t>
      </w:r>
      <w:r w:rsidR="00881036" w:rsidRPr="00B47DEB">
        <w:rPr>
          <w:b w:val="0"/>
          <w:bCs w:val="0"/>
        </w:rPr>
        <w:t>perennial ryegrass (</w:t>
      </w:r>
      <w:r w:rsidR="00881036" w:rsidRPr="00B47DEB">
        <w:rPr>
          <w:b w:val="0"/>
          <w:bCs w:val="0"/>
          <w:i/>
          <w:iCs/>
        </w:rPr>
        <w:t>Lolium perenne</w:t>
      </w:r>
      <w:r w:rsidR="00881036" w:rsidRPr="00B47DEB">
        <w:rPr>
          <w:b w:val="0"/>
          <w:bCs w:val="0"/>
        </w:rPr>
        <w:t xml:space="preserve"> L.) germination in clay loam soil or sand varying in </w:t>
      </w:r>
      <w:r w:rsidR="00AE4306">
        <w:rPr>
          <w:b w:val="0"/>
          <w:bCs w:val="0"/>
        </w:rPr>
        <w:t>volumetric water content</w:t>
      </w:r>
      <w:r w:rsidR="00881036" w:rsidRPr="00B47DEB">
        <w:rPr>
          <w:b w:val="0"/>
          <w:bCs w:val="0"/>
        </w:rPr>
        <w:t xml:space="preserve"> during repeated growth chamber experiments conducted in Knoxville, TN during 2024. Bars represent standard error of each mean.</w:t>
      </w:r>
      <w:bookmarkEnd w:id="102"/>
      <w:bookmarkEnd w:id="103"/>
    </w:p>
    <w:p w14:paraId="0DEFF0CC" w14:textId="77777777" w:rsidR="00493F8A" w:rsidRDefault="00574AFF" w:rsidP="000C799B">
      <w:pPr>
        <w:pStyle w:val="Heading1"/>
        <w:spacing w:line="360" w:lineRule="auto"/>
      </w:pPr>
      <w:r>
        <w:br w:type="page"/>
      </w:r>
      <w:bookmarkStart w:id="104" w:name="_Toc192781566"/>
      <w:r w:rsidR="00875322" w:rsidRPr="00493F8A">
        <w:lastRenderedPageBreak/>
        <w:t>CHAPTER I</w:t>
      </w:r>
      <w:r w:rsidR="00824FA5" w:rsidRPr="00493F8A">
        <w:t>I</w:t>
      </w:r>
      <w:r w:rsidR="00875322" w:rsidRPr="00493F8A">
        <w:t>I</w:t>
      </w:r>
      <w:bookmarkEnd w:id="104"/>
    </w:p>
    <w:p w14:paraId="08F7E6D4" w14:textId="436ED50B" w:rsidR="00875322" w:rsidRPr="00493F8A" w:rsidRDefault="002942C5" w:rsidP="000C799B">
      <w:pPr>
        <w:pStyle w:val="Heading1"/>
        <w:spacing w:line="360" w:lineRule="auto"/>
      </w:pPr>
      <w:bookmarkStart w:id="105" w:name="_Toc192771496"/>
      <w:bookmarkStart w:id="106" w:name="_Toc192777600"/>
      <w:bookmarkStart w:id="107" w:name="_Toc192781567"/>
      <w:r w:rsidRPr="00493F8A">
        <w:t>DOWNSLOPE LATERAL MOVEMENT OF TETFLUPYROLIMET AND PRONAMIDE IN TURFGRASS</w:t>
      </w:r>
      <w:bookmarkEnd w:id="105"/>
      <w:bookmarkEnd w:id="106"/>
      <w:bookmarkEnd w:id="107"/>
    </w:p>
    <w:p w14:paraId="295F1195" w14:textId="77777777" w:rsidR="00875322" w:rsidRPr="00634D11" w:rsidRDefault="00875322" w:rsidP="00875322">
      <w:pPr>
        <w:spacing w:line="360" w:lineRule="auto"/>
        <w:rPr>
          <w:rFonts w:cs="Times New Roman"/>
        </w:rPr>
      </w:pPr>
    </w:p>
    <w:p w14:paraId="3F324E4E" w14:textId="77777777" w:rsidR="00875322" w:rsidRPr="00634D11" w:rsidRDefault="00875322" w:rsidP="00875322">
      <w:pPr>
        <w:spacing w:line="360" w:lineRule="auto"/>
        <w:rPr>
          <w:rFonts w:cs="Times New Roman"/>
          <w:sz w:val="28"/>
          <w:szCs w:val="28"/>
        </w:rPr>
      </w:pPr>
      <w:r w:rsidRPr="00634D11">
        <w:rPr>
          <w:rFonts w:cs="Times New Roman"/>
          <w:sz w:val="28"/>
          <w:szCs w:val="28"/>
        </w:rPr>
        <w:br w:type="page"/>
      </w:r>
    </w:p>
    <w:p w14:paraId="7DB995B2" w14:textId="50F36D2C" w:rsidR="00D40851" w:rsidRPr="003012A9" w:rsidRDefault="00D40851" w:rsidP="00D40851">
      <w:pPr>
        <w:spacing w:line="360" w:lineRule="auto"/>
        <w:ind w:firstLine="720"/>
        <w:rPr>
          <w:rFonts w:cs="Times New Roman"/>
        </w:rPr>
      </w:pPr>
      <w:r w:rsidRPr="00E11326">
        <w:rPr>
          <w:rFonts w:cs="Times New Roman"/>
        </w:rPr>
        <w:lastRenderedPageBreak/>
        <w:t xml:space="preserve">A version of this chapter </w:t>
      </w:r>
      <w:r w:rsidR="006C7675">
        <w:rPr>
          <w:rFonts w:cs="Times New Roman"/>
        </w:rPr>
        <w:t>will be</w:t>
      </w:r>
      <w:r w:rsidR="006C7675" w:rsidRPr="00E11326">
        <w:rPr>
          <w:rFonts w:cs="Times New Roman"/>
        </w:rPr>
        <w:t xml:space="preserve"> </w:t>
      </w:r>
      <w:r w:rsidR="003C451D" w:rsidRPr="00E11326">
        <w:rPr>
          <w:rFonts w:cs="Times New Roman"/>
        </w:rPr>
        <w:t xml:space="preserve">submitted for publication to Weed Science on </w:t>
      </w:r>
      <w:r w:rsidR="00F11026">
        <w:rPr>
          <w:rFonts w:cs="Times New Roman"/>
        </w:rPr>
        <w:t>2</w:t>
      </w:r>
      <w:r w:rsidR="004F4100" w:rsidRPr="00E11326">
        <w:rPr>
          <w:rFonts w:cs="Times New Roman"/>
        </w:rPr>
        <w:t xml:space="preserve"> </w:t>
      </w:r>
      <w:r w:rsidR="00F11026">
        <w:rPr>
          <w:rFonts w:cs="Times New Roman"/>
        </w:rPr>
        <w:t>May</w:t>
      </w:r>
      <w:r w:rsidR="004F4100" w:rsidRPr="00E11326">
        <w:rPr>
          <w:rFonts w:cs="Times New Roman"/>
        </w:rPr>
        <w:t xml:space="preserve"> 2025</w:t>
      </w:r>
      <w:r w:rsidRPr="003012A9">
        <w:rPr>
          <w:rFonts w:cs="Times New Roman"/>
        </w:rPr>
        <w:t xml:space="preserve"> by Benjamin D. Pritchard, Travis W. Gannon, </w:t>
      </w:r>
      <w:r>
        <w:rPr>
          <w:rFonts w:cs="Times New Roman"/>
        </w:rPr>
        <w:t>Richard R. Rogers, Tyler Q. Carr</w:t>
      </w:r>
      <w:r w:rsidRPr="003012A9">
        <w:rPr>
          <w:rFonts w:cs="Times New Roman"/>
        </w:rPr>
        <w:t xml:space="preserve">, </w:t>
      </w:r>
      <w:r>
        <w:rPr>
          <w:rFonts w:cs="Times New Roman"/>
        </w:rPr>
        <w:t>Atul Puri</w:t>
      </w:r>
      <w:r w:rsidRPr="003012A9">
        <w:rPr>
          <w:rFonts w:cs="Times New Roman"/>
        </w:rPr>
        <w:t>, and James T. Brosnan:</w:t>
      </w:r>
    </w:p>
    <w:p w14:paraId="53B0C373" w14:textId="0681E9AC" w:rsidR="00D40851" w:rsidRPr="003012A9" w:rsidRDefault="00D40851" w:rsidP="008225D1">
      <w:pPr>
        <w:spacing w:line="360" w:lineRule="auto"/>
        <w:rPr>
          <w:rFonts w:cs="Times New Roman"/>
        </w:rPr>
      </w:pPr>
      <w:r w:rsidRPr="003012A9">
        <w:rPr>
          <w:rFonts w:cs="Times New Roman"/>
        </w:rPr>
        <w:tab/>
      </w:r>
      <w:r w:rsidR="000115A4">
        <w:rPr>
          <w:rFonts w:cs="Times New Roman"/>
        </w:rPr>
        <w:t>Pritchard BD, Gannon TW, Rogers RR, Carr TQ,</w:t>
      </w:r>
      <w:r w:rsidR="004F4100">
        <w:rPr>
          <w:rFonts w:cs="Times New Roman"/>
        </w:rPr>
        <w:t xml:space="preserve"> Puri A, and Brosnan JT. (2025). Downslope Lateral Movement of Tetflupyrolimet and Pronamide in Turfgrass. </w:t>
      </w:r>
      <w:r w:rsidR="004F4100" w:rsidRPr="004F4100">
        <w:rPr>
          <w:rFonts w:cs="Times New Roman"/>
          <w:i/>
          <w:iCs/>
        </w:rPr>
        <w:t>Weed Science</w:t>
      </w:r>
      <w:r w:rsidR="004F4100">
        <w:rPr>
          <w:rFonts w:cs="Times New Roman"/>
        </w:rPr>
        <w:t>. In Review.</w:t>
      </w:r>
    </w:p>
    <w:p w14:paraId="0E501A19" w14:textId="5D7EEA09" w:rsidR="006751B1" w:rsidRPr="008225D1" w:rsidRDefault="00D40851" w:rsidP="008225D1">
      <w:pPr>
        <w:spacing w:line="360" w:lineRule="auto"/>
        <w:ind w:firstLine="720"/>
        <w:rPr>
          <w:rFonts w:cs="Times New Roman"/>
          <w:b/>
          <w:bCs/>
          <w:iCs/>
        </w:rPr>
      </w:pPr>
      <w:r w:rsidRPr="003012A9">
        <w:rPr>
          <w:rFonts w:cs="Times New Roman"/>
        </w:rPr>
        <w:t xml:space="preserve">The publishing of this article involved an extensive peer-review process that improved the quality of the manuscript and allowed the authors to develop deeper hypotheses, arguments, and quality research methodology. The publishing of this article involved six authors from the University of Tennessee Department of Plant Sciences, North Carolina State University Department of Crop and Soil Science, </w:t>
      </w:r>
      <w:r w:rsidR="00522FA3">
        <w:rPr>
          <w:rFonts w:cs="Times New Roman"/>
        </w:rPr>
        <w:t xml:space="preserve">The Ohio State University, </w:t>
      </w:r>
      <w:r w:rsidRPr="003012A9">
        <w:rPr>
          <w:rFonts w:cs="Times New Roman"/>
        </w:rPr>
        <w:t xml:space="preserve">and FMC </w:t>
      </w:r>
      <w:r>
        <w:rPr>
          <w:rFonts w:cs="Times New Roman"/>
        </w:rPr>
        <w:t>Corporation</w:t>
      </w:r>
      <w:r w:rsidRPr="003012A9">
        <w:rPr>
          <w:rFonts w:cs="Times New Roman"/>
        </w:rPr>
        <w:t>. All authors made conceptual or technical contributions relative to their area of expertise. My primary contributions to this paper include (</w:t>
      </w:r>
      <w:proofErr w:type="spellStart"/>
      <w:r w:rsidRPr="003012A9">
        <w:rPr>
          <w:rFonts w:cs="Times New Roman"/>
        </w:rPr>
        <w:t>i</w:t>
      </w:r>
      <w:proofErr w:type="spellEnd"/>
      <w:r w:rsidRPr="003012A9">
        <w:rPr>
          <w:rFonts w:cs="Times New Roman"/>
        </w:rPr>
        <w:t xml:space="preserve">) reading literature, (ii) writing the manuscript, (iii) conducting the research, (iv) </w:t>
      </w:r>
      <w:proofErr w:type="spellStart"/>
      <w:r w:rsidRPr="003012A9">
        <w:rPr>
          <w:rFonts w:cs="Times New Roman"/>
        </w:rPr>
        <w:t>analysing</w:t>
      </w:r>
      <w:proofErr w:type="spellEnd"/>
      <w:r w:rsidRPr="003012A9">
        <w:rPr>
          <w:rFonts w:cs="Times New Roman"/>
        </w:rPr>
        <w:t xml:space="preserve"> data, and (v) revising during the review process.</w:t>
      </w:r>
      <w:r>
        <w:rPr>
          <w:rFonts w:cs="Times New Roman"/>
        </w:rPr>
        <w:br w:type="page"/>
      </w:r>
      <w:bookmarkStart w:id="108" w:name="_Toc192781568"/>
      <w:bookmarkStart w:id="109" w:name="_Toc289175845"/>
      <w:bookmarkStart w:id="110" w:name="_Toc192766966"/>
      <w:r w:rsidR="006751B1" w:rsidRPr="008225D1">
        <w:rPr>
          <w:b/>
          <w:bCs/>
        </w:rPr>
        <w:lastRenderedPageBreak/>
        <w:t>Abstract</w:t>
      </w:r>
      <w:bookmarkEnd w:id="108"/>
    </w:p>
    <w:p w14:paraId="73512206" w14:textId="3BAE07AF" w:rsidR="008225D1" w:rsidRDefault="00EA54F6" w:rsidP="000C799B">
      <w:pPr>
        <w:spacing w:line="360" w:lineRule="auto"/>
        <w:ind w:firstLine="720"/>
      </w:pPr>
      <w:r w:rsidRPr="00D93EC3">
        <w:t>Tetflupyrolimet is a novel herbicide that inhibits dihydroorotate dehydrogenase (DHODH) in susceptible weeds, including those in warm-season turfgrass and rice (</w:t>
      </w:r>
      <w:r w:rsidRPr="001220D3">
        <w:rPr>
          <w:i/>
          <w:iCs/>
        </w:rPr>
        <w:t>Oryza sativa</w:t>
      </w:r>
      <w:r w:rsidRPr="00D93EC3">
        <w:t xml:space="preserve"> L.). </w:t>
      </w:r>
      <w:r w:rsidR="00F738DC">
        <w:t>Given that in some regions</w:t>
      </w:r>
      <w:r w:rsidR="004247D2">
        <w:t>,</w:t>
      </w:r>
      <w:r w:rsidR="00F738DC">
        <w:t xml:space="preserve"> </w:t>
      </w:r>
      <w:r w:rsidRPr="00D93EC3">
        <w:t xml:space="preserve">warm-season </w:t>
      </w:r>
      <w:r w:rsidR="00F738DC">
        <w:t>turfgrasses</w:t>
      </w:r>
      <w:r w:rsidR="00F738DC" w:rsidRPr="00D93EC3">
        <w:t xml:space="preserve"> </w:t>
      </w:r>
      <w:r w:rsidR="00F738DC">
        <w:t xml:space="preserve">are </w:t>
      </w:r>
      <w:r>
        <w:t>managed</w:t>
      </w:r>
      <w:r w:rsidRPr="00D93EC3">
        <w:t xml:space="preserve"> </w:t>
      </w:r>
      <w:r w:rsidR="00F738DC">
        <w:t>adjacent to</w:t>
      </w:r>
      <w:r w:rsidR="00F738DC" w:rsidRPr="00D93EC3">
        <w:t xml:space="preserve"> </w:t>
      </w:r>
      <w:r w:rsidRPr="00D93EC3">
        <w:t xml:space="preserve">cool-season species sensitive to tetflupyrolimet, research on its lateral movement within turfgrass is </w:t>
      </w:r>
      <w:r>
        <w:t>warranted</w:t>
      </w:r>
      <w:r w:rsidRPr="00D93EC3">
        <w:t xml:space="preserve">. Field experiments conducted in spring 2023 and 2024 at the North Carolina State University Lake Wheeler Turfgrass Field Lab evaluated </w:t>
      </w:r>
      <w:r w:rsidR="00F738DC">
        <w:t>downslope lateral</w:t>
      </w:r>
      <w:r w:rsidRPr="00D93EC3">
        <w:t xml:space="preserve"> movement</w:t>
      </w:r>
      <w:r w:rsidR="00F738DC">
        <w:t xml:space="preserve"> of</w:t>
      </w:r>
      <w:r w:rsidRPr="00D93EC3">
        <w:t xml:space="preserve"> tetflupyrolimet (400 g ha⁻¹) </w:t>
      </w:r>
      <w:r w:rsidR="00F738DC">
        <w:t>and</w:t>
      </w:r>
      <w:r w:rsidR="00F738DC" w:rsidRPr="00D93EC3">
        <w:t xml:space="preserve"> </w:t>
      </w:r>
      <w:proofErr w:type="spellStart"/>
      <w:r w:rsidRPr="00D93EC3">
        <w:t>pronamide</w:t>
      </w:r>
      <w:proofErr w:type="spellEnd"/>
      <w:r w:rsidRPr="00D93EC3">
        <w:t xml:space="preserve"> (1160 g ha⁻¹)</w:t>
      </w:r>
      <w:r w:rsidR="00F738DC">
        <w:t>. Research was conducted</w:t>
      </w:r>
      <w:r w:rsidRPr="00D93EC3">
        <w:t xml:space="preserve"> on a 9.5% sloped</w:t>
      </w:r>
      <w:r w:rsidR="009E0CF1">
        <w:t xml:space="preserve"> plot of dormant</w:t>
      </w:r>
      <w:r w:rsidRPr="00D93EC3">
        <w:t xml:space="preserve"> hybrid bermudagrass</w:t>
      </w:r>
      <w:r w:rsidR="00F738DC">
        <w:t xml:space="preserve"> </w:t>
      </w:r>
      <w:r w:rsidR="00F738DC" w:rsidRPr="00C21B85">
        <w:t>[</w:t>
      </w:r>
      <w:r w:rsidR="00F738DC" w:rsidRPr="00C21B85">
        <w:rPr>
          <w:i/>
          <w:iCs/>
        </w:rPr>
        <w:t>C. dactylon</w:t>
      </w:r>
      <w:r w:rsidR="00F738DC" w:rsidRPr="00C21B85">
        <w:t xml:space="preserve"> (L.) Pers. x </w:t>
      </w:r>
      <w:r w:rsidR="00F738DC" w:rsidRPr="00C21B85">
        <w:rPr>
          <w:i/>
          <w:iCs/>
        </w:rPr>
        <w:t>C. transvaalensis</w:t>
      </w:r>
      <w:r w:rsidR="00F738DC" w:rsidRPr="00C21B85">
        <w:t xml:space="preserve"> Burtt-Davy]</w:t>
      </w:r>
      <w:r w:rsidR="009E76B4">
        <w:t>,</w:t>
      </w:r>
      <w:r w:rsidRPr="00D93EC3">
        <w:t xml:space="preserve"> established on Cecil sandy loam soil</w:t>
      </w:r>
      <w:r w:rsidR="009E76B4">
        <w:t>,</w:t>
      </w:r>
      <w:r w:rsidR="00F738DC">
        <w:t xml:space="preserve"> </w:t>
      </w:r>
      <w:r w:rsidRPr="00D93EC3">
        <w:t>under two moisture regimes: field capacity (≈ 34% v/v) and saturation (≈ 46% v/v). Before experimentation, hybrid bermudagrass was scalped, and perennial ryegrass (</w:t>
      </w:r>
      <w:r w:rsidRPr="00C21B85">
        <w:rPr>
          <w:i/>
          <w:iCs/>
        </w:rPr>
        <w:t>Lolium perenne</w:t>
      </w:r>
      <w:r w:rsidRPr="00D93EC3">
        <w:t xml:space="preserve"> L.) was planted as an indicator species</w:t>
      </w:r>
      <w:r w:rsidR="009E76B4">
        <w:t xml:space="preserve"> of herbicide movement</w:t>
      </w:r>
      <w:r w:rsidRPr="00D93EC3">
        <w:t xml:space="preserve">. </w:t>
      </w:r>
      <w:proofErr w:type="spellStart"/>
      <w:r w:rsidR="009E76B4">
        <w:t>Tetflupyrolimet</w:t>
      </w:r>
      <w:proofErr w:type="spellEnd"/>
      <w:r w:rsidR="009E76B4">
        <w:t xml:space="preserve"> and </w:t>
      </w:r>
      <w:proofErr w:type="spellStart"/>
      <w:r w:rsidR="009E76B4">
        <w:t>pronamide</w:t>
      </w:r>
      <w:proofErr w:type="spellEnd"/>
      <w:r w:rsidR="009E76B4" w:rsidRPr="00D93EC3">
        <w:t xml:space="preserve"> </w:t>
      </w:r>
      <w:r w:rsidRPr="00D93EC3">
        <w:t xml:space="preserve">were applied to </w:t>
      </w:r>
      <w:r w:rsidR="009E76B4">
        <w:t>plots</w:t>
      </w:r>
      <w:r w:rsidR="009E76B4" w:rsidRPr="00D93EC3">
        <w:t xml:space="preserve"> </w:t>
      </w:r>
      <w:r>
        <w:t>(2.2 m</w:t>
      </w:r>
      <w:r w:rsidRPr="001552F8">
        <w:rPr>
          <w:vertAlign w:val="superscript"/>
        </w:rPr>
        <w:t>2</w:t>
      </w:r>
      <w:r>
        <w:t xml:space="preserve">) </w:t>
      </w:r>
      <w:r w:rsidRPr="00D93EC3">
        <w:t>upslope</w:t>
      </w:r>
      <w:r>
        <w:t xml:space="preserve"> of lateral movement areas (8.6 m</w:t>
      </w:r>
      <w:r w:rsidRPr="001552F8">
        <w:rPr>
          <w:vertAlign w:val="superscript"/>
        </w:rPr>
        <w:t>2</w:t>
      </w:r>
      <w:r>
        <w:t>)</w:t>
      </w:r>
      <w:r w:rsidR="009E76B4">
        <w:t xml:space="preserve"> where perennial ryegrass </w:t>
      </w:r>
      <w:r w:rsidR="0058217F">
        <w:t>mortality</w:t>
      </w:r>
      <w:r w:rsidR="009E76B4" w:rsidRPr="00D93EC3">
        <w:t xml:space="preserve"> </w:t>
      </w:r>
      <w:r w:rsidR="009E76B4">
        <w:t>data were collected</w:t>
      </w:r>
      <w:r w:rsidR="009E76B4" w:rsidRPr="00D93EC3">
        <w:t xml:space="preserve"> 2, 4, 6, and 8 weeks after treatment (WAT) </w:t>
      </w:r>
      <w:r w:rsidR="009E76B4">
        <w:t>via grid (</w:t>
      </w:r>
      <w:r w:rsidR="009E76B4" w:rsidRPr="00A9274B">
        <w:t>15 cm</w:t>
      </w:r>
      <w:r w:rsidR="009E76B4" w:rsidRPr="00A9274B">
        <w:rPr>
          <w:vertAlign w:val="superscript"/>
        </w:rPr>
        <w:t>2</w:t>
      </w:r>
      <w:r w:rsidR="009E76B4">
        <w:t>) count. Herbicides were irrigated into the soil after application and subjected to rainfall to ensure 2.5 cm of post-application precip</w:t>
      </w:r>
      <w:r w:rsidR="00113A7D">
        <w:t>it</w:t>
      </w:r>
      <w:r w:rsidR="009E76B4">
        <w:t>ation during the 24 hours after treatment</w:t>
      </w:r>
      <w:r w:rsidR="00087C24">
        <w:t>.</w:t>
      </w:r>
      <w:r w:rsidR="00087C24" w:rsidRPr="00087C24">
        <w:rPr>
          <w:rFonts w:ascii="Arial" w:hAnsi="Arial"/>
          <w:color w:val="000000"/>
          <w:shd w:val="clear" w:color="auto" w:fill="FFFFFF"/>
        </w:rPr>
        <w:t xml:space="preserve"> </w:t>
      </w:r>
      <w:r w:rsidR="00087C24">
        <w:t>S</w:t>
      </w:r>
      <w:r w:rsidR="00087C24" w:rsidRPr="007A430A">
        <w:t xml:space="preserve">eparate regression analyses were conducted </w:t>
      </w:r>
      <w:r w:rsidR="00087C24">
        <w:t>to estimate</w:t>
      </w:r>
      <w:r w:rsidR="00087C24" w:rsidRPr="007A430A">
        <w:t xml:space="preserve"> the lateral movement distance corresponding to a </w:t>
      </w:r>
      <w:r w:rsidR="00087C24">
        <w:t>50</w:t>
      </w:r>
      <w:r w:rsidR="00087C24" w:rsidRPr="007A430A">
        <w:t xml:space="preserve">% probability of perennial ryegrass </w:t>
      </w:r>
      <w:r w:rsidR="00087C24">
        <w:t>mortality.</w:t>
      </w:r>
      <w:r w:rsidR="00087C24" w:rsidRPr="00113A7D">
        <w:rPr>
          <w:color w:val="000000" w:themeColor="text1"/>
        </w:rPr>
        <w:t xml:space="preserve"> </w:t>
      </w:r>
      <w:proofErr w:type="gramStart"/>
      <w:r w:rsidR="00113A7D" w:rsidRPr="00113A7D">
        <w:rPr>
          <w:color w:val="000000" w:themeColor="text1"/>
        </w:rPr>
        <w:t>With the exception of</w:t>
      </w:r>
      <w:proofErr w:type="gramEnd"/>
      <w:r w:rsidR="00113A7D" w:rsidRPr="00113A7D">
        <w:rPr>
          <w:color w:val="000000" w:themeColor="text1"/>
        </w:rPr>
        <w:t xml:space="preserve"> saturated conditions in 2023, movement distances associated with </w:t>
      </w:r>
      <w:r w:rsidR="00A92DA2">
        <w:rPr>
          <w:color w:val="000000" w:themeColor="text1"/>
        </w:rPr>
        <w:t xml:space="preserve">the </w:t>
      </w:r>
      <w:r w:rsidR="00113A7D" w:rsidRPr="00113A7D">
        <w:rPr>
          <w:color w:val="000000" w:themeColor="text1"/>
        </w:rPr>
        <w:t xml:space="preserve">probability of perennial ryegrass mortality were 1.2 to 3.5 times greater for </w:t>
      </w:r>
      <w:proofErr w:type="spellStart"/>
      <w:r w:rsidR="00113A7D" w:rsidRPr="00113A7D">
        <w:rPr>
          <w:color w:val="000000" w:themeColor="text1"/>
        </w:rPr>
        <w:t>pronamide</w:t>
      </w:r>
      <w:proofErr w:type="spellEnd"/>
      <w:r w:rsidR="00113A7D" w:rsidRPr="00113A7D">
        <w:rPr>
          <w:color w:val="000000" w:themeColor="text1"/>
        </w:rPr>
        <w:t xml:space="preserve"> than </w:t>
      </w:r>
      <w:proofErr w:type="spellStart"/>
      <w:r w:rsidR="00113A7D" w:rsidRPr="00113A7D">
        <w:rPr>
          <w:color w:val="000000" w:themeColor="text1"/>
        </w:rPr>
        <w:t>tetflupyrolimet</w:t>
      </w:r>
      <w:proofErr w:type="spellEnd"/>
      <w:r w:rsidR="00113A7D" w:rsidRPr="00113A7D">
        <w:rPr>
          <w:color w:val="000000" w:themeColor="text1"/>
        </w:rPr>
        <w:t>.</w:t>
      </w:r>
      <w:r w:rsidR="00087C24" w:rsidRPr="00113A7D">
        <w:rPr>
          <w:color w:val="000000" w:themeColor="text1"/>
        </w:rPr>
        <w:t xml:space="preserve"> </w:t>
      </w:r>
      <w:r w:rsidR="00EE7764">
        <w:t xml:space="preserve">By </w:t>
      </w:r>
      <w:r>
        <w:t>8 WAT, t</w:t>
      </w:r>
      <w:r w:rsidRPr="00A9274B">
        <w:t>etflupyrolimet</w:t>
      </w:r>
      <w:r w:rsidR="00087C24">
        <w:t xml:space="preserve"> </w:t>
      </w:r>
      <w:r w:rsidRPr="00A9274B">
        <w:t xml:space="preserve">moved ≤ 1.1 meters regardless of soil moisture, whereas </w:t>
      </w:r>
      <w:proofErr w:type="spellStart"/>
      <w:r w:rsidRPr="00A9274B">
        <w:t>pronamide</w:t>
      </w:r>
      <w:proofErr w:type="spellEnd"/>
      <w:r w:rsidR="00087C24">
        <w:t xml:space="preserve"> maximally</w:t>
      </w:r>
      <w:r w:rsidRPr="00A9274B">
        <w:t xml:space="preserve"> moved 1.7 to 1.8 m downslope.</w:t>
      </w:r>
      <w:r w:rsidRPr="00D93EC3">
        <w:t xml:space="preserve"> These findings suggest a 1.1-meter buffer from sensitive species </w:t>
      </w:r>
      <w:r>
        <w:t>is likely</w:t>
      </w:r>
      <w:r w:rsidRPr="00D93EC3">
        <w:t xml:space="preserve"> sufficient to prevent</w:t>
      </w:r>
      <w:r>
        <w:t xml:space="preserve"> undesirable</w:t>
      </w:r>
      <w:r w:rsidRPr="00D93EC3">
        <w:t xml:space="preserve"> injury following tetflupyrolimet applications in warm-season turfgrass under </w:t>
      </w:r>
      <w:r>
        <w:t xml:space="preserve">conditions </w:t>
      </w:r>
      <w:proofErr w:type="gramStart"/>
      <w:r>
        <w:t>similar to</w:t>
      </w:r>
      <w:proofErr w:type="gramEnd"/>
      <w:r>
        <w:t xml:space="preserve"> this study.</w:t>
      </w:r>
      <w:bookmarkStart w:id="111" w:name="_Toc192781569"/>
    </w:p>
    <w:p w14:paraId="47B1C49E" w14:textId="46883B20" w:rsidR="00B63A91" w:rsidRPr="008225D1" w:rsidRDefault="00B63A91" w:rsidP="008225D1">
      <w:pPr>
        <w:spacing w:line="360" w:lineRule="auto"/>
        <w:jc w:val="center"/>
        <w:rPr>
          <w:b/>
          <w:bCs/>
        </w:rPr>
      </w:pPr>
      <w:r w:rsidRPr="008225D1">
        <w:rPr>
          <w:b/>
          <w:bCs/>
        </w:rPr>
        <w:t>Introduction</w:t>
      </w:r>
      <w:bookmarkEnd w:id="111"/>
    </w:p>
    <w:p w14:paraId="3A904950" w14:textId="77777777" w:rsidR="00B63A91" w:rsidRPr="003733B0" w:rsidRDefault="00B63A91" w:rsidP="008225D1">
      <w:pPr>
        <w:spacing w:line="360" w:lineRule="auto"/>
        <w:ind w:firstLine="720"/>
        <w:contextualSpacing/>
        <w:rPr>
          <w:b/>
          <w:bCs/>
        </w:rPr>
      </w:pPr>
      <w:proofErr w:type="spellStart"/>
      <w:r w:rsidRPr="00602C2D">
        <w:rPr>
          <w:color w:val="000000"/>
        </w:rPr>
        <w:t>Tetflupyrolimet</w:t>
      </w:r>
      <w:proofErr w:type="spellEnd"/>
      <w:r w:rsidRPr="00602C2D">
        <w:rPr>
          <w:color w:val="000000"/>
        </w:rPr>
        <w:t xml:space="preserve"> (</w:t>
      </w:r>
      <w:proofErr w:type="spellStart"/>
      <w:r w:rsidRPr="00602C2D">
        <w:rPr>
          <w:color w:val="000000"/>
        </w:rPr>
        <w:t>Dodhylex</w:t>
      </w:r>
      <w:proofErr w:type="spellEnd"/>
      <w:r w:rsidRPr="00602C2D">
        <w:rPr>
          <w:color w:val="000000"/>
        </w:rPr>
        <w:t xml:space="preserve">™ Active, FMC Corporation, Philadelphia, PA) is a novel herbicide (HRAC Group #28) inhibiting de novo pyrimidine biosynthesis in vulnerable plants (Kang et al. 2023). Tetflupyrolimet was initially discovered through high-volume greenhouse screenings </w:t>
      </w:r>
      <w:r>
        <w:rPr>
          <w:color w:val="000000"/>
        </w:rPr>
        <w:t xml:space="preserve">where it </w:t>
      </w:r>
      <w:r w:rsidRPr="00602C2D">
        <w:rPr>
          <w:color w:val="000000"/>
        </w:rPr>
        <w:t>suppressed growth of several annual grassy weeds including</w:t>
      </w:r>
      <w:r w:rsidRPr="00602C2D">
        <w:t xml:space="preserve"> giant foxtail (</w:t>
      </w:r>
      <w:proofErr w:type="spellStart"/>
      <w:r w:rsidRPr="00602C2D">
        <w:rPr>
          <w:i/>
          <w:iCs/>
        </w:rPr>
        <w:t>Setaria</w:t>
      </w:r>
      <w:proofErr w:type="spellEnd"/>
      <w:r w:rsidRPr="00602C2D">
        <w:rPr>
          <w:i/>
          <w:iCs/>
        </w:rPr>
        <w:t xml:space="preserve"> </w:t>
      </w:r>
      <w:proofErr w:type="spellStart"/>
      <w:r w:rsidRPr="00602C2D">
        <w:rPr>
          <w:i/>
          <w:iCs/>
        </w:rPr>
        <w:t>faberi</w:t>
      </w:r>
      <w:proofErr w:type="spellEnd"/>
      <w:r w:rsidRPr="00602C2D">
        <w:rPr>
          <w:i/>
          <w:iCs/>
        </w:rPr>
        <w:t xml:space="preserve"> </w:t>
      </w:r>
      <w:r w:rsidRPr="00602C2D">
        <w:rPr>
          <w:color w:val="333333"/>
        </w:rPr>
        <w:t>R.A.W.</w:t>
      </w:r>
      <w:r>
        <w:rPr>
          <w:color w:val="333333"/>
        </w:rPr>
        <w:t xml:space="preserve"> </w:t>
      </w:r>
      <w:proofErr w:type="spellStart"/>
      <w:r w:rsidRPr="00602C2D">
        <w:rPr>
          <w:color w:val="333333"/>
        </w:rPr>
        <w:t>Herrm</w:t>
      </w:r>
      <w:proofErr w:type="spellEnd"/>
      <w:r w:rsidRPr="00602C2D">
        <w:rPr>
          <w:color w:val="333333"/>
        </w:rPr>
        <w:t>.</w:t>
      </w:r>
      <w:r w:rsidRPr="00602C2D">
        <w:t xml:space="preserve">), </w:t>
      </w:r>
      <w:proofErr w:type="spellStart"/>
      <w:r w:rsidRPr="00602C2D">
        <w:t>barnyardgrass</w:t>
      </w:r>
      <w:proofErr w:type="spellEnd"/>
      <w:r w:rsidRPr="00602C2D">
        <w:t xml:space="preserve"> (</w:t>
      </w:r>
      <w:proofErr w:type="spellStart"/>
      <w:r w:rsidRPr="00602C2D">
        <w:rPr>
          <w:i/>
          <w:iCs/>
        </w:rPr>
        <w:t>Echinochloa</w:t>
      </w:r>
      <w:proofErr w:type="spellEnd"/>
      <w:r w:rsidRPr="00602C2D">
        <w:rPr>
          <w:i/>
          <w:iCs/>
        </w:rPr>
        <w:t xml:space="preserve"> crus-galli</w:t>
      </w:r>
      <w:r>
        <w:t xml:space="preserve"> (L.) </w:t>
      </w:r>
      <w:proofErr w:type="spellStart"/>
      <w:proofErr w:type="gramStart"/>
      <w:r>
        <w:t>P.Beauv</w:t>
      </w:r>
      <w:proofErr w:type="spellEnd"/>
      <w:proofErr w:type="gramEnd"/>
      <w:r>
        <w:t>.</w:t>
      </w:r>
      <w:r w:rsidRPr="00602C2D">
        <w:t>), and crabgrass (</w:t>
      </w:r>
      <w:proofErr w:type="spellStart"/>
      <w:r w:rsidRPr="00602C2D">
        <w:rPr>
          <w:i/>
          <w:iCs/>
        </w:rPr>
        <w:t>Digitaria</w:t>
      </w:r>
      <w:proofErr w:type="spellEnd"/>
      <w:r w:rsidRPr="00602C2D">
        <w:rPr>
          <w:i/>
          <w:iCs/>
        </w:rPr>
        <w:t xml:space="preserve"> </w:t>
      </w:r>
      <w:proofErr w:type="spellStart"/>
      <w:r w:rsidRPr="00602C2D">
        <w:rPr>
          <w:i/>
          <w:iCs/>
        </w:rPr>
        <w:t>sanguinalis</w:t>
      </w:r>
      <w:proofErr w:type="spellEnd"/>
      <w:r>
        <w:t xml:space="preserve"> (L.) Scop.</w:t>
      </w:r>
      <w:r w:rsidRPr="00602C2D">
        <w:t xml:space="preserve">) (Selby et al. 2023). Compared to these weedy </w:t>
      </w:r>
      <w:r w:rsidRPr="00602C2D">
        <w:lastRenderedPageBreak/>
        <w:t xml:space="preserve">grasses, rice </w:t>
      </w:r>
      <w:r w:rsidRPr="00602C2D">
        <w:rPr>
          <w:color w:val="000000" w:themeColor="text1"/>
        </w:rPr>
        <w:t>(</w:t>
      </w:r>
      <w:r w:rsidRPr="00602C2D">
        <w:rPr>
          <w:i/>
          <w:iCs/>
          <w:color w:val="000000" w:themeColor="text1"/>
        </w:rPr>
        <w:t>Oryza sativa</w:t>
      </w:r>
      <w:r w:rsidRPr="00602C2D">
        <w:rPr>
          <w:color w:val="000000" w:themeColor="text1"/>
        </w:rPr>
        <w:t xml:space="preserve"> L.) is 10x more tolerant to </w:t>
      </w:r>
      <w:proofErr w:type="spellStart"/>
      <w:r w:rsidRPr="00602C2D">
        <w:rPr>
          <w:color w:val="000000" w:themeColor="text1"/>
        </w:rPr>
        <w:t>tetflupyroliment</w:t>
      </w:r>
      <w:proofErr w:type="spellEnd"/>
      <w:r w:rsidRPr="00602C2D">
        <w:rPr>
          <w:color w:val="000000" w:themeColor="text1"/>
        </w:rPr>
        <w:t xml:space="preserve"> (Dayan 2019; Selby et al. 2023). Consequently, </w:t>
      </w:r>
      <w:bookmarkStart w:id="112" w:name="OLE_LINK2"/>
      <w:r w:rsidRPr="00602C2D">
        <w:rPr>
          <w:color w:val="000000" w:themeColor="text1"/>
        </w:rPr>
        <w:t>tetflupyrolimet is an effective PRE herbicide for use in rice production at rates of 200 and 400 g ai ha</w:t>
      </w:r>
      <w:r w:rsidRPr="00602C2D">
        <w:rPr>
          <w:color w:val="000000" w:themeColor="text1"/>
          <w:vertAlign w:val="superscript"/>
        </w:rPr>
        <w:t>-1</w:t>
      </w:r>
      <w:r w:rsidRPr="00602C2D">
        <w:rPr>
          <w:color w:val="000000" w:themeColor="text1"/>
        </w:rPr>
        <w:t xml:space="preserve"> (Castner et al. 2025)</w:t>
      </w:r>
      <w:bookmarkEnd w:id="112"/>
      <w:r w:rsidRPr="00602C2D">
        <w:rPr>
          <w:color w:val="000000" w:themeColor="text1"/>
        </w:rPr>
        <w:t xml:space="preserve">. For example, when included in </w:t>
      </w:r>
      <w:proofErr w:type="gramStart"/>
      <w:r w:rsidRPr="00602C2D">
        <w:rPr>
          <w:color w:val="000000" w:themeColor="text1"/>
        </w:rPr>
        <w:t>a</w:t>
      </w:r>
      <w:proofErr w:type="gramEnd"/>
      <w:r w:rsidRPr="00602C2D">
        <w:rPr>
          <w:color w:val="000000" w:themeColor="text1"/>
        </w:rPr>
        <w:t xml:space="preserve"> herbicide program, tetflupyrolimet controlled non-herbicide resistant </w:t>
      </w:r>
      <w:proofErr w:type="spellStart"/>
      <w:r w:rsidRPr="00602C2D">
        <w:rPr>
          <w:color w:val="000000" w:themeColor="text1"/>
        </w:rPr>
        <w:t>barnyardgrass</w:t>
      </w:r>
      <w:proofErr w:type="spellEnd"/>
      <w:r w:rsidRPr="00602C2D">
        <w:rPr>
          <w:color w:val="000000" w:themeColor="text1"/>
        </w:rPr>
        <w:t xml:space="preserve"> infestations in rice ≥ 98% 56 days after final treatment (Castner et al. 2025). Similarly, </w:t>
      </w:r>
      <w:proofErr w:type="spellStart"/>
      <w:r w:rsidRPr="00602C2D">
        <w:rPr>
          <w:color w:val="000000" w:themeColor="text1"/>
        </w:rPr>
        <w:t>tetflupyrolimet</w:t>
      </w:r>
      <w:proofErr w:type="spellEnd"/>
      <w:r w:rsidRPr="00602C2D">
        <w:rPr>
          <w:color w:val="000000" w:themeColor="text1"/>
        </w:rPr>
        <w:t xml:space="preserve"> followed by </w:t>
      </w:r>
      <w:proofErr w:type="spellStart"/>
      <w:r w:rsidRPr="00602C2D">
        <w:rPr>
          <w:color w:val="000000" w:themeColor="text1"/>
        </w:rPr>
        <w:t>carfentrazone</w:t>
      </w:r>
      <w:proofErr w:type="spellEnd"/>
      <w:r w:rsidRPr="00602C2D">
        <w:rPr>
          <w:color w:val="000000" w:themeColor="text1"/>
        </w:rPr>
        <w:t xml:space="preserve"> controlled crabgrass &amp; bearded </w:t>
      </w:r>
      <w:proofErr w:type="spellStart"/>
      <w:r w:rsidRPr="00602C2D">
        <w:rPr>
          <w:color w:val="000000" w:themeColor="text1"/>
        </w:rPr>
        <w:t>sprangletop</w:t>
      </w:r>
      <w:proofErr w:type="spellEnd"/>
      <w:r w:rsidRPr="00602C2D">
        <w:rPr>
          <w:color w:val="000000" w:themeColor="text1"/>
        </w:rPr>
        <w:t xml:space="preserve"> </w:t>
      </w:r>
      <w:r>
        <w:rPr>
          <w:color w:val="000000" w:themeColor="text1"/>
        </w:rPr>
        <w:t>[</w:t>
      </w:r>
      <w:proofErr w:type="spellStart"/>
      <w:r w:rsidRPr="00602C2D">
        <w:rPr>
          <w:i/>
          <w:iCs/>
          <w:color w:val="000000" w:themeColor="text1"/>
        </w:rPr>
        <w:t>Diplachne</w:t>
      </w:r>
      <w:proofErr w:type="spellEnd"/>
      <w:r w:rsidRPr="00602C2D">
        <w:rPr>
          <w:i/>
          <w:iCs/>
          <w:color w:val="000000" w:themeColor="text1"/>
        </w:rPr>
        <w:t xml:space="preserve"> </w:t>
      </w:r>
      <w:proofErr w:type="spellStart"/>
      <w:r w:rsidRPr="00602C2D">
        <w:rPr>
          <w:i/>
          <w:iCs/>
          <w:color w:val="000000" w:themeColor="text1"/>
        </w:rPr>
        <w:t>fusca</w:t>
      </w:r>
      <w:proofErr w:type="spellEnd"/>
      <w:r>
        <w:rPr>
          <w:color w:val="000000" w:themeColor="text1"/>
        </w:rPr>
        <w:t xml:space="preserve"> (L.) </w:t>
      </w:r>
      <w:proofErr w:type="spellStart"/>
      <w:proofErr w:type="gramStart"/>
      <w:r>
        <w:rPr>
          <w:color w:val="000000" w:themeColor="text1"/>
        </w:rPr>
        <w:t>P.Beauv</w:t>
      </w:r>
      <w:proofErr w:type="spellEnd"/>
      <w:proofErr w:type="gramEnd"/>
      <w:r>
        <w:rPr>
          <w:color w:val="000000" w:themeColor="text1"/>
        </w:rPr>
        <w:t>. ex Roem. &amp; Schult.]</w:t>
      </w:r>
      <w:r w:rsidRPr="00602C2D">
        <w:rPr>
          <w:color w:val="000000" w:themeColor="text1"/>
        </w:rPr>
        <w:t xml:space="preserve"> ≥ 99% (Lombardi &amp; Al-Khatib 2024). </w:t>
      </w:r>
    </w:p>
    <w:p w14:paraId="4C595921" w14:textId="75B75771" w:rsidR="00B63A91" w:rsidRPr="002951B5" w:rsidRDefault="00B63A91" w:rsidP="008225D1">
      <w:pPr>
        <w:spacing w:line="360" w:lineRule="auto"/>
        <w:ind w:firstLine="720"/>
        <w:contextualSpacing/>
        <w:rPr>
          <w:color w:val="000000"/>
        </w:rPr>
      </w:pPr>
      <w:r>
        <w:rPr>
          <w:color w:val="000000"/>
        </w:rPr>
        <w:t xml:space="preserve">In addition to rice </w:t>
      </w:r>
      <w:proofErr w:type="gramStart"/>
      <w:r>
        <w:rPr>
          <w:color w:val="000000"/>
        </w:rPr>
        <w:t xml:space="preserve">production,  </w:t>
      </w:r>
      <w:r w:rsidRPr="00EE5BD7">
        <w:rPr>
          <w:color w:val="000000"/>
        </w:rPr>
        <w:t>tetflupyrolimet</w:t>
      </w:r>
      <w:proofErr w:type="gramEnd"/>
      <w:r w:rsidRPr="00EE5BD7">
        <w:rPr>
          <w:color w:val="000000"/>
        </w:rPr>
        <w:t xml:space="preserve"> offers </w:t>
      </w:r>
      <w:r>
        <w:rPr>
          <w:color w:val="000000"/>
        </w:rPr>
        <w:t>efficacy for</w:t>
      </w:r>
      <w:r w:rsidRPr="00EE5BD7">
        <w:rPr>
          <w:color w:val="000000"/>
        </w:rPr>
        <w:t xml:space="preserve"> PRE </w:t>
      </w:r>
      <w:r>
        <w:rPr>
          <w:color w:val="000000"/>
        </w:rPr>
        <w:t>control of</w:t>
      </w:r>
      <w:r w:rsidRPr="00EE5BD7">
        <w:rPr>
          <w:color w:val="000000"/>
        </w:rPr>
        <w:t xml:space="preserve"> </w:t>
      </w:r>
      <w:r w:rsidRPr="00EE5BD7">
        <w:rPr>
          <w:i/>
          <w:iCs/>
          <w:color w:val="000000"/>
        </w:rPr>
        <w:t>Poa annua</w:t>
      </w:r>
      <w:r w:rsidRPr="00EE5BD7">
        <w:rPr>
          <w:color w:val="000000"/>
        </w:rPr>
        <w:t xml:space="preserve"> </w:t>
      </w:r>
      <w:r>
        <w:rPr>
          <w:color w:val="000000"/>
        </w:rPr>
        <w:t xml:space="preserve">L. </w:t>
      </w:r>
      <w:r w:rsidRPr="00EE5BD7">
        <w:rPr>
          <w:color w:val="000000"/>
        </w:rPr>
        <w:t>and smooth crabgrass [</w:t>
      </w:r>
      <w:proofErr w:type="spellStart"/>
      <w:r w:rsidRPr="00EE5BD7">
        <w:rPr>
          <w:i/>
          <w:iCs/>
          <w:color w:val="000000"/>
        </w:rPr>
        <w:t>Digitaria</w:t>
      </w:r>
      <w:proofErr w:type="spellEnd"/>
      <w:r w:rsidRPr="00EE5BD7">
        <w:rPr>
          <w:i/>
          <w:iCs/>
          <w:color w:val="000000"/>
        </w:rPr>
        <w:t xml:space="preserve"> </w:t>
      </w:r>
      <w:proofErr w:type="spellStart"/>
      <w:r w:rsidRPr="00EE5BD7">
        <w:rPr>
          <w:i/>
          <w:iCs/>
          <w:color w:val="000000"/>
        </w:rPr>
        <w:t>ischaemum</w:t>
      </w:r>
      <w:proofErr w:type="spellEnd"/>
      <w:r w:rsidRPr="00EE5BD7">
        <w:rPr>
          <w:color w:val="000000"/>
        </w:rPr>
        <w:t xml:space="preserve"> (</w:t>
      </w:r>
      <w:proofErr w:type="spellStart"/>
      <w:r w:rsidRPr="00EE5BD7">
        <w:rPr>
          <w:color w:val="000000"/>
        </w:rPr>
        <w:t>Schreb</w:t>
      </w:r>
      <w:proofErr w:type="spellEnd"/>
      <w:r w:rsidRPr="00EE5BD7">
        <w:rPr>
          <w:color w:val="000000"/>
        </w:rPr>
        <w:t xml:space="preserve">.) </w:t>
      </w:r>
      <w:proofErr w:type="spellStart"/>
      <w:r w:rsidRPr="00EE5BD7">
        <w:rPr>
          <w:color w:val="000000"/>
        </w:rPr>
        <w:t>Schreb</w:t>
      </w:r>
      <w:proofErr w:type="spellEnd"/>
      <w:r w:rsidRPr="00EE5BD7">
        <w:rPr>
          <w:color w:val="000000"/>
        </w:rPr>
        <w:t xml:space="preserve">. </w:t>
      </w:r>
      <w:proofErr w:type="spellStart"/>
      <w:r w:rsidRPr="00EE5BD7">
        <w:rPr>
          <w:color w:val="000000"/>
        </w:rPr>
        <w:t>ex Muhl</w:t>
      </w:r>
      <w:proofErr w:type="spellEnd"/>
      <w:r w:rsidRPr="00EE5BD7">
        <w:rPr>
          <w:color w:val="000000"/>
        </w:rPr>
        <w:t xml:space="preserve">.] </w:t>
      </w:r>
      <w:r>
        <w:rPr>
          <w:color w:val="000000"/>
        </w:rPr>
        <w:t xml:space="preserve">in turfgrass for </w:t>
      </w:r>
      <w:r w:rsidRPr="00EE5BD7">
        <w:rPr>
          <w:color w:val="000000"/>
        </w:rPr>
        <w:t>11 to 13 weeks</w:t>
      </w:r>
      <w:r>
        <w:rPr>
          <w:color w:val="000000"/>
        </w:rPr>
        <w:t xml:space="preserve"> </w:t>
      </w:r>
      <w:r w:rsidRPr="00A6118F">
        <w:rPr>
          <w:color w:val="000000"/>
        </w:rPr>
        <w:t>when applied at 400 g ai ha</w:t>
      </w:r>
      <w:r w:rsidRPr="00A6118F">
        <w:rPr>
          <w:color w:val="000000"/>
          <w:vertAlign w:val="superscript"/>
        </w:rPr>
        <w:t>-1</w:t>
      </w:r>
      <w:r>
        <w:rPr>
          <w:color w:val="000000"/>
        </w:rPr>
        <w:t xml:space="preserve"> (Pritchard et al. 202</w:t>
      </w:r>
      <w:r w:rsidR="008B61C9">
        <w:rPr>
          <w:color w:val="000000"/>
        </w:rPr>
        <w:t>5)</w:t>
      </w:r>
      <w:r>
        <w:rPr>
          <w:color w:val="000000"/>
        </w:rPr>
        <w:t xml:space="preserve">. Warm-season turfgrass species including hybrid bermudagrass </w:t>
      </w:r>
      <w:r w:rsidRPr="0064799F">
        <w:rPr>
          <w:color w:val="000000" w:themeColor="text1"/>
        </w:rPr>
        <w:t>[</w:t>
      </w:r>
      <w:r w:rsidRPr="0064799F">
        <w:rPr>
          <w:i/>
          <w:iCs/>
          <w:color w:val="000000" w:themeColor="text1"/>
        </w:rPr>
        <w:t>C. dactylon</w:t>
      </w:r>
      <w:r w:rsidRPr="0064799F">
        <w:rPr>
          <w:color w:val="000000" w:themeColor="text1"/>
        </w:rPr>
        <w:t xml:space="preserve"> (L.) Pers. x </w:t>
      </w:r>
      <w:r w:rsidRPr="0064799F">
        <w:rPr>
          <w:i/>
          <w:iCs/>
          <w:color w:val="000000" w:themeColor="text1"/>
        </w:rPr>
        <w:t xml:space="preserve">C. </w:t>
      </w:r>
      <w:proofErr w:type="spellStart"/>
      <w:r w:rsidRPr="0064799F">
        <w:rPr>
          <w:i/>
          <w:iCs/>
          <w:color w:val="000000" w:themeColor="text1"/>
        </w:rPr>
        <w:t>transvaalensis</w:t>
      </w:r>
      <w:proofErr w:type="spellEnd"/>
      <w:r w:rsidRPr="0064799F">
        <w:rPr>
          <w:color w:val="000000" w:themeColor="text1"/>
        </w:rPr>
        <w:t xml:space="preserve"> Burtt-Davy</w:t>
      </w:r>
      <w:r>
        <w:rPr>
          <w:color w:val="000000" w:themeColor="text1"/>
        </w:rPr>
        <w:t>] and</w:t>
      </w:r>
      <w:r>
        <w:rPr>
          <w:color w:val="000000"/>
        </w:rPr>
        <w:t xml:space="preserve"> </w:t>
      </w:r>
      <w:proofErr w:type="spellStart"/>
      <w:r>
        <w:rPr>
          <w:color w:val="000000"/>
        </w:rPr>
        <w:t>manilagrass</w:t>
      </w:r>
      <w:proofErr w:type="spellEnd"/>
      <w:r>
        <w:rPr>
          <w:color w:val="000000"/>
        </w:rPr>
        <w:t xml:space="preserve"> </w:t>
      </w:r>
      <w:r w:rsidRPr="0064799F">
        <w:rPr>
          <w:color w:val="000000" w:themeColor="text1"/>
        </w:rPr>
        <w:t>(</w:t>
      </w:r>
      <w:r w:rsidRPr="0064799F">
        <w:rPr>
          <w:i/>
          <w:iCs/>
          <w:color w:val="000000" w:themeColor="text1"/>
        </w:rPr>
        <w:t xml:space="preserve">Zoysia </w:t>
      </w:r>
      <w:proofErr w:type="spellStart"/>
      <w:r w:rsidRPr="0064799F">
        <w:rPr>
          <w:i/>
          <w:iCs/>
          <w:color w:val="000000" w:themeColor="text1"/>
        </w:rPr>
        <w:t>matrella</w:t>
      </w:r>
      <w:proofErr w:type="spellEnd"/>
      <w:r w:rsidRPr="0064799F">
        <w:rPr>
          <w:color w:val="000000" w:themeColor="text1"/>
        </w:rPr>
        <w:t xml:space="preserve"> L. </w:t>
      </w:r>
      <w:proofErr w:type="spellStart"/>
      <w:r w:rsidRPr="0064799F">
        <w:rPr>
          <w:color w:val="000000" w:themeColor="text1"/>
        </w:rPr>
        <w:t>Merr</w:t>
      </w:r>
      <w:proofErr w:type="spellEnd"/>
      <w:r w:rsidRPr="0064799F">
        <w:rPr>
          <w:color w:val="000000" w:themeColor="text1"/>
        </w:rPr>
        <w:t>.</w:t>
      </w:r>
      <w:r>
        <w:rPr>
          <w:color w:val="000000" w:themeColor="text1"/>
        </w:rPr>
        <w:t xml:space="preserve">) were more tolerant to tetflupyrolimet than cool-season grasses including </w:t>
      </w:r>
      <w:r>
        <w:rPr>
          <w:color w:val="000000"/>
        </w:rPr>
        <w:t xml:space="preserve">tall fescue </w:t>
      </w:r>
      <w:r w:rsidRPr="0064799F">
        <w:rPr>
          <w:color w:val="000000" w:themeColor="text1"/>
        </w:rPr>
        <w:t>(</w:t>
      </w:r>
      <w:r w:rsidRPr="0064799F">
        <w:rPr>
          <w:i/>
          <w:iCs/>
          <w:color w:val="000000" w:themeColor="text1"/>
        </w:rPr>
        <w:t>Festuca arundinacea</w:t>
      </w:r>
      <w:r w:rsidRPr="0064799F">
        <w:rPr>
          <w:color w:val="000000" w:themeColor="text1"/>
        </w:rPr>
        <w:t xml:space="preserve"> </w:t>
      </w:r>
      <w:proofErr w:type="spellStart"/>
      <w:r w:rsidRPr="0064799F">
        <w:rPr>
          <w:color w:val="000000" w:themeColor="text1"/>
        </w:rPr>
        <w:t>Schreb</w:t>
      </w:r>
      <w:proofErr w:type="spellEnd"/>
      <w:r w:rsidRPr="0064799F">
        <w:rPr>
          <w:color w:val="000000" w:themeColor="text1"/>
        </w:rPr>
        <w:t>.</w:t>
      </w:r>
      <w:r>
        <w:rPr>
          <w:color w:val="000000" w:themeColor="text1"/>
        </w:rPr>
        <w:t>)</w:t>
      </w:r>
      <w:r>
        <w:rPr>
          <w:color w:val="000000"/>
        </w:rPr>
        <w:t xml:space="preserve">, creeping bentgrass </w:t>
      </w:r>
      <w:r w:rsidRPr="0064799F">
        <w:rPr>
          <w:color w:val="000000" w:themeColor="text1"/>
        </w:rPr>
        <w:t>(</w:t>
      </w:r>
      <w:r w:rsidRPr="0064799F">
        <w:rPr>
          <w:i/>
          <w:iCs/>
          <w:color w:val="000000" w:themeColor="text1"/>
        </w:rPr>
        <w:t>Agrostis stolonifera</w:t>
      </w:r>
      <w:r w:rsidRPr="0064799F">
        <w:rPr>
          <w:color w:val="000000" w:themeColor="text1"/>
        </w:rPr>
        <w:t xml:space="preserve"> L.</w:t>
      </w:r>
      <w:r>
        <w:rPr>
          <w:color w:val="000000" w:themeColor="text1"/>
        </w:rPr>
        <w:t>)</w:t>
      </w:r>
      <w:r>
        <w:rPr>
          <w:color w:val="000000"/>
        </w:rPr>
        <w:t>, and Kentucky bluegrass (</w:t>
      </w:r>
      <w:r w:rsidRPr="0064799F">
        <w:rPr>
          <w:i/>
          <w:iCs/>
          <w:color w:val="000000" w:themeColor="text1"/>
        </w:rPr>
        <w:t>Poa pratensis</w:t>
      </w:r>
      <w:r w:rsidRPr="0064799F">
        <w:rPr>
          <w:color w:val="000000" w:themeColor="text1"/>
        </w:rPr>
        <w:t xml:space="preserve"> L.</w:t>
      </w:r>
      <w:r>
        <w:rPr>
          <w:color w:val="000000" w:themeColor="text1"/>
        </w:rPr>
        <w:t xml:space="preserve">) </w:t>
      </w:r>
      <w:r>
        <w:rPr>
          <w:color w:val="000000"/>
        </w:rPr>
        <w:t>(Pritchard et al. 202</w:t>
      </w:r>
      <w:r w:rsidR="00577BCF">
        <w:rPr>
          <w:color w:val="000000"/>
        </w:rPr>
        <w:t>5</w:t>
      </w:r>
      <w:r>
        <w:rPr>
          <w:color w:val="000000"/>
        </w:rPr>
        <w:t>)</w:t>
      </w:r>
      <w:r>
        <w:rPr>
          <w:color w:val="000000" w:themeColor="text1"/>
        </w:rPr>
        <w:t xml:space="preserve">. Hybrid bermudagrass and </w:t>
      </w:r>
      <w:proofErr w:type="spellStart"/>
      <w:r>
        <w:rPr>
          <w:color w:val="000000" w:themeColor="text1"/>
        </w:rPr>
        <w:t>manilagrass</w:t>
      </w:r>
      <w:proofErr w:type="spellEnd"/>
      <w:r>
        <w:rPr>
          <w:color w:val="000000"/>
        </w:rPr>
        <w:t xml:space="preserve"> were tolerant to tetflupyrolimet </w:t>
      </w:r>
      <w:r w:rsidR="00D97887">
        <w:rPr>
          <w:color w:val="000000"/>
        </w:rPr>
        <w:t xml:space="preserve">as high as </w:t>
      </w:r>
      <w:r>
        <w:rPr>
          <w:color w:val="000000"/>
        </w:rPr>
        <w:t>3200 g</w:t>
      </w:r>
      <w:r w:rsidR="00D97887">
        <w:rPr>
          <w:color w:val="000000"/>
        </w:rPr>
        <w:t xml:space="preserve"> ai</w:t>
      </w:r>
      <w:r>
        <w:rPr>
          <w:color w:val="000000"/>
        </w:rPr>
        <w:t xml:space="preserve"> ha</w:t>
      </w:r>
      <w:r w:rsidRPr="0097275B">
        <w:rPr>
          <w:color w:val="000000"/>
          <w:vertAlign w:val="superscript"/>
        </w:rPr>
        <w:t>-</w:t>
      </w:r>
      <w:r>
        <w:rPr>
          <w:color w:val="000000"/>
          <w:vertAlign w:val="superscript"/>
        </w:rPr>
        <w:t xml:space="preserve">1 </w:t>
      </w:r>
      <w:r>
        <w:rPr>
          <w:color w:val="000000"/>
        </w:rPr>
        <w:t xml:space="preserve">across several </w:t>
      </w:r>
      <w:r w:rsidRPr="00487B1D">
        <w:rPr>
          <w:color w:val="000000"/>
        </w:rPr>
        <w:t>he</w:t>
      </w:r>
      <w:r w:rsidRPr="000D11A1">
        <w:rPr>
          <w:color w:val="000000"/>
        </w:rPr>
        <w:t>ights of cut</w:t>
      </w:r>
      <w:r>
        <w:rPr>
          <w:color w:val="000000"/>
          <w:vertAlign w:val="superscript"/>
        </w:rPr>
        <w:t xml:space="preserve"> </w:t>
      </w:r>
      <w:r>
        <w:rPr>
          <w:color w:val="000000"/>
        </w:rPr>
        <w:t>(Pritchard et al. 202</w:t>
      </w:r>
      <w:r w:rsidR="00036998">
        <w:rPr>
          <w:color w:val="000000"/>
        </w:rPr>
        <w:t>5</w:t>
      </w:r>
      <w:r>
        <w:rPr>
          <w:color w:val="000000"/>
        </w:rPr>
        <w:t xml:space="preserve">). A unique mode-of-action herbicide, tetflupyrolimet </w:t>
      </w:r>
      <w:r>
        <w:rPr>
          <w:color w:val="000000" w:themeColor="text1"/>
        </w:rPr>
        <w:t xml:space="preserve">offers a potential solution for managing herbicide-resistant </w:t>
      </w:r>
      <w:r w:rsidRPr="000D11A1">
        <w:rPr>
          <w:i/>
          <w:iCs/>
          <w:color w:val="000000" w:themeColor="text1"/>
        </w:rPr>
        <w:t>Poa annua</w:t>
      </w:r>
      <w:r>
        <w:rPr>
          <w:color w:val="000000" w:themeColor="text1"/>
        </w:rPr>
        <w:t xml:space="preserve"> in warm-season turfgrass (Allen et al. 2022).</w:t>
      </w:r>
    </w:p>
    <w:p w14:paraId="1ABD2361" w14:textId="727FE6EC" w:rsidR="00B63A91" w:rsidRDefault="00B63A91" w:rsidP="008225D1">
      <w:pPr>
        <w:spacing w:line="360" w:lineRule="auto"/>
        <w:contextualSpacing/>
        <w:rPr>
          <w:color w:val="000000"/>
        </w:rPr>
      </w:pPr>
      <w:r>
        <w:rPr>
          <w:color w:val="000000"/>
        </w:rPr>
        <w:tab/>
        <w:t>Tetflupyrolimet affinity for organic carbon in soil is lower (K</w:t>
      </w:r>
      <w:r w:rsidRPr="00F22A67">
        <w:rPr>
          <w:color w:val="000000"/>
          <w:vertAlign w:val="subscript"/>
        </w:rPr>
        <w:t>OC</w:t>
      </w:r>
      <w:r>
        <w:rPr>
          <w:color w:val="000000"/>
        </w:rPr>
        <w:t xml:space="preserve"> = </w:t>
      </w:r>
      <w:r w:rsidRPr="001828C9">
        <w:rPr>
          <w:color w:val="000000"/>
        </w:rPr>
        <w:t>658 to 1131 mL g⁻¹</w:t>
      </w:r>
      <w:r>
        <w:rPr>
          <w:color w:val="000000"/>
        </w:rPr>
        <w:t xml:space="preserve">) than other herbicides used for residual weed control in turfgrass such as pendimethalin (17200 </w:t>
      </w:r>
      <w:r w:rsidRPr="001828C9">
        <w:rPr>
          <w:color w:val="000000"/>
        </w:rPr>
        <w:t>mL g⁻¹</w:t>
      </w:r>
      <w:r>
        <w:rPr>
          <w:color w:val="000000"/>
        </w:rPr>
        <w:t>) and prodiamine (13000 mL g</w:t>
      </w:r>
      <w:r>
        <w:rPr>
          <w:color w:val="000000"/>
          <w:vertAlign w:val="superscript"/>
        </w:rPr>
        <w:t>-1</w:t>
      </w:r>
      <w:r>
        <w:rPr>
          <w:color w:val="000000"/>
        </w:rPr>
        <w:t>), suggesting that it could potentially move downslope when subjected to surface flow of water from rainfall or irrigation</w:t>
      </w:r>
      <w:r w:rsidR="00B12B64">
        <w:rPr>
          <w:color w:val="000000"/>
        </w:rPr>
        <w:t xml:space="preserve"> (Senseman 2007; A. Puri personal comm.)</w:t>
      </w:r>
      <w:r>
        <w:rPr>
          <w:color w:val="000000"/>
        </w:rPr>
        <w:t xml:space="preserve">. Additionally, tetflupyrolimet activity in sand </w:t>
      </w:r>
      <w:r w:rsidR="009E76B4">
        <w:rPr>
          <w:color w:val="000000"/>
        </w:rPr>
        <w:t>is</w:t>
      </w:r>
      <w:r>
        <w:rPr>
          <w:color w:val="000000"/>
        </w:rPr>
        <w:t xml:space="preserve"> 6 to 8-fold greater than clay loam, likely due to water being more accessible in coarser textured mediums (Pritchard et al. 2025). K</w:t>
      </w:r>
      <w:r>
        <w:rPr>
          <w:color w:val="000000"/>
          <w:vertAlign w:val="subscript"/>
        </w:rPr>
        <w:t xml:space="preserve">OC </w:t>
      </w:r>
      <w:r>
        <w:rPr>
          <w:color w:val="000000"/>
        </w:rPr>
        <w:t xml:space="preserve">values for tetflupyrolimet are similar to those reported for </w:t>
      </w:r>
      <w:proofErr w:type="spellStart"/>
      <w:r>
        <w:rPr>
          <w:color w:val="000000"/>
        </w:rPr>
        <w:t>pronamide</w:t>
      </w:r>
      <w:proofErr w:type="spellEnd"/>
      <w:r>
        <w:rPr>
          <w:color w:val="000000"/>
        </w:rPr>
        <w:t xml:space="preserve"> (540 to 1348 mL g</w:t>
      </w:r>
      <w:r w:rsidRPr="000D11A1">
        <w:rPr>
          <w:color w:val="000000"/>
          <w:vertAlign w:val="superscript"/>
        </w:rPr>
        <w:t>-1</w:t>
      </w:r>
      <w:r>
        <w:rPr>
          <w:color w:val="000000"/>
        </w:rPr>
        <w:t>) and only slightly greater than trifloxysulfuron (29 to 574 mL g</w:t>
      </w:r>
      <w:r w:rsidRPr="000D11A1">
        <w:rPr>
          <w:color w:val="000000"/>
          <w:vertAlign w:val="superscript"/>
        </w:rPr>
        <w:t>-1</w:t>
      </w:r>
      <w:r>
        <w:rPr>
          <w:color w:val="000000"/>
        </w:rPr>
        <w:t xml:space="preserve">), two herbicides that have been observed to move downslope following rainfall (Leon et al. 2016; LeCompte 2023; Senseman 2007). </w:t>
      </w:r>
    </w:p>
    <w:p w14:paraId="5BCD8AD2" w14:textId="1E698D2F" w:rsidR="00FF5005" w:rsidRDefault="00B63A91" w:rsidP="000C799B">
      <w:pPr>
        <w:spacing w:line="360" w:lineRule="auto"/>
        <w:ind w:firstLine="720"/>
        <w:contextualSpacing/>
        <w:rPr>
          <w:color w:val="000000"/>
        </w:rPr>
      </w:pPr>
      <w:r>
        <w:rPr>
          <w:color w:val="000000"/>
        </w:rPr>
        <w:t>Lateral movement of tetflupyrolimet could be a concern in</w:t>
      </w:r>
      <w:r w:rsidRPr="00FC0A43">
        <w:rPr>
          <w:color w:val="000000"/>
        </w:rPr>
        <w:t xml:space="preserve"> the transition zone </w:t>
      </w:r>
      <w:r>
        <w:rPr>
          <w:color w:val="000000"/>
        </w:rPr>
        <w:t>where</w:t>
      </w:r>
      <w:r w:rsidRPr="00FC0A43">
        <w:rPr>
          <w:color w:val="000000"/>
        </w:rPr>
        <w:t xml:space="preserve"> warm-season and cool-season turfgrass species coexist in various environments, </w:t>
      </w:r>
      <w:r>
        <w:rPr>
          <w:color w:val="000000"/>
        </w:rPr>
        <w:t>particularly</w:t>
      </w:r>
      <w:r w:rsidRPr="00FC0A43">
        <w:rPr>
          <w:color w:val="000000"/>
        </w:rPr>
        <w:t xml:space="preserve"> golf courses</w:t>
      </w:r>
      <w:r>
        <w:rPr>
          <w:color w:val="000000"/>
        </w:rPr>
        <w:t xml:space="preserve"> (Shaddox et al. 2023). However, downslope movement potential of tetflupyrolimet has </w:t>
      </w:r>
      <w:r>
        <w:rPr>
          <w:color w:val="000000"/>
        </w:rPr>
        <w:lastRenderedPageBreak/>
        <w:t>not yet been evaluated. Considering that minimizing pesticide loss is essential towards maximizing the ecosystem services offered from managed turfgrass stands (Braun et al. 2023), p</w:t>
      </w:r>
      <w:r w:rsidRPr="00F167D1">
        <w:rPr>
          <w:color w:val="000000"/>
        </w:rPr>
        <w:t>roactive stewardship of</w:t>
      </w:r>
      <w:r>
        <w:rPr>
          <w:color w:val="000000"/>
        </w:rPr>
        <w:t xml:space="preserve"> new</w:t>
      </w:r>
      <w:r w:rsidRPr="00F167D1">
        <w:rPr>
          <w:color w:val="000000"/>
        </w:rPr>
        <w:t xml:space="preserve"> herbicides</w:t>
      </w:r>
      <w:r>
        <w:rPr>
          <w:color w:val="000000"/>
        </w:rPr>
        <w:t xml:space="preserve"> such as tetflupyrolimet</w:t>
      </w:r>
      <w:r w:rsidRPr="00F167D1">
        <w:rPr>
          <w:color w:val="000000"/>
        </w:rPr>
        <w:t xml:space="preserve"> is </w:t>
      </w:r>
      <w:r>
        <w:rPr>
          <w:color w:val="000000"/>
        </w:rPr>
        <w:t>warranted given the key role the active ingredient may play in addressing</w:t>
      </w:r>
      <w:r w:rsidRPr="00F167D1">
        <w:rPr>
          <w:color w:val="000000"/>
        </w:rPr>
        <w:t xml:space="preserve"> </w:t>
      </w:r>
      <w:r>
        <w:rPr>
          <w:color w:val="000000"/>
        </w:rPr>
        <w:t xml:space="preserve">the </w:t>
      </w:r>
      <w:r w:rsidRPr="00F167D1">
        <w:rPr>
          <w:color w:val="000000"/>
        </w:rPr>
        <w:t>growing challenge of resistance management</w:t>
      </w:r>
      <w:r>
        <w:rPr>
          <w:color w:val="000000"/>
        </w:rPr>
        <w:t>. The objective of this research was to e</w:t>
      </w:r>
      <w:r w:rsidRPr="006029D0">
        <w:rPr>
          <w:color w:val="000000"/>
        </w:rPr>
        <w:t xml:space="preserve">valuate the downslope lateral movement </w:t>
      </w:r>
      <w:r>
        <w:rPr>
          <w:color w:val="000000"/>
        </w:rPr>
        <w:t>potential with</w:t>
      </w:r>
      <w:r w:rsidRPr="006029D0">
        <w:rPr>
          <w:color w:val="000000"/>
        </w:rPr>
        <w:t xml:space="preserve"> </w:t>
      </w:r>
      <w:proofErr w:type="spellStart"/>
      <w:r w:rsidRPr="006029D0">
        <w:rPr>
          <w:color w:val="000000"/>
        </w:rPr>
        <w:t>tetflupyrolimet</w:t>
      </w:r>
      <w:proofErr w:type="spellEnd"/>
      <w:r w:rsidRPr="006029D0">
        <w:rPr>
          <w:color w:val="000000"/>
        </w:rPr>
        <w:t xml:space="preserve"> compared to </w:t>
      </w:r>
      <w:proofErr w:type="spellStart"/>
      <w:r w:rsidRPr="006029D0">
        <w:rPr>
          <w:color w:val="000000"/>
        </w:rPr>
        <w:t>pronamide</w:t>
      </w:r>
      <w:proofErr w:type="spellEnd"/>
      <w:r w:rsidRPr="006029D0">
        <w:rPr>
          <w:color w:val="000000"/>
        </w:rPr>
        <w:t xml:space="preserve"> under two soil-moisture conditions.</w:t>
      </w:r>
      <w:r>
        <w:rPr>
          <w:color w:val="000000"/>
        </w:rPr>
        <w:t xml:space="preserve"> We hypothesized that tetflupyrolimet would move similarly to </w:t>
      </w:r>
      <w:proofErr w:type="spellStart"/>
      <w:r>
        <w:rPr>
          <w:color w:val="000000"/>
        </w:rPr>
        <w:t>pronamide</w:t>
      </w:r>
      <w:proofErr w:type="spellEnd"/>
      <w:r>
        <w:rPr>
          <w:color w:val="000000"/>
        </w:rPr>
        <w:t xml:space="preserve"> under both field capacity and saturated soil-moisture conditions.</w:t>
      </w:r>
      <w:bookmarkStart w:id="113" w:name="_Toc192781570"/>
    </w:p>
    <w:p w14:paraId="5D5F8153" w14:textId="77777777" w:rsidR="00FF5005" w:rsidRPr="00FF5005" w:rsidRDefault="006751B1" w:rsidP="00FF5005">
      <w:pPr>
        <w:spacing w:line="360" w:lineRule="auto"/>
        <w:contextualSpacing/>
        <w:jc w:val="center"/>
        <w:rPr>
          <w:b/>
          <w:bCs/>
        </w:rPr>
      </w:pPr>
      <w:r w:rsidRPr="00FF5005">
        <w:rPr>
          <w:b/>
          <w:bCs/>
        </w:rPr>
        <w:t>Materials and Methods</w:t>
      </w:r>
      <w:bookmarkStart w:id="114" w:name="_Toc192781571"/>
      <w:bookmarkEnd w:id="113"/>
    </w:p>
    <w:p w14:paraId="6F416B80" w14:textId="001915A1" w:rsidR="006751B1" w:rsidRPr="00FF5005" w:rsidRDefault="006751B1" w:rsidP="00FF5005">
      <w:pPr>
        <w:spacing w:line="360" w:lineRule="auto"/>
        <w:contextualSpacing/>
        <w:rPr>
          <w:b/>
          <w:bCs/>
          <w:i/>
          <w:iCs/>
          <w:color w:val="000000"/>
        </w:rPr>
      </w:pPr>
      <w:r w:rsidRPr="00FF5005">
        <w:rPr>
          <w:b/>
          <w:bCs/>
          <w:i/>
          <w:iCs/>
        </w:rPr>
        <w:t>Site Preparation</w:t>
      </w:r>
      <w:bookmarkEnd w:id="114"/>
    </w:p>
    <w:p w14:paraId="6382C019" w14:textId="50434ECD" w:rsidR="00DB3712" w:rsidRDefault="00DB3712" w:rsidP="008225D1">
      <w:pPr>
        <w:spacing w:line="360" w:lineRule="auto"/>
        <w:ind w:firstLine="720"/>
        <w:contextualSpacing/>
      </w:pPr>
      <w:bookmarkStart w:id="115" w:name="_Toc192781572"/>
      <w:r w:rsidRPr="00F65263">
        <w:t xml:space="preserve">Field experiments were initiated </w:t>
      </w:r>
      <w:r>
        <w:t xml:space="preserve">in </w:t>
      </w:r>
      <w:r w:rsidRPr="00F65263">
        <w:t>April 2023 and</w:t>
      </w:r>
      <w:r>
        <w:t xml:space="preserve"> </w:t>
      </w:r>
      <w:r w:rsidRPr="00F65263">
        <w:t xml:space="preserve">March 2024 at the North Carolina State University Lake Wheeler Turfgrass Field Lab (Raleigh, NC) </w:t>
      </w:r>
      <w:r>
        <w:t xml:space="preserve">characterizing downslope </w:t>
      </w:r>
      <w:r w:rsidRPr="00F65263">
        <w:t>lateral movement</w:t>
      </w:r>
      <w:r>
        <w:t xml:space="preserve"> of</w:t>
      </w:r>
      <w:r w:rsidRPr="00F65263">
        <w:t xml:space="preserve"> tetflupyrolimet (400 g ha</w:t>
      </w:r>
      <w:r w:rsidRPr="00F65263">
        <w:rPr>
          <w:vertAlign w:val="superscript"/>
        </w:rPr>
        <w:t>-1</w:t>
      </w:r>
      <w:r>
        <w:t xml:space="preserve">; </w:t>
      </w:r>
      <w:proofErr w:type="spellStart"/>
      <w:r w:rsidRPr="0040364B">
        <w:rPr>
          <w:color w:val="000000"/>
        </w:rPr>
        <w:t>Dodhylex</w:t>
      </w:r>
      <w:proofErr w:type="spellEnd"/>
      <w:r w:rsidRPr="0040364B">
        <w:rPr>
          <w:color w:val="000000"/>
        </w:rPr>
        <w:t>™ Active, FMC Corporation, Philadelphia, PA</w:t>
      </w:r>
      <w:r w:rsidRPr="00F65263">
        <w:t xml:space="preserve">) </w:t>
      </w:r>
      <w:r>
        <w:t xml:space="preserve">and </w:t>
      </w:r>
      <w:proofErr w:type="spellStart"/>
      <w:r w:rsidRPr="00F65263">
        <w:t>pronamide</w:t>
      </w:r>
      <w:proofErr w:type="spellEnd"/>
      <w:r w:rsidRPr="00F65263">
        <w:t xml:space="preserve"> (1160 g ha</w:t>
      </w:r>
      <w:r w:rsidRPr="00F65263">
        <w:rPr>
          <w:vertAlign w:val="superscript"/>
        </w:rPr>
        <w:t>-1</w:t>
      </w:r>
      <w:r>
        <w:t xml:space="preserve">; </w:t>
      </w:r>
      <w:proofErr w:type="spellStart"/>
      <w:r>
        <w:t>Kerb</w:t>
      </w:r>
      <w:proofErr w:type="spellEnd"/>
      <w:r w:rsidRPr="00E3452E">
        <w:rPr>
          <w:vertAlign w:val="superscript"/>
        </w:rPr>
        <w:t>®</w:t>
      </w:r>
      <w:r>
        <w:t xml:space="preserve"> SC T&amp;O, </w:t>
      </w:r>
      <w:r w:rsidR="002C5067">
        <w:t>Corteva Agriscience</w:t>
      </w:r>
      <w:r w:rsidRPr="00096D5A">
        <w:t>,</w:t>
      </w:r>
      <w:r w:rsidR="002C5067">
        <w:t xml:space="preserve"> Indianapolis, IN</w:t>
      </w:r>
      <w:r w:rsidRPr="00F65263">
        <w:t>)</w:t>
      </w:r>
      <w:r>
        <w:t xml:space="preserve"> compared to a non-treated control plot in</w:t>
      </w:r>
      <w:r w:rsidRPr="00073CA9">
        <w:t xml:space="preserve"> </w:t>
      </w:r>
      <w:r w:rsidRPr="00F65263">
        <w:t>each of four completely randomized replications.</w:t>
      </w:r>
      <w:r>
        <w:t xml:space="preserve"> Each year, two separate experiments were conducted under different soil-moisture conditions. All experiments were conducted upon </w:t>
      </w:r>
      <w:r w:rsidRPr="00F65263">
        <w:t>a sloped (9.5%) plot</w:t>
      </w:r>
      <w:r>
        <w:t xml:space="preserve"> (30.5 by 15.2 m</w:t>
      </w:r>
      <w:r w:rsidRPr="00147599">
        <w:rPr>
          <w:vertAlign w:val="superscript"/>
        </w:rPr>
        <w:t>2</w:t>
      </w:r>
      <w:r>
        <w:t>)</w:t>
      </w:r>
      <w:r w:rsidRPr="00F65263">
        <w:t xml:space="preserve"> of </w:t>
      </w:r>
      <w:r>
        <w:t xml:space="preserve">dormant </w:t>
      </w:r>
      <w:r w:rsidRPr="00F65263">
        <w:t>hybrid bermudagrass established on</w:t>
      </w:r>
      <w:r>
        <w:t xml:space="preserve"> a</w:t>
      </w:r>
      <w:r w:rsidRPr="00F65263">
        <w:t xml:space="preserve"> Cecil sandy loam </w:t>
      </w:r>
      <w:r>
        <w:t>(</w:t>
      </w:r>
      <w:r w:rsidRPr="003C34BC">
        <w:rPr>
          <w:b/>
          <w:bCs/>
        </w:rPr>
        <w:t xml:space="preserve">Table </w:t>
      </w:r>
      <w:r w:rsidR="001B64D6" w:rsidRPr="003C34BC">
        <w:rPr>
          <w:b/>
          <w:bCs/>
        </w:rPr>
        <w:t>3.1</w:t>
      </w:r>
      <w:r w:rsidR="00010366">
        <w:t xml:space="preserve">; </w:t>
      </w:r>
      <w:r w:rsidR="00010366">
        <w:rPr>
          <w:rFonts w:cs="Times New Roman"/>
          <w:color w:val="000000" w:themeColor="text1"/>
        </w:rPr>
        <w:t>All tables and figures can be found in the appendix at the end of the chapter)</w:t>
      </w:r>
      <w:r w:rsidRPr="00F65263">
        <w:t>.</w:t>
      </w:r>
      <w:r>
        <w:t xml:space="preserve"> Glufosinate </w:t>
      </w:r>
      <w:r w:rsidRPr="00096D5A">
        <w:t>(Finale</w:t>
      </w:r>
      <w:r w:rsidRPr="00096D5A">
        <w:rPr>
          <w:vertAlign w:val="superscript"/>
        </w:rPr>
        <w:t>®</w:t>
      </w:r>
      <w:r w:rsidRPr="00096D5A">
        <w:t xml:space="preserve"> XL T&amp;O, BASF Corporation, </w:t>
      </w:r>
      <w:r w:rsidR="0003593A">
        <w:t>Research Park Triangle, NC</w:t>
      </w:r>
      <w:r w:rsidRPr="00096D5A">
        <w:t>)</w:t>
      </w:r>
      <w:r>
        <w:t xml:space="preserve"> was applied to the trial site on 14 March and 3 April 2023 at 11300 g ha</w:t>
      </w:r>
      <w:r w:rsidRPr="001805B0">
        <w:rPr>
          <w:vertAlign w:val="superscript"/>
        </w:rPr>
        <w:t>-1</w:t>
      </w:r>
      <w:r>
        <w:t xml:space="preserve"> to remove perennial ryegrass (</w:t>
      </w:r>
      <w:r w:rsidRPr="00976B7D">
        <w:rPr>
          <w:i/>
          <w:iCs/>
        </w:rPr>
        <w:t>Lolium perenne</w:t>
      </w:r>
      <w:r>
        <w:t>) that had been established prior to initiating this research. In the second year of the study, these glufosinate applications were made on 14 and 28 February 2024.</w:t>
      </w:r>
    </w:p>
    <w:p w14:paraId="37860111" w14:textId="02491103" w:rsidR="00FF5005" w:rsidRDefault="00DB3712" w:rsidP="000C799B">
      <w:pPr>
        <w:spacing w:line="360" w:lineRule="auto"/>
        <w:ind w:firstLine="720"/>
      </w:pPr>
      <w:r>
        <w:t>The day prior to initiating each experiment, hybrid bermudagrass was scalped down to 2.5 cm with clippings removed via backpack blower (BR 800 X Magnum Commercial Backpack Blower. STIHL USA. Virgin</w:t>
      </w:r>
      <w:r w:rsidR="00F327C9">
        <w:t>i</w:t>
      </w:r>
      <w:r>
        <w:t>a Beach, VA). The two soil-moisture conditions targeted were</w:t>
      </w:r>
      <w:r w:rsidRPr="00F65263">
        <w:t xml:space="preserve"> field capacity </w:t>
      </w:r>
      <w:r>
        <w:t>[</w:t>
      </w:r>
      <w:r w:rsidRPr="00693BD6">
        <w:rPr>
          <w:b/>
          <w:bCs/>
        </w:rPr>
        <w:t>≈</w:t>
      </w:r>
      <w:r w:rsidRPr="00F65263">
        <w:t xml:space="preserve"> 34%</w:t>
      </w:r>
      <w:r>
        <w:t xml:space="preserve"> volumetric water content (VWC</w:t>
      </w:r>
      <w:r w:rsidRPr="00F65263">
        <w:t>)</w:t>
      </w:r>
      <w:r>
        <w:t>]</w:t>
      </w:r>
      <w:r w:rsidRPr="00F65263">
        <w:t xml:space="preserve"> and saturation (</w:t>
      </w:r>
      <w:r w:rsidRPr="00693BD6">
        <w:rPr>
          <w:b/>
          <w:bCs/>
        </w:rPr>
        <w:t>≈</w:t>
      </w:r>
      <w:r w:rsidRPr="00F65263">
        <w:t xml:space="preserve"> 46%</w:t>
      </w:r>
      <w:r>
        <w:t xml:space="preserve"> VWC</w:t>
      </w:r>
      <w:r w:rsidRPr="00F65263">
        <w:t>)</w:t>
      </w:r>
      <w:r>
        <w:t>. The field capacity block (15.2 m</w:t>
      </w:r>
      <w:r w:rsidRPr="009C2D9D">
        <w:rPr>
          <w:vertAlign w:val="superscript"/>
        </w:rPr>
        <w:t>2</w:t>
      </w:r>
      <w:r>
        <w:t>) was oriented upslope of the saturation block (15.2 m</w:t>
      </w:r>
      <w:r w:rsidRPr="009C2D9D">
        <w:rPr>
          <w:vertAlign w:val="superscript"/>
        </w:rPr>
        <w:t>2</w:t>
      </w:r>
      <w:r>
        <w:t xml:space="preserve">). Both soil-moisture blocks were brought to saturation </w:t>
      </w:r>
      <w:r w:rsidRPr="00F65263">
        <w:t>(</w:t>
      </w:r>
      <w:r w:rsidRPr="00693BD6">
        <w:rPr>
          <w:b/>
          <w:bCs/>
        </w:rPr>
        <w:t>≈</w:t>
      </w:r>
      <w:r w:rsidRPr="00F65263">
        <w:t xml:space="preserve"> 46%)</w:t>
      </w:r>
      <w:r>
        <w:t xml:space="preserve"> 24 hours before herbicide application via overhead irrigation. The field capacity block did not receive any additional irrigation whereas the saturation block was irrigated overnight every hour to maintain VWC at [</w:t>
      </w:r>
      <w:r w:rsidRPr="00693BD6">
        <w:rPr>
          <w:b/>
          <w:bCs/>
        </w:rPr>
        <w:t>≈</w:t>
      </w:r>
      <w:r w:rsidRPr="00F65263">
        <w:t xml:space="preserve"> </w:t>
      </w:r>
      <w:r>
        <w:t xml:space="preserve">46%]. Soil moisture </w:t>
      </w:r>
      <w:r>
        <w:lastRenderedPageBreak/>
        <w:t>in each block was determined via a thirty-sample average of VWC the morning of herbicide treatment using a soil moisture meter (</w:t>
      </w:r>
      <w:proofErr w:type="spellStart"/>
      <w:r>
        <w:t>Fieldscout</w:t>
      </w:r>
      <w:proofErr w:type="spellEnd"/>
      <w:r>
        <w:t>™ TDR 300 Soil Moisture Meter, Spectrum Technologies, Inc., Bridgend, UK) fitted with 7.6 cm probes. Prior to herbicide treatment on the morning of 13 April 2023 and 13 March 2024, ‘Champion GQ’ perennial ryegrass was seeded at 732 kg ha</w:t>
      </w:r>
      <w:r w:rsidRPr="001A21D9">
        <w:rPr>
          <w:vertAlign w:val="superscript"/>
        </w:rPr>
        <w:t>-1</w:t>
      </w:r>
      <w:r>
        <w:t xml:space="preserve"> across the entire experimental area as an indicator species of downslope lateral movement after herbicide application</w:t>
      </w:r>
      <w:r w:rsidR="00FF5005">
        <w:t>.</w:t>
      </w:r>
    </w:p>
    <w:p w14:paraId="21D50994" w14:textId="59A20426" w:rsidR="006751B1" w:rsidRPr="00FF5005" w:rsidRDefault="006751B1" w:rsidP="00FF5005">
      <w:pPr>
        <w:spacing w:line="360" w:lineRule="auto"/>
        <w:rPr>
          <w:b/>
          <w:bCs/>
          <w:i/>
          <w:iCs/>
        </w:rPr>
      </w:pPr>
      <w:r w:rsidRPr="00FF5005">
        <w:rPr>
          <w:b/>
          <w:bCs/>
          <w:i/>
          <w:iCs/>
        </w:rPr>
        <w:t>Downslope Lateral Movement</w:t>
      </w:r>
      <w:bookmarkEnd w:id="115"/>
    </w:p>
    <w:p w14:paraId="313BFBD0" w14:textId="481E4DCC" w:rsidR="00FF5005" w:rsidRDefault="00DB3712" w:rsidP="000C799B">
      <w:pPr>
        <w:spacing w:line="360" w:lineRule="auto"/>
        <w:ind w:firstLine="720"/>
      </w:pPr>
      <w:r>
        <w:t>Herbicides were applied on 13 April 2023 and 13 March 2024 to treated plots (2.2 m</w:t>
      </w:r>
      <w:r w:rsidRPr="00663E5E">
        <w:rPr>
          <w:vertAlign w:val="superscript"/>
        </w:rPr>
        <w:t>2</w:t>
      </w:r>
      <w:r>
        <w:t>) upslope of lateral movement areas (8.6 m</w:t>
      </w:r>
      <w:r w:rsidRPr="00663E5E">
        <w:rPr>
          <w:vertAlign w:val="superscript"/>
        </w:rPr>
        <w:t>2</w:t>
      </w:r>
      <w:r>
        <w:t>) used for data collection. T</w:t>
      </w:r>
      <w:r w:rsidRPr="00F65263">
        <w:t>etflupyrolimet (400 g ha</w:t>
      </w:r>
      <w:r w:rsidRPr="00F65263">
        <w:rPr>
          <w:vertAlign w:val="superscript"/>
        </w:rPr>
        <w:t>-1</w:t>
      </w:r>
      <w:r w:rsidRPr="00F65263">
        <w:t xml:space="preserve">) </w:t>
      </w:r>
      <w:r>
        <w:t xml:space="preserve">and </w:t>
      </w:r>
      <w:proofErr w:type="spellStart"/>
      <w:r w:rsidRPr="00F65263">
        <w:t>pronamide</w:t>
      </w:r>
      <w:proofErr w:type="spellEnd"/>
      <w:r w:rsidRPr="00F65263">
        <w:t xml:space="preserve"> (1160 g ha</w:t>
      </w:r>
      <w:r w:rsidRPr="00F65263">
        <w:rPr>
          <w:vertAlign w:val="superscript"/>
        </w:rPr>
        <w:t>-1</w:t>
      </w:r>
      <w:r w:rsidRPr="00F65263">
        <w:t>)</w:t>
      </w:r>
      <w:r w:rsidRPr="003B0037">
        <w:t xml:space="preserve"> were applied with a CO</w:t>
      </w:r>
      <w:r w:rsidRPr="003B0037">
        <w:rPr>
          <w:vertAlign w:val="subscript"/>
        </w:rPr>
        <w:t>2</w:t>
      </w:r>
      <w:r w:rsidRPr="003B0037">
        <w:t xml:space="preserve"> pressurized sprayer via 8002 VS nozzles (</w:t>
      </w:r>
      <w:proofErr w:type="spellStart"/>
      <w:r w:rsidRPr="003B0037">
        <w:t>TeeJet</w:t>
      </w:r>
      <w:proofErr w:type="spellEnd"/>
      <w:r w:rsidRPr="003B0037">
        <w:t>, Wheaton, IL) at 374 L ha</w:t>
      </w:r>
      <w:r w:rsidRPr="003B0037">
        <w:rPr>
          <w:vertAlign w:val="superscript"/>
        </w:rPr>
        <w:t>-1</w:t>
      </w:r>
      <w:r>
        <w:t>. After application, herbicides were watered-in via irrigation and rainfall (2.5 cm of precipitation total) 24 hours after application. In 2023, a rainfall event delivered 1.75 cm of water during the first 24 hours after application, with an additional 0.75 cm applied through irrigation. In 2024, there was no rainfall event, with all 2.5 cm applied via irrigation. When overhead irrigation was used each year, 0.25 cm of water was applied every 30 minutes until target volumes of water were reached. After these initially prescribed precipitation events to active herbicides, no supplemental irrigation was applied for the duration of the trial; however, there was an accumulation of 11.3 cm and 11.9 cm of rainfall during the data collection period in 2023 and 2024, respectively.</w:t>
      </w:r>
      <w:r w:rsidR="0058217F">
        <w:t xml:space="preserve"> At 2 weeks after treatment (WAT) in both 2023 and 2024, a complete fertilizer (32N – 0 P</w:t>
      </w:r>
      <w:r w:rsidR="0058217F">
        <w:rPr>
          <w:vertAlign w:val="subscript"/>
        </w:rPr>
        <w:t>2</w:t>
      </w:r>
      <w:r w:rsidR="0058217F">
        <w:t>O</w:t>
      </w:r>
      <w:r w:rsidR="0058217F">
        <w:rPr>
          <w:vertAlign w:val="subscript"/>
        </w:rPr>
        <w:t>5</w:t>
      </w:r>
      <w:r w:rsidR="0058217F">
        <w:t xml:space="preserve"> – 4 K</w:t>
      </w:r>
      <w:r w:rsidR="0058217F">
        <w:rPr>
          <w:vertAlign w:val="subscript"/>
        </w:rPr>
        <w:t>2</w:t>
      </w:r>
      <w:r w:rsidR="0058217F">
        <w:t>O. Gal-Xe One. Simplot. Boise, ID) was applied at 74 kg N ha</w:t>
      </w:r>
      <w:r w:rsidR="0058217F" w:rsidRPr="005908E5">
        <w:rPr>
          <w:vertAlign w:val="superscript"/>
        </w:rPr>
        <w:t>-1</w:t>
      </w:r>
      <w:r w:rsidR="0058217F">
        <w:t>. Downslope</w:t>
      </w:r>
      <w:r>
        <w:t xml:space="preserve"> </w:t>
      </w:r>
      <w:r w:rsidR="0058217F">
        <w:t>l</w:t>
      </w:r>
      <w:r w:rsidRPr="001C48AD">
        <w:t>ateral movement was</w:t>
      </w:r>
      <w:r>
        <w:t xml:space="preserve"> </w:t>
      </w:r>
      <w:r w:rsidRPr="001C48AD">
        <w:t xml:space="preserve">assessed at 2, 4, 6, and 8 WAT via measurements of perennial ryegrass </w:t>
      </w:r>
      <w:r w:rsidR="0058217F">
        <w:t>mortality</w:t>
      </w:r>
      <w:r w:rsidR="0058217F" w:rsidRPr="001C48AD">
        <w:t xml:space="preserve"> </w:t>
      </w:r>
      <w:r w:rsidRPr="001C48AD">
        <w:t xml:space="preserve">downslope of treated plots. </w:t>
      </w:r>
      <w:r>
        <w:t xml:space="preserve">Perennial ryegrass </w:t>
      </w:r>
      <w:r w:rsidR="0058217F">
        <w:t>mortality</w:t>
      </w:r>
      <w:r w:rsidR="0058217F" w:rsidRPr="001C48AD">
        <w:t xml:space="preserve"> </w:t>
      </w:r>
      <w:r w:rsidRPr="001C48AD">
        <w:t>throughout each 8.6 m</w:t>
      </w:r>
      <w:r w:rsidRPr="001C48AD">
        <w:rPr>
          <w:vertAlign w:val="superscript"/>
        </w:rPr>
        <w:t>2</w:t>
      </w:r>
      <w:r w:rsidRPr="001C48AD">
        <w:t xml:space="preserve"> data collection area was determined </w:t>
      </w:r>
      <w:r>
        <w:t xml:space="preserve">by assessing </w:t>
      </w:r>
      <w:r w:rsidR="0058217F">
        <w:t>the presence or absence of perennial ryegrass via</w:t>
      </w:r>
      <w:r w:rsidRPr="001C48AD">
        <w:t xml:space="preserve"> (15 cm</w:t>
      </w:r>
      <w:r w:rsidRPr="001C48AD">
        <w:rPr>
          <w:vertAlign w:val="superscript"/>
        </w:rPr>
        <w:t>2</w:t>
      </w:r>
      <w:r w:rsidRPr="001C48AD">
        <w:t xml:space="preserve">) </w:t>
      </w:r>
      <w:r w:rsidR="00AA1A80">
        <w:t xml:space="preserve">grid </w:t>
      </w:r>
      <w:r w:rsidRPr="001C48AD">
        <w:t>count.</w:t>
      </w:r>
      <w:bookmarkStart w:id="116" w:name="_Toc192781573"/>
    </w:p>
    <w:p w14:paraId="486EE599" w14:textId="44454A30" w:rsidR="006751B1" w:rsidRPr="00FF5005" w:rsidRDefault="006751B1" w:rsidP="00FF5005">
      <w:pPr>
        <w:spacing w:line="360" w:lineRule="auto"/>
        <w:rPr>
          <w:b/>
          <w:bCs/>
          <w:i/>
          <w:iCs/>
        </w:rPr>
      </w:pPr>
      <w:r w:rsidRPr="00FF5005">
        <w:rPr>
          <w:b/>
          <w:bCs/>
          <w:i/>
          <w:iCs/>
        </w:rPr>
        <w:t>Experimental Design</w:t>
      </w:r>
      <w:bookmarkEnd w:id="116"/>
    </w:p>
    <w:p w14:paraId="4C2ACBDD" w14:textId="39802CB1" w:rsidR="006E0F79" w:rsidRPr="009F71FB" w:rsidRDefault="006E0F79" w:rsidP="006E0F79">
      <w:pPr>
        <w:spacing w:line="360" w:lineRule="auto"/>
        <w:ind w:firstLine="720"/>
        <w:contextualSpacing/>
      </w:pPr>
      <w:bookmarkStart w:id="117" w:name="_Toc192781574"/>
      <w:r w:rsidRPr="009F71FB">
        <w:t>Separate studies were conducted under field capacity and saturated soil-moisture conditions. Each study was designed as a two-factor split-plot design with a complete factorial</w:t>
      </w:r>
    </w:p>
    <w:p w14:paraId="20DBCAAF" w14:textId="77777777" w:rsidR="006E0F79" w:rsidRPr="009F71FB" w:rsidRDefault="006E0F79" w:rsidP="006E0F79">
      <w:pPr>
        <w:spacing w:line="360" w:lineRule="auto"/>
        <w:contextualSpacing/>
      </w:pPr>
      <w:r w:rsidRPr="009F71FB">
        <w:t>arrangement of herbicide treatment and lateral movement distance. The whole-plot factor</w:t>
      </w:r>
    </w:p>
    <w:p w14:paraId="2AFB568B" w14:textId="77777777" w:rsidR="006E0F79" w:rsidRPr="009F71FB" w:rsidRDefault="006E0F79" w:rsidP="006E0F79">
      <w:pPr>
        <w:spacing w:line="360" w:lineRule="auto"/>
        <w:contextualSpacing/>
      </w:pPr>
      <w:r w:rsidRPr="009F71FB">
        <w:t>was herbicide treatment, and the split-plot factor was lateral movement distance. The study</w:t>
      </w:r>
    </w:p>
    <w:p w14:paraId="7F1D801B" w14:textId="4D9B5D4F" w:rsidR="006E0F79" w:rsidRDefault="006E0F79" w:rsidP="006E0F79">
      <w:pPr>
        <w:spacing w:line="360" w:lineRule="auto"/>
        <w:contextualSpacing/>
      </w:pPr>
      <w:r w:rsidRPr="009F71FB">
        <w:lastRenderedPageBreak/>
        <w:t>included four replications per herbicide treatment with a non-treated comparison in each replication. Distance measurements were collected downslope of treated areas for each replication.</w:t>
      </w:r>
    </w:p>
    <w:p w14:paraId="250282CC" w14:textId="49E7109C" w:rsidR="006751B1" w:rsidRPr="00FF5005" w:rsidRDefault="006751B1" w:rsidP="006E0F79">
      <w:pPr>
        <w:spacing w:line="360" w:lineRule="auto"/>
        <w:contextualSpacing/>
        <w:rPr>
          <w:b/>
          <w:bCs/>
          <w:i/>
          <w:iCs/>
        </w:rPr>
      </w:pPr>
      <w:r w:rsidRPr="00FF5005">
        <w:rPr>
          <w:b/>
          <w:bCs/>
          <w:i/>
          <w:iCs/>
        </w:rPr>
        <w:t>Data Analysis</w:t>
      </w:r>
      <w:bookmarkEnd w:id="117"/>
    </w:p>
    <w:p w14:paraId="42596C52" w14:textId="690BDC5B" w:rsidR="00BC0268" w:rsidRDefault="00BC0268" w:rsidP="008225D1">
      <w:pPr>
        <w:spacing w:line="360" w:lineRule="auto"/>
        <w:ind w:firstLine="720"/>
        <w:contextualSpacing/>
      </w:pPr>
      <w:r w:rsidRPr="007A430A">
        <w:t xml:space="preserve">For each experimental run at 8 WAT, separate regression analyses were conducted to estimate the lateral movement distance corresponding to a </w:t>
      </w:r>
      <w:r w:rsidR="0058217F">
        <w:t>50</w:t>
      </w:r>
      <w:r w:rsidRPr="007A430A">
        <w:t xml:space="preserve">% probability of perennial ryegrass </w:t>
      </w:r>
      <w:r w:rsidR="0058217F">
        <w:t>mortality</w:t>
      </w:r>
      <w:r w:rsidR="009E0CF1">
        <w:t xml:space="preserve"> </w:t>
      </w:r>
      <w:r>
        <w:t>(Version 10.4.1. GraphPad Prism. Boston, MA, USA)</w:t>
      </w:r>
      <w:r w:rsidRPr="007A430A">
        <w:t>.</w:t>
      </w:r>
      <w:r>
        <w:t xml:space="preserve"> The following logistic regression model was used to predict the slope and midpoint of </w:t>
      </w:r>
      <w:r w:rsidR="0058217F">
        <w:t xml:space="preserve">mortality </w:t>
      </w:r>
      <w:r>
        <w:t>probability:</w:t>
      </w:r>
    </w:p>
    <w:p w14:paraId="7B9D6219" w14:textId="77777777" w:rsidR="00BC0268" w:rsidRPr="00BC0268" w:rsidRDefault="00BC0268" w:rsidP="008225D1">
      <w:pPr>
        <w:spacing w:line="360" w:lineRule="auto"/>
        <w:ind w:firstLine="720"/>
        <w:contextualSpacing/>
        <w:rPr>
          <w:rFonts w:cs="Times New Roman"/>
        </w:rPr>
      </w:pPr>
      <m:oMathPara>
        <m:oMath>
          <m:r>
            <w:rPr>
              <w:rFonts w:ascii="Cambria Math" w:hAnsi="Cambria Math" w:cs="Times New Roman"/>
            </w:rPr>
            <m:t xml:space="preserve">Y=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func>
                <m:funcPr>
                  <m:ctrlPr>
                    <w:rPr>
                      <w:rFonts w:ascii="Cambria Math" w:hAnsi="Cambria Math" w:cs="Times New Roman"/>
                      <w:i/>
                    </w:rPr>
                  </m:ctrlPr>
                </m:funcPr>
                <m:fName>
                  <m:r>
                    <m:rPr>
                      <m:sty m:val="p"/>
                    </m:rPr>
                    <w:rPr>
                      <w:rFonts w:ascii="Cambria Math" w:hAnsi="Cambria Math" w:cs="Times New Roman"/>
                    </w:rPr>
                    <m:t>exp</m:t>
                  </m:r>
                </m:fName>
                <m:e>
                  <m:r>
                    <w:rPr>
                      <w:rFonts w:ascii="Cambria Math" w:hAnsi="Cambria Math" w:cs="Times New Roman"/>
                    </w:rPr>
                    <m:t>[-B</m:t>
                  </m:r>
                  <m:d>
                    <m:dPr>
                      <m:ctrlPr>
                        <w:rPr>
                          <w:rFonts w:ascii="Cambria Math" w:hAnsi="Cambria Math" w:cs="Times New Roman"/>
                          <w:i/>
                        </w:rPr>
                      </m:ctrlPr>
                    </m:dPr>
                    <m:e>
                      <m:r>
                        <w:rPr>
                          <w:rFonts w:ascii="Cambria Math" w:hAnsi="Cambria Math" w:cs="Times New Roman"/>
                        </w:rPr>
                        <m:t>X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0</m:t>
                          </m:r>
                        </m:sub>
                      </m:sSub>
                    </m:e>
                  </m:d>
                  <m:r>
                    <w:rPr>
                      <w:rFonts w:ascii="Cambria Math" w:hAnsi="Cambria Math" w:cs="Times New Roman"/>
                    </w:rPr>
                    <m:t>]</m:t>
                  </m:r>
                </m:e>
              </m:func>
            </m:den>
          </m:f>
        </m:oMath>
      </m:oMathPara>
    </w:p>
    <w:p w14:paraId="493125C0" w14:textId="2B638731" w:rsidR="00BC0268" w:rsidRDefault="00BC0268" w:rsidP="008225D1">
      <w:pPr>
        <w:spacing w:line="360" w:lineRule="auto"/>
        <w:contextualSpacing/>
      </w:pPr>
      <w:r>
        <w:t>Where Y represents the probability of the event occurring, B is the estimated slope parameter, X is the lateral movement distance predictor variable, and X</w:t>
      </w:r>
      <w:r>
        <w:rPr>
          <w:vertAlign w:val="subscript"/>
        </w:rPr>
        <w:t>0</w:t>
      </w:r>
      <w:r>
        <w:t xml:space="preserve"> is the estimated midpoint of </w:t>
      </w:r>
      <w:r w:rsidR="0058217F">
        <w:t xml:space="preserve">mortality </w:t>
      </w:r>
      <w:r>
        <w:t xml:space="preserve">probability, or the value of X at which Y = 0.5. The slope parameters defined how rapidly perennial ryegrass </w:t>
      </w:r>
      <w:r w:rsidR="0058217F">
        <w:t>mortality</w:t>
      </w:r>
      <w:r w:rsidR="009E0CF1">
        <w:t xml:space="preserve"> </w:t>
      </w:r>
      <w:r>
        <w:t>dissipated with distance, decreasing slope values corresponding to steeper negative slopes on the curve. X</w:t>
      </w:r>
      <w:r>
        <w:rPr>
          <w:vertAlign w:val="subscript"/>
        </w:rPr>
        <w:t>0</w:t>
      </w:r>
      <w:r>
        <w:t xml:space="preserve"> is a model parameter to generate the curves; </w:t>
      </w:r>
      <w:proofErr w:type="gramStart"/>
      <w:r>
        <w:t>however</w:t>
      </w:r>
      <w:proofErr w:type="gramEnd"/>
      <w:r>
        <w:t xml:space="preserve"> all discussion will be based on the value of X at which Y = 0.</w:t>
      </w:r>
      <w:r w:rsidR="0058217F">
        <w:t>5</w:t>
      </w:r>
      <w:r>
        <w:t xml:space="preserve"> (</w:t>
      </w:r>
      <w:r w:rsidR="0058217F">
        <w:t>5</w:t>
      </w:r>
      <w:r>
        <w:t xml:space="preserve">0% probability of perennial ryegrass </w:t>
      </w:r>
      <w:r w:rsidR="0058217F">
        <w:t>mortality</w:t>
      </w:r>
      <w:r>
        <w:t xml:space="preserve">; </w:t>
      </w:r>
      <w:r w:rsidR="00951263">
        <w:t>Mortality</w:t>
      </w:r>
      <w:r w:rsidR="0058217F">
        <w:rPr>
          <w:vertAlign w:val="subscript"/>
        </w:rPr>
        <w:t>5</w:t>
      </w:r>
      <w:r w:rsidR="009E0CF1">
        <w:rPr>
          <w:vertAlign w:val="subscript"/>
        </w:rPr>
        <w:t>0</w:t>
      </w:r>
      <w:r>
        <w:t xml:space="preserve">) since those values are most relevant to the study. </w:t>
      </w:r>
      <w:r w:rsidR="0058217F">
        <w:t>Mortality</w:t>
      </w:r>
      <w:r w:rsidR="0058217F" w:rsidRPr="00D15FC8">
        <w:rPr>
          <w:vertAlign w:val="subscript"/>
        </w:rPr>
        <w:t>50</w:t>
      </w:r>
      <w:r w:rsidR="0058217F">
        <w:t xml:space="preserve"> values</w:t>
      </w:r>
      <w:r>
        <w:t xml:space="preserve"> for each treatment was separated using 95% confidence intervals.</w:t>
      </w:r>
    </w:p>
    <w:p w14:paraId="7D82184E" w14:textId="2D20E8AA" w:rsidR="00BC0268" w:rsidRDefault="00BC0268" w:rsidP="008225D1">
      <w:pPr>
        <w:spacing w:line="360" w:lineRule="auto"/>
        <w:contextualSpacing/>
      </w:pPr>
      <w:r>
        <w:tab/>
      </w:r>
      <w:r w:rsidRPr="0097277F">
        <w:t xml:space="preserve">In the 2024 experiment under saturated irrigation conditions, initial </w:t>
      </w:r>
      <w:r w:rsidR="009E0CF1">
        <w:t xml:space="preserve">perennial ryegrass </w:t>
      </w:r>
      <w:r w:rsidR="0058217F">
        <w:t>mortality</w:t>
      </w:r>
      <w:r w:rsidR="009E0CF1" w:rsidRPr="0097277F">
        <w:t xml:space="preserve"> </w:t>
      </w:r>
      <w:r w:rsidRPr="0097277F">
        <w:t>at 15 cm was below 50%, preventing the application of logistic regression to model the data effectively.</w:t>
      </w:r>
      <w:r>
        <w:t xml:space="preserve"> Therefore, a logit transformation </w:t>
      </w:r>
      <w:proofErr w:type="gramStart"/>
      <w:r>
        <w:t>were</w:t>
      </w:r>
      <w:proofErr w:type="gramEnd"/>
      <w:r>
        <w:t xml:space="preserve"> applied to perennial ryegrass </w:t>
      </w:r>
      <w:r w:rsidR="0058217F">
        <w:t>mortality</w:t>
      </w:r>
      <w:r w:rsidR="009E0CF1">
        <w:t xml:space="preserve"> v</w:t>
      </w:r>
      <w:r>
        <w:t>alues and those data were fit to the following logit-linear model:</w:t>
      </w:r>
    </w:p>
    <w:p w14:paraId="02EB5536" w14:textId="77777777" w:rsidR="00BC0268" w:rsidRPr="002E3AF3" w:rsidRDefault="00BC0268" w:rsidP="008225D1">
      <w:pPr>
        <w:spacing w:line="360" w:lineRule="auto"/>
        <w:contextualSpacing/>
        <w:jc w:val="center"/>
      </w:pPr>
      <w:r>
        <w:t xml:space="preserve">Y = </w:t>
      </w:r>
      <w:proofErr w:type="gramStart"/>
      <w:r>
        <w:t>B(</w:t>
      </w:r>
      <w:proofErr w:type="gramEnd"/>
      <w:r>
        <w:t>X – X</w:t>
      </w:r>
      <w:r>
        <w:rPr>
          <w:vertAlign w:val="subscript"/>
        </w:rPr>
        <w:t>0</w:t>
      </w:r>
      <w:r>
        <w:t>)</w:t>
      </w:r>
    </w:p>
    <w:p w14:paraId="219264E2" w14:textId="54D3B0C9" w:rsidR="00362939" w:rsidRPr="000C799B" w:rsidRDefault="00BC0268" w:rsidP="000C799B">
      <w:pPr>
        <w:spacing w:line="360" w:lineRule="auto"/>
        <w:ind w:firstLine="720"/>
        <w:contextualSpacing/>
      </w:pPr>
      <w:r w:rsidRPr="00495355">
        <w:t xml:space="preserve">Heat maps </w:t>
      </w:r>
      <w:r>
        <w:t xml:space="preserve">of perennial ryegrass </w:t>
      </w:r>
      <w:r w:rsidR="00951263">
        <w:t xml:space="preserve">mortality </w:t>
      </w:r>
      <w:r>
        <w:t xml:space="preserve">data </w:t>
      </w:r>
      <w:r w:rsidRPr="00495355">
        <w:t>were created using Prism to</w:t>
      </w:r>
      <w:r w:rsidRPr="00A85793">
        <w:t xml:space="preserve"> visualize lateral movement distance for each treatment</w:t>
      </w:r>
      <w:r>
        <w:t>.</w:t>
      </w:r>
      <w:bookmarkStart w:id="118" w:name="_Toc192781575"/>
    </w:p>
    <w:p w14:paraId="6B3FFD3D" w14:textId="6D0CDD4B" w:rsidR="006751B1" w:rsidRPr="00FF5005" w:rsidRDefault="006751B1" w:rsidP="00FF5005">
      <w:pPr>
        <w:spacing w:line="360" w:lineRule="auto"/>
        <w:contextualSpacing/>
        <w:jc w:val="center"/>
        <w:rPr>
          <w:b/>
          <w:bCs/>
        </w:rPr>
      </w:pPr>
      <w:r w:rsidRPr="00FF5005">
        <w:rPr>
          <w:b/>
          <w:bCs/>
        </w:rPr>
        <w:t>Results and Discussion</w:t>
      </w:r>
      <w:bookmarkEnd w:id="118"/>
    </w:p>
    <w:p w14:paraId="31185C17" w14:textId="77777777" w:rsidR="00272F62" w:rsidRDefault="00866F72" w:rsidP="008225D1">
      <w:pPr>
        <w:spacing w:line="360" w:lineRule="auto"/>
        <w:ind w:firstLine="720"/>
      </w:pPr>
      <w:r>
        <w:t xml:space="preserve">A similar relationship between </w:t>
      </w:r>
      <w:proofErr w:type="spellStart"/>
      <w:r>
        <w:t>tetflupyrolimet</w:t>
      </w:r>
      <w:proofErr w:type="spellEnd"/>
      <w:r>
        <w:t xml:space="preserve"> and </w:t>
      </w:r>
      <w:proofErr w:type="spellStart"/>
      <w:r>
        <w:t>pronamide</w:t>
      </w:r>
      <w:proofErr w:type="spellEnd"/>
      <w:r>
        <w:t xml:space="preserve"> was present at all rating dates</w:t>
      </w:r>
      <w:r w:rsidR="007A3E2B">
        <w:t>; logistic regression models show this trend in</w:t>
      </w:r>
      <w:r w:rsidR="00E01B9B">
        <w:t xml:space="preserve"> </w:t>
      </w:r>
      <w:r w:rsidRPr="007A3E2B">
        <w:rPr>
          <w:b/>
          <w:bCs/>
        </w:rPr>
        <w:t xml:space="preserve">Table </w:t>
      </w:r>
      <w:r w:rsidR="00662F55" w:rsidRPr="007A3E2B">
        <w:rPr>
          <w:b/>
          <w:bCs/>
        </w:rPr>
        <w:t>3.</w:t>
      </w:r>
      <w:r w:rsidRPr="007A3E2B">
        <w:rPr>
          <w:b/>
          <w:bCs/>
        </w:rPr>
        <w:t>2</w:t>
      </w:r>
      <w:r w:rsidR="007A3E2B">
        <w:t xml:space="preserve">. As this relationship was observed, </w:t>
      </w:r>
      <w:proofErr w:type="spellStart"/>
      <w:r w:rsidR="007A3E2B">
        <w:t>onmly</w:t>
      </w:r>
      <w:proofErr w:type="spellEnd"/>
      <w:r w:rsidR="007A3E2B">
        <w:t xml:space="preserve"> 8 WAT data are presented for brevity as well as agronomic relevance</w:t>
      </w:r>
      <w:r>
        <w:t xml:space="preserve"> (</w:t>
      </w:r>
      <w:r w:rsidRPr="007A3E2B">
        <w:rPr>
          <w:b/>
          <w:bCs/>
        </w:rPr>
        <w:t xml:space="preserve">Figures </w:t>
      </w:r>
      <w:r w:rsidR="00662F55" w:rsidRPr="007A3E2B">
        <w:rPr>
          <w:b/>
          <w:bCs/>
        </w:rPr>
        <w:t>3.</w:t>
      </w:r>
      <w:r w:rsidRPr="007A3E2B">
        <w:rPr>
          <w:b/>
          <w:bCs/>
        </w:rPr>
        <w:t>1-</w:t>
      </w:r>
      <w:r w:rsidR="00662F55" w:rsidRPr="007A3E2B">
        <w:rPr>
          <w:b/>
          <w:bCs/>
        </w:rPr>
        <w:t>3.</w:t>
      </w:r>
      <w:r w:rsidRPr="007A3E2B">
        <w:rPr>
          <w:b/>
          <w:bCs/>
        </w:rPr>
        <w:t>4</w:t>
      </w:r>
      <w:r>
        <w:t>).</w:t>
      </w:r>
    </w:p>
    <w:p w14:paraId="243A048B" w14:textId="26A5B54C" w:rsidR="00272F62" w:rsidRDefault="00272F62" w:rsidP="00272F62">
      <w:pPr>
        <w:spacing w:line="360" w:lineRule="auto"/>
        <w:ind w:firstLine="720"/>
      </w:pPr>
      <w:r>
        <w:t xml:space="preserve">Both </w:t>
      </w:r>
      <w:proofErr w:type="spellStart"/>
      <w:r>
        <w:t>pronamide</w:t>
      </w:r>
      <w:proofErr w:type="spellEnd"/>
      <w:r>
        <w:t xml:space="preserve"> and </w:t>
      </w:r>
      <w:proofErr w:type="spellStart"/>
      <w:r>
        <w:t>tetflupyrolimet</w:t>
      </w:r>
      <w:proofErr w:type="spellEnd"/>
      <w:r>
        <w:t xml:space="preserve"> moved downslope less under saturated soil conditions than field capacity (</w:t>
      </w:r>
      <w:r w:rsidRPr="007A3E2B">
        <w:rPr>
          <w:b/>
          <w:bCs/>
        </w:rPr>
        <w:t>Fig</w:t>
      </w:r>
      <w:r>
        <w:rPr>
          <w:b/>
          <w:bCs/>
        </w:rPr>
        <w:t>.</w:t>
      </w:r>
      <w:r w:rsidRPr="007A3E2B">
        <w:rPr>
          <w:b/>
          <w:bCs/>
        </w:rPr>
        <w:t xml:space="preserve"> 3.1-3.4</w:t>
      </w:r>
      <w:r>
        <w:t xml:space="preserve">). When comparing the furthest distance of movement </w:t>
      </w:r>
      <w:r>
        <w:lastRenderedPageBreak/>
        <w:t>a</w:t>
      </w:r>
      <w:r w:rsidRPr="00495677">
        <w:t>t</w:t>
      </w:r>
      <w:r>
        <w:t xml:space="preserve"> 8 </w:t>
      </w:r>
      <w:r w:rsidRPr="00495677">
        <w:t xml:space="preserve">WAT, </w:t>
      </w:r>
      <w:proofErr w:type="spellStart"/>
      <w:r w:rsidRPr="00495677">
        <w:t>pronamide</w:t>
      </w:r>
      <w:proofErr w:type="spellEnd"/>
      <w:r w:rsidRPr="00495677">
        <w:t xml:space="preserve"> </w:t>
      </w:r>
      <w:r>
        <w:t>moved</w:t>
      </w:r>
      <w:r w:rsidRPr="00495677">
        <w:t xml:space="preserve"> 1.7 times farther</w:t>
      </w:r>
      <w:r>
        <w:t xml:space="preserve"> downslope</w:t>
      </w:r>
      <w:r w:rsidRPr="00495677">
        <w:t xml:space="preserve"> in field capacity plots</w:t>
      </w:r>
      <w:r>
        <w:t xml:space="preserve"> than tetflupyrolimet; when soil was saturated, </w:t>
      </w:r>
      <w:proofErr w:type="spellStart"/>
      <w:r>
        <w:t>pronamide</w:t>
      </w:r>
      <w:proofErr w:type="spellEnd"/>
      <w:r>
        <w:t xml:space="preserve"> moved</w:t>
      </w:r>
      <w:r w:rsidRPr="00495677">
        <w:t xml:space="preserve"> 2.6 times farther </w:t>
      </w:r>
      <w:r>
        <w:t>downslope than tetflupyrolimet</w:t>
      </w:r>
      <w:r w:rsidRPr="00495677">
        <w:t xml:space="preserve">. </w:t>
      </w:r>
      <w:r>
        <w:t>Over the two years of the experiment</w:t>
      </w:r>
      <w:r w:rsidRPr="00495677">
        <w:t xml:space="preserve">, tetflupyrolimet </w:t>
      </w:r>
      <w:r>
        <w:t>moved</w:t>
      </w:r>
      <w:r w:rsidRPr="00495677">
        <w:t xml:space="preserve"> ≤ 1.1 meters</w:t>
      </w:r>
      <w:r>
        <w:t xml:space="preserve"> downslope regardless of soil moisture condition whereas </w:t>
      </w:r>
      <w:proofErr w:type="spellStart"/>
      <w:r>
        <w:t>pronamide</w:t>
      </w:r>
      <w:proofErr w:type="spellEnd"/>
      <w:r>
        <w:t xml:space="preserve"> moved </w:t>
      </w:r>
      <w:r w:rsidRPr="003A6EA8">
        <w:t>1.5 to 1.65 meters downslope under saturated conditions and 1.5 to 1.8 m</w:t>
      </w:r>
      <w:r>
        <w:t>eters downslope when soil was at field capacity</w:t>
      </w:r>
      <w:r w:rsidRPr="00495677">
        <w:t>.</w:t>
      </w:r>
      <w:r>
        <w:t xml:space="preserve"> This response with </w:t>
      </w:r>
      <w:proofErr w:type="spellStart"/>
      <w:r>
        <w:t>pronamide</w:t>
      </w:r>
      <w:proofErr w:type="spellEnd"/>
      <w:r>
        <w:t xml:space="preserve"> is</w:t>
      </w:r>
      <w:r w:rsidRPr="00495677">
        <w:t xml:space="preserve"> consistent with findings </w:t>
      </w:r>
      <w:r>
        <w:t>of</w:t>
      </w:r>
      <w:r w:rsidRPr="00495677">
        <w:t xml:space="preserve"> Leon et al. (2016) in Florida</w:t>
      </w:r>
      <w:r>
        <w:t xml:space="preserve"> on a similar sandy loam (71% sand, 14% silt, 15% clay, and 3.6% organic matter). </w:t>
      </w:r>
    </w:p>
    <w:p w14:paraId="60CD112D" w14:textId="7F4C8EC0" w:rsidR="00272F62" w:rsidRDefault="00272F62" w:rsidP="00272F62">
      <w:pPr>
        <w:spacing w:line="360" w:lineRule="auto"/>
        <w:ind w:firstLine="720"/>
      </w:pPr>
      <w:r>
        <w:t xml:space="preserve">In addition, logistic regression modeled a similar relationship showing the </w:t>
      </w:r>
      <w:r>
        <w:rPr>
          <w:color w:val="000000" w:themeColor="text1"/>
        </w:rPr>
        <w:t>50% probability of turfgrass injury (Injury</w:t>
      </w:r>
      <w:r>
        <w:rPr>
          <w:color w:val="000000" w:themeColor="text1"/>
          <w:vertAlign w:val="subscript"/>
        </w:rPr>
        <w:t>50</w:t>
      </w:r>
      <w:r>
        <w:rPr>
          <w:color w:val="000000" w:themeColor="text1"/>
        </w:rPr>
        <w:t>) with 95% confidence intervals (</w:t>
      </w:r>
      <w:r w:rsidRPr="007A3E2B">
        <w:rPr>
          <w:b/>
          <w:bCs/>
        </w:rPr>
        <w:t>Table 3.2</w:t>
      </w:r>
      <w:r>
        <w:rPr>
          <w:color w:val="000000" w:themeColor="text1"/>
        </w:rPr>
        <w:t xml:space="preserve">; </w:t>
      </w:r>
      <w:r w:rsidRPr="007A3E2B">
        <w:rPr>
          <w:b/>
          <w:bCs/>
        </w:rPr>
        <w:t>Fig</w:t>
      </w:r>
      <w:r>
        <w:rPr>
          <w:b/>
          <w:bCs/>
        </w:rPr>
        <w:t>.</w:t>
      </w:r>
      <w:r w:rsidRPr="007A3E2B">
        <w:rPr>
          <w:b/>
          <w:bCs/>
        </w:rPr>
        <w:t xml:space="preserve"> 3.1-3.4</w:t>
      </w:r>
      <w:r>
        <w:rPr>
          <w:color w:val="000000" w:themeColor="text1"/>
        </w:rPr>
        <w:t xml:space="preserve">). </w:t>
      </w:r>
      <w:proofErr w:type="spellStart"/>
      <w:r>
        <w:rPr>
          <w:color w:val="000000" w:themeColor="text1"/>
        </w:rPr>
        <w:t>Tetflupyrolimet</w:t>
      </w:r>
      <w:proofErr w:type="spellEnd"/>
      <w:r>
        <w:rPr>
          <w:color w:val="000000" w:themeColor="text1"/>
        </w:rPr>
        <w:t xml:space="preserve"> and </w:t>
      </w:r>
      <w:proofErr w:type="spellStart"/>
      <w:r>
        <w:rPr>
          <w:color w:val="000000" w:themeColor="text1"/>
        </w:rPr>
        <w:t>pronamide</w:t>
      </w:r>
      <w:proofErr w:type="spellEnd"/>
      <w:r>
        <w:rPr>
          <w:color w:val="000000" w:themeColor="text1"/>
        </w:rPr>
        <w:t xml:space="preserve"> were significantly different within </w:t>
      </w:r>
      <w:proofErr w:type="spellStart"/>
      <w:r>
        <w:rPr>
          <w:color w:val="000000" w:themeColor="text1"/>
        </w:rPr>
        <w:t>logostic</w:t>
      </w:r>
      <w:proofErr w:type="spellEnd"/>
      <w:r>
        <w:rPr>
          <w:color w:val="000000" w:themeColor="text1"/>
        </w:rPr>
        <w:t xml:space="preserve"> regression models for field capacity in 2023 &amp; 2024 and in saturation 2024, however, they were not significantly different from each other in saturation 2023. For field capacity amongst 2023 &amp; 2024, showed that tetflupyrolimet has a 50% probability to move &lt; 39 cm downslope of the treated area with </w:t>
      </w:r>
      <w:proofErr w:type="spellStart"/>
      <w:r>
        <w:rPr>
          <w:color w:val="000000" w:themeColor="text1"/>
        </w:rPr>
        <w:t>pronamide</w:t>
      </w:r>
      <w:proofErr w:type="spellEnd"/>
      <w:r>
        <w:rPr>
          <w:color w:val="000000" w:themeColor="text1"/>
        </w:rPr>
        <w:t xml:space="preserve"> having a probability to move &lt; 89 cm. Under saturation, </w:t>
      </w:r>
      <w:proofErr w:type="gramStart"/>
      <w:r>
        <w:rPr>
          <w:color w:val="000000" w:themeColor="text1"/>
        </w:rPr>
        <w:t>like</w:t>
      </w:r>
      <w:proofErr w:type="gramEnd"/>
      <w:r>
        <w:rPr>
          <w:color w:val="000000" w:themeColor="text1"/>
        </w:rPr>
        <w:t xml:space="preserve"> previously mentioned both herbicides moved less than under field capacity and in 2023 both showed a 50% probability to move &lt; 23 cm downslope, while in 2024 </w:t>
      </w:r>
      <w:proofErr w:type="spellStart"/>
      <w:r>
        <w:rPr>
          <w:color w:val="000000" w:themeColor="text1"/>
        </w:rPr>
        <w:t>tetflupyrolimet</w:t>
      </w:r>
      <w:proofErr w:type="spellEnd"/>
      <w:r>
        <w:rPr>
          <w:color w:val="000000" w:themeColor="text1"/>
        </w:rPr>
        <w:t xml:space="preserve"> and </w:t>
      </w:r>
      <w:proofErr w:type="spellStart"/>
      <w:r>
        <w:rPr>
          <w:color w:val="000000" w:themeColor="text1"/>
        </w:rPr>
        <w:t>probamide</w:t>
      </w:r>
      <w:proofErr w:type="spellEnd"/>
      <w:r>
        <w:rPr>
          <w:color w:val="000000" w:themeColor="text1"/>
        </w:rPr>
        <w:t xml:space="preserve"> </w:t>
      </w:r>
      <w:proofErr w:type="gramStart"/>
      <w:r>
        <w:rPr>
          <w:color w:val="000000" w:themeColor="text1"/>
        </w:rPr>
        <w:t>showed  50</w:t>
      </w:r>
      <w:proofErr w:type="gramEnd"/>
      <w:r>
        <w:rPr>
          <w:color w:val="000000" w:themeColor="text1"/>
        </w:rPr>
        <w:t>% probability to move &lt; 17 and 47 cm, respectively.</w:t>
      </w:r>
    </w:p>
    <w:p w14:paraId="3618CC88" w14:textId="77777777" w:rsidR="00272F62" w:rsidRDefault="00272F62" w:rsidP="00272F62">
      <w:pPr>
        <w:spacing w:line="360" w:lineRule="auto"/>
        <w:ind w:firstLine="720"/>
      </w:pPr>
      <w:r>
        <w:t>Overall, maximum distance of downslope movement</w:t>
      </w:r>
      <w:r w:rsidRPr="00495677">
        <w:t xml:space="preserve"> </w:t>
      </w:r>
      <w:r>
        <w:t>data</w:t>
      </w:r>
      <w:r w:rsidRPr="00495677">
        <w:t xml:space="preserve"> </w:t>
      </w:r>
      <w:proofErr w:type="gramStart"/>
      <w:r w:rsidRPr="00495677">
        <w:t>indicate</w:t>
      </w:r>
      <w:proofErr w:type="gramEnd"/>
      <w:r w:rsidRPr="00495677">
        <w:t xml:space="preserve"> that a buffer of 1.1 meters from sensitive species may be adequate to prevent unintended injury following tetflupyrolimet applications to warm-season turfgrass under the conditions of this study. </w:t>
      </w:r>
      <w:r>
        <w:t>However, data also suggests a 95% confidence that a 50% probability of tetflupyrolimet injury would be detected no further than 0.5 meters downslope under either field capacity or saturated soil-moisture conditions.</w:t>
      </w:r>
    </w:p>
    <w:p w14:paraId="301BC1D7" w14:textId="5B7DD130" w:rsidR="00FF5005" w:rsidRPr="000C799B" w:rsidRDefault="00272F62" w:rsidP="000C799B">
      <w:pPr>
        <w:spacing w:line="360" w:lineRule="auto"/>
        <w:ind w:firstLine="720"/>
        <w:rPr>
          <w:color w:val="000000" w:themeColor="text1"/>
        </w:rPr>
      </w:pPr>
      <w:r w:rsidRPr="00272F62">
        <w:t>Although a</w:t>
      </w:r>
      <w:r>
        <w:t xml:space="preserve"> direct statistical comparison could not be made (due to our experimental design), both herbicides tended to move further </w:t>
      </w:r>
      <w:proofErr w:type="spellStart"/>
      <w:r>
        <w:t>downlope</w:t>
      </w:r>
      <w:proofErr w:type="spellEnd"/>
      <w:r>
        <w:t xml:space="preserve"> when applied to soil at field capacity compared to saturation. This response was unexpected. Leon et al. (2016) explains that many factors can affect lateral movement of PRE herbicides including herbicide sorption potential, herbicide solubility, soil pH, and surface </w:t>
      </w:r>
      <w:r w:rsidRPr="00A03A00">
        <w:t>uniformity such that differences K</w:t>
      </w:r>
      <w:r w:rsidRPr="00A03A00">
        <w:rPr>
          <w:vertAlign w:val="subscript"/>
        </w:rPr>
        <w:t>OC</w:t>
      </w:r>
      <w:r w:rsidRPr="00A03A00">
        <w:t>, K</w:t>
      </w:r>
      <w:r w:rsidRPr="00A03A00">
        <w:rPr>
          <w:vertAlign w:val="subscript"/>
        </w:rPr>
        <w:t>D</w:t>
      </w:r>
      <w:r w:rsidRPr="00A03A00">
        <w:t>, or K</w:t>
      </w:r>
      <w:r w:rsidRPr="00A03A00">
        <w:rPr>
          <w:vertAlign w:val="subscript"/>
        </w:rPr>
        <w:t>SP</w:t>
      </w:r>
      <w:r w:rsidRPr="00A03A00">
        <w:t xml:space="preserve"> </w:t>
      </w:r>
      <w:proofErr w:type="gramStart"/>
      <w:r w:rsidRPr="00A03A00">
        <w:t>values  cannot</w:t>
      </w:r>
      <w:proofErr w:type="gramEnd"/>
      <w:r w:rsidRPr="00A03A00">
        <w:t xml:space="preserve"> explain differences in lateral movement alone. Given </w:t>
      </w:r>
      <w:proofErr w:type="spellStart"/>
      <w:r w:rsidRPr="00A03A00">
        <w:t>tha</w:t>
      </w:r>
      <w:proofErr w:type="spellEnd"/>
      <w:r w:rsidRPr="00A03A00">
        <w:t xml:space="preserve"> solubility of </w:t>
      </w:r>
      <w:proofErr w:type="spellStart"/>
      <w:r w:rsidRPr="00A03A00">
        <w:t>tetflupyrolimet</w:t>
      </w:r>
      <w:proofErr w:type="spellEnd"/>
      <w:r w:rsidRPr="00A03A00">
        <w:t xml:space="preserve"> (K</w:t>
      </w:r>
      <w:r w:rsidRPr="00A03A00">
        <w:rPr>
          <w:vertAlign w:val="subscript"/>
        </w:rPr>
        <w:t>SP</w:t>
      </w:r>
      <w:r w:rsidRPr="00A03A00">
        <w:t xml:space="preserve"> 4.7 mg L</w:t>
      </w:r>
      <w:r w:rsidRPr="00A03A00">
        <w:rPr>
          <w:vertAlign w:val="superscript"/>
        </w:rPr>
        <w:t>-1</w:t>
      </w:r>
      <w:r w:rsidRPr="00A03A00">
        <w:t xml:space="preserve">) and </w:t>
      </w:r>
      <w:proofErr w:type="spellStart"/>
      <w:r w:rsidRPr="00A03A00">
        <w:t>pronamide</w:t>
      </w:r>
      <w:proofErr w:type="spellEnd"/>
      <w:r w:rsidRPr="00A03A00">
        <w:t xml:space="preserve"> (K</w:t>
      </w:r>
      <w:r w:rsidRPr="00A03A00">
        <w:rPr>
          <w:vertAlign w:val="subscript"/>
        </w:rPr>
        <w:t>SP</w:t>
      </w:r>
      <w:r w:rsidRPr="00A03A00">
        <w:t xml:space="preserve"> 15 mg L</w:t>
      </w:r>
      <w:r w:rsidRPr="00A03A00">
        <w:rPr>
          <w:vertAlign w:val="superscript"/>
        </w:rPr>
        <w:t>-1</w:t>
      </w:r>
      <w:r w:rsidRPr="00A03A00">
        <w:t xml:space="preserve">) are somewhat similar (A. Puri personal communication 2024; Senseman 2007)., it is possible that these herbicides may have infiltrated </w:t>
      </w:r>
      <w:r w:rsidRPr="00A03A00">
        <w:lastRenderedPageBreak/>
        <w:t xml:space="preserve">deeper into the Cecil sandy loam profile at this trial site under </w:t>
      </w:r>
      <w:proofErr w:type="spellStart"/>
      <w:r w:rsidRPr="00A03A00">
        <w:t>saturared</w:t>
      </w:r>
      <w:proofErr w:type="spellEnd"/>
      <w:r w:rsidRPr="00A03A00">
        <w:t xml:space="preserve"> conditions compared to field capacity. Following a simulated storm event, Leon et al. (2016) reported reduced lateral movement distances with several PRE herbicides (including </w:t>
      </w:r>
      <w:proofErr w:type="spellStart"/>
      <w:r w:rsidRPr="00A03A00">
        <w:t>pronamide</w:t>
      </w:r>
      <w:proofErr w:type="spellEnd"/>
      <w:r w:rsidRPr="00A03A00">
        <w:t>) on a soil with greater sand content and attributed the response to infiltration. Such an effect would reduce the concentration of herbicide within surface water moving downslope, leading to a reduced risk of perennial ryegrass mortality. Fu</w:t>
      </w:r>
      <w:r w:rsidR="009839B6">
        <w:t>rther</w:t>
      </w:r>
      <w:r w:rsidRPr="00A03A00">
        <w:t xml:space="preserve"> research to better understand the movement of </w:t>
      </w:r>
      <w:proofErr w:type="spellStart"/>
      <w:r w:rsidRPr="00A03A00">
        <w:t>tetflupyrolimet</w:t>
      </w:r>
      <w:proofErr w:type="spellEnd"/>
      <w:r w:rsidRPr="00A03A00">
        <w:t xml:space="preserve"> and </w:t>
      </w:r>
      <w:proofErr w:type="spellStart"/>
      <w:r w:rsidRPr="00A03A00">
        <w:t>pronamide</w:t>
      </w:r>
      <w:proofErr w:type="spellEnd"/>
      <w:r w:rsidRPr="00A03A00">
        <w:t xml:space="preserve"> both laterally and vertically through the soil profile is warranted</w:t>
      </w:r>
      <w:r>
        <w:t xml:space="preserve"> to refine best practices for using tetflupyrolimet in managed turfgrass systems</w:t>
      </w:r>
      <w:r w:rsidRPr="00495677">
        <w:t>.</w:t>
      </w:r>
      <w:bookmarkStart w:id="119" w:name="_Toc192781576"/>
    </w:p>
    <w:p w14:paraId="10E2ED86" w14:textId="5A1D4638" w:rsidR="006751B1" w:rsidRPr="00FF5005" w:rsidRDefault="006751B1" w:rsidP="00FF5005">
      <w:pPr>
        <w:spacing w:line="360" w:lineRule="auto"/>
        <w:jc w:val="center"/>
        <w:rPr>
          <w:b/>
          <w:bCs/>
        </w:rPr>
      </w:pPr>
      <w:r w:rsidRPr="00FF5005">
        <w:rPr>
          <w:b/>
          <w:bCs/>
        </w:rPr>
        <w:t>Conclusions</w:t>
      </w:r>
      <w:bookmarkEnd w:id="119"/>
    </w:p>
    <w:p w14:paraId="6C6052BC" w14:textId="60878958" w:rsidR="006751B1" w:rsidRDefault="00866F72" w:rsidP="008225D1">
      <w:pPr>
        <w:spacing w:line="360" w:lineRule="auto"/>
        <w:ind w:firstLine="720"/>
        <w:rPr>
          <w:rFonts w:cs="Times New Roman"/>
        </w:rPr>
      </w:pPr>
      <w:proofErr w:type="gramStart"/>
      <w:r w:rsidRPr="00866F72">
        <w:t>Similar to</w:t>
      </w:r>
      <w:proofErr w:type="gramEnd"/>
      <w:r w:rsidRPr="00866F72">
        <w:t xml:space="preserve"> Pritchard et al. (2025), this work is limited in that downslope movement potential was only investigated on a single soil type. Given that both soil texture and </w:t>
      </w:r>
      <w:r w:rsidR="00272F62">
        <w:t>volumetric water content</w:t>
      </w:r>
      <w:r w:rsidRPr="00866F72">
        <w:t xml:space="preserve"> affect tetflupyrolimet activity, future research exploring downslope lateral movement potential on other soil textures is warranted to refine best practices for using tetflupyrolimet in managed turfgrass systems.</w:t>
      </w:r>
      <w:r>
        <w:t xml:space="preserve"> </w:t>
      </w:r>
      <w:r w:rsidR="0070548E" w:rsidRPr="00BB1C0C">
        <w:t xml:space="preserve">By </w:t>
      </w:r>
      <w:r w:rsidR="0070548E">
        <w:t xml:space="preserve">creating a baseline </w:t>
      </w:r>
      <w:r w:rsidR="0070548E" w:rsidRPr="00BB1C0C">
        <w:t>understanding</w:t>
      </w:r>
      <w:r w:rsidR="0070548E">
        <w:t xml:space="preserve"> of</w:t>
      </w:r>
      <w:r w:rsidR="0070548E" w:rsidRPr="00BB1C0C">
        <w:t xml:space="preserve"> the potential </w:t>
      </w:r>
      <w:r w:rsidR="0070548E">
        <w:t xml:space="preserve">downslope </w:t>
      </w:r>
      <w:r w:rsidR="0070548E" w:rsidRPr="00BB1C0C">
        <w:t xml:space="preserve">lateral movement of tetflupyrolimet, </w:t>
      </w:r>
      <w:r w:rsidR="0070548E">
        <w:t>appropriate</w:t>
      </w:r>
      <w:r w:rsidR="0070548E" w:rsidRPr="00BB1C0C">
        <w:t xml:space="preserve"> buffer zones </w:t>
      </w:r>
      <w:r w:rsidR="0070548E">
        <w:t xml:space="preserve">can be implemented </w:t>
      </w:r>
      <w:r w:rsidR="0070548E" w:rsidRPr="00BB1C0C">
        <w:t>to protect sensitive species from herbicide exposure</w:t>
      </w:r>
      <w:r w:rsidR="0070548E">
        <w:t xml:space="preserve"> when this active ingredient becomes labeled for use in turfgrass</w:t>
      </w:r>
      <w:r w:rsidR="0070548E" w:rsidRPr="00BB1C0C">
        <w:t>. This insight is crucial in environments where warm-season and cool-season grasses coexist</w:t>
      </w:r>
      <w:r w:rsidR="0070548E">
        <w:t>, such as the United States transition zone</w:t>
      </w:r>
      <w:r w:rsidR="0070548E" w:rsidRPr="00BB1C0C">
        <w:t>. Furthermore, the findings highlight the importance of proactive herbicide stewardship, encouraging more informed and strategic application practices.</w:t>
      </w:r>
    </w:p>
    <w:p w14:paraId="271DC300" w14:textId="77777777" w:rsidR="006751B1" w:rsidRDefault="006751B1">
      <w:pPr>
        <w:rPr>
          <w:rFonts w:cs="Times New Roman"/>
        </w:rPr>
      </w:pPr>
      <w:r>
        <w:rPr>
          <w:rFonts w:cs="Times New Roman"/>
        </w:rPr>
        <w:br w:type="page"/>
      </w:r>
    </w:p>
    <w:p w14:paraId="6CBEDCF5" w14:textId="45D21288" w:rsidR="006751B1" w:rsidRPr="006751B1" w:rsidRDefault="006751B1" w:rsidP="000C799B">
      <w:pPr>
        <w:pStyle w:val="Heading2"/>
        <w:spacing w:before="0" w:after="0" w:line="360" w:lineRule="auto"/>
      </w:pPr>
      <w:bookmarkStart w:id="120" w:name="_Toc192781577"/>
      <w:r w:rsidRPr="006751B1">
        <w:lastRenderedPageBreak/>
        <w:t>References</w:t>
      </w:r>
      <w:bookmarkEnd w:id="120"/>
    </w:p>
    <w:p w14:paraId="7FD6E7BE" w14:textId="77777777" w:rsidR="006751B1" w:rsidRDefault="006751B1" w:rsidP="000C799B">
      <w:pPr>
        <w:spacing w:line="360" w:lineRule="auto"/>
        <w:ind w:left="576" w:hanging="576"/>
        <w:rPr>
          <w:color w:val="222222"/>
          <w:shd w:val="clear" w:color="auto" w:fill="FFFFFF"/>
        </w:rPr>
      </w:pPr>
      <w:r w:rsidRPr="0064799F">
        <w:rPr>
          <w:color w:val="222222"/>
          <w:shd w:val="clear" w:color="auto" w:fill="FFFFFF"/>
        </w:rPr>
        <w:t>Allen JH, Ervin DE, Frisvold GB, Brosnan JT, McCurdy JD, Bowling RG,</w:t>
      </w:r>
      <w:r>
        <w:rPr>
          <w:color w:val="222222"/>
          <w:shd w:val="clear" w:color="auto" w:fill="FFFFFF"/>
        </w:rPr>
        <w:t xml:space="preserve"> Patton AJ, Elmore MT, Gannon TW, McCarty LB, McCullough PE, Kaminski JE, Askew SD, Kowalewski AR, Unruh JB, McElroy JS, </w:t>
      </w:r>
      <w:proofErr w:type="spellStart"/>
      <w:r w:rsidRPr="0064799F">
        <w:rPr>
          <w:color w:val="222222"/>
          <w:shd w:val="clear" w:color="auto" w:fill="FFFFFF"/>
        </w:rPr>
        <w:t>Bagavathiannan</w:t>
      </w:r>
      <w:proofErr w:type="spellEnd"/>
      <w:r w:rsidRPr="0064799F">
        <w:rPr>
          <w:color w:val="222222"/>
          <w:shd w:val="clear" w:color="auto" w:fill="FFFFFF"/>
        </w:rPr>
        <w:t xml:space="preserve"> MV (2022). Herbicide-resistance in turf systems: insights and options for managing complexity. </w:t>
      </w:r>
      <w:r w:rsidRPr="0064799F">
        <w:rPr>
          <w:i/>
          <w:iCs/>
          <w:color w:val="222222"/>
          <w:shd w:val="clear" w:color="auto" w:fill="FFFFFF"/>
        </w:rPr>
        <w:t>Sustainability</w:t>
      </w:r>
      <w:r w:rsidRPr="0064799F">
        <w:rPr>
          <w:color w:val="222222"/>
          <w:shd w:val="clear" w:color="auto" w:fill="FFFFFF"/>
        </w:rPr>
        <w:t>, </w:t>
      </w:r>
      <w:r w:rsidRPr="0064799F">
        <w:rPr>
          <w:i/>
          <w:iCs/>
          <w:color w:val="222222"/>
          <w:shd w:val="clear" w:color="auto" w:fill="FFFFFF"/>
        </w:rPr>
        <w:t>14</w:t>
      </w:r>
      <w:r w:rsidRPr="0064799F">
        <w:rPr>
          <w:color w:val="222222"/>
          <w:shd w:val="clear" w:color="auto" w:fill="FFFFFF"/>
        </w:rPr>
        <w:t>(20), 13399.</w:t>
      </w:r>
    </w:p>
    <w:p w14:paraId="7285730F" w14:textId="77777777" w:rsidR="006751B1" w:rsidRDefault="006751B1" w:rsidP="000C799B">
      <w:pPr>
        <w:spacing w:line="360" w:lineRule="auto"/>
        <w:ind w:left="576" w:hanging="576"/>
        <w:rPr>
          <w:color w:val="222222"/>
          <w:shd w:val="clear" w:color="auto" w:fill="FFFFFF"/>
        </w:rPr>
      </w:pPr>
      <w:r w:rsidRPr="00041A67">
        <w:rPr>
          <w:color w:val="1C1D1E"/>
          <w:shd w:val="clear" w:color="auto" w:fill="FFFFFF"/>
        </w:rPr>
        <w:t>Braun, R. C., Straw, C. M., Soldat, D. J., Bekken, M. A. H., Patton, A. J., Lonsdorf, E. V., &amp; Horgan, B. P. (2023). Strategies for reducing inputs and emissions in turfgrass</w:t>
      </w:r>
      <w:r>
        <w:rPr>
          <w:color w:val="1C1D1E"/>
          <w:shd w:val="clear" w:color="auto" w:fill="FFFFFF"/>
        </w:rPr>
        <w:t xml:space="preserve"> </w:t>
      </w:r>
      <w:r w:rsidRPr="00041A67">
        <w:rPr>
          <w:color w:val="1C1D1E"/>
          <w:shd w:val="clear" w:color="auto" w:fill="FFFFFF"/>
        </w:rPr>
        <w:t>systems. </w:t>
      </w:r>
      <w:r w:rsidRPr="00041A67">
        <w:rPr>
          <w:i/>
          <w:iCs/>
          <w:color w:val="1C1D1E"/>
          <w:shd w:val="clear" w:color="auto" w:fill="FFFFFF"/>
        </w:rPr>
        <w:t>Crop, Forage &amp; Turfgrass Management</w:t>
      </w:r>
      <w:r w:rsidRPr="00041A67">
        <w:rPr>
          <w:color w:val="1C1D1E"/>
          <w:shd w:val="clear" w:color="auto" w:fill="FFFFFF"/>
        </w:rPr>
        <w:t>, 9,</w:t>
      </w:r>
      <w:r>
        <w:rPr>
          <w:color w:val="1C1D1E"/>
          <w:shd w:val="clear" w:color="auto" w:fill="FFFFFF"/>
        </w:rPr>
        <w:t xml:space="preserve"> </w:t>
      </w:r>
      <w:r w:rsidRPr="00041A67">
        <w:rPr>
          <w:color w:val="1C1D1E"/>
          <w:shd w:val="clear" w:color="auto" w:fill="FFFFFF"/>
        </w:rPr>
        <w:t>e20218.</w:t>
      </w:r>
      <w:r>
        <w:rPr>
          <w:color w:val="1C1D1E"/>
          <w:shd w:val="clear" w:color="auto" w:fill="FFFFFF"/>
        </w:rPr>
        <w:t xml:space="preserve"> </w:t>
      </w:r>
      <w:hyperlink r:id="rId34" w:history="1">
        <w:r w:rsidRPr="00FA0978">
          <w:rPr>
            <w:rStyle w:val="Hyperlink"/>
            <w:color w:val="000000" w:themeColor="text1"/>
            <w:shd w:val="clear" w:color="auto" w:fill="FFFFFF"/>
          </w:rPr>
          <w:t>https://doi.org/10.1002/cft2.20218</w:t>
        </w:r>
      </w:hyperlink>
    </w:p>
    <w:p w14:paraId="049BFD37" w14:textId="77777777" w:rsidR="006751B1" w:rsidRDefault="006751B1" w:rsidP="000C799B">
      <w:pPr>
        <w:spacing w:line="360" w:lineRule="auto"/>
        <w:ind w:left="576" w:hanging="576"/>
        <w:rPr>
          <w:color w:val="222222"/>
          <w:shd w:val="clear" w:color="auto" w:fill="FFFFFF"/>
        </w:rPr>
      </w:pPr>
      <w:r w:rsidRPr="00EE2A7C">
        <w:rPr>
          <w:color w:val="222222"/>
          <w:shd w:val="clear" w:color="auto" w:fill="FFFFFF"/>
        </w:rPr>
        <w:t>Castner MC, Norsworthy JK, Butts TR, Roberts TL, Bateman NR, &amp; Faske TR</w:t>
      </w:r>
      <w:r>
        <w:rPr>
          <w:color w:val="222222"/>
          <w:shd w:val="clear" w:color="auto" w:fill="FFFFFF"/>
        </w:rPr>
        <w:t xml:space="preserve"> (2025).</w:t>
      </w:r>
      <w:r w:rsidRPr="00EE2A7C">
        <w:rPr>
          <w:color w:val="222222"/>
          <w:shd w:val="clear" w:color="auto" w:fill="FFFFFF"/>
        </w:rPr>
        <w:t xml:space="preserve"> Grass Weed Control and Rice Response with Tetflupyrolimet-containing Programs. </w:t>
      </w:r>
      <w:r w:rsidRPr="00EE2A7C">
        <w:rPr>
          <w:i/>
          <w:iCs/>
          <w:color w:val="222222"/>
          <w:shd w:val="clear" w:color="auto" w:fill="FFFFFF"/>
        </w:rPr>
        <w:t>Weed Technology</w:t>
      </w:r>
      <w:r w:rsidRPr="00EE2A7C">
        <w:rPr>
          <w:color w:val="222222"/>
          <w:shd w:val="clear" w:color="auto" w:fill="FFFFFF"/>
        </w:rPr>
        <w:t>, 1-32.</w:t>
      </w:r>
    </w:p>
    <w:p w14:paraId="1832D2A5" w14:textId="77777777" w:rsidR="006751B1" w:rsidRDefault="006751B1" w:rsidP="000C799B">
      <w:pPr>
        <w:spacing w:line="360" w:lineRule="auto"/>
        <w:ind w:left="576" w:hanging="576"/>
        <w:rPr>
          <w:color w:val="222222"/>
          <w:shd w:val="clear" w:color="auto" w:fill="FFFFFF"/>
        </w:rPr>
      </w:pPr>
      <w:r w:rsidRPr="00B9184F">
        <w:rPr>
          <w:color w:val="222222"/>
          <w:shd w:val="clear" w:color="auto" w:fill="FFFFFF"/>
        </w:rPr>
        <w:t>Dayan, F. E. (2019). Current status and future prospects in herbicide discovery. </w:t>
      </w:r>
      <w:r w:rsidRPr="00B9184F">
        <w:rPr>
          <w:i/>
          <w:iCs/>
          <w:color w:val="222222"/>
          <w:shd w:val="clear" w:color="auto" w:fill="FFFFFF"/>
        </w:rPr>
        <w:t>Plants</w:t>
      </w:r>
      <w:r w:rsidRPr="00B9184F">
        <w:rPr>
          <w:color w:val="222222"/>
          <w:shd w:val="clear" w:color="auto" w:fill="FFFFFF"/>
        </w:rPr>
        <w:t>, </w:t>
      </w:r>
      <w:r w:rsidRPr="00B9184F">
        <w:rPr>
          <w:i/>
          <w:iCs/>
          <w:color w:val="222222"/>
          <w:shd w:val="clear" w:color="auto" w:fill="FFFFFF"/>
        </w:rPr>
        <w:t>8</w:t>
      </w:r>
      <w:r w:rsidRPr="00B9184F">
        <w:rPr>
          <w:color w:val="222222"/>
          <w:shd w:val="clear" w:color="auto" w:fill="FFFFFF"/>
        </w:rPr>
        <w:t>(9), 341.</w:t>
      </w:r>
    </w:p>
    <w:p w14:paraId="70C7C534" w14:textId="77777777" w:rsidR="006751B1" w:rsidRDefault="006751B1" w:rsidP="000C799B">
      <w:pPr>
        <w:pStyle w:val="NormalWeb"/>
        <w:shd w:val="clear" w:color="auto" w:fill="FFFFFF"/>
        <w:spacing w:before="0" w:beforeAutospacing="0" w:after="0" w:afterAutospacing="0" w:line="360" w:lineRule="auto"/>
        <w:ind w:left="576" w:hanging="576"/>
        <w:rPr>
          <w:color w:val="222222"/>
          <w:shd w:val="clear" w:color="auto" w:fill="FFFFFF"/>
        </w:rPr>
      </w:pPr>
      <w:r w:rsidRPr="008137F7">
        <w:rPr>
          <w:color w:val="222222"/>
          <w:shd w:val="clear" w:color="auto" w:fill="FFFFFF"/>
        </w:rPr>
        <w:t>Kang IH, Emptage RP, Kim SI, &amp; Gutteridge S (2023). A novel mechanism of herbicide action through disruption of pyrimidine biosynthesis. </w:t>
      </w:r>
      <w:r w:rsidRPr="008137F7">
        <w:rPr>
          <w:i/>
          <w:iCs/>
          <w:color w:val="222222"/>
          <w:shd w:val="clear" w:color="auto" w:fill="FFFFFF"/>
        </w:rPr>
        <w:t>Proceedings of the National Academy of Sciences</w:t>
      </w:r>
      <w:r w:rsidRPr="008137F7">
        <w:rPr>
          <w:color w:val="222222"/>
          <w:shd w:val="clear" w:color="auto" w:fill="FFFFFF"/>
        </w:rPr>
        <w:t>, </w:t>
      </w:r>
      <w:r w:rsidRPr="008137F7">
        <w:rPr>
          <w:i/>
          <w:iCs/>
          <w:color w:val="222222"/>
          <w:shd w:val="clear" w:color="auto" w:fill="FFFFFF"/>
        </w:rPr>
        <w:t>120</w:t>
      </w:r>
      <w:r w:rsidRPr="008137F7">
        <w:rPr>
          <w:color w:val="222222"/>
          <w:shd w:val="clear" w:color="auto" w:fill="FFFFFF"/>
        </w:rPr>
        <w:t>(48), e2313197120.</w:t>
      </w:r>
    </w:p>
    <w:p w14:paraId="077EAAC5" w14:textId="77777777" w:rsidR="006751B1" w:rsidRDefault="006751B1" w:rsidP="000C799B">
      <w:pPr>
        <w:pStyle w:val="NormalWeb"/>
        <w:shd w:val="clear" w:color="auto" w:fill="FFFFFF"/>
        <w:spacing w:before="0" w:beforeAutospacing="0" w:after="0" w:afterAutospacing="0" w:line="360" w:lineRule="auto"/>
        <w:ind w:left="576" w:hanging="576"/>
        <w:rPr>
          <w:color w:val="222222"/>
          <w:shd w:val="clear" w:color="auto" w:fill="FFFFFF"/>
        </w:rPr>
      </w:pPr>
      <w:r w:rsidRPr="00417894">
        <w:rPr>
          <w:color w:val="222222"/>
          <w:shd w:val="clear" w:color="auto" w:fill="FFFFFF"/>
        </w:rPr>
        <w:t>LeCompte MC (2023)</w:t>
      </w:r>
      <w:r>
        <w:rPr>
          <w:color w:val="222222"/>
          <w:shd w:val="clear" w:color="auto" w:fill="FFFFFF"/>
        </w:rPr>
        <w:t>.</w:t>
      </w:r>
      <w:r w:rsidRPr="00417894">
        <w:rPr>
          <w:color w:val="222222"/>
          <w:shd w:val="clear" w:color="auto" w:fill="FFFFFF"/>
        </w:rPr>
        <w:t> </w:t>
      </w:r>
      <w:r w:rsidRPr="00417894">
        <w:rPr>
          <w:i/>
          <w:iCs/>
          <w:color w:val="222222"/>
          <w:shd w:val="clear" w:color="auto" w:fill="FFFFFF"/>
        </w:rPr>
        <w:t xml:space="preserve">Characterization of Herbicide Fate Through </w:t>
      </w:r>
      <w:proofErr w:type="spellStart"/>
      <w:r w:rsidRPr="00417894">
        <w:rPr>
          <w:i/>
          <w:iCs/>
          <w:color w:val="222222"/>
          <w:shd w:val="clear" w:color="auto" w:fill="FFFFFF"/>
        </w:rPr>
        <w:t>Dislodgeable</w:t>
      </w:r>
      <w:proofErr w:type="spellEnd"/>
      <w:r w:rsidRPr="00417894">
        <w:rPr>
          <w:i/>
          <w:iCs/>
          <w:color w:val="222222"/>
          <w:shd w:val="clear" w:color="auto" w:fill="FFFFFF"/>
        </w:rPr>
        <w:t xml:space="preserve"> Foliar Residue and Lateral Movement in Turfgrass Systems</w:t>
      </w:r>
      <w:r w:rsidRPr="00417894">
        <w:rPr>
          <w:color w:val="222222"/>
          <w:shd w:val="clear" w:color="auto" w:fill="FFFFFF"/>
        </w:rPr>
        <w:t>. North Carolina State University.</w:t>
      </w:r>
    </w:p>
    <w:p w14:paraId="216A0E00" w14:textId="77777777" w:rsidR="006751B1" w:rsidRDefault="006751B1" w:rsidP="000C799B">
      <w:pPr>
        <w:pStyle w:val="NormalWeb"/>
        <w:shd w:val="clear" w:color="auto" w:fill="FFFFFF"/>
        <w:spacing w:before="0" w:beforeAutospacing="0" w:after="0" w:afterAutospacing="0" w:line="360" w:lineRule="auto"/>
        <w:ind w:left="576" w:hanging="576"/>
        <w:rPr>
          <w:color w:val="222222"/>
          <w:shd w:val="clear" w:color="auto" w:fill="FFFFFF"/>
        </w:rPr>
      </w:pPr>
      <w:r w:rsidRPr="00F47503">
        <w:rPr>
          <w:color w:val="222222"/>
          <w:shd w:val="clear" w:color="auto" w:fill="FFFFFF"/>
        </w:rPr>
        <w:t xml:space="preserve">Leon RG, Unruh JB, &amp; Brecke BJ (2016). Relative lateral movement in surface soil of </w:t>
      </w:r>
      <w:proofErr w:type="spellStart"/>
      <w:r w:rsidRPr="00F47503">
        <w:rPr>
          <w:color w:val="222222"/>
          <w:shd w:val="clear" w:color="auto" w:fill="FFFFFF"/>
        </w:rPr>
        <w:t>amicarbazone</w:t>
      </w:r>
      <w:proofErr w:type="spellEnd"/>
      <w:r w:rsidRPr="00F47503">
        <w:rPr>
          <w:color w:val="222222"/>
          <w:shd w:val="clear" w:color="auto" w:fill="FFFFFF"/>
        </w:rPr>
        <w:t xml:space="preserve"> and </w:t>
      </w:r>
      <w:proofErr w:type="spellStart"/>
      <w:r w:rsidRPr="00F47503">
        <w:rPr>
          <w:color w:val="222222"/>
          <w:shd w:val="clear" w:color="auto" w:fill="FFFFFF"/>
        </w:rPr>
        <w:t>indaziflam</w:t>
      </w:r>
      <w:proofErr w:type="spellEnd"/>
      <w:r w:rsidRPr="00F47503">
        <w:rPr>
          <w:color w:val="222222"/>
          <w:shd w:val="clear" w:color="auto" w:fill="FFFFFF"/>
        </w:rPr>
        <w:t xml:space="preserve"> compared with other preemergence herbicides for turfgrass. </w:t>
      </w:r>
      <w:r w:rsidRPr="00F47503">
        <w:rPr>
          <w:i/>
          <w:iCs/>
          <w:color w:val="222222"/>
          <w:shd w:val="clear" w:color="auto" w:fill="FFFFFF"/>
        </w:rPr>
        <w:t>Weed Technology</w:t>
      </w:r>
      <w:r w:rsidRPr="00F47503">
        <w:rPr>
          <w:color w:val="222222"/>
          <w:shd w:val="clear" w:color="auto" w:fill="FFFFFF"/>
        </w:rPr>
        <w:t>, </w:t>
      </w:r>
      <w:r w:rsidRPr="00F47503">
        <w:rPr>
          <w:i/>
          <w:iCs/>
          <w:color w:val="222222"/>
          <w:shd w:val="clear" w:color="auto" w:fill="FFFFFF"/>
        </w:rPr>
        <w:t>30</w:t>
      </w:r>
      <w:r w:rsidRPr="00F47503">
        <w:rPr>
          <w:color w:val="222222"/>
          <w:shd w:val="clear" w:color="auto" w:fill="FFFFFF"/>
        </w:rPr>
        <w:t>(1), 229-237.</w:t>
      </w:r>
    </w:p>
    <w:p w14:paraId="7CA7E5F2" w14:textId="77777777" w:rsidR="006751B1" w:rsidRPr="002E2DBA" w:rsidRDefault="006751B1" w:rsidP="000C799B">
      <w:pPr>
        <w:spacing w:line="360" w:lineRule="auto"/>
        <w:ind w:left="576" w:hanging="576"/>
        <w:rPr>
          <w:color w:val="222222"/>
          <w:shd w:val="clear" w:color="auto" w:fill="FFFFFF"/>
        </w:rPr>
      </w:pPr>
      <w:r w:rsidRPr="002E2DBA">
        <w:rPr>
          <w:color w:val="222222"/>
          <w:shd w:val="clear" w:color="auto" w:fill="FFFFFF"/>
        </w:rPr>
        <w:t xml:space="preserve">Lombardi MA &amp; Al-Khatib K (2024). Control of </w:t>
      </w:r>
      <w:proofErr w:type="spellStart"/>
      <w:r w:rsidRPr="002E2DBA">
        <w:rPr>
          <w:color w:val="222222"/>
          <w:shd w:val="clear" w:color="auto" w:fill="FFFFFF"/>
        </w:rPr>
        <w:t>Echinochloa</w:t>
      </w:r>
      <w:proofErr w:type="spellEnd"/>
      <w:r w:rsidRPr="002E2DBA">
        <w:rPr>
          <w:color w:val="222222"/>
          <w:shd w:val="clear" w:color="auto" w:fill="FFFFFF"/>
        </w:rPr>
        <w:t xml:space="preserve"> spp. and </w:t>
      </w:r>
      <w:proofErr w:type="spellStart"/>
      <w:r w:rsidRPr="002E2DBA">
        <w:rPr>
          <w:color w:val="222222"/>
          <w:shd w:val="clear" w:color="auto" w:fill="FFFFFF"/>
        </w:rPr>
        <w:t>Leptochloa</w:t>
      </w:r>
      <w:proofErr w:type="spellEnd"/>
      <w:r w:rsidRPr="002E2DBA">
        <w:rPr>
          <w:color w:val="222222"/>
          <w:shd w:val="clear" w:color="auto" w:fill="FFFFFF"/>
        </w:rPr>
        <w:t xml:space="preserve"> fascicularis with the novel dihydroorotate dehydrogenase inhibitor herbicide tetflupyrolimet in California water-seeded rice. </w:t>
      </w:r>
      <w:r w:rsidRPr="002E2DBA">
        <w:rPr>
          <w:i/>
          <w:iCs/>
          <w:color w:val="222222"/>
          <w:shd w:val="clear" w:color="auto" w:fill="FFFFFF"/>
        </w:rPr>
        <w:t>Weed Technology</w:t>
      </w:r>
      <w:r w:rsidRPr="002E2DBA">
        <w:rPr>
          <w:color w:val="222222"/>
          <w:shd w:val="clear" w:color="auto" w:fill="FFFFFF"/>
        </w:rPr>
        <w:t>, </w:t>
      </w:r>
      <w:r w:rsidRPr="002E2DBA">
        <w:rPr>
          <w:i/>
          <w:iCs/>
          <w:color w:val="222222"/>
          <w:shd w:val="clear" w:color="auto" w:fill="FFFFFF"/>
        </w:rPr>
        <w:t>38</w:t>
      </w:r>
      <w:r w:rsidRPr="002E2DBA">
        <w:rPr>
          <w:color w:val="222222"/>
          <w:shd w:val="clear" w:color="auto" w:fill="FFFFFF"/>
        </w:rPr>
        <w:t>, e42.</w:t>
      </w:r>
    </w:p>
    <w:p w14:paraId="502D6DD9" w14:textId="77777777" w:rsidR="006751B1" w:rsidRDefault="006751B1" w:rsidP="000C799B">
      <w:pPr>
        <w:spacing w:line="360" w:lineRule="auto"/>
        <w:ind w:left="576" w:hanging="576"/>
        <w:rPr>
          <w:color w:val="222222"/>
          <w:shd w:val="clear" w:color="auto" w:fill="FFFFFF"/>
        </w:rPr>
      </w:pPr>
      <w:r w:rsidRPr="0064799F">
        <w:rPr>
          <w:color w:val="222222"/>
          <w:shd w:val="clear" w:color="auto" w:fill="FFFFFF"/>
        </w:rPr>
        <w:t>McCurdy JD, Bowling RG,</w:t>
      </w:r>
      <w:r>
        <w:rPr>
          <w:color w:val="222222"/>
          <w:shd w:val="clear" w:color="auto" w:fill="FFFFFF"/>
        </w:rPr>
        <w:t xml:space="preserve"> Patton AJ, de Castro EB, Kowalewski AR, Mattox CM, Brosnan JT, Ervin DE, Askew SD, </w:t>
      </w:r>
      <w:proofErr w:type="spellStart"/>
      <w:r>
        <w:rPr>
          <w:color w:val="222222"/>
          <w:shd w:val="clear" w:color="auto" w:fill="FFFFFF"/>
        </w:rPr>
        <w:t>Gonclaves</w:t>
      </w:r>
      <w:proofErr w:type="spellEnd"/>
      <w:r>
        <w:rPr>
          <w:color w:val="222222"/>
          <w:shd w:val="clear" w:color="auto" w:fill="FFFFFF"/>
        </w:rPr>
        <w:t xml:space="preserve"> CG, Elmore MT, McElroy JS, McNally BC, Pritchard BD, Kaminski JE, </w:t>
      </w:r>
      <w:proofErr w:type="spellStart"/>
      <w:r w:rsidRPr="0064799F">
        <w:rPr>
          <w:color w:val="222222"/>
          <w:shd w:val="clear" w:color="auto" w:fill="FFFFFF"/>
        </w:rPr>
        <w:t>Bagavathiannan</w:t>
      </w:r>
      <w:proofErr w:type="spellEnd"/>
      <w:r w:rsidRPr="0064799F">
        <w:rPr>
          <w:color w:val="222222"/>
          <w:shd w:val="clear" w:color="auto" w:fill="FFFFFF"/>
        </w:rPr>
        <w:t xml:space="preserve"> MV (2023). Developing and implementing a sustainable, integrated weed management program for herbicide‐resistant Poa annua in turfgrass. </w:t>
      </w:r>
      <w:r w:rsidRPr="0064799F">
        <w:rPr>
          <w:i/>
          <w:iCs/>
          <w:color w:val="222222"/>
          <w:shd w:val="clear" w:color="auto" w:fill="FFFFFF"/>
        </w:rPr>
        <w:t>Crop, Forage &amp; Turfgrass Management</w:t>
      </w:r>
      <w:r w:rsidRPr="0064799F">
        <w:rPr>
          <w:color w:val="222222"/>
          <w:shd w:val="clear" w:color="auto" w:fill="FFFFFF"/>
        </w:rPr>
        <w:t>, </w:t>
      </w:r>
      <w:r w:rsidRPr="0064799F">
        <w:rPr>
          <w:i/>
          <w:iCs/>
          <w:color w:val="222222"/>
          <w:shd w:val="clear" w:color="auto" w:fill="FFFFFF"/>
        </w:rPr>
        <w:t>9</w:t>
      </w:r>
      <w:r w:rsidRPr="0064799F">
        <w:rPr>
          <w:color w:val="222222"/>
          <w:shd w:val="clear" w:color="auto" w:fill="FFFFFF"/>
        </w:rPr>
        <w:t>(1), e20225.</w:t>
      </w:r>
    </w:p>
    <w:p w14:paraId="79DBFE1D" w14:textId="58A0CAC4" w:rsidR="006751B1" w:rsidRPr="00603853" w:rsidRDefault="006751B1" w:rsidP="000C799B">
      <w:pPr>
        <w:spacing w:line="360" w:lineRule="auto"/>
        <w:ind w:left="576" w:hanging="576"/>
        <w:rPr>
          <w:color w:val="222222"/>
          <w:shd w:val="clear" w:color="auto" w:fill="FFFFFF"/>
        </w:rPr>
      </w:pPr>
      <w:r w:rsidRPr="00201176">
        <w:rPr>
          <w:color w:val="222222"/>
          <w:shd w:val="clear" w:color="auto" w:fill="FFFFFF"/>
        </w:rPr>
        <w:lastRenderedPageBreak/>
        <w:t>Pritchard BD, Breeden GK, Bowling RG, Gannon TW, Hutto KC, &amp; Brosnan JT</w:t>
      </w:r>
      <w:r>
        <w:rPr>
          <w:color w:val="222222"/>
          <w:shd w:val="clear" w:color="auto" w:fill="FFFFFF"/>
        </w:rPr>
        <w:t xml:space="preserve"> (202</w:t>
      </w:r>
      <w:r w:rsidR="00C21B30">
        <w:rPr>
          <w:color w:val="222222"/>
          <w:shd w:val="clear" w:color="auto" w:fill="FFFFFF"/>
        </w:rPr>
        <w:t>5</w:t>
      </w:r>
      <w:r>
        <w:rPr>
          <w:color w:val="222222"/>
          <w:shd w:val="clear" w:color="auto" w:fill="FFFFFF"/>
        </w:rPr>
        <w:t>)</w:t>
      </w:r>
      <w:r w:rsidRPr="00201176">
        <w:rPr>
          <w:color w:val="222222"/>
          <w:shd w:val="clear" w:color="auto" w:fill="FFFFFF"/>
        </w:rPr>
        <w:t xml:space="preserve">. Turfgrass </w:t>
      </w:r>
      <w:r>
        <w:rPr>
          <w:color w:val="222222"/>
          <w:shd w:val="clear" w:color="auto" w:fill="FFFFFF"/>
        </w:rPr>
        <w:t>t</w:t>
      </w:r>
      <w:r w:rsidRPr="00201176">
        <w:rPr>
          <w:color w:val="222222"/>
          <w:shd w:val="clear" w:color="auto" w:fill="FFFFFF"/>
        </w:rPr>
        <w:t xml:space="preserve">olerance to </w:t>
      </w:r>
      <w:r>
        <w:rPr>
          <w:color w:val="222222"/>
          <w:shd w:val="clear" w:color="auto" w:fill="FFFFFF"/>
        </w:rPr>
        <w:t>t</w:t>
      </w:r>
      <w:r w:rsidRPr="00201176">
        <w:rPr>
          <w:color w:val="222222"/>
          <w:shd w:val="clear" w:color="auto" w:fill="FFFFFF"/>
        </w:rPr>
        <w:t xml:space="preserve">etflupyrolimet </w:t>
      </w:r>
      <w:r>
        <w:rPr>
          <w:color w:val="222222"/>
          <w:shd w:val="clear" w:color="auto" w:fill="FFFFFF"/>
        </w:rPr>
        <w:t>a</w:t>
      </w:r>
      <w:r w:rsidRPr="00201176">
        <w:rPr>
          <w:color w:val="222222"/>
          <w:shd w:val="clear" w:color="auto" w:fill="FFFFFF"/>
        </w:rPr>
        <w:t xml:space="preserve">pplications for </w:t>
      </w:r>
      <w:r>
        <w:rPr>
          <w:color w:val="222222"/>
          <w:shd w:val="clear" w:color="auto" w:fill="FFFFFF"/>
        </w:rPr>
        <w:t>p</w:t>
      </w:r>
      <w:r w:rsidRPr="00201176">
        <w:rPr>
          <w:color w:val="222222"/>
          <w:shd w:val="clear" w:color="auto" w:fill="FFFFFF"/>
        </w:rPr>
        <w:t xml:space="preserve">reemergence </w:t>
      </w:r>
      <w:r>
        <w:rPr>
          <w:color w:val="222222"/>
          <w:shd w:val="clear" w:color="auto" w:fill="FFFFFF"/>
        </w:rPr>
        <w:t>g</w:t>
      </w:r>
      <w:r w:rsidRPr="00201176">
        <w:rPr>
          <w:color w:val="222222"/>
          <w:shd w:val="clear" w:color="auto" w:fill="FFFFFF"/>
        </w:rPr>
        <w:t xml:space="preserve">rassy </w:t>
      </w:r>
      <w:r>
        <w:rPr>
          <w:color w:val="222222"/>
          <w:shd w:val="clear" w:color="auto" w:fill="FFFFFF"/>
        </w:rPr>
        <w:t>w</w:t>
      </w:r>
      <w:r w:rsidRPr="00201176">
        <w:rPr>
          <w:color w:val="222222"/>
          <w:shd w:val="clear" w:color="auto" w:fill="FFFFFF"/>
        </w:rPr>
        <w:t xml:space="preserve">eed </w:t>
      </w:r>
      <w:r>
        <w:rPr>
          <w:color w:val="222222"/>
          <w:shd w:val="clear" w:color="auto" w:fill="FFFFFF"/>
        </w:rPr>
        <w:t>c</w:t>
      </w:r>
      <w:r w:rsidRPr="00201176">
        <w:rPr>
          <w:color w:val="222222"/>
          <w:shd w:val="clear" w:color="auto" w:fill="FFFFFF"/>
        </w:rPr>
        <w:t>ontrol.</w:t>
      </w:r>
      <w:r w:rsidRPr="003012A9">
        <w:rPr>
          <w:i/>
          <w:iCs/>
        </w:rPr>
        <w:t xml:space="preserve"> </w:t>
      </w:r>
      <w:r w:rsidRPr="00603853">
        <w:rPr>
          <w:i/>
          <w:iCs/>
        </w:rPr>
        <w:t>Weed Sci.</w:t>
      </w:r>
      <w:r w:rsidRPr="00603853">
        <w:t xml:space="preserve"> (73) e17. doi:10.1017/wsc.2024.97</w:t>
      </w:r>
    </w:p>
    <w:p w14:paraId="07B0880A" w14:textId="7DAE3EF8" w:rsidR="006751B1" w:rsidRPr="00603853" w:rsidRDefault="006751B1" w:rsidP="000C799B">
      <w:pPr>
        <w:spacing w:line="360" w:lineRule="auto"/>
        <w:ind w:left="576" w:hanging="576"/>
        <w:rPr>
          <w:color w:val="222222"/>
          <w:shd w:val="clear" w:color="auto" w:fill="FFFFFF"/>
        </w:rPr>
      </w:pPr>
      <w:r w:rsidRPr="00603853">
        <w:rPr>
          <w:color w:val="222222"/>
          <w:shd w:val="clear" w:color="auto" w:fill="FFFFFF"/>
        </w:rPr>
        <w:t xml:space="preserve">Pritchard BD, Gannon TW, Butler DM, Bowling RG, Puri A, &amp; Brosnan JT (2025). Soil Texture Effects on Tetflupyrolimet Efficacy in Turfgrass. </w:t>
      </w:r>
      <w:r w:rsidR="00E93532">
        <w:rPr>
          <w:i/>
          <w:iCs/>
          <w:color w:val="222222"/>
          <w:shd w:val="clear" w:color="auto" w:fill="FFFFFF"/>
        </w:rPr>
        <w:t>Weed Science</w:t>
      </w:r>
      <w:r w:rsidRPr="00864A35">
        <w:rPr>
          <w:color w:val="222222"/>
          <w:shd w:val="clear" w:color="auto" w:fill="FFFFFF"/>
        </w:rPr>
        <w:t>, </w:t>
      </w:r>
      <w:r>
        <w:rPr>
          <w:color w:val="222222"/>
          <w:shd w:val="clear" w:color="auto" w:fill="FFFFFF"/>
        </w:rPr>
        <w:t>XX</w:t>
      </w:r>
      <w:r w:rsidRPr="00864A35">
        <w:rPr>
          <w:color w:val="222222"/>
          <w:shd w:val="clear" w:color="auto" w:fill="FFFFFF"/>
        </w:rPr>
        <w:t>(</w:t>
      </w:r>
      <w:r>
        <w:rPr>
          <w:color w:val="222222"/>
          <w:shd w:val="clear" w:color="auto" w:fill="FFFFFF"/>
        </w:rPr>
        <w:t>X</w:t>
      </w:r>
      <w:r w:rsidRPr="00864A35">
        <w:rPr>
          <w:color w:val="222222"/>
          <w:shd w:val="clear" w:color="auto" w:fill="FFFFFF"/>
        </w:rPr>
        <w:t xml:space="preserve">), </w:t>
      </w:r>
      <w:r>
        <w:rPr>
          <w:color w:val="222222"/>
          <w:shd w:val="clear" w:color="auto" w:fill="FFFFFF"/>
        </w:rPr>
        <w:t>XXXX</w:t>
      </w:r>
      <w:r w:rsidRPr="00864A35">
        <w:rPr>
          <w:color w:val="222222"/>
          <w:shd w:val="clear" w:color="auto" w:fill="FFFFFF"/>
        </w:rPr>
        <w:t>-</w:t>
      </w:r>
      <w:r>
        <w:rPr>
          <w:color w:val="222222"/>
          <w:shd w:val="clear" w:color="auto" w:fill="FFFFFF"/>
        </w:rPr>
        <w:t xml:space="preserve">XXXX. (Under review; submitted </w:t>
      </w:r>
      <w:r w:rsidR="00E93532">
        <w:rPr>
          <w:color w:val="222222"/>
          <w:shd w:val="clear" w:color="auto" w:fill="FFFFFF"/>
        </w:rPr>
        <w:t>15 April</w:t>
      </w:r>
      <w:r>
        <w:rPr>
          <w:color w:val="222222"/>
          <w:shd w:val="clear" w:color="auto" w:fill="FFFFFF"/>
        </w:rPr>
        <w:t xml:space="preserve"> 2025)</w:t>
      </w:r>
    </w:p>
    <w:p w14:paraId="1A5F9185" w14:textId="77777777" w:rsidR="006751B1" w:rsidRDefault="006751B1" w:rsidP="000C799B">
      <w:pPr>
        <w:spacing w:line="360" w:lineRule="auto"/>
        <w:ind w:left="576" w:hanging="576"/>
        <w:rPr>
          <w:color w:val="222222"/>
          <w:shd w:val="clear" w:color="auto" w:fill="FFFFFF"/>
        </w:rPr>
      </w:pPr>
      <w:r w:rsidRPr="007F0ACB">
        <w:rPr>
          <w:color w:val="222222"/>
          <w:shd w:val="clear" w:color="auto" w:fill="FFFFFF"/>
        </w:rPr>
        <w:t>Selby TP, Satterfield AD, Puri</w:t>
      </w:r>
      <w:r>
        <w:rPr>
          <w:color w:val="222222"/>
          <w:shd w:val="clear" w:color="auto" w:fill="FFFFFF"/>
        </w:rPr>
        <w:t xml:space="preserve"> </w:t>
      </w:r>
      <w:r w:rsidRPr="007F0ACB">
        <w:rPr>
          <w:color w:val="222222"/>
          <w:shd w:val="clear" w:color="auto" w:fill="FFFFFF"/>
        </w:rPr>
        <w:t>A, Stevenson TM, Travis DA, Campbell MJ,</w:t>
      </w:r>
      <w:r>
        <w:rPr>
          <w:color w:val="222222"/>
          <w:shd w:val="clear" w:color="auto" w:fill="FFFFFF"/>
        </w:rPr>
        <w:t xml:space="preserve"> </w:t>
      </w:r>
      <w:proofErr w:type="spellStart"/>
      <w:r>
        <w:rPr>
          <w:color w:val="222222"/>
          <w:shd w:val="clear" w:color="auto" w:fill="FFFFFF"/>
        </w:rPr>
        <w:t>Taggi</w:t>
      </w:r>
      <w:proofErr w:type="spellEnd"/>
      <w:r>
        <w:rPr>
          <w:color w:val="222222"/>
          <w:shd w:val="clear" w:color="auto" w:fill="FFFFFF"/>
        </w:rPr>
        <w:t xml:space="preserve"> AE, Hughes KA,</w:t>
      </w:r>
      <w:r w:rsidRPr="007F0ACB">
        <w:rPr>
          <w:color w:val="222222"/>
          <w:shd w:val="clear" w:color="auto" w:fill="FFFFFF"/>
        </w:rPr>
        <w:t xml:space="preserve"> &amp; Bereznak J (2023). </w:t>
      </w:r>
      <w:proofErr w:type="spellStart"/>
      <w:r w:rsidRPr="007F0ACB">
        <w:rPr>
          <w:color w:val="222222"/>
          <w:shd w:val="clear" w:color="auto" w:fill="FFFFFF"/>
        </w:rPr>
        <w:t>Bioisosteric</w:t>
      </w:r>
      <w:proofErr w:type="spellEnd"/>
      <w:r w:rsidRPr="007F0ACB">
        <w:rPr>
          <w:color w:val="222222"/>
          <w:shd w:val="clear" w:color="auto" w:fill="FFFFFF"/>
        </w:rPr>
        <w:t xml:space="preserve"> tactics in the discovery of tetflupyrolimet: a new mode-of-action herbicide. </w:t>
      </w:r>
      <w:r w:rsidRPr="007F0ACB">
        <w:rPr>
          <w:i/>
          <w:iCs/>
          <w:color w:val="222222"/>
          <w:shd w:val="clear" w:color="auto" w:fill="FFFFFF"/>
        </w:rPr>
        <w:t>Journal of Agricultural and Food Chemistry</w:t>
      </w:r>
      <w:r w:rsidRPr="007F0ACB">
        <w:rPr>
          <w:color w:val="222222"/>
          <w:shd w:val="clear" w:color="auto" w:fill="FFFFFF"/>
        </w:rPr>
        <w:t>, </w:t>
      </w:r>
      <w:r w:rsidRPr="007F0ACB">
        <w:rPr>
          <w:i/>
          <w:iCs/>
          <w:color w:val="222222"/>
          <w:shd w:val="clear" w:color="auto" w:fill="FFFFFF"/>
        </w:rPr>
        <w:t>71</w:t>
      </w:r>
      <w:r w:rsidRPr="007F0ACB">
        <w:rPr>
          <w:color w:val="222222"/>
          <w:shd w:val="clear" w:color="auto" w:fill="FFFFFF"/>
        </w:rPr>
        <w:t>(47), 18197-18204.</w:t>
      </w:r>
    </w:p>
    <w:p w14:paraId="5F5E6365" w14:textId="77777777" w:rsidR="006751B1" w:rsidRPr="004142F3" w:rsidRDefault="006751B1" w:rsidP="000C799B">
      <w:pPr>
        <w:spacing w:line="360" w:lineRule="auto"/>
        <w:ind w:left="576" w:hanging="576"/>
        <w:rPr>
          <w:color w:val="222222"/>
          <w:shd w:val="clear" w:color="auto" w:fill="FFFFFF"/>
        </w:rPr>
      </w:pPr>
      <w:r w:rsidRPr="004142F3">
        <w:rPr>
          <w:shd w:val="clear" w:color="auto" w:fill="FFFFFF"/>
        </w:rPr>
        <w:t xml:space="preserve">Senseman SA. Herbicide Handbook, 9th ed. Lawrence, KS: </w:t>
      </w:r>
      <w:r w:rsidRPr="004142F3">
        <w:rPr>
          <w:i/>
          <w:iCs/>
          <w:shd w:val="clear" w:color="auto" w:fill="FFFFFF"/>
        </w:rPr>
        <w:t>Weed Science Society of America</w:t>
      </w:r>
      <w:r w:rsidRPr="004142F3">
        <w:rPr>
          <w:shd w:val="clear" w:color="auto" w:fill="FFFFFF"/>
        </w:rPr>
        <w:t>. 2007.</w:t>
      </w:r>
    </w:p>
    <w:p w14:paraId="43180FDA" w14:textId="77777777" w:rsidR="006751B1" w:rsidRDefault="006751B1" w:rsidP="000C799B">
      <w:pPr>
        <w:spacing w:line="360" w:lineRule="auto"/>
        <w:ind w:left="576" w:hanging="576"/>
        <w:rPr>
          <w:color w:val="222222"/>
          <w:shd w:val="clear" w:color="auto" w:fill="FFFFFF"/>
        </w:rPr>
      </w:pPr>
      <w:r w:rsidRPr="00C76DE7">
        <w:rPr>
          <w:color w:val="222222"/>
          <w:shd w:val="clear" w:color="auto" w:fill="FFFFFF"/>
        </w:rPr>
        <w:t>Shaddox TW, Unruh JB, Johnso</w:t>
      </w:r>
      <w:r>
        <w:rPr>
          <w:color w:val="222222"/>
          <w:shd w:val="clear" w:color="auto" w:fill="FFFFFF"/>
        </w:rPr>
        <w:t>n</w:t>
      </w:r>
      <w:r w:rsidRPr="00C76DE7">
        <w:rPr>
          <w:color w:val="222222"/>
          <w:shd w:val="clear" w:color="auto" w:fill="FFFFFF"/>
        </w:rPr>
        <w:t xml:space="preserve"> ME, Brown CD, &amp; Stacey G (2023). Turfgrass use on US golf courses. </w:t>
      </w:r>
      <w:proofErr w:type="spellStart"/>
      <w:r w:rsidRPr="00C76DE7">
        <w:rPr>
          <w:i/>
          <w:iCs/>
          <w:color w:val="222222"/>
          <w:shd w:val="clear" w:color="auto" w:fill="FFFFFF"/>
        </w:rPr>
        <w:t>HortTechnology</w:t>
      </w:r>
      <w:proofErr w:type="spellEnd"/>
      <w:r w:rsidRPr="00C76DE7">
        <w:rPr>
          <w:color w:val="222222"/>
          <w:shd w:val="clear" w:color="auto" w:fill="FFFFFF"/>
        </w:rPr>
        <w:t>, </w:t>
      </w:r>
      <w:r w:rsidRPr="00C76DE7">
        <w:rPr>
          <w:i/>
          <w:iCs/>
          <w:color w:val="222222"/>
          <w:shd w:val="clear" w:color="auto" w:fill="FFFFFF"/>
        </w:rPr>
        <w:t>33</w:t>
      </w:r>
      <w:r w:rsidRPr="00C76DE7">
        <w:rPr>
          <w:color w:val="222222"/>
          <w:shd w:val="clear" w:color="auto" w:fill="FFFFFF"/>
        </w:rPr>
        <w:t>(4), 367-376.</w:t>
      </w:r>
    </w:p>
    <w:p w14:paraId="694F1AEE" w14:textId="77777777" w:rsidR="006751B1" w:rsidRDefault="006751B1" w:rsidP="000C799B">
      <w:pPr>
        <w:spacing w:line="360" w:lineRule="auto"/>
        <w:rPr>
          <w:rFonts w:cs="Times New Roman"/>
        </w:rPr>
      </w:pPr>
    </w:p>
    <w:p w14:paraId="7F94859D" w14:textId="77777777" w:rsidR="006751B1" w:rsidRDefault="006751B1">
      <w:pPr>
        <w:rPr>
          <w:rFonts w:cs="Times New Roman"/>
        </w:rPr>
      </w:pPr>
      <w:r>
        <w:rPr>
          <w:rFonts w:cs="Times New Roman"/>
        </w:rPr>
        <w:br w:type="page"/>
      </w:r>
    </w:p>
    <w:p w14:paraId="3683F1E4" w14:textId="7EE38201" w:rsidR="00FF5005" w:rsidRPr="00FF5005" w:rsidRDefault="006751B1" w:rsidP="00FF5005">
      <w:pPr>
        <w:pStyle w:val="Heading2"/>
        <w:spacing w:line="360" w:lineRule="auto"/>
      </w:pPr>
      <w:bookmarkStart w:id="121" w:name="_Toc192781578"/>
      <w:r w:rsidRPr="006751B1">
        <w:lastRenderedPageBreak/>
        <w:t>Appendix</w:t>
      </w:r>
      <w:bookmarkEnd w:id="121"/>
    </w:p>
    <w:p w14:paraId="296BD43D" w14:textId="662F37FD" w:rsidR="00356D89" w:rsidRDefault="00980623" w:rsidP="000C799B">
      <w:pPr>
        <w:pStyle w:val="Caption"/>
      </w:pPr>
      <w:bookmarkStart w:id="122" w:name="_Toc192846047"/>
      <w:r>
        <w:t>Table 3.</w:t>
      </w:r>
      <w:fldSimple w:instr=" SEQ Table \* ARABIC \s 1 ">
        <w:r>
          <w:rPr>
            <w:noProof/>
          </w:rPr>
          <w:t>1</w:t>
        </w:r>
      </w:fldSimple>
      <w:r>
        <w:t xml:space="preserve">. </w:t>
      </w:r>
      <w:r w:rsidR="00356D89" w:rsidRPr="00980623">
        <w:rPr>
          <w:b w:val="0"/>
          <w:bCs w:val="0"/>
        </w:rPr>
        <w:t>Physical and chemical properties of the native soil on the sloped (9.5%) hybrid bermudagrass (</w:t>
      </w:r>
      <w:r w:rsidR="00356D89" w:rsidRPr="00980623">
        <w:rPr>
          <w:b w:val="0"/>
          <w:bCs w:val="0"/>
          <w:i/>
          <w:iCs/>
        </w:rPr>
        <w:t>C. dactylon</w:t>
      </w:r>
      <w:r w:rsidR="00356D89" w:rsidRPr="00980623">
        <w:rPr>
          <w:b w:val="0"/>
          <w:bCs w:val="0"/>
        </w:rPr>
        <w:t xml:space="preserve"> L. Pers. x </w:t>
      </w:r>
      <w:r w:rsidR="00356D89" w:rsidRPr="00980623">
        <w:rPr>
          <w:b w:val="0"/>
          <w:bCs w:val="0"/>
          <w:i/>
          <w:iCs/>
        </w:rPr>
        <w:t>C. transvaalensis</w:t>
      </w:r>
      <w:r w:rsidR="00356D89" w:rsidRPr="00980623">
        <w:rPr>
          <w:b w:val="0"/>
          <w:bCs w:val="0"/>
        </w:rPr>
        <w:t xml:space="preserve"> Burtt-Davy) plot where </w:t>
      </w:r>
      <w:proofErr w:type="spellStart"/>
      <w:r w:rsidR="00356D89" w:rsidRPr="00980623">
        <w:rPr>
          <w:b w:val="0"/>
          <w:bCs w:val="0"/>
        </w:rPr>
        <w:t>tetflupyrolimet</w:t>
      </w:r>
      <w:proofErr w:type="spellEnd"/>
      <w:r w:rsidR="00356D89" w:rsidRPr="00980623">
        <w:rPr>
          <w:b w:val="0"/>
          <w:bCs w:val="0"/>
        </w:rPr>
        <w:t xml:space="preserve"> (</w:t>
      </w:r>
      <w:proofErr w:type="spellStart"/>
      <w:r w:rsidR="00356D89" w:rsidRPr="00980623">
        <w:rPr>
          <w:b w:val="0"/>
          <w:bCs w:val="0"/>
        </w:rPr>
        <w:t>Dodhylex</w:t>
      </w:r>
      <w:proofErr w:type="spellEnd"/>
      <w:r w:rsidR="00356D89" w:rsidRPr="00980623">
        <w:rPr>
          <w:b w:val="0"/>
          <w:bCs w:val="0"/>
        </w:rPr>
        <w:t xml:space="preserve">™ Active) was evaluated for downslope lateral movement compared to </w:t>
      </w:r>
      <w:proofErr w:type="spellStart"/>
      <w:r w:rsidR="00356D89" w:rsidRPr="00980623">
        <w:rPr>
          <w:b w:val="0"/>
          <w:bCs w:val="0"/>
        </w:rPr>
        <w:t>pronamide</w:t>
      </w:r>
      <w:proofErr w:type="spellEnd"/>
      <w:r w:rsidR="00356D89" w:rsidRPr="00980623">
        <w:rPr>
          <w:b w:val="0"/>
          <w:bCs w:val="0"/>
        </w:rPr>
        <w:t>. Experiments were conducted at the North Carolina State University Lake Wheeler Turfgrass Field Lab (Raleigh, NC). Soil analyses were conducted by Brookside Laboratories (New Bremen, OH).</w:t>
      </w:r>
      <w:bookmarkEnd w:id="122"/>
    </w:p>
    <w:p w14:paraId="28B9E155" w14:textId="77777777" w:rsidR="00356D89" w:rsidRPr="00182211" w:rsidRDefault="00356D89" w:rsidP="00356D89">
      <w:pPr>
        <w:contextualSpacing/>
        <w:jc w:val="both"/>
      </w:pPr>
    </w:p>
    <w:tbl>
      <w:tblPr>
        <w:tblStyle w:val="TableGrid1"/>
        <w:tblW w:w="8730" w:type="dxa"/>
        <w:tblLayout w:type="fixed"/>
        <w:tblLook w:val="04A0" w:firstRow="1" w:lastRow="0" w:firstColumn="1" w:lastColumn="0" w:noHBand="0" w:noVBand="1"/>
      </w:tblPr>
      <w:tblGrid>
        <w:gridCol w:w="1980"/>
        <w:gridCol w:w="900"/>
        <w:gridCol w:w="720"/>
        <w:gridCol w:w="810"/>
        <w:gridCol w:w="1080"/>
        <w:gridCol w:w="1843"/>
        <w:gridCol w:w="1397"/>
      </w:tblGrid>
      <w:tr w:rsidR="00356D89" w:rsidRPr="00584F9E" w14:paraId="78E4E979" w14:textId="77777777" w:rsidTr="00103CC5">
        <w:trPr>
          <w:trHeight w:val="228"/>
        </w:trPr>
        <w:tc>
          <w:tcPr>
            <w:tcW w:w="1980" w:type="dxa"/>
            <w:vAlign w:val="center"/>
          </w:tcPr>
          <w:p w14:paraId="7E06440E" w14:textId="77777777" w:rsidR="00356D89" w:rsidRPr="00584F9E" w:rsidRDefault="00356D89" w:rsidP="00103CC5">
            <w:pPr>
              <w:contextualSpacing/>
            </w:pPr>
            <w:r w:rsidRPr="00584F9E">
              <w:t>Soil Type</w:t>
            </w:r>
          </w:p>
        </w:tc>
        <w:tc>
          <w:tcPr>
            <w:tcW w:w="900" w:type="dxa"/>
            <w:vAlign w:val="center"/>
          </w:tcPr>
          <w:p w14:paraId="516DC68B" w14:textId="77777777" w:rsidR="00356D89" w:rsidRPr="00584F9E" w:rsidRDefault="00356D89" w:rsidP="00103CC5">
            <w:pPr>
              <w:contextualSpacing/>
              <w:jc w:val="center"/>
            </w:pPr>
            <w:r w:rsidRPr="00584F9E">
              <w:t>Sand</w:t>
            </w:r>
          </w:p>
        </w:tc>
        <w:tc>
          <w:tcPr>
            <w:tcW w:w="720" w:type="dxa"/>
            <w:vAlign w:val="center"/>
          </w:tcPr>
          <w:p w14:paraId="7B66AD44" w14:textId="77777777" w:rsidR="00356D89" w:rsidRPr="00584F9E" w:rsidRDefault="00356D89" w:rsidP="00103CC5">
            <w:pPr>
              <w:contextualSpacing/>
              <w:jc w:val="center"/>
            </w:pPr>
            <w:r w:rsidRPr="00584F9E">
              <w:t>Silt</w:t>
            </w:r>
          </w:p>
        </w:tc>
        <w:tc>
          <w:tcPr>
            <w:tcW w:w="810" w:type="dxa"/>
            <w:vAlign w:val="center"/>
          </w:tcPr>
          <w:p w14:paraId="2D1203B0" w14:textId="77777777" w:rsidR="00356D89" w:rsidRPr="00584F9E" w:rsidRDefault="00356D89" w:rsidP="00103CC5">
            <w:pPr>
              <w:contextualSpacing/>
              <w:jc w:val="center"/>
            </w:pPr>
            <w:r w:rsidRPr="00584F9E">
              <w:t>Clay</w:t>
            </w:r>
          </w:p>
        </w:tc>
        <w:tc>
          <w:tcPr>
            <w:tcW w:w="1080" w:type="dxa"/>
            <w:vAlign w:val="center"/>
          </w:tcPr>
          <w:p w14:paraId="272445B0" w14:textId="77777777" w:rsidR="00356D89" w:rsidRPr="00584F9E" w:rsidRDefault="00356D89" w:rsidP="00103CC5">
            <w:pPr>
              <w:contextualSpacing/>
              <w:jc w:val="center"/>
            </w:pPr>
            <w:r w:rsidRPr="00584F9E">
              <w:t>Organic Matter</w:t>
            </w:r>
          </w:p>
        </w:tc>
        <w:tc>
          <w:tcPr>
            <w:tcW w:w="1843" w:type="dxa"/>
            <w:vAlign w:val="center"/>
          </w:tcPr>
          <w:p w14:paraId="3592471B" w14:textId="77777777" w:rsidR="00356D89" w:rsidRPr="00584F9E" w:rsidRDefault="00356D89" w:rsidP="00103CC5">
            <w:pPr>
              <w:contextualSpacing/>
              <w:jc w:val="center"/>
            </w:pPr>
            <w:r w:rsidRPr="00584F9E">
              <w:t>Total Exchange Capacity</w:t>
            </w:r>
          </w:p>
        </w:tc>
        <w:tc>
          <w:tcPr>
            <w:tcW w:w="1397" w:type="dxa"/>
            <w:vAlign w:val="center"/>
          </w:tcPr>
          <w:p w14:paraId="47BEAC4D" w14:textId="77777777" w:rsidR="00356D89" w:rsidRPr="00584F9E" w:rsidRDefault="00356D89" w:rsidP="00103CC5">
            <w:pPr>
              <w:contextualSpacing/>
              <w:jc w:val="center"/>
            </w:pPr>
            <w:r w:rsidRPr="00584F9E">
              <w:t>pH</w:t>
            </w:r>
          </w:p>
        </w:tc>
      </w:tr>
      <w:tr w:rsidR="00356D89" w:rsidRPr="00584F9E" w14:paraId="4D87BBEA" w14:textId="77777777" w:rsidTr="00103CC5">
        <w:trPr>
          <w:trHeight w:val="288"/>
        </w:trPr>
        <w:tc>
          <w:tcPr>
            <w:tcW w:w="1980" w:type="dxa"/>
            <w:vAlign w:val="center"/>
          </w:tcPr>
          <w:p w14:paraId="00DDCF8E" w14:textId="77777777" w:rsidR="00356D89" w:rsidRPr="00584F9E" w:rsidRDefault="00356D89" w:rsidP="00103CC5">
            <w:pPr>
              <w:contextualSpacing/>
            </w:pPr>
          </w:p>
        </w:tc>
        <w:tc>
          <w:tcPr>
            <w:tcW w:w="3510" w:type="dxa"/>
            <w:gridSpan w:val="4"/>
            <w:vAlign w:val="center"/>
          </w:tcPr>
          <w:p w14:paraId="58703328" w14:textId="77777777" w:rsidR="00356D89" w:rsidRPr="00584F9E" w:rsidRDefault="00356D89" w:rsidP="00103CC5">
            <w:pPr>
              <w:contextualSpacing/>
              <w:jc w:val="center"/>
            </w:pPr>
            <w:r w:rsidRPr="00584F9E">
              <w:rPr>
                <w:vertAlign w:val="superscript"/>
              </w:rPr>
              <w:t>__________________</w:t>
            </w:r>
            <w:r w:rsidRPr="00584F9E">
              <w:t>%</w:t>
            </w:r>
            <w:r w:rsidRPr="00584F9E">
              <w:rPr>
                <w:vertAlign w:val="superscript"/>
              </w:rPr>
              <w:t>____________________</w:t>
            </w:r>
          </w:p>
        </w:tc>
        <w:tc>
          <w:tcPr>
            <w:tcW w:w="1843" w:type="dxa"/>
            <w:vAlign w:val="center"/>
          </w:tcPr>
          <w:p w14:paraId="636764B1" w14:textId="77777777" w:rsidR="00356D89" w:rsidRPr="00584F9E" w:rsidRDefault="00356D89" w:rsidP="00103CC5">
            <w:pPr>
              <w:contextualSpacing/>
              <w:jc w:val="center"/>
              <w:rPr>
                <w:vertAlign w:val="superscript"/>
              </w:rPr>
            </w:pPr>
            <w:proofErr w:type="spellStart"/>
            <w:r w:rsidRPr="00584F9E">
              <w:t>meq</w:t>
            </w:r>
            <w:proofErr w:type="spellEnd"/>
            <w:r w:rsidRPr="00584F9E">
              <w:t xml:space="preserve"> 100 g</w:t>
            </w:r>
            <w:r w:rsidRPr="00584F9E">
              <w:rPr>
                <w:vertAlign w:val="superscript"/>
              </w:rPr>
              <w:t>-1</w:t>
            </w:r>
          </w:p>
        </w:tc>
        <w:tc>
          <w:tcPr>
            <w:tcW w:w="1397" w:type="dxa"/>
            <w:vAlign w:val="center"/>
          </w:tcPr>
          <w:p w14:paraId="108EB378" w14:textId="77777777" w:rsidR="00356D89" w:rsidRPr="00584F9E" w:rsidRDefault="00356D89" w:rsidP="00103CC5">
            <w:pPr>
              <w:contextualSpacing/>
              <w:jc w:val="center"/>
            </w:pPr>
            <w:r w:rsidRPr="00584F9E">
              <w:t>(H</w:t>
            </w:r>
            <w:r w:rsidRPr="00584F9E">
              <w:rPr>
                <w:vertAlign w:val="subscript"/>
              </w:rPr>
              <w:t>2</w:t>
            </w:r>
            <w:r w:rsidRPr="00584F9E">
              <w:t>O 1:1)</w:t>
            </w:r>
          </w:p>
        </w:tc>
      </w:tr>
      <w:tr w:rsidR="00356D89" w:rsidRPr="00584F9E" w14:paraId="60F9BCF4" w14:textId="77777777" w:rsidTr="00103CC5">
        <w:trPr>
          <w:trHeight w:val="228"/>
        </w:trPr>
        <w:tc>
          <w:tcPr>
            <w:tcW w:w="1980" w:type="dxa"/>
            <w:vAlign w:val="center"/>
          </w:tcPr>
          <w:p w14:paraId="6B40D81F" w14:textId="77777777" w:rsidR="00356D89" w:rsidRPr="00584F9E" w:rsidRDefault="00356D89" w:rsidP="00103CC5">
            <w:pPr>
              <w:contextualSpacing/>
            </w:pPr>
            <w:r>
              <w:t>Cecil sandy loam</w:t>
            </w:r>
          </w:p>
        </w:tc>
        <w:tc>
          <w:tcPr>
            <w:tcW w:w="900" w:type="dxa"/>
          </w:tcPr>
          <w:p w14:paraId="31B00E7B" w14:textId="77777777" w:rsidR="00356D89" w:rsidRPr="00584F9E" w:rsidRDefault="00356D89" w:rsidP="00103CC5">
            <w:pPr>
              <w:contextualSpacing/>
              <w:jc w:val="center"/>
            </w:pPr>
            <w:r>
              <w:t>77.4</w:t>
            </w:r>
          </w:p>
        </w:tc>
        <w:tc>
          <w:tcPr>
            <w:tcW w:w="720" w:type="dxa"/>
          </w:tcPr>
          <w:p w14:paraId="4A2849D8" w14:textId="77777777" w:rsidR="00356D89" w:rsidRPr="00584F9E" w:rsidRDefault="00356D89" w:rsidP="00103CC5">
            <w:pPr>
              <w:contextualSpacing/>
              <w:jc w:val="center"/>
            </w:pPr>
            <w:r>
              <w:t>15.0</w:t>
            </w:r>
          </w:p>
        </w:tc>
        <w:tc>
          <w:tcPr>
            <w:tcW w:w="810" w:type="dxa"/>
          </w:tcPr>
          <w:p w14:paraId="06A5B00D" w14:textId="77777777" w:rsidR="00356D89" w:rsidRPr="00584F9E" w:rsidRDefault="00356D89" w:rsidP="00103CC5">
            <w:pPr>
              <w:contextualSpacing/>
              <w:jc w:val="center"/>
            </w:pPr>
            <w:r>
              <w:t>7.6</w:t>
            </w:r>
          </w:p>
        </w:tc>
        <w:tc>
          <w:tcPr>
            <w:tcW w:w="1080" w:type="dxa"/>
          </w:tcPr>
          <w:p w14:paraId="1D5F8844" w14:textId="77777777" w:rsidR="00356D89" w:rsidRPr="00584F9E" w:rsidRDefault="00356D89" w:rsidP="00103CC5">
            <w:pPr>
              <w:contextualSpacing/>
              <w:jc w:val="center"/>
            </w:pPr>
            <w:r>
              <w:t>2.19</w:t>
            </w:r>
          </w:p>
        </w:tc>
        <w:tc>
          <w:tcPr>
            <w:tcW w:w="1843" w:type="dxa"/>
          </w:tcPr>
          <w:p w14:paraId="74FB4C40" w14:textId="77777777" w:rsidR="00356D89" w:rsidRPr="00584F9E" w:rsidRDefault="00356D89" w:rsidP="00103CC5">
            <w:pPr>
              <w:contextualSpacing/>
              <w:jc w:val="center"/>
            </w:pPr>
            <w:r>
              <w:t>7.51</w:t>
            </w:r>
          </w:p>
        </w:tc>
        <w:tc>
          <w:tcPr>
            <w:tcW w:w="1397" w:type="dxa"/>
          </w:tcPr>
          <w:p w14:paraId="67A93240" w14:textId="77777777" w:rsidR="00356D89" w:rsidRPr="00584F9E" w:rsidRDefault="00356D89" w:rsidP="00103CC5">
            <w:pPr>
              <w:contextualSpacing/>
              <w:jc w:val="center"/>
            </w:pPr>
            <w:r>
              <w:t>5.2</w:t>
            </w:r>
          </w:p>
        </w:tc>
      </w:tr>
    </w:tbl>
    <w:p w14:paraId="517D3CEE" w14:textId="77777777" w:rsidR="00594FC6" w:rsidRDefault="00594FC6" w:rsidP="00594FC6">
      <w:pPr>
        <w:rPr>
          <w:b/>
          <w:bCs/>
        </w:rPr>
        <w:sectPr w:rsidR="00594FC6" w:rsidSect="00594FC6">
          <w:pgSz w:w="12240" w:h="15840"/>
          <w:pgMar w:top="1440" w:right="1440" w:bottom="1440" w:left="1440" w:header="720" w:footer="720" w:gutter="0"/>
          <w:cols w:space="720"/>
          <w:docGrid w:linePitch="360"/>
        </w:sectPr>
      </w:pPr>
      <w:r>
        <w:rPr>
          <w:b/>
          <w:bCs/>
        </w:rPr>
        <w:br w:type="page"/>
      </w:r>
    </w:p>
    <w:p w14:paraId="39432725" w14:textId="2A245554" w:rsidR="00980623" w:rsidRDefault="00980623" w:rsidP="000C799B">
      <w:pPr>
        <w:pStyle w:val="Caption"/>
      </w:pPr>
      <w:bookmarkStart w:id="123" w:name="_Toc192846048"/>
      <w:r>
        <w:lastRenderedPageBreak/>
        <w:t>Table 3.</w:t>
      </w:r>
      <w:fldSimple w:instr=" SEQ Table \* ARABIC \s 1 ">
        <w:r>
          <w:rPr>
            <w:noProof/>
          </w:rPr>
          <w:t>2</w:t>
        </w:r>
      </w:fldSimple>
      <w:r>
        <w:t>.</w:t>
      </w:r>
      <w:r w:rsidR="00594FC6" w:rsidRPr="00373B34">
        <w:t xml:space="preserve"> </w:t>
      </w:r>
      <w:r w:rsidR="00594FC6" w:rsidRPr="00980623">
        <w:rPr>
          <w:b w:val="0"/>
          <w:bCs w:val="0"/>
        </w:rPr>
        <w:t xml:space="preserve">Statistical parameters for predicting the lateral movement distance of herbicides at 8 weeks after treatment </w:t>
      </w:r>
      <w:r w:rsidR="00594FC6" w:rsidRPr="00980623">
        <w:rPr>
          <w:b w:val="0"/>
          <w:bCs w:val="0"/>
          <w:color w:val="000000" w:themeColor="text1"/>
        </w:rPr>
        <w:t>under field capacity or saturated soil-moisture conditions at NC State University Lake Wheeler Turfgrass Center Raleigh, NC, following applications of tetflupyrolimet (400 g ha</w:t>
      </w:r>
      <w:r w:rsidR="00594FC6" w:rsidRPr="00980623">
        <w:rPr>
          <w:b w:val="0"/>
          <w:bCs w:val="0"/>
          <w:color w:val="000000" w:themeColor="text1"/>
          <w:vertAlign w:val="superscript"/>
        </w:rPr>
        <w:t>-1</w:t>
      </w:r>
      <w:r w:rsidR="00594FC6" w:rsidRPr="00980623">
        <w:rPr>
          <w:b w:val="0"/>
          <w:bCs w:val="0"/>
          <w:color w:val="000000" w:themeColor="text1"/>
        </w:rPr>
        <w:t xml:space="preserve">) and </w:t>
      </w:r>
      <w:proofErr w:type="spellStart"/>
      <w:r w:rsidR="00594FC6" w:rsidRPr="00980623">
        <w:rPr>
          <w:b w:val="0"/>
          <w:bCs w:val="0"/>
          <w:color w:val="000000" w:themeColor="text1"/>
        </w:rPr>
        <w:t>pronamide</w:t>
      </w:r>
      <w:proofErr w:type="spellEnd"/>
      <w:r w:rsidR="00594FC6" w:rsidRPr="00980623">
        <w:rPr>
          <w:b w:val="0"/>
          <w:bCs w:val="0"/>
          <w:color w:val="000000" w:themeColor="text1"/>
        </w:rPr>
        <w:t xml:space="preserve"> (1160 g ha</w:t>
      </w:r>
      <w:r w:rsidR="00594FC6" w:rsidRPr="00980623">
        <w:rPr>
          <w:b w:val="0"/>
          <w:bCs w:val="0"/>
          <w:color w:val="000000" w:themeColor="text1"/>
          <w:vertAlign w:val="superscript"/>
        </w:rPr>
        <w:t>-1</w:t>
      </w:r>
      <w:r w:rsidR="00594FC6" w:rsidRPr="00980623">
        <w:rPr>
          <w:b w:val="0"/>
          <w:bCs w:val="0"/>
          <w:color w:val="000000" w:themeColor="text1"/>
        </w:rPr>
        <w:t xml:space="preserve">). </w:t>
      </w:r>
      <w:r w:rsidR="00E77EB8">
        <w:rPr>
          <w:b w:val="0"/>
          <w:bCs w:val="0"/>
          <w:color w:val="000000" w:themeColor="text1"/>
        </w:rPr>
        <w:t>Mortality</w:t>
      </w:r>
      <w:r w:rsidR="00E01B9B" w:rsidRPr="00980623">
        <w:rPr>
          <w:b w:val="0"/>
          <w:bCs w:val="0"/>
          <w:color w:val="000000" w:themeColor="text1"/>
          <w:vertAlign w:val="subscript"/>
        </w:rPr>
        <w:t xml:space="preserve">50 </w:t>
      </w:r>
      <w:r w:rsidR="00594FC6" w:rsidRPr="00980623">
        <w:rPr>
          <w:b w:val="0"/>
          <w:bCs w:val="0"/>
          <w:color w:val="000000" w:themeColor="text1"/>
        </w:rPr>
        <w:t>is the</w:t>
      </w:r>
      <w:r w:rsidR="00E01B9B">
        <w:rPr>
          <w:b w:val="0"/>
          <w:bCs w:val="0"/>
          <w:color w:val="000000" w:themeColor="text1"/>
        </w:rPr>
        <w:t xml:space="preserve"> </w:t>
      </w:r>
      <w:r w:rsidR="00594FC6" w:rsidRPr="00980623">
        <w:rPr>
          <w:b w:val="0"/>
          <w:bCs w:val="0"/>
        </w:rPr>
        <w:t xml:space="preserve">lateral movement distance </w:t>
      </w:r>
      <w:r w:rsidR="00E77EB8">
        <w:rPr>
          <w:b w:val="0"/>
          <w:bCs w:val="0"/>
        </w:rPr>
        <w:t xml:space="preserve">downslope where there was </w:t>
      </w:r>
      <w:r w:rsidR="00594FC6" w:rsidRPr="00980623">
        <w:rPr>
          <w:b w:val="0"/>
          <w:bCs w:val="0"/>
        </w:rPr>
        <w:t xml:space="preserve">a 50% </w:t>
      </w:r>
      <w:r w:rsidR="00E77EB8">
        <w:rPr>
          <w:b w:val="0"/>
          <w:bCs w:val="0"/>
        </w:rPr>
        <w:t>likelihood</w:t>
      </w:r>
      <w:r w:rsidR="00E77EB8" w:rsidRPr="00980623">
        <w:rPr>
          <w:b w:val="0"/>
          <w:bCs w:val="0"/>
        </w:rPr>
        <w:t xml:space="preserve"> </w:t>
      </w:r>
      <w:r w:rsidR="00594FC6" w:rsidRPr="00980623">
        <w:rPr>
          <w:b w:val="0"/>
          <w:bCs w:val="0"/>
        </w:rPr>
        <w:t>of perennial ryegrass</w:t>
      </w:r>
      <w:r w:rsidR="00D0471D">
        <w:rPr>
          <w:b w:val="0"/>
          <w:bCs w:val="0"/>
        </w:rPr>
        <w:t xml:space="preserve"> (</w:t>
      </w:r>
      <w:r w:rsidR="00D0471D" w:rsidRPr="00D15FC8">
        <w:rPr>
          <w:b w:val="0"/>
          <w:bCs w:val="0"/>
          <w:i/>
          <w:iCs/>
        </w:rPr>
        <w:t>Lolium perenne</w:t>
      </w:r>
      <w:r w:rsidR="00D0471D">
        <w:rPr>
          <w:b w:val="0"/>
          <w:bCs w:val="0"/>
        </w:rPr>
        <w:t xml:space="preserve"> L.)</w:t>
      </w:r>
      <w:r w:rsidR="00594FC6" w:rsidRPr="00980623">
        <w:rPr>
          <w:b w:val="0"/>
          <w:bCs w:val="0"/>
        </w:rPr>
        <w:t xml:space="preserve"> </w:t>
      </w:r>
      <w:r w:rsidR="00E77EB8">
        <w:rPr>
          <w:b w:val="0"/>
          <w:bCs w:val="0"/>
        </w:rPr>
        <w:t>mortality</w:t>
      </w:r>
      <w:r w:rsidR="00594FC6" w:rsidRPr="00980623">
        <w:rPr>
          <w:b w:val="0"/>
          <w:bCs w:val="0"/>
        </w:rPr>
        <w:t>.</w:t>
      </w:r>
      <w:bookmarkEnd w:id="123"/>
    </w:p>
    <w:p w14:paraId="38CAD76A" w14:textId="77777777" w:rsidR="00980623" w:rsidRPr="00980623" w:rsidRDefault="00980623" w:rsidP="00594FC6">
      <w:pPr>
        <w:contextualSpacing/>
        <w:jc w:val="both"/>
      </w:pPr>
    </w:p>
    <w:tbl>
      <w:tblPr>
        <w:tblW w:w="12960" w:type="dxa"/>
        <w:tblLook w:val="04A0" w:firstRow="1" w:lastRow="0" w:firstColumn="1" w:lastColumn="0" w:noHBand="0" w:noVBand="1"/>
      </w:tblPr>
      <w:tblGrid>
        <w:gridCol w:w="1153"/>
        <w:gridCol w:w="779"/>
        <w:gridCol w:w="1718"/>
        <w:gridCol w:w="1434"/>
        <w:gridCol w:w="710"/>
        <w:gridCol w:w="1586"/>
        <w:gridCol w:w="1530"/>
        <w:gridCol w:w="1519"/>
        <w:gridCol w:w="797"/>
        <w:gridCol w:w="865"/>
        <w:gridCol w:w="869"/>
      </w:tblGrid>
      <w:tr w:rsidR="00E77EB8" w:rsidRPr="00E77EB8" w14:paraId="3F19C80C" w14:textId="77777777" w:rsidTr="00D15FC8">
        <w:trPr>
          <w:trHeight w:val="331"/>
        </w:trPr>
        <w:tc>
          <w:tcPr>
            <w:tcW w:w="1153" w:type="dxa"/>
            <w:tcBorders>
              <w:top w:val="single" w:sz="4" w:space="0" w:color="auto"/>
              <w:left w:val="nil"/>
              <w:bottom w:val="nil"/>
              <w:right w:val="nil"/>
            </w:tcBorders>
            <w:shd w:val="clear" w:color="auto" w:fill="auto"/>
            <w:noWrap/>
            <w:vAlign w:val="bottom"/>
          </w:tcPr>
          <w:p w14:paraId="65159E74" w14:textId="77777777" w:rsidR="00594FC6" w:rsidRPr="00D15FC8" w:rsidRDefault="00594FC6" w:rsidP="00103CC5">
            <w:pPr>
              <w:jc w:val="center"/>
              <w:rPr>
                <w:b/>
                <w:bCs/>
                <w:color w:val="000000"/>
                <w:sz w:val="22"/>
                <w:szCs w:val="22"/>
              </w:rPr>
            </w:pPr>
          </w:p>
        </w:tc>
        <w:tc>
          <w:tcPr>
            <w:tcW w:w="779" w:type="dxa"/>
            <w:tcBorders>
              <w:top w:val="single" w:sz="4" w:space="0" w:color="auto"/>
              <w:left w:val="nil"/>
              <w:bottom w:val="nil"/>
              <w:right w:val="nil"/>
            </w:tcBorders>
            <w:shd w:val="clear" w:color="auto" w:fill="auto"/>
            <w:noWrap/>
            <w:vAlign w:val="bottom"/>
          </w:tcPr>
          <w:p w14:paraId="096CA32F" w14:textId="77777777" w:rsidR="00594FC6" w:rsidRPr="00D15FC8" w:rsidRDefault="00594FC6" w:rsidP="00103CC5">
            <w:pPr>
              <w:jc w:val="center"/>
              <w:rPr>
                <w:b/>
                <w:bCs/>
                <w:color w:val="000000"/>
                <w:sz w:val="22"/>
                <w:szCs w:val="22"/>
              </w:rPr>
            </w:pPr>
          </w:p>
        </w:tc>
        <w:tc>
          <w:tcPr>
            <w:tcW w:w="1718" w:type="dxa"/>
            <w:tcBorders>
              <w:top w:val="single" w:sz="4" w:space="0" w:color="auto"/>
              <w:left w:val="nil"/>
              <w:bottom w:val="nil"/>
              <w:right w:val="nil"/>
            </w:tcBorders>
            <w:shd w:val="clear" w:color="auto" w:fill="auto"/>
            <w:noWrap/>
            <w:vAlign w:val="bottom"/>
          </w:tcPr>
          <w:p w14:paraId="27BCE9CA" w14:textId="77777777" w:rsidR="00594FC6" w:rsidRPr="00D15FC8" w:rsidRDefault="00594FC6" w:rsidP="00103CC5">
            <w:pPr>
              <w:jc w:val="center"/>
              <w:rPr>
                <w:b/>
                <w:bCs/>
                <w:color w:val="000000"/>
                <w:sz w:val="22"/>
                <w:szCs w:val="22"/>
              </w:rPr>
            </w:pPr>
          </w:p>
        </w:tc>
        <w:tc>
          <w:tcPr>
            <w:tcW w:w="1434" w:type="dxa"/>
            <w:tcBorders>
              <w:top w:val="single" w:sz="4" w:space="0" w:color="auto"/>
              <w:left w:val="nil"/>
              <w:bottom w:val="nil"/>
              <w:right w:val="nil"/>
            </w:tcBorders>
            <w:shd w:val="clear" w:color="auto" w:fill="auto"/>
            <w:noWrap/>
            <w:vAlign w:val="bottom"/>
          </w:tcPr>
          <w:p w14:paraId="1561A834" w14:textId="77777777" w:rsidR="00594FC6" w:rsidRPr="00D15FC8" w:rsidRDefault="00594FC6" w:rsidP="00103CC5">
            <w:pPr>
              <w:jc w:val="center"/>
              <w:rPr>
                <w:b/>
                <w:bCs/>
                <w:color w:val="000000"/>
                <w:sz w:val="22"/>
                <w:szCs w:val="22"/>
              </w:rPr>
            </w:pPr>
          </w:p>
        </w:tc>
        <w:tc>
          <w:tcPr>
            <w:tcW w:w="710" w:type="dxa"/>
            <w:tcBorders>
              <w:top w:val="single" w:sz="4" w:space="0" w:color="auto"/>
              <w:left w:val="nil"/>
              <w:bottom w:val="nil"/>
              <w:right w:val="nil"/>
            </w:tcBorders>
            <w:shd w:val="clear" w:color="auto" w:fill="auto"/>
            <w:noWrap/>
            <w:vAlign w:val="bottom"/>
          </w:tcPr>
          <w:p w14:paraId="5E7E80BF" w14:textId="77777777" w:rsidR="00594FC6" w:rsidRPr="00D15FC8" w:rsidRDefault="00594FC6" w:rsidP="00103CC5">
            <w:pPr>
              <w:jc w:val="center"/>
              <w:rPr>
                <w:b/>
                <w:bCs/>
                <w:i/>
                <w:iCs/>
                <w:color w:val="000000"/>
                <w:sz w:val="22"/>
                <w:szCs w:val="22"/>
              </w:rPr>
            </w:pPr>
          </w:p>
        </w:tc>
        <w:tc>
          <w:tcPr>
            <w:tcW w:w="1586" w:type="dxa"/>
            <w:tcBorders>
              <w:top w:val="single" w:sz="4" w:space="0" w:color="auto"/>
              <w:left w:val="nil"/>
              <w:bottom w:val="nil"/>
              <w:right w:val="nil"/>
            </w:tcBorders>
            <w:shd w:val="clear" w:color="auto" w:fill="auto"/>
            <w:noWrap/>
            <w:vAlign w:val="bottom"/>
          </w:tcPr>
          <w:p w14:paraId="361DFF85" w14:textId="77777777" w:rsidR="00594FC6" w:rsidRPr="00D15FC8" w:rsidRDefault="00594FC6" w:rsidP="00103CC5">
            <w:pPr>
              <w:jc w:val="center"/>
              <w:rPr>
                <w:b/>
                <w:bCs/>
                <w:color w:val="000000"/>
                <w:sz w:val="22"/>
                <w:szCs w:val="22"/>
              </w:rPr>
            </w:pPr>
          </w:p>
        </w:tc>
        <w:tc>
          <w:tcPr>
            <w:tcW w:w="3049" w:type="dxa"/>
            <w:gridSpan w:val="2"/>
            <w:tcBorders>
              <w:top w:val="single" w:sz="4" w:space="0" w:color="auto"/>
              <w:left w:val="nil"/>
              <w:bottom w:val="nil"/>
              <w:right w:val="nil"/>
            </w:tcBorders>
            <w:shd w:val="clear" w:color="auto" w:fill="auto"/>
            <w:noWrap/>
            <w:vAlign w:val="bottom"/>
          </w:tcPr>
          <w:p w14:paraId="37E06CE1" w14:textId="77777777" w:rsidR="00594FC6" w:rsidRPr="00D15FC8" w:rsidRDefault="00594FC6" w:rsidP="00D15FC8">
            <w:pPr>
              <w:jc w:val="center"/>
              <w:rPr>
                <w:b/>
                <w:bCs/>
                <w:color w:val="000000"/>
                <w:sz w:val="22"/>
                <w:szCs w:val="22"/>
              </w:rPr>
            </w:pPr>
            <w:r w:rsidRPr="00D15FC8">
              <w:rPr>
                <w:b/>
                <w:bCs/>
                <w:color w:val="000000"/>
                <w:sz w:val="22"/>
                <w:szCs w:val="22"/>
              </w:rPr>
              <w:t>95% confidence interval</w:t>
            </w:r>
          </w:p>
        </w:tc>
        <w:tc>
          <w:tcPr>
            <w:tcW w:w="797" w:type="dxa"/>
            <w:tcBorders>
              <w:top w:val="single" w:sz="4" w:space="0" w:color="auto"/>
              <w:left w:val="nil"/>
              <w:bottom w:val="nil"/>
              <w:right w:val="nil"/>
            </w:tcBorders>
            <w:shd w:val="clear" w:color="auto" w:fill="auto"/>
            <w:noWrap/>
            <w:vAlign w:val="bottom"/>
          </w:tcPr>
          <w:p w14:paraId="37BDCC3B" w14:textId="77777777" w:rsidR="00594FC6" w:rsidRPr="00D15FC8" w:rsidRDefault="00594FC6" w:rsidP="00103CC5">
            <w:pPr>
              <w:jc w:val="center"/>
              <w:rPr>
                <w:b/>
                <w:bCs/>
                <w:color w:val="000000"/>
                <w:sz w:val="22"/>
                <w:szCs w:val="22"/>
              </w:rPr>
            </w:pPr>
          </w:p>
        </w:tc>
        <w:tc>
          <w:tcPr>
            <w:tcW w:w="1734" w:type="dxa"/>
            <w:gridSpan w:val="2"/>
            <w:tcBorders>
              <w:top w:val="single" w:sz="4" w:space="0" w:color="auto"/>
              <w:left w:val="nil"/>
              <w:bottom w:val="nil"/>
              <w:right w:val="nil"/>
            </w:tcBorders>
            <w:shd w:val="clear" w:color="auto" w:fill="auto"/>
            <w:noWrap/>
            <w:vAlign w:val="bottom"/>
          </w:tcPr>
          <w:p w14:paraId="0750BAC5" w14:textId="77777777" w:rsidR="00594FC6" w:rsidRPr="00D15FC8" w:rsidRDefault="00594FC6" w:rsidP="00103CC5">
            <w:pPr>
              <w:jc w:val="center"/>
              <w:rPr>
                <w:b/>
                <w:bCs/>
                <w:color w:val="000000"/>
                <w:sz w:val="22"/>
                <w:szCs w:val="22"/>
              </w:rPr>
            </w:pPr>
            <w:r w:rsidRPr="00D15FC8">
              <w:rPr>
                <w:b/>
                <w:bCs/>
                <w:color w:val="000000"/>
                <w:sz w:val="22"/>
                <w:szCs w:val="22"/>
              </w:rPr>
              <w:t>95% confidence interval</w:t>
            </w:r>
          </w:p>
        </w:tc>
      </w:tr>
      <w:tr w:rsidR="00D0471D" w:rsidRPr="00D0471D" w14:paraId="50E6A6FE" w14:textId="77777777" w:rsidTr="00D15FC8">
        <w:trPr>
          <w:trHeight w:val="331"/>
        </w:trPr>
        <w:tc>
          <w:tcPr>
            <w:tcW w:w="1153" w:type="dxa"/>
            <w:tcBorders>
              <w:top w:val="nil"/>
              <w:left w:val="nil"/>
              <w:bottom w:val="nil"/>
              <w:right w:val="nil"/>
            </w:tcBorders>
            <w:shd w:val="clear" w:color="auto" w:fill="auto"/>
            <w:noWrap/>
            <w:vAlign w:val="bottom"/>
            <w:hideMark/>
          </w:tcPr>
          <w:p w14:paraId="5B1C3BD7"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Soil Moisture</w:t>
            </w:r>
          </w:p>
        </w:tc>
        <w:tc>
          <w:tcPr>
            <w:tcW w:w="779" w:type="dxa"/>
            <w:tcBorders>
              <w:top w:val="nil"/>
              <w:left w:val="nil"/>
              <w:bottom w:val="nil"/>
              <w:right w:val="nil"/>
            </w:tcBorders>
            <w:shd w:val="clear" w:color="auto" w:fill="auto"/>
            <w:noWrap/>
            <w:vAlign w:val="bottom"/>
            <w:hideMark/>
          </w:tcPr>
          <w:p w14:paraId="65308BE2"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Year</w:t>
            </w:r>
          </w:p>
        </w:tc>
        <w:tc>
          <w:tcPr>
            <w:tcW w:w="1718" w:type="dxa"/>
            <w:tcBorders>
              <w:top w:val="nil"/>
              <w:left w:val="nil"/>
              <w:bottom w:val="nil"/>
              <w:right w:val="nil"/>
            </w:tcBorders>
            <w:shd w:val="clear" w:color="auto" w:fill="auto"/>
            <w:noWrap/>
            <w:vAlign w:val="bottom"/>
            <w:hideMark/>
          </w:tcPr>
          <w:p w14:paraId="127342B5"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Treatment</w:t>
            </w:r>
          </w:p>
        </w:tc>
        <w:tc>
          <w:tcPr>
            <w:tcW w:w="1434" w:type="dxa"/>
            <w:tcBorders>
              <w:top w:val="nil"/>
              <w:left w:val="nil"/>
              <w:bottom w:val="nil"/>
              <w:right w:val="nil"/>
            </w:tcBorders>
            <w:shd w:val="clear" w:color="auto" w:fill="auto"/>
            <w:noWrap/>
            <w:vAlign w:val="bottom"/>
            <w:hideMark/>
          </w:tcPr>
          <w:p w14:paraId="6AD2D8EB"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Regression</w:t>
            </w:r>
          </w:p>
        </w:tc>
        <w:tc>
          <w:tcPr>
            <w:tcW w:w="710" w:type="dxa"/>
            <w:tcBorders>
              <w:top w:val="nil"/>
              <w:left w:val="nil"/>
              <w:bottom w:val="nil"/>
              <w:right w:val="nil"/>
            </w:tcBorders>
            <w:shd w:val="clear" w:color="auto" w:fill="auto"/>
            <w:noWrap/>
            <w:vAlign w:val="bottom"/>
            <w:hideMark/>
          </w:tcPr>
          <w:p w14:paraId="35D88DEE" w14:textId="77777777" w:rsidR="00594FC6" w:rsidRPr="00D15FC8" w:rsidRDefault="00594FC6" w:rsidP="00103CC5">
            <w:pPr>
              <w:jc w:val="center"/>
              <w:rPr>
                <w:rFonts w:cs="Times New Roman"/>
                <w:b/>
                <w:bCs/>
                <w:color w:val="000000"/>
                <w:sz w:val="22"/>
                <w:szCs w:val="22"/>
              </w:rPr>
            </w:pPr>
            <w:r w:rsidRPr="00D15FC8">
              <w:rPr>
                <w:rFonts w:cs="Times New Roman"/>
                <w:b/>
                <w:bCs/>
                <w:i/>
                <w:iCs/>
                <w:color w:val="000000"/>
                <w:sz w:val="22"/>
                <w:szCs w:val="22"/>
              </w:rPr>
              <w:t>R</w:t>
            </w:r>
            <w:r w:rsidRPr="00D15FC8">
              <w:rPr>
                <w:rFonts w:cs="Times New Roman"/>
                <w:b/>
                <w:bCs/>
                <w:color w:val="000000"/>
                <w:sz w:val="22"/>
                <w:szCs w:val="22"/>
                <w:vertAlign w:val="superscript"/>
              </w:rPr>
              <w:t>2</w:t>
            </w:r>
          </w:p>
        </w:tc>
        <w:tc>
          <w:tcPr>
            <w:tcW w:w="1586" w:type="dxa"/>
            <w:tcBorders>
              <w:top w:val="nil"/>
              <w:left w:val="nil"/>
              <w:bottom w:val="nil"/>
              <w:right w:val="nil"/>
            </w:tcBorders>
            <w:shd w:val="clear" w:color="auto" w:fill="auto"/>
            <w:noWrap/>
            <w:vAlign w:val="bottom"/>
            <w:hideMark/>
          </w:tcPr>
          <w:p w14:paraId="4FC9C624" w14:textId="2744EE49" w:rsidR="00594FC6" w:rsidRPr="00D15FC8" w:rsidRDefault="00E77EB8" w:rsidP="00103CC5">
            <w:pPr>
              <w:jc w:val="center"/>
              <w:rPr>
                <w:rFonts w:cs="Times New Roman"/>
                <w:b/>
                <w:bCs/>
                <w:color w:val="000000"/>
                <w:sz w:val="22"/>
                <w:szCs w:val="22"/>
              </w:rPr>
            </w:pPr>
            <w:r>
              <w:rPr>
                <w:rFonts w:cs="Times New Roman"/>
                <w:b/>
                <w:bCs/>
                <w:color w:val="000000"/>
                <w:sz w:val="22"/>
                <w:szCs w:val="22"/>
              </w:rPr>
              <w:t>Mortality</w:t>
            </w:r>
            <w:r w:rsidR="00E01B9B" w:rsidRPr="00D15FC8">
              <w:rPr>
                <w:rFonts w:cs="Times New Roman"/>
                <w:b/>
                <w:bCs/>
                <w:color w:val="000000"/>
                <w:sz w:val="22"/>
                <w:szCs w:val="22"/>
                <w:vertAlign w:val="subscript"/>
              </w:rPr>
              <w:t>50</w:t>
            </w:r>
            <w:r w:rsidR="00E01B9B" w:rsidRPr="00D15FC8">
              <w:rPr>
                <w:b/>
                <w:bCs/>
                <w:color w:val="000000"/>
                <w:sz w:val="22"/>
                <w:szCs w:val="22"/>
                <w:vertAlign w:val="superscript"/>
              </w:rPr>
              <w:t>a</w:t>
            </w:r>
            <w:r w:rsidR="00D15FC8">
              <w:rPr>
                <w:b/>
                <w:bCs/>
                <w:color w:val="000000"/>
                <w:sz w:val="22"/>
                <w:szCs w:val="22"/>
              </w:rPr>
              <w:t xml:space="preserve"> (cm)</w:t>
            </w:r>
          </w:p>
        </w:tc>
        <w:tc>
          <w:tcPr>
            <w:tcW w:w="1530" w:type="dxa"/>
            <w:tcBorders>
              <w:top w:val="nil"/>
              <w:left w:val="nil"/>
              <w:bottom w:val="nil"/>
              <w:right w:val="nil"/>
            </w:tcBorders>
            <w:shd w:val="clear" w:color="auto" w:fill="auto"/>
            <w:noWrap/>
            <w:vAlign w:val="bottom"/>
            <w:hideMark/>
          </w:tcPr>
          <w:p w14:paraId="0AC33563" w14:textId="1A287238" w:rsidR="00594FC6" w:rsidRPr="00D15FC8" w:rsidRDefault="00E77EB8" w:rsidP="00103CC5">
            <w:pPr>
              <w:jc w:val="center"/>
              <w:rPr>
                <w:rFonts w:cs="Times New Roman"/>
                <w:b/>
                <w:bCs/>
                <w:color w:val="000000"/>
                <w:sz w:val="22"/>
                <w:szCs w:val="22"/>
              </w:rPr>
            </w:pPr>
            <w:r>
              <w:rPr>
                <w:rFonts w:cs="Times New Roman"/>
                <w:b/>
                <w:bCs/>
                <w:color w:val="000000"/>
                <w:sz w:val="22"/>
                <w:szCs w:val="22"/>
              </w:rPr>
              <w:t>Mortality</w:t>
            </w:r>
            <w:r w:rsidR="00E01B9B" w:rsidRPr="00D15FC8">
              <w:rPr>
                <w:rFonts w:cs="Times New Roman"/>
                <w:b/>
                <w:bCs/>
                <w:color w:val="000000"/>
                <w:sz w:val="22"/>
                <w:szCs w:val="22"/>
                <w:vertAlign w:val="subscript"/>
              </w:rPr>
              <w:t xml:space="preserve">50 </w:t>
            </w:r>
            <w:r w:rsidR="00594FC6" w:rsidRPr="00D15FC8">
              <w:rPr>
                <w:rFonts w:cs="Times New Roman"/>
                <w:b/>
                <w:bCs/>
                <w:color w:val="000000"/>
                <w:sz w:val="22"/>
                <w:szCs w:val="22"/>
              </w:rPr>
              <w:t>Lower</w:t>
            </w:r>
            <w:r w:rsidR="00D15FC8">
              <w:rPr>
                <w:rFonts w:cs="Times New Roman"/>
                <w:b/>
                <w:bCs/>
                <w:color w:val="000000"/>
                <w:sz w:val="22"/>
                <w:szCs w:val="22"/>
              </w:rPr>
              <w:t xml:space="preserve"> (cm)</w:t>
            </w:r>
          </w:p>
        </w:tc>
        <w:tc>
          <w:tcPr>
            <w:tcW w:w="1519" w:type="dxa"/>
            <w:tcBorders>
              <w:top w:val="nil"/>
              <w:left w:val="nil"/>
              <w:bottom w:val="nil"/>
              <w:right w:val="nil"/>
            </w:tcBorders>
            <w:shd w:val="clear" w:color="auto" w:fill="auto"/>
            <w:noWrap/>
            <w:vAlign w:val="bottom"/>
            <w:hideMark/>
          </w:tcPr>
          <w:p w14:paraId="7DE3D66D" w14:textId="5B3E0669" w:rsidR="00594FC6" w:rsidRPr="00D15FC8" w:rsidRDefault="00E77EB8" w:rsidP="00103CC5">
            <w:pPr>
              <w:jc w:val="center"/>
              <w:rPr>
                <w:rFonts w:cs="Times New Roman"/>
                <w:b/>
                <w:bCs/>
                <w:color w:val="000000"/>
                <w:sz w:val="22"/>
                <w:szCs w:val="22"/>
              </w:rPr>
            </w:pPr>
            <w:r>
              <w:rPr>
                <w:rFonts w:cs="Times New Roman"/>
                <w:b/>
                <w:bCs/>
                <w:color w:val="000000"/>
                <w:sz w:val="22"/>
                <w:szCs w:val="22"/>
              </w:rPr>
              <w:t>Mortality</w:t>
            </w:r>
            <w:r w:rsidR="00E01B9B" w:rsidRPr="00D15FC8">
              <w:rPr>
                <w:rFonts w:cs="Times New Roman"/>
                <w:b/>
                <w:bCs/>
                <w:color w:val="000000"/>
                <w:sz w:val="22"/>
                <w:szCs w:val="22"/>
                <w:vertAlign w:val="subscript"/>
              </w:rPr>
              <w:t xml:space="preserve">50 </w:t>
            </w:r>
            <w:r w:rsidR="00594FC6" w:rsidRPr="00D15FC8">
              <w:rPr>
                <w:rFonts w:cs="Times New Roman"/>
                <w:b/>
                <w:bCs/>
                <w:color w:val="000000"/>
                <w:sz w:val="22"/>
                <w:szCs w:val="22"/>
              </w:rPr>
              <w:t>Upper</w:t>
            </w:r>
            <w:r w:rsidR="00D15FC8">
              <w:rPr>
                <w:rFonts w:cs="Times New Roman"/>
                <w:b/>
                <w:bCs/>
                <w:color w:val="000000"/>
                <w:sz w:val="22"/>
                <w:szCs w:val="22"/>
              </w:rPr>
              <w:t xml:space="preserve"> (cm)</w:t>
            </w:r>
          </w:p>
        </w:tc>
        <w:tc>
          <w:tcPr>
            <w:tcW w:w="797" w:type="dxa"/>
            <w:tcBorders>
              <w:top w:val="nil"/>
              <w:left w:val="nil"/>
              <w:bottom w:val="nil"/>
              <w:right w:val="nil"/>
            </w:tcBorders>
            <w:shd w:val="clear" w:color="auto" w:fill="auto"/>
            <w:noWrap/>
            <w:vAlign w:val="bottom"/>
            <w:hideMark/>
          </w:tcPr>
          <w:p w14:paraId="28A60E08"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Slope</w:t>
            </w:r>
          </w:p>
        </w:tc>
        <w:tc>
          <w:tcPr>
            <w:tcW w:w="865" w:type="dxa"/>
            <w:tcBorders>
              <w:top w:val="nil"/>
              <w:left w:val="nil"/>
              <w:bottom w:val="nil"/>
              <w:right w:val="nil"/>
            </w:tcBorders>
            <w:shd w:val="clear" w:color="auto" w:fill="auto"/>
            <w:noWrap/>
            <w:vAlign w:val="bottom"/>
            <w:hideMark/>
          </w:tcPr>
          <w:p w14:paraId="05751B1B"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Slope Lower</w:t>
            </w:r>
          </w:p>
        </w:tc>
        <w:tc>
          <w:tcPr>
            <w:tcW w:w="869" w:type="dxa"/>
            <w:tcBorders>
              <w:top w:val="nil"/>
              <w:left w:val="nil"/>
              <w:bottom w:val="nil"/>
              <w:right w:val="nil"/>
            </w:tcBorders>
            <w:shd w:val="clear" w:color="auto" w:fill="auto"/>
            <w:noWrap/>
            <w:vAlign w:val="bottom"/>
            <w:hideMark/>
          </w:tcPr>
          <w:p w14:paraId="789D983F" w14:textId="77777777" w:rsidR="00594FC6" w:rsidRPr="00D15FC8" w:rsidRDefault="00594FC6" w:rsidP="00103CC5">
            <w:pPr>
              <w:jc w:val="center"/>
              <w:rPr>
                <w:rFonts w:cs="Times New Roman"/>
                <w:b/>
                <w:bCs/>
                <w:color w:val="000000"/>
                <w:sz w:val="22"/>
                <w:szCs w:val="22"/>
              </w:rPr>
            </w:pPr>
            <w:r w:rsidRPr="00D15FC8">
              <w:rPr>
                <w:rFonts w:cs="Times New Roman"/>
                <w:b/>
                <w:bCs/>
                <w:color w:val="000000"/>
                <w:sz w:val="22"/>
                <w:szCs w:val="22"/>
              </w:rPr>
              <w:t>Slope Upper</w:t>
            </w:r>
          </w:p>
        </w:tc>
      </w:tr>
      <w:tr w:rsidR="00D0471D" w:rsidRPr="00D0471D" w14:paraId="76ACD5AF" w14:textId="77777777" w:rsidTr="00D15FC8">
        <w:trPr>
          <w:trHeight w:val="331"/>
        </w:trPr>
        <w:tc>
          <w:tcPr>
            <w:tcW w:w="1153" w:type="dxa"/>
            <w:vMerge w:val="restart"/>
            <w:tcBorders>
              <w:top w:val="single" w:sz="4" w:space="0" w:color="auto"/>
              <w:left w:val="nil"/>
              <w:bottom w:val="single" w:sz="4" w:space="0" w:color="000000"/>
              <w:right w:val="nil"/>
            </w:tcBorders>
            <w:shd w:val="clear" w:color="auto" w:fill="auto"/>
            <w:noWrap/>
            <w:vAlign w:val="center"/>
            <w:hideMark/>
          </w:tcPr>
          <w:p w14:paraId="3BA12CB9" w14:textId="77777777" w:rsidR="00594FC6" w:rsidRPr="00D15FC8" w:rsidRDefault="00594FC6" w:rsidP="00103CC5">
            <w:pPr>
              <w:rPr>
                <w:rFonts w:cs="Times New Roman"/>
                <w:color w:val="000000"/>
                <w:sz w:val="22"/>
                <w:szCs w:val="22"/>
              </w:rPr>
            </w:pPr>
            <w:r w:rsidRPr="00D15FC8">
              <w:rPr>
                <w:rFonts w:cs="Times New Roman"/>
                <w:color w:val="000000"/>
                <w:sz w:val="22"/>
                <w:szCs w:val="22"/>
              </w:rPr>
              <w:t>Field Capacity</w:t>
            </w:r>
          </w:p>
        </w:tc>
        <w:tc>
          <w:tcPr>
            <w:tcW w:w="779" w:type="dxa"/>
            <w:vMerge w:val="restart"/>
            <w:tcBorders>
              <w:top w:val="single" w:sz="4" w:space="0" w:color="auto"/>
              <w:left w:val="nil"/>
              <w:bottom w:val="single" w:sz="4" w:space="0" w:color="000000"/>
              <w:right w:val="nil"/>
            </w:tcBorders>
            <w:shd w:val="clear" w:color="auto" w:fill="auto"/>
            <w:noWrap/>
            <w:vAlign w:val="center"/>
            <w:hideMark/>
          </w:tcPr>
          <w:p w14:paraId="313D95D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2023</w:t>
            </w:r>
          </w:p>
        </w:tc>
        <w:tc>
          <w:tcPr>
            <w:tcW w:w="1718" w:type="dxa"/>
            <w:tcBorders>
              <w:top w:val="single" w:sz="4" w:space="0" w:color="auto"/>
              <w:left w:val="nil"/>
              <w:bottom w:val="nil"/>
              <w:right w:val="nil"/>
            </w:tcBorders>
            <w:shd w:val="clear" w:color="auto" w:fill="auto"/>
            <w:noWrap/>
            <w:vAlign w:val="center"/>
            <w:hideMark/>
          </w:tcPr>
          <w:p w14:paraId="22AB2544"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Tetflupyrolimet</w:t>
            </w:r>
          </w:p>
        </w:tc>
        <w:tc>
          <w:tcPr>
            <w:tcW w:w="1434" w:type="dxa"/>
            <w:vMerge w:val="restart"/>
            <w:tcBorders>
              <w:top w:val="single" w:sz="4" w:space="0" w:color="auto"/>
              <w:left w:val="nil"/>
              <w:bottom w:val="single" w:sz="4" w:space="0" w:color="000000"/>
              <w:right w:val="nil"/>
            </w:tcBorders>
            <w:shd w:val="clear" w:color="auto" w:fill="auto"/>
            <w:noWrap/>
            <w:vAlign w:val="center"/>
            <w:hideMark/>
          </w:tcPr>
          <w:p w14:paraId="1AC15D59"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Logistic</w:t>
            </w:r>
          </w:p>
        </w:tc>
        <w:tc>
          <w:tcPr>
            <w:tcW w:w="710" w:type="dxa"/>
            <w:tcBorders>
              <w:top w:val="single" w:sz="4" w:space="0" w:color="auto"/>
              <w:left w:val="nil"/>
              <w:bottom w:val="nil"/>
              <w:right w:val="nil"/>
            </w:tcBorders>
            <w:shd w:val="clear" w:color="auto" w:fill="auto"/>
            <w:noWrap/>
            <w:vAlign w:val="center"/>
            <w:hideMark/>
          </w:tcPr>
          <w:p w14:paraId="0726E94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0.97</w:t>
            </w:r>
          </w:p>
        </w:tc>
        <w:tc>
          <w:tcPr>
            <w:tcW w:w="1586" w:type="dxa"/>
            <w:tcBorders>
              <w:top w:val="single" w:sz="4" w:space="0" w:color="auto"/>
              <w:left w:val="nil"/>
              <w:bottom w:val="nil"/>
              <w:right w:val="nil"/>
            </w:tcBorders>
            <w:shd w:val="clear" w:color="auto" w:fill="auto"/>
            <w:noWrap/>
            <w:vAlign w:val="center"/>
            <w:hideMark/>
          </w:tcPr>
          <w:p w14:paraId="7AD07A12"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24.9</w:t>
            </w:r>
          </w:p>
        </w:tc>
        <w:tc>
          <w:tcPr>
            <w:tcW w:w="1530" w:type="dxa"/>
            <w:tcBorders>
              <w:top w:val="single" w:sz="4" w:space="0" w:color="auto"/>
              <w:left w:val="nil"/>
              <w:bottom w:val="nil"/>
              <w:right w:val="nil"/>
            </w:tcBorders>
            <w:shd w:val="clear" w:color="auto" w:fill="auto"/>
            <w:noWrap/>
            <w:vAlign w:val="center"/>
            <w:hideMark/>
          </w:tcPr>
          <w:p w14:paraId="2AE7FB9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20.</w:t>
            </w:r>
            <w:r w:rsidRPr="00D15FC8">
              <w:rPr>
                <w:color w:val="000000"/>
                <w:sz w:val="22"/>
                <w:szCs w:val="22"/>
              </w:rPr>
              <w:t>5</w:t>
            </w:r>
          </w:p>
        </w:tc>
        <w:tc>
          <w:tcPr>
            <w:tcW w:w="1519" w:type="dxa"/>
            <w:tcBorders>
              <w:top w:val="single" w:sz="4" w:space="0" w:color="auto"/>
              <w:left w:val="nil"/>
              <w:bottom w:val="nil"/>
              <w:right w:val="nil"/>
            </w:tcBorders>
            <w:shd w:val="clear" w:color="auto" w:fill="auto"/>
            <w:noWrap/>
            <w:vAlign w:val="center"/>
            <w:hideMark/>
          </w:tcPr>
          <w:p w14:paraId="20AC0E8D"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29.4</w:t>
            </w:r>
          </w:p>
        </w:tc>
        <w:tc>
          <w:tcPr>
            <w:tcW w:w="797" w:type="dxa"/>
            <w:tcBorders>
              <w:top w:val="single" w:sz="4" w:space="0" w:color="auto"/>
              <w:left w:val="nil"/>
              <w:bottom w:val="nil"/>
              <w:right w:val="nil"/>
            </w:tcBorders>
            <w:shd w:val="clear" w:color="auto" w:fill="auto"/>
            <w:noWrap/>
            <w:vAlign w:val="center"/>
            <w:hideMark/>
          </w:tcPr>
          <w:p w14:paraId="03B6F544"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-0.079</w:t>
            </w:r>
          </w:p>
        </w:tc>
        <w:tc>
          <w:tcPr>
            <w:tcW w:w="865" w:type="dxa"/>
            <w:tcBorders>
              <w:top w:val="single" w:sz="4" w:space="0" w:color="auto"/>
              <w:left w:val="nil"/>
              <w:bottom w:val="nil"/>
              <w:right w:val="nil"/>
            </w:tcBorders>
            <w:shd w:val="clear" w:color="auto" w:fill="auto"/>
            <w:noWrap/>
            <w:vAlign w:val="center"/>
            <w:hideMark/>
          </w:tcPr>
          <w:p w14:paraId="1CEBF477"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-0.107</w:t>
            </w:r>
          </w:p>
        </w:tc>
        <w:tc>
          <w:tcPr>
            <w:tcW w:w="869" w:type="dxa"/>
            <w:tcBorders>
              <w:top w:val="single" w:sz="4" w:space="0" w:color="auto"/>
              <w:left w:val="nil"/>
              <w:bottom w:val="nil"/>
              <w:right w:val="nil"/>
            </w:tcBorders>
            <w:shd w:val="clear" w:color="auto" w:fill="auto"/>
            <w:noWrap/>
            <w:vAlign w:val="center"/>
            <w:hideMark/>
          </w:tcPr>
          <w:p w14:paraId="230E4D0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-0.059</w:t>
            </w:r>
          </w:p>
        </w:tc>
      </w:tr>
      <w:tr w:rsidR="00D0471D" w:rsidRPr="00D0471D" w14:paraId="35A845AB" w14:textId="77777777" w:rsidTr="00D15FC8">
        <w:trPr>
          <w:trHeight w:val="331"/>
        </w:trPr>
        <w:tc>
          <w:tcPr>
            <w:tcW w:w="1153" w:type="dxa"/>
            <w:vMerge/>
            <w:tcBorders>
              <w:top w:val="single" w:sz="4" w:space="0" w:color="auto"/>
              <w:left w:val="nil"/>
              <w:bottom w:val="single" w:sz="4" w:space="0" w:color="000000"/>
              <w:right w:val="nil"/>
            </w:tcBorders>
            <w:vAlign w:val="center"/>
            <w:hideMark/>
          </w:tcPr>
          <w:p w14:paraId="5F8E8EDC" w14:textId="77777777" w:rsidR="00594FC6" w:rsidRPr="00D15FC8" w:rsidRDefault="00594FC6" w:rsidP="00103CC5">
            <w:pPr>
              <w:rPr>
                <w:rFonts w:cs="Times New Roman"/>
                <w:color w:val="000000"/>
                <w:sz w:val="22"/>
                <w:szCs w:val="22"/>
              </w:rPr>
            </w:pPr>
          </w:p>
        </w:tc>
        <w:tc>
          <w:tcPr>
            <w:tcW w:w="779" w:type="dxa"/>
            <w:vMerge/>
            <w:tcBorders>
              <w:top w:val="single" w:sz="4" w:space="0" w:color="auto"/>
              <w:left w:val="nil"/>
              <w:bottom w:val="single" w:sz="4" w:space="0" w:color="000000"/>
              <w:right w:val="nil"/>
            </w:tcBorders>
            <w:vAlign w:val="center"/>
            <w:hideMark/>
          </w:tcPr>
          <w:p w14:paraId="7B0B8A86" w14:textId="77777777" w:rsidR="00594FC6" w:rsidRPr="00D15FC8" w:rsidRDefault="00594FC6" w:rsidP="00103CC5">
            <w:pPr>
              <w:rPr>
                <w:rFonts w:cs="Times New Roman"/>
                <w:color w:val="000000"/>
                <w:sz w:val="22"/>
                <w:szCs w:val="22"/>
              </w:rPr>
            </w:pPr>
          </w:p>
        </w:tc>
        <w:tc>
          <w:tcPr>
            <w:tcW w:w="1718" w:type="dxa"/>
            <w:tcBorders>
              <w:top w:val="nil"/>
              <w:left w:val="nil"/>
              <w:bottom w:val="nil"/>
              <w:right w:val="nil"/>
            </w:tcBorders>
            <w:shd w:val="clear" w:color="auto" w:fill="auto"/>
            <w:noWrap/>
            <w:vAlign w:val="center"/>
            <w:hideMark/>
          </w:tcPr>
          <w:p w14:paraId="04CE3982"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Pronamide</w:t>
            </w:r>
          </w:p>
        </w:tc>
        <w:tc>
          <w:tcPr>
            <w:tcW w:w="1434" w:type="dxa"/>
            <w:vMerge/>
            <w:tcBorders>
              <w:top w:val="single" w:sz="4" w:space="0" w:color="auto"/>
              <w:left w:val="nil"/>
              <w:bottom w:val="single" w:sz="4" w:space="0" w:color="000000"/>
              <w:right w:val="nil"/>
            </w:tcBorders>
            <w:vAlign w:val="center"/>
            <w:hideMark/>
          </w:tcPr>
          <w:p w14:paraId="7680E93E" w14:textId="77777777" w:rsidR="00594FC6" w:rsidRPr="00D15FC8" w:rsidRDefault="00594FC6" w:rsidP="00103CC5">
            <w:pPr>
              <w:rPr>
                <w:rFonts w:cs="Times New Roman"/>
                <w:color w:val="000000"/>
                <w:sz w:val="22"/>
                <w:szCs w:val="22"/>
              </w:rPr>
            </w:pPr>
          </w:p>
        </w:tc>
        <w:tc>
          <w:tcPr>
            <w:tcW w:w="710" w:type="dxa"/>
            <w:tcBorders>
              <w:top w:val="nil"/>
              <w:left w:val="nil"/>
              <w:bottom w:val="nil"/>
              <w:right w:val="nil"/>
            </w:tcBorders>
            <w:shd w:val="clear" w:color="auto" w:fill="auto"/>
            <w:noWrap/>
            <w:vAlign w:val="center"/>
            <w:hideMark/>
          </w:tcPr>
          <w:p w14:paraId="4A80F87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0.98</w:t>
            </w:r>
          </w:p>
        </w:tc>
        <w:tc>
          <w:tcPr>
            <w:tcW w:w="1586" w:type="dxa"/>
            <w:tcBorders>
              <w:top w:val="nil"/>
              <w:left w:val="nil"/>
              <w:bottom w:val="nil"/>
              <w:right w:val="nil"/>
            </w:tcBorders>
            <w:shd w:val="clear" w:color="auto" w:fill="auto"/>
            <w:noWrap/>
            <w:vAlign w:val="center"/>
            <w:hideMark/>
          </w:tcPr>
          <w:p w14:paraId="50C9D51C"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88.</w:t>
            </w:r>
            <w:r w:rsidRPr="00D15FC8">
              <w:rPr>
                <w:color w:val="000000"/>
                <w:sz w:val="22"/>
                <w:szCs w:val="22"/>
              </w:rPr>
              <w:t>6</w:t>
            </w:r>
          </w:p>
        </w:tc>
        <w:tc>
          <w:tcPr>
            <w:tcW w:w="1530" w:type="dxa"/>
            <w:tcBorders>
              <w:top w:val="nil"/>
              <w:left w:val="nil"/>
              <w:bottom w:val="nil"/>
              <w:right w:val="nil"/>
            </w:tcBorders>
            <w:shd w:val="clear" w:color="auto" w:fill="auto"/>
            <w:noWrap/>
            <w:vAlign w:val="center"/>
            <w:hideMark/>
          </w:tcPr>
          <w:p w14:paraId="6A017D1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83.2</w:t>
            </w:r>
          </w:p>
        </w:tc>
        <w:tc>
          <w:tcPr>
            <w:tcW w:w="1519" w:type="dxa"/>
            <w:tcBorders>
              <w:top w:val="nil"/>
              <w:left w:val="nil"/>
              <w:bottom w:val="nil"/>
              <w:right w:val="nil"/>
            </w:tcBorders>
            <w:shd w:val="clear" w:color="auto" w:fill="auto"/>
            <w:noWrap/>
            <w:vAlign w:val="center"/>
            <w:hideMark/>
          </w:tcPr>
          <w:p w14:paraId="5629E1F5"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94.0</w:t>
            </w:r>
          </w:p>
        </w:tc>
        <w:tc>
          <w:tcPr>
            <w:tcW w:w="797" w:type="dxa"/>
            <w:tcBorders>
              <w:top w:val="nil"/>
              <w:left w:val="nil"/>
              <w:bottom w:val="nil"/>
              <w:right w:val="nil"/>
            </w:tcBorders>
            <w:shd w:val="clear" w:color="auto" w:fill="auto"/>
            <w:noWrap/>
            <w:vAlign w:val="center"/>
            <w:hideMark/>
          </w:tcPr>
          <w:p w14:paraId="1FCE49B9"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-0.041</w:t>
            </w:r>
          </w:p>
        </w:tc>
        <w:tc>
          <w:tcPr>
            <w:tcW w:w="865" w:type="dxa"/>
            <w:tcBorders>
              <w:top w:val="nil"/>
              <w:left w:val="nil"/>
              <w:bottom w:val="nil"/>
              <w:right w:val="nil"/>
            </w:tcBorders>
            <w:shd w:val="clear" w:color="auto" w:fill="auto"/>
            <w:noWrap/>
            <w:vAlign w:val="center"/>
            <w:hideMark/>
          </w:tcPr>
          <w:p w14:paraId="47EF104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-0.05</w:t>
            </w:r>
          </w:p>
        </w:tc>
        <w:tc>
          <w:tcPr>
            <w:tcW w:w="869" w:type="dxa"/>
            <w:tcBorders>
              <w:top w:val="nil"/>
              <w:left w:val="nil"/>
              <w:bottom w:val="nil"/>
              <w:right w:val="nil"/>
            </w:tcBorders>
            <w:shd w:val="clear" w:color="auto" w:fill="auto"/>
            <w:noWrap/>
            <w:vAlign w:val="center"/>
            <w:hideMark/>
          </w:tcPr>
          <w:p w14:paraId="394F637B"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-0.034</w:t>
            </w:r>
          </w:p>
        </w:tc>
      </w:tr>
      <w:tr w:rsidR="00D0471D" w:rsidRPr="00D0471D" w14:paraId="2CC78719" w14:textId="77777777" w:rsidTr="00D15FC8">
        <w:trPr>
          <w:trHeight w:val="331"/>
        </w:trPr>
        <w:tc>
          <w:tcPr>
            <w:tcW w:w="1153" w:type="dxa"/>
            <w:vMerge w:val="restart"/>
            <w:tcBorders>
              <w:top w:val="nil"/>
              <w:left w:val="nil"/>
              <w:bottom w:val="single" w:sz="4" w:space="0" w:color="000000"/>
              <w:right w:val="nil"/>
            </w:tcBorders>
            <w:shd w:val="clear" w:color="auto" w:fill="auto"/>
            <w:noWrap/>
            <w:vAlign w:val="center"/>
            <w:hideMark/>
          </w:tcPr>
          <w:p w14:paraId="13857EC0" w14:textId="77777777" w:rsidR="00594FC6" w:rsidRPr="00D15FC8" w:rsidRDefault="00594FC6" w:rsidP="00103CC5">
            <w:pPr>
              <w:rPr>
                <w:rFonts w:cs="Times New Roman"/>
                <w:color w:val="000000"/>
                <w:sz w:val="22"/>
                <w:szCs w:val="22"/>
              </w:rPr>
            </w:pPr>
            <w:r w:rsidRPr="00D15FC8">
              <w:rPr>
                <w:rFonts w:cs="Times New Roman"/>
                <w:color w:val="000000"/>
                <w:sz w:val="22"/>
                <w:szCs w:val="22"/>
              </w:rPr>
              <w:t>Field Capacity</w:t>
            </w:r>
          </w:p>
        </w:tc>
        <w:tc>
          <w:tcPr>
            <w:tcW w:w="779" w:type="dxa"/>
            <w:vMerge w:val="restart"/>
            <w:tcBorders>
              <w:top w:val="nil"/>
              <w:left w:val="nil"/>
              <w:bottom w:val="single" w:sz="4" w:space="0" w:color="000000"/>
              <w:right w:val="nil"/>
            </w:tcBorders>
            <w:shd w:val="clear" w:color="auto" w:fill="auto"/>
            <w:noWrap/>
            <w:vAlign w:val="center"/>
            <w:hideMark/>
          </w:tcPr>
          <w:p w14:paraId="035C4620"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2024</w:t>
            </w:r>
          </w:p>
        </w:tc>
        <w:tc>
          <w:tcPr>
            <w:tcW w:w="1718" w:type="dxa"/>
            <w:tcBorders>
              <w:top w:val="single" w:sz="4" w:space="0" w:color="auto"/>
              <w:left w:val="nil"/>
              <w:bottom w:val="nil"/>
              <w:right w:val="nil"/>
            </w:tcBorders>
            <w:shd w:val="clear" w:color="auto" w:fill="auto"/>
            <w:noWrap/>
            <w:vAlign w:val="center"/>
            <w:hideMark/>
          </w:tcPr>
          <w:p w14:paraId="05FAD9D9"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Tetflupyrolimet</w:t>
            </w:r>
          </w:p>
        </w:tc>
        <w:tc>
          <w:tcPr>
            <w:tcW w:w="1434" w:type="dxa"/>
            <w:vMerge w:val="restart"/>
            <w:tcBorders>
              <w:top w:val="nil"/>
              <w:left w:val="nil"/>
              <w:bottom w:val="single" w:sz="4" w:space="0" w:color="000000"/>
              <w:right w:val="nil"/>
            </w:tcBorders>
            <w:shd w:val="clear" w:color="auto" w:fill="auto"/>
            <w:noWrap/>
            <w:vAlign w:val="center"/>
            <w:hideMark/>
          </w:tcPr>
          <w:p w14:paraId="0384115C"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Logistic</w:t>
            </w:r>
          </w:p>
        </w:tc>
        <w:tc>
          <w:tcPr>
            <w:tcW w:w="710" w:type="dxa"/>
            <w:tcBorders>
              <w:top w:val="single" w:sz="4" w:space="0" w:color="auto"/>
              <w:left w:val="nil"/>
              <w:bottom w:val="nil"/>
              <w:right w:val="nil"/>
            </w:tcBorders>
            <w:shd w:val="clear" w:color="auto" w:fill="auto"/>
            <w:noWrap/>
            <w:vAlign w:val="center"/>
            <w:hideMark/>
          </w:tcPr>
          <w:p w14:paraId="7C9A9A62"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0.96</w:t>
            </w:r>
          </w:p>
        </w:tc>
        <w:tc>
          <w:tcPr>
            <w:tcW w:w="1586" w:type="dxa"/>
            <w:tcBorders>
              <w:top w:val="single" w:sz="4" w:space="0" w:color="auto"/>
              <w:left w:val="nil"/>
              <w:bottom w:val="nil"/>
              <w:right w:val="nil"/>
            </w:tcBorders>
            <w:shd w:val="clear" w:color="auto" w:fill="auto"/>
            <w:noWrap/>
            <w:vAlign w:val="center"/>
            <w:hideMark/>
          </w:tcPr>
          <w:p w14:paraId="5221A8FF"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38.8</w:t>
            </w:r>
          </w:p>
        </w:tc>
        <w:tc>
          <w:tcPr>
            <w:tcW w:w="1530" w:type="dxa"/>
            <w:tcBorders>
              <w:top w:val="single" w:sz="4" w:space="0" w:color="auto"/>
              <w:left w:val="nil"/>
              <w:bottom w:val="nil"/>
              <w:right w:val="nil"/>
            </w:tcBorders>
            <w:shd w:val="clear" w:color="auto" w:fill="auto"/>
            <w:noWrap/>
            <w:vAlign w:val="center"/>
            <w:hideMark/>
          </w:tcPr>
          <w:p w14:paraId="705D212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32.</w:t>
            </w:r>
            <w:r w:rsidRPr="00D15FC8">
              <w:rPr>
                <w:color w:val="000000"/>
                <w:sz w:val="22"/>
                <w:szCs w:val="22"/>
              </w:rPr>
              <w:t>4</w:t>
            </w:r>
          </w:p>
        </w:tc>
        <w:tc>
          <w:tcPr>
            <w:tcW w:w="1519" w:type="dxa"/>
            <w:tcBorders>
              <w:top w:val="single" w:sz="4" w:space="0" w:color="auto"/>
              <w:left w:val="nil"/>
              <w:bottom w:val="nil"/>
              <w:right w:val="nil"/>
            </w:tcBorders>
            <w:shd w:val="clear" w:color="auto" w:fill="auto"/>
            <w:noWrap/>
            <w:vAlign w:val="center"/>
            <w:hideMark/>
          </w:tcPr>
          <w:p w14:paraId="3FCE42F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45.2</w:t>
            </w:r>
          </w:p>
        </w:tc>
        <w:tc>
          <w:tcPr>
            <w:tcW w:w="797" w:type="dxa"/>
            <w:tcBorders>
              <w:top w:val="single" w:sz="4" w:space="0" w:color="auto"/>
              <w:left w:val="nil"/>
              <w:bottom w:val="nil"/>
              <w:right w:val="nil"/>
            </w:tcBorders>
            <w:shd w:val="clear" w:color="auto" w:fill="auto"/>
            <w:noWrap/>
            <w:vAlign w:val="center"/>
            <w:hideMark/>
          </w:tcPr>
          <w:p w14:paraId="66ECD1F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-0.043</w:t>
            </w:r>
          </w:p>
        </w:tc>
        <w:tc>
          <w:tcPr>
            <w:tcW w:w="865" w:type="dxa"/>
            <w:tcBorders>
              <w:top w:val="single" w:sz="4" w:space="0" w:color="auto"/>
              <w:left w:val="nil"/>
              <w:bottom w:val="nil"/>
              <w:right w:val="nil"/>
            </w:tcBorders>
            <w:shd w:val="clear" w:color="auto" w:fill="auto"/>
            <w:noWrap/>
            <w:vAlign w:val="center"/>
            <w:hideMark/>
          </w:tcPr>
          <w:p w14:paraId="26405D8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-0.055</w:t>
            </w:r>
          </w:p>
        </w:tc>
        <w:tc>
          <w:tcPr>
            <w:tcW w:w="869" w:type="dxa"/>
            <w:tcBorders>
              <w:top w:val="single" w:sz="4" w:space="0" w:color="auto"/>
              <w:left w:val="nil"/>
              <w:bottom w:val="nil"/>
              <w:right w:val="nil"/>
            </w:tcBorders>
            <w:shd w:val="clear" w:color="auto" w:fill="auto"/>
            <w:noWrap/>
            <w:vAlign w:val="center"/>
            <w:hideMark/>
          </w:tcPr>
          <w:p w14:paraId="0E4FF71B"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-0.034</w:t>
            </w:r>
          </w:p>
        </w:tc>
      </w:tr>
      <w:tr w:rsidR="00D0471D" w:rsidRPr="00D0471D" w14:paraId="20C201B7" w14:textId="77777777" w:rsidTr="00D15FC8">
        <w:trPr>
          <w:trHeight w:val="331"/>
        </w:trPr>
        <w:tc>
          <w:tcPr>
            <w:tcW w:w="1153" w:type="dxa"/>
            <w:vMerge/>
            <w:tcBorders>
              <w:top w:val="nil"/>
              <w:left w:val="nil"/>
              <w:bottom w:val="single" w:sz="4" w:space="0" w:color="000000"/>
              <w:right w:val="nil"/>
            </w:tcBorders>
            <w:vAlign w:val="center"/>
            <w:hideMark/>
          </w:tcPr>
          <w:p w14:paraId="7D969E13" w14:textId="77777777" w:rsidR="00594FC6" w:rsidRPr="00D15FC8" w:rsidRDefault="00594FC6" w:rsidP="00103CC5">
            <w:pPr>
              <w:rPr>
                <w:rFonts w:cs="Times New Roman"/>
                <w:color w:val="000000"/>
                <w:sz w:val="22"/>
                <w:szCs w:val="22"/>
              </w:rPr>
            </w:pPr>
          </w:p>
        </w:tc>
        <w:tc>
          <w:tcPr>
            <w:tcW w:w="779" w:type="dxa"/>
            <w:vMerge/>
            <w:tcBorders>
              <w:top w:val="nil"/>
              <w:left w:val="nil"/>
              <w:bottom w:val="single" w:sz="4" w:space="0" w:color="000000"/>
              <w:right w:val="nil"/>
            </w:tcBorders>
            <w:vAlign w:val="center"/>
            <w:hideMark/>
          </w:tcPr>
          <w:p w14:paraId="163B307F" w14:textId="77777777" w:rsidR="00594FC6" w:rsidRPr="00D15FC8" w:rsidRDefault="00594FC6" w:rsidP="00103CC5">
            <w:pPr>
              <w:rPr>
                <w:rFonts w:cs="Times New Roman"/>
                <w:color w:val="000000"/>
                <w:sz w:val="22"/>
                <w:szCs w:val="22"/>
              </w:rPr>
            </w:pPr>
          </w:p>
        </w:tc>
        <w:tc>
          <w:tcPr>
            <w:tcW w:w="1718" w:type="dxa"/>
            <w:tcBorders>
              <w:top w:val="nil"/>
              <w:left w:val="nil"/>
              <w:bottom w:val="nil"/>
              <w:right w:val="nil"/>
            </w:tcBorders>
            <w:shd w:val="clear" w:color="auto" w:fill="auto"/>
            <w:noWrap/>
            <w:vAlign w:val="center"/>
            <w:hideMark/>
          </w:tcPr>
          <w:p w14:paraId="77C039B2"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Pronamide</w:t>
            </w:r>
          </w:p>
        </w:tc>
        <w:tc>
          <w:tcPr>
            <w:tcW w:w="1434" w:type="dxa"/>
            <w:vMerge/>
            <w:tcBorders>
              <w:top w:val="nil"/>
              <w:left w:val="nil"/>
              <w:bottom w:val="single" w:sz="4" w:space="0" w:color="000000"/>
              <w:right w:val="nil"/>
            </w:tcBorders>
            <w:vAlign w:val="center"/>
            <w:hideMark/>
          </w:tcPr>
          <w:p w14:paraId="24725F65" w14:textId="77777777" w:rsidR="00594FC6" w:rsidRPr="00D15FC8" w:rsidRDefault="00594FC6" w:rsidP="00103CC5">
            <w:pPr>
              <w:rPr>
                <w:rFonts w:cs="Times New Roman"/>
                <w:color w:val="000000"/>
                <w:sz w:val="22"/>
                <w:szCs w:val="22"/>
              </w:rPr>
            </w:pPr>
          </w:p>
        </w:tc>
        <w:tc>
          <w:tcPr>
            <w:tcW w:w="710" w:type="dxa"/>
            <w:tcBorders>
              <w:top w:val="nil"/>
              <w:left w:val="nil"/>
              <w:bottom w:val="nil"/>
              <w:right w:val="nil"/>
            </w:tcBorders>
            <w:shd w:val="clear" w:color="auto" w:fill="auto"/>
            <w:noWrap/>
            <w:vAlign w:val="center"/>
            <w:hideMark/>
          </w:tcPr>
          <w:p w14:paraId="52C2779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0.96</w:t>
            </w:r>
          </w:p>
        </w:tc>
        <w:tc>
          <w:tcPr>
            <w:tcW w:w="1586" w:type="dxa"/>
            <w:tcBorders>
              <w:top w:val="nil"/>
              <w:left w:val="nil"/>
              <w:bottom w:val="nil"/>
              <w:right w:val="nil"/>
            </w:tcBorders>
            <w:shd w:val="clear" w:color="auto" w:fill="auto"/>
            <w:noWrap/>
            <w:vAlign w:val="center"/>
            <w:hideMark/>
          </w:tcPr>
          <w:p w14:paraId="0972A3C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48.</w:t>
            </w:r>
            <w:r w:rsidRPr="00D15FC8">
              <w:rPr>
                <w:color w:val="000000"/>
                <w:sz w:val="22"/>
                <w:szCs w:val="22"/>
              </w:rPr>
              <w:t>2</w:t>
            </w:r>
          </w:p>
        </w:tc>
        <w:tc>
          <w:tcPr>
            <w:tcW w:w="1530" w:type="dxa"/>
            <w:tcBorders>
              <w:top w:val="nil"/>
              <w:left w:val="nil"/>
              <w:bottom w:val="nil"/>
              <w:right w:val="nil"/>
            </w:tcBorders>
            <w:shd w:val="clear" w:color="auto" w:fill="auto"/>
            <w:noWrap/>
            <w:vAlign w:val="center"/>
            <w:hideMark/>
          </w:tcPr>
          <w:p w14:paraId="0E023E40"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40.3</w:t>
            </w:r>
          </w:p>
        </w:tc>
        <w:tc>
          <w:tcPr>
            <w:tcW w:w="1519" w:type="dxa"/>
            <w:tcBorders>
              <w:top w:val="nil"/>
              <w:left w:val="nil"/>
              <w:bottom w:val="nil"/>
              <w:right w:val="nil"/>
            </w:tcBorders>
            <w:shd w:val="clear" w:color="auto" w:fill="auto"/>
            <w:noWrap/>
            <w:vAlign w:val="center"/>
            <w:hideMark/>
          </w:tcPr>
          <w:p w14:paraId="071AC3C4"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55.8</w:t>
            </w:r>
          </w:p>
        </w:tc>
        <w:tc>
          <w:tcPr>
            <w:tcW w:w="797" w:type="dxa"/>
            <w:tcBorders>
              <w:top w:val="nil"/>
              <w:left w:val="nil"/>
              <w:bottom w:val="nil"/>
              <w:right w:val="nil"/>
            </w:tcBorders>
            <w:shd w:val="clear" w:color="auto" w:fill="auto"/>
            <w:noWrap/>
            <w:vAlign w:val="center"/>
            <w:hideMark/>
          </w:tcPr>
          <w:p w14:paraId="28D4F79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-0.033</w:t>
            </w:r>
          </w:p>
        </w:tc>
        <w:tc>
          <w:tcPr>
            <w:tcW w:w="865" w:type="dxa"/>
            <w:tcBorders>
              <w:top w:val="nil"/>
              <w:left w:val="nil"/>
              <w:bottom w:val="nil"/>
              <w:right w:val="nil"/>
            </w:tcBorders>
            <w:shd w:val="clear" w:color="auto" w:fill="auto"/>
            <w:noWrap/>
            <w:vAlign w:val="center"/>
            <w:hideMark/>
          </w:tcPr>
          <w:p w14:paraId="0D2C31D5"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-0.043</w:t>
            </w:r>
          </w:p>
        </w:tc>
        <w:tc>
          <w:tcPr>
            <w:tcW w:w="869" w:type="dxa"/>
            <w:tcBorders>
              <w:top w:val="nil"/>
              <w:left w:val="nil"/>
              <w:bottom w:val="nil"/>
              <w:right w:val="nil"/>
            </w:tcBorders>
            <w:shd w:val="clear" w:color="auto" w:fill="auto"/>
            <w:noWrap/>
            <w:vAlign w:val="center"/>
            <w:hideMark/>
          </w:tcPr>
          <w:p w14:paraId="73806C27"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-0.026</w:t>
            </w:r>
          </w:p>
        </w:tc>
      </w:tr>
      <w:tr w:rsidR="00D0471D" w:rsidRPr="00D0471D" w14:paraId="56CE1A80" w14:textId="77777777" w:rsidTr="00D15FC8">
        <w:trPr>
          <w:trHeight w:val="331"/>
        </w:trPr>
        <w:tc>
          <w:tcPr>
            <w:tcW w:w="1153" w:type="dxa"/>
            <w:vMerge w:val="restart"/>
            <w:tcBorders>
              <w:top w:val="nil"/>
              <w:left w:val="nil"/>
              <w:bottom w:val="single" w:sz="4" w:space="0" w:color="000000"/>
              <w:right w:val="nil"/>
            </w:tcBorders>
            <w:shd w:val="clear" w:color="auto" w:fill="auto"/>
            <w:noWrap/>
            <w:vAlign w:val="center"/>
            <w:hideMark/>
          </w:tcPr>
          <w:p w14:paraId="4DC89263" w14:textId="77777777" w:rsidR="00594FC6" w:rsidRPr="00D15FC8" w:rsidRDefault="00594FC6" w:rsidP="00103CC5">
            <w:pPr>
              <w:rPr>
                <w:rFonts w:cs="Times New Roman"/>
                <w:color w:val="000000"/>
                <w:sz w:val="22"/>
                <w:szCs w:val="22"/>
              </w:rPr>
            </w:pPr>
            <w:r w:rsidRPr="00D15FC8">
              <w:rPr>
                <w:rFonts w:cs="Times New Roman"/>
                <w:color w:val="000000"/>
                <w:sz w:val="22"/>
                <w:szCs w:val="22"/>
              </w:rPr>
              <w:t>Saturated</w:t>
            </w:r>
          </w:p>
        </w:tc>
        <w:tc>
          <w:tcPr>
            <w:tcW w:w="779" w:type="dxa"/>
            <w:vMerge w:val="restart"/>
            <w:tcBorders>
              <w:top w:val="nil"/>
              <w:left w:val="nil"/>
              <w:bottom w:val="single" w:sz="4" w:space="0" w:color="000000"/>
              <w:right w:val="nil"/>
            </w:tcBorders>
            <w:shd w:val="clear" w:color="auto" w:fill="auto"/>
            <w:noWrap/>
            <w:vAlign w:val="center"/>
            <w:hideMark/>
          </w:tcPr>
          <w:p w14:paraId="22A4AFB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2023</w:t>
            </w:r>
          </w:p>
        </w:tc>
        <w:tc>
          <w:tcPr>
            <w:tcW w:w="1718" w:type="dxa"/>
            <w:tcBorders>
              <w:top w:val="single" w:sz="4" w:space="0" w:color="auto"/>
              <w:left w:val="nil"/>
              <w:bottom w:val="nil"/>
              <w:right w:val="nil"/>
            </w:tcBorders>
            <w:shd w:val="clear" w:color="auto" w:fill="auto"/>
            <w:noWrap/>
            <w:vAlign w:val="center"/>
            <w:hideMark/>
          </w:tcPr>
          <w:p w14:paraId="22F4D6F8"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Tetflupyrolimet</w:t>
            </w:r>
          </w:p>
        </w:tc>
        <w:tc>
          <w:tcPr>
            <w:tcW w:w="1434" w:type="dxa"/>
            <w:tcBorders>
              <w:top w:val="nil"/>
              <w:left w:val="nil"/>
              <w:bottom w:val="nil"/>
              <w:right w:val="nil"/>
            </w:tcBorders>
            <w:shd w:val="clear" w:color="auto" w:fill="auto"/>
            <w:noWrap/>
            <w:vAlign w:val="center"/>
            <w:hideMark/>
          </w:tcPr>
          <w:p w14:paraId="25E7AE6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Logistic</w:t>
            </w:r>
          </w:p>
        </w:tc>
        <w:tc>
          <w:tcPr>
            <w:tcW w:w="710" w:type="dxa"/>
            <w:tcBorders>
              <w:top w:val="single" w:sz="4" w:space="0" w:color="auto"/>
              <w:left w:val="nil"/>
              <w:bottom w:val="nil"/>
              <w:right w:val="nil"/>
            </w:tcBorders>
            <w:shd w:val="clear" w:color="auto" w:fill="auto"/>
            <w:noWrap/>
            <w:vAlign w:val="center"/>
            <w:hideMark/>
          </w:tcPr>
          <w:p w14:paraId="44198140" w14:textId="77777777" w:rsidR="00594FC6" w:rsidRPr="00D15FC8" w:rsidRDefault="00594FC6" w:rsidP="00103CC5">
            <w:pPr>
              <w:jc w:val="center"/>
              <w:rPr>
                <w:rFonts w:cs="Times New Roman"/>
                <w:color w:val="000000"/>
                <w:sz w:val="22"/>
                <w:szCs w:val="22"/>
              </w:rPr>
            </w:pPr>
          </w:p>
        </w:tc>
        <w:tc>
          <w:tcPr>
            <w:tcW w:w="1586" w:type="dxa"/>
            <w:tcBorders>
              <w:top w:val="single" w:sz="4" w:space="0" w:color="auto"/>
              <w:left w:val="nil"/>
              <w:bottom w:val="nil"/>
              <w:right w:val="nil"/>
            </w:tcBorders>
            <w:shd w:val="clear" w:color="auto" w:fill="auto"/>
            <w:noWrap/>
            <w:vAlign w:val="center"/>
            <w:hideMark/>
          </w:tcPr>
          <w:p w14:paraId="21804F11" w14:textId="77777777" w:rsidR="00594FC6" w:rsidRPr="00D15FC8" w:rsidRDefault="00594FC6" w:rsidP="00103CC5">
            <w:pPr>
              <w:jc w:val="center"/>
              <w:rPr>
                <w:rFonts w:cs="Times New Roman"/>
                <w:color w:val="000000"/>
                <w:sz w:val="22"/>
                <w:szCs w:val="22"/>
              </w:rPr>
            </w:pPr>
          </w:p>
        </w:tc>
        <w:tc>
          <w:tcPr>
            <w:tcW w:w="1530" w:type="dxa"/>
            <w:tcBorders>
              <w:top w:val="single" w:sz="4" w:space="0" w:color="auto"/>
              <w:left w:val="nil"/>
              <w:bottom w:val="nil"/>
              <w:right w:val="nil"/>
            </w:tcBorders>
            <w:shd w:val="clear" w:color="auto" w:fill="auto"/>
            <w:noWrap/>
            <w:vAlign w:val="center"/>
            <w:hideMark/>
          </w:tcPr>
          <w:p w14:paraId="5265F858" w14:textId="77777777" w:rsidR="00594FC6" w:rsidRPr="00D15FC8" w:rsidRDefault="00594FC6" w:rsidP="00103CC5">
            <w:pPr>
              <w:jc w:val="center"/>
              <w:rPr>
                <w:rFonts w:cs="Times New Roman"/>
                <w:color w:val="000000"/>
                <w:sz w:val="22"/>
                <w:szCs w:val="22"/>
              </w:rPr>
            </w:pPr>
          </w:p>
        </w:tc>
        <w:tc>
          <w:tcPr>
            <w:tcW w:w="1519" w:type="dxa"/>
            <w:tcBorders>
              <w:top w:val="single" w:sz="4" w:space="0" w:color="auto"/>
              <w:left w:val="nil"/>
              <w:bottom w:val="nil"/>
              <w:right w:val="nil"/>
            </w:tcBorders>
            <w:shd w:val="clear" w:color="auto" w:fill="auto"/>
            <w:noWrap/>
            <w:vAlign w:val="center"/>
            <w:hideMark/>
          </w:tcPr>
          <w:p w14:paraId="2CF53883" w14:textId="77777777" w:rsidR="00594FC6" w:rsidRPr="00D15FC8" w:rsidRDefault="00594FC6" w:rsidP="00103CC5">
            <w:pPr>
              <w:jc w:val="center"/>
              <w:rPr>
                <w:rFonts w:cs="Times New Roman"/>
                <w:color w:val="000000"/>
                <w:sz w:val="22"/>
                <w:szCs w:val="22"/>
              </w:rPr>
            </w:pPr>
          </w:p>
        </w:tc>
        <w:tc>
          <w:tcPr>
            <w:tcW w:w="797" w:type="dxa"/>
            <w:tcBorders>
              <w:top w:val="single" w:sz="4" w:space="0" w:color="auto"/>
              <w:left w:val="nil"/>
              <w:bottom w:val="nil"/>
              <w:right w:val="nil"/>
            </w:tcBorders>
            <w:shd w:val="clear" w:color="auto" w:fill="auto"/>
            <w:noWrap/>
            <w:vAlign w:val="center"/>
            <w:hideMark/>
          </w:tcPr>
          <w:p w14:paraId="5685CCAF" w14:textId="77777777" w:rsidR="00594FC6" w:rsidRPr="00D15FC8" w:rsidRDefault="00594FC6" w:rsidP="00103CC5">
            <w:pPr>
              <w:jc w:val="center"/>
              <w:rPr>
                <w:rFonts w:cs="Times New Roman"/>
                <w:color w:val="000000"/>
                <w:sz w:val="22"/>
                <w:szCs w:val="22"/>
              </w:rPr>
            </w:pPr>
          </w:p>
        </w:tc>
        <w:tc>
          <w:tcPr>
            <w:tcW w:w="865" w:type="dxa"/>
            <w:tcBorders>
              <w:top w:val="single" w:sz="4" w:space="0" w:color="auto"/>
              <w:left w:val="nil"/>
              <w:bottom w:val="nil"/>
              <w:right w:val="nil"/>
            </w:tcBorders>
            <w:shd w:val="clear" w:color="auto" w:fill="auto"/>
            <w:noWrap/>
            <w:vAlign w:val="center"/>
            <w:hideMark/>
          </w:tcPr>
          <w:p w14:paraId="660A4045" w14:textId="77777777" w:rsidR="00594FC6" w:rsidRPr="00D15FC8" w:rsidRDefault="00594FC6" w:rsidP="00103CC5">
            <w:pPr>
              <w:jc w:val="center"/>
              <w:rPr>
                <w:rFonts w:cs="Times New Roman"/>
                <w:color w:val="000000"/>
                <w:sz w:val="22"/>
                <w:szCs w:val="22"/>
              </w:rPr>
            </w:pPr>
          </w:p>
        </w:tc>
        <w:tc>
          <w:tcPr>
            <w:tcW w:w="869" w:type="dxa"/>
            <w:tcBorders>
              <w:top w:val="single" w:sz="4" w:space="0" w:color="auto"/>
              <w:left w:val="nil"/>
              <w:bottom w:val="nil"/>
              <w:right w:val="nil"/>
            </w:tcBorders>
            <w:shd w:val="clear" w:color="auto" w:fill="auto"/>
            <w:noWrap/>
            <w:vAlign w:val="center"/>
            <w:hideMark/>
          </w:tcPr>
          <w:p w14:paraId="32508A15" w14:textId="77777777" w:rsidR="00594FC6" w:rsidRPr="00D15FC8" w:rsidRDefault="00594FC6" w:rsidP="00103CC5">
            <w:pPr>
              <w:jc w:val="center"/>
              <w:rPr>
                <w:rFonts w:cs="Times New Roman"/>
                <w:color w:val="000000"/>
                <w:sz w:val="22"/>
                <w:szCs w:val="22"/>
              </w:rPr>
            </w:pPr>
          </w:p>
        </w:tc>
      </w:tr>
      <w:tr w:rsidR="00D0471D" w:rsidRPr="00D0471D" w14:paraId="74C3A575" w14:textId="77777777" w:rsidTr="00D15FC8">
        <w:trPr>
          <w:trHeight w:val="331"/>
        </w:trPr>
        <w:tc>
          <w:tcPr>
            <w:tcW w:w="1153" w:type="dxa"/>
            <w:vMerge/>
            <w:tcBorders>
              <w:top w:val="nil"/>
              <w:left w:val="nil"/>
              <w:bottom w:val="single" w:sz="4" w:space="0" w:color="000000"/>
              <w:right w:val="nil"/>
            </w:tcBorders>
            <w:vAlign w:val="center"/>
            <w:hideMark/>
          </w:tcPr>
          <w:p w14:paraId="3BDB764B" w14:textId="77777777" w:rsidR="00594FC6" w:rsidRPr="00D15FC8" w:rsidRDefault="00594FC6" w:rsidP="00103CC5">
            <w:pPr>
              <w:rPr>
                <w:rFonts w:cs="Times New Roman"/>
                <w:color w:val="000000"/>
                <w:sz w:val="22"/>
                <w:szCs w:val="22"/>
              </w:rPr>
            </w:pPr>
          </w:p>
        </w:tc>
        <w:tc>
          <w:tcPr>
            <w:tcW w:w="779" w:type="dxa"/>
            <w:vMerge/>
            <w:tcBorders>
              <w:top w:val="nil"/>
              <w:left w:val="nil"/>
              <w:bottom w:val="single" w:sz="4" w:space="0" w:color="000000"/>
              <w:right w:val="nil"/>
            </w:tcBorders>
            <w:vAlign w:val="center"/>
            <w:hideMark/>
          </w:tcPr>
          <w:p w14:paraId="6D55F442" w14:textId="77777777" w:rsidR="00594FC6" w:rsidRPr="00D15FC8" w:rsidRDefault="00594FC6" w:rsidP="00103CC5">
            <w:pPr>
              <w:rPr>
                <w:rFonts w:cs="Times New Roman"/>
                <w:color w:val="000000"/>
                <w:sz w:val="22"/>
                <w:szCs w:val="22"/>
              </w:rPr>
            </w:pPr>
          </w:p>
        </w:tc>
        <w:tc>
          <w:tcPr>
            <w:tcW w:w="1718" w:type="dxa"/>
            <w:tcBorders>
              <w:top w:val="nil"/>
              <w:left w:val="nil"/>
              <w:bottom w:val="nil"/>
              <w:right w:val="nil"/>
            </w:tcBorders>
            <w:shd w:val="clear" w:color="auto" w:fill="auto"/>
            <w:noWrap/>
            <w:vAlign w:val="center"/>
            <w:hideMark/>
          </w:tcPr>
          <w:p w14:paraId="15888017"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Pronamide</w:t>
            </w:r>
          </w:p>
        </w:tc>
        <w:tc>
          <w:tcPr>
            <w:tcW w:w="1434" w:type="dxa"/>
            <w:tcBorders>
              <w:top w:val="nil"/>
              <w:left w:val="nil"/>
              <w:bottom w:val="nil"/>
              <w:right w:val="nil"/>
            </w:tcBorders>
            <w:shd w:val="clear" w:color="auto" w:fill="auto"/>
            <w:noWrap/>
            <w:vAlign w:val="center"/>
            <w:hideMark/>
          </w:tcPr>
          <w:p w14:paraId="30A6AC6D" w14:textId="0346D313" w:rsidR="00594FC6" w:rsidRPr="00D15FC8" w:rsidRDefault="00594FC6" w:rsidP="00103CC5">
            <w:pPr>
              <w:jc w:val="center"/>
              <w:rPr>
                <w:rFonts w:cs="Times New Roman"/>
                <w:color w:val="000000"/>
                <w:sz w:val="22"/>
                <w:szCs w:val="22"/>
                <w:lang w:val="es-US"/>
              </w:rPr>
            </w:pPr>
            <w:r w:rsidRPr="00D15FC8">
              <w:rPr>
                <w:rFonts w:cs="Times New Roman"/>
                <w:color w:val="000000"/>
                <w:sz w:val="22"/>
                <w:szCs w:val="22"/>
                <w:lang w:val="es-US"/>
              </w:rPr>
              <w:t xml:space="preserve">Global </w:t>
            </w:r>
            <w:proofErr w:type="spellStart"/>
            <w:r w:rsidRPr="00D15FC8">
              <w:rPr>
                <w:rFonts w:cs="Times New Roman"/>
                <w:color w:val="000000"/>
                <w:sz w:val="22"/>
                <w:szCs w:val="22"/>
                <w:lang w:val="es-US"/>
              </w:rPr>
              <w:t>model</w:t>
            </w:r>
            <w:proofErr w:type="spellEnd"/>
            <w:r w:rsidRPr="00D15FC8">
              <w:rPr>
                <w:rFonts w:cs="Times New Roman"/>
                <w:color w:val="000000"/>
                <w:sz w:val="22"/>
                <w:szCs w:val="22"/>
                <w:lang w:val="es-US"/>
              </w:rPr>
              <w:t xml:space="preserve"> (no </w:t>
            </w:r>
            <w:proofErr w:type="spellStart"/>
            <w:r w:rsidR="00951263" w:rsidRPr="00D15FC8">
              <w:rPr>
                <w:rFonts w:cs="Times New Roman"/>
                <w:color w:val="000000"/>
                <w:sz w:val="22"/>
                <w:szCs w:val="22"/>
                <w:lang w:val="es-US"/>
              </w:rPr>
              <w:t>herbicide</w:t>
            </w:r>
            <w:proofErr w:type="spellEnd"/>
            <w:r w:rsidR="00951263" w:rsidRPr="00D15FC8">
              <w:rPr>
                <w:rFonts w:cs="Times New Roman"/>
                <w:color w:val="000000"/>
                <w:sz w:val="22"/>
                <w:szCs w:val="22"/>
                <w:lang w:val="es-US"/>
              </w:rPr>
              <w:t xml:space="preserve"> </w:t>
            </w:r>
            <w:proofErr w:type="spellStart"/>
            <w:r w:rsidRPr="00D15FC8">
              <w:rPr>
                <w:rFonts w:cs="Times New Roman"/>
                <w:color w:val="000000"/>
                <w:sz w:val="22"/>
                <w:szCs w:val="22"/>
                <w:lang w:val="es-US"/>
              </w:rPr>
              <w:t>effect</w:t>
            </w:r>
            <w:proofErr w:type="spellEnd"/>
            <w:r w:rsidRPr="00D15FC8">
              <w:rPr>
                <w:rFonts w:cs="Times New Roman"/>
                <w:color w:val="000000"/>
                <w:sz w:val="22"/>
                <w:szCs w:val="22"/>
                <w:lang w:val="es-US"/>
              </w:rPr>
              <w:t>)</w:t>
            </w:r>
          </w:p>
        </w:tc>
        <w:tc>
          <w:tcPr>
            <w:tcW w:w="710" w:type="dxa"/>
            <w:tcBorders>
              <w:top w:val="nil"/>
              <w:left w:val="nil"/>
              <w:bottom w:val="nil"/>
              <w:right w:val="nil"/>
            </w:tcBorders>
            <w:shd w:val="clear" w:color="auto" w:fill="auto"/>
            <w:noWrap/>
            <w:vAlign w:val="center"/>
            <w:hideMark/>
          </w:tcPr>
          <w:p w14:paraId="0531A2AD"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0.94</w:t>
            </w:r>
          </w:p>
        </w:tc>
        <w:tc>
          <w:tcPr>
            <w:tcW w:w="1586" w:type="dxa"/>
            <w:tcBorders>
              <w:top w:val="nil"/>
              <w:left w:val="nil"/>
              <w:bottom w:val="nil"/>
              <w:right w:val="nil"/>
            </w:tcBorders>
            <w:shd w:val="clear" w:color="auto" w:fill="auto"/>
            <w:noWrap/>
            <w:vAlign w:val="center"/>
            <w:hideMark/>
          </w:tcPr>
          <w:p w14:paraId="5C3A687D"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22.4</w:t>
            </w:r>
          </w:p>
        </w:tc>
        <w:tc>
          <w:tcPr>
            <w:tcW w:w="1530" w:type="dxa"/>
            <w:tcBorders>
              <w:top w:val="nil"/>
              <w:left w:val="nil"/>
              <w:bottom w:val="nil"/>
              <w:right w:val="nil"/>
            </w:tcBorders>
            <w:shd w:val="clear" w:color="auto" w:fill="auto"/>
            <w:noWrap/>
            <w:vAlign w:val="center"/>
            <w:hideMark/>
          </w:tcPr>
          <w:p w14:paraId="47C7729B"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18.8</w:t>
            </w:r>
          </w:p>
        </w:tc>
        <w:tc>
          <w:tcPr>
            <w:tcW w:w="1519" w:type="dxa"/>
            <w:tcBorders>
              <w:top w:val="nil"/>
              <w:left w:val="nil"/>
              <w:bottom w:val="nil"/>
              <w:right w:val="nil"/>
            </w:tcBorders>
            <w:shd w:val="clear" w:color="auto" w:fill="auto"/>
            <w:noWrap/>
            <w:vAlign w:val="center"/>
            <w:hideMark/>
          </w:tcPr>
          <w:p w14:paraId="49846D10"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26.2</w:t>
            </w:r>
          </w:p>
        </w:tc>
        <w:tc>
          <w:tcPr>
            <w:tcW w:w="797" w:type="dxa"/>
            <w:tcBorders>
              <w:top w:val="nil"/>
              <w:left w:val="nil"/>
              <w:bottom w:val="nil"/>
              <w:right w:val="nil"/>
            </w:tcBorders>
            <w:shd w:val="clear" w:color="auto" w:fill="auto"/>
            <w:noWrap/>
            <w:vAlign w:val="center"/>
            <w:hideMark/>
          </w:tcPr>
          <w:p w14:paraId="7858E6F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-0.077</w:t>
            </w:r>
          </w:p>
        </w:tc>
        <w:tc>
          <w:tcPr>
            <w:tcW w:w="865" w:type="dxa"/>
            <w:tcBorders>
              <w:top w:val="nil"/>
              <w:left w:val="nil"/>
              <w:bottom w:val="nil"/>
              <w:right w:val="nil"/>
            </w:tcBorders>
            <w:shd w:val="clear" w:color="auto" w:fill="auto"/>
            <w:noWrap/>
            <w:vAlign w:val="center"/>
            <w:hideMark/>
          </w:tcPr>
          <w:p w14:paraId="05A157A4"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-0.103</w:t>
            </w:r>
          </w:p>
        </w:tc>
        <w:tc>
          <w:tcPr>
            <w:tcW w:w="869" w:type="dxa"/>
            <w:tcBorders>
              <w:top w:val="nil"/>
              <w:left w:val="nil"/>
              <w:bottom w:val="nil"/>
              <w:right w:val="nil"/>
            </w:tcBorders>
            <w:shd w:val="clear" w:color="auto" w:fill="auto"/>
            <w:noWrap/>
            <w:vAlign w:val="center"/>
            <w:hideMark/>
          </w:tcPr>
          <w:p w14:paraId="19ABF430"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-0.059</w:t>
            </w:r>
          </w:p>
        </w:tc>
      </w:tr>
      <w:tr w:rsidR="00D0471D" w:rsidRPr="00D0471D" w14:paraId="68DB9D3F" w14:textId="77777777" w:rsidTr="00D15FC8">
        <w:trPr>
          <w:trHeight w:val="331"/>
        </w:trPr>
        <w:tc>
          <w:tcPr>
            <w:tcW w:w="1153" w:type="dxa"/>
            <w:vMerge w:val="restart"/>
            <w:tcBorders>
              <w:top w:val="nil"/>
              <w:left w:val="nil"/>
              <w:bottom w:val="single" w:sz="4" w:space="0" w:color="000000"/>
              <w:right w:val="nil"/>
            </w:tcBorders>
            <w:shd w:val="clear" w:color="auto" w:fill="auto"/>
            <w:noWrap/>
            <w:vAlign w:val="center"/>
            <w:hideMark/>
          </w:tcPr>
          <w:p w14:paraId="10AF7969" w14:textId="77777777" w:rsidR="00594FC6" w:rsidRPr="00D15FC8" w:rsidRDefault="00594FC6" w:rsidP="00103CC5">
            <w:pPr>
              <w:rPr>
                <w:rFonts w:cs="Times New Roman"/>
                <w:color w:val="000000"/>
                <w:sz w:val="22"/>
                <w:szCs w:val="22"/>
              </w:rPr>
            </w:pPr>
            <w:r w:rsidRPr="00D15FC8">
              <w:rPr>
                <w:rFonts w:cs="Times New Roman"/>
                <w:color w:val="000000"/>
                <w:sz w:val="22"/>
                <w:szCs w:val="22"/>
              </w:rPr>
              <w:t>Saturated</w:t>
            </w:r>
          </w:p>
        </w:tc>
        <w:tc>
          <w:tcPr>
            <w:tcW w:w="779" w:type="dxa"/>
            <w:vMerge w:val="restart"/>
            <w:tcBorders>
              <w:top w:val="nil"/>
              <w:left w:val="nil"/>
              <w:bottom w:val="single" w:sz="4" w:space="0" w:color="000000"/>
              <w:right w:val="nil"/>
            </w:tcBorders>
            <w:shd w:val="clear" w:color="auto" w:fill="auto"/>
            <w:noWrap/>
            <w:vAlign w:val="center"/>
            <w:hideMark/>
          </w:tcPr>
          <w:p w14:paraId="36D16705"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2024</w:t>
            </w:r>
          </w:p>
        </w:tc>
        <w:tc>
          <w:tcPr>
            <w:tcW w:w="1718" w:type="dxa"/>
            <w:tcBorders>
              <w:top w:val="single" w:sz="4" w:space="0" w:color="auto"/>
              <w:left w:val="nil"/>
              <w:bottom w:val="nil"/>
              <w:right w:val="nil"/>
            </w:tcBorders>
            <w:shd w:val="clear" w:color="auto" w:fill="auto"/>
            <w:noWrap/>
            <w:vAlign w:val="center"/>
            <w:hideMark/>
          </w:tcPr>
          <w:p w14:paraId="1A69F54C"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Tetflupyrolimet</w:t>
            </w:r>
          </w:p>
        </w:tc>
        <w:tc>
          <w:tcPr>
            <w:tcW w:w="1434" w:type="dxa"/>
            <w:vMerge w:val="restart"/>
            <w:tcBorders>
              <w:top w:val="single" w:sz="4" w:space="0" w:color="auto"/>
              <w:left w:val="nil"/>
              <w:bottom w:val="single" w:sz="4" w:space="0" w:color="000000"/>
              <w:right w:val="nil"/>
            </w:tcBorders>
            <w:shd w:val="clear" w:color="auto" w:fill="auto"/>
            <w:noWrap/>
            <w:vAlign w:val="center"/>
            <w:hideMark/>
          </w:tcPr>
          <w:p w14:paraId="6DF42D3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Logit-linear</w:t>
            </w:r>
          </w:p>
        </w:tc>
        <w:tc>
          <w:tcPr>
            <w:tcW w:w="710" w:type="dxa"/>
            <w:tcBorders>
              <w:top w:val="single" w:sz="4" w:space="0" w:color="auto"/>
              <w:left w:val="nil"/>
              <w:bottom w:val="nil"/>
              <w:right w:val="nil"/>
            </w:tcBorders>
            <w:shd w:val="clear" w:color="auto" w:fill="auto"/>
            <w:noWrap/>
            <w:vAlign w:val="center"/>
            <w:hideMark/>
          </w:tcPr>
          <w:p w14:paraId="4B777132"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0.64</w:t>
            </w:r>
          </w:p>
        </w:tc>
        <w:tc>
          <w:tcPr>
            <w:tcW w:w="1586" w:type="dxa"/>
            <w:tcBorders>
              <w:top w:val="single" w:sz="4" w:space="0" w:color="auto"/>
              <w:left w:val="nil"/>
              <w:bottom w:val="nil"/>
              <w:right w:val="nil"/>
            </w:tcBorders>
            <w:shd w:val="clear" w:color="auto" w:fill="auto"/>
            <w:noWrap/>
            <w:vAlign w:val="center"/>
            <w:hideMark/>
          </w:tcPr>
          <w:p w14:paraId="403E5951"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16.8</w:t>
            </w:r>
          </w:p>
        </w:tc>
        <w:tc>
          <w:tcPr>
            <w:tcW w:w="1530" w:type="dxa"/>
            <w:tcBorders>
              <w:top w:val="single" w:sz="4" w:space="0" w:color="auto"/>
              <w:left w:val="nil"/>
              <w:bottom w:val="nil"/>
              <w:right w:val="nil"/>
            </w:tcBorders>
            <w:shd w:val="clear" w:color="auto" w:fill="auto"/>
            <w:noWrap/>
            <w:vAlign w:val="center"/>
            <w:hideMark/>
          </w:tcPr>
          <w:p w14:paraId="32F53D3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-0.7</w:t>
            </w:r>
          </w:p>
        </w:tc>
        <w:tc>
          <w:tcPr>
            <w:tcW w:w="1519" w:type="dxa"/>
            <w:tcBorders>
              <w:top w:val="single" w:sz="4" w:space="0" w:color="auto"/>
              <w:left w:val="nil"/>
              <w:bottom w:val="nil"/>
              <w:right w:val="nil"/>
            </w:tcBorders>
            <w:shd w:val="clear" w:color="auto" w:fill="auto"/>
            <w:noWrap/>
            <w:vAlign w:val="center"/>
            <w:hideMark/>
          </w:tcPr>
          <w:p w14:paraId="053A10B8"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28.</w:t>
            </w:r>
            <w:r w:rsidRPr="00D15FC8">
              <w:rPr>
                <w:color w:val="000000"/>
                <w:sz w:val="22"/>
                <w:szCs w:val="22"/>
              </w:rPr>
              <w:t>5</w:t>
            </w:r>
          </w:p>
        </w:tc>
        <w:tc>
          <w:tcPr>
            <w:tcW w:w="797" w:type="dxa"/>
            <w:tcBorders>
              <w:top w:val="single" w:sz="4" w:space="0" w:color="auto"/>
              <w:left w:val="nil"/>
              <w:bottom w:val="nil"/>
              <w:right w:val="nil"/>
            </w:tcBorders>
            <w:shd w:val="clear" w:color="auto" w:fill="auto"/>
            <w:noWrap/>
            <w:vAlign w:val="center"/>
            <w:hideMark/>
          </w:tcPr>
          <w:p w14:paraId="1FA01CF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-0.147</w:t>
            </w:r>
          </w:p>
        </w:tc>
        <w:tc>
          <w:tcPr>
            <w:tcW w:w="865" w:type="dxa"/>
            <w:tcBorders>
              <w:top w:val="single" w:sz="4" w:space="0" w:color="auto"/>
              <w:left w:val="nil"/>
              <w:bottom w:val="nil"/>
              <w:right w:val="nil"/>
            </w:tcBorders>
            <w:shd w:val="clear" w:color="auto" w:fill="auto"/>
            <w:noWrap/>
            <w:vAlign w:val="center"/>
            <w:hideMark/>
          </w:tcPr>
          <w:p w14:paraId="5C84EDF3"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-0.187</w:t>
            </w:r>
          </w:p>
        </w:tc>
        <w:tc>
          <w:tcPr>
            <w:tcW w:w="869" w:type="dxa"/>
            <w:tcBorders>
              <w:top w:val="single" w:sz="4" w:space="0" w:color="auto"/>
              <w:left w:val="nil"/>
              <w:bottom w:val="nil"/>
              <w:right w:val="nil"/>
            </w:tcBorders>
            <w:shd w:val="clear" w:color="auto" w:fill="auto"/>
            <w:noWrap/>
            <w:vAlign w:val="center"/>
            <w:hideMark/>
          </w:tcPr>
          <w:p w14:paraId="72A96D8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-0.106</w:t>
            </w:r>
          </w:p>
        </w:tc>
      </w:tr>
      <w:tr w:rsidR="00D0471D" w:rsidRPr="00D0471D" w14:paraId="302F34BF" w14:textId="77777777" w:rsidTr="00D15FC8">
        <w:trPr>
          <w:trHeight w:val="331"/>
        </w:trPr>
        <w:tc>
          <w:tcPr>
            <w:tcW w:w="1153" w:type="dxa"/>
            <w:vMerge/>
            <w:tcBorders>
              <w:top w:val="nil"/>
              <w:left w:val="nil"/>
              <w:bottom w:val="single" w:sz="4" w:space="0" w:color="000000"/>
              <w:right w:val="nil"/>
            </w:tcBorders>
            <w:vAlign w:val="center"/>
            <w:hideMark/>
          </w:tcPr>
          <w:p w14:paraId="4C2C658F" w14:textId="77777777" w:rsidR="00594FC6" w:rsidRPr="00D15FC8" w:rsidRDefault="00594FC6" w:rsidP="00103CC5">
            <w:pPr>
              <w:rPr>
                <w:rFonts w:cs="Times New Roman"/>
                <w:color w:val="000000"/>
                <w:sz w:val="22"/>
                <w:szCs w:val="22"/>
              </w:rPr>
            </w:pPr>
          </w:p>
        </w:tc>
        <w:tc>
          <w:tcPr>
            <w:tcW w:w="779" w:type="dxa"/>
            <w:vMerge/>
            <w:tcBorders>
              <w:top w:val="nil"/>
              <w:left w:val="nil"/>
              <w:bottom w:val="single" w:sz="4" w:space="0" w:color="000000"/>
              <w:right w:val="nil"/>
            </w:tcBorders>
            <w:vAlign w:val="center"/>
            <w:hideMark/>
          </w:tcPr>
          <w:p w14:paraId="5E40F976" w14:textId="77777777" w:rsidR="00594FC6" w:rsidRPr="00D15FC8" w:rsidRDefault="00594FC6" w:rsidP="00103CC5">
            <w:pPr>
              <w:rPr>
                <w:rFonts w:cs="Times New Roman"/>
                <w:color w:val="000000"/>
                <w:sz w:val="22"/>
                <w:szCs w:val="22"/>
              </w:rPr>
            </w:pPr>
          </w:p>
        </w:tc>
        <w:tc>
          <w:tcPr>
            <w:tcW w:w="1718" w:type="dxa"/>
            <w:tcBorders>
              <w:top w:val="nil"/>
              <w:left w:val="nil"/>
              <w:bottom w:val="single" w:sz="4" w:space="0" w:color="auto"/>
              <w:right w:val="nil"/>
            </w:tcBorders>
            <w:shd w:val="clear" w:color="auto" w:fill="auto"/>
            <w:noWrap/>
            <w:vAlign w:val="center"/>
            <w:hideMark/>
          </w:tcPr>
          <w:p w14:paraId="7DAF0DE3"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Pronamide</w:t>
            </w:r>
          </w:p>
        </w:tc>
        <w:tc>
          <w:tcPr>
            <w:tcW w:w="1434" w:type="dxa"/>
            <w:vMerge/>
            <w:tcBorders>
              <w:top w:val="single" w:sz="4" w:space="0" w:color="auto"/>
              <w:left w:val="nil"/>
              <w:bottom w:val="single" w:sz="4" w:space="0" w:color="000000"/>
              <w:right w:val="nil"/>
            </w:tcBorders>
            <w:vAlign w:val="center"/>
            <w:hideMark/>
          </w:tcPr>
          <w:p w14:paraId="3FB4BE7E" w14:textId="77777777" w:rsidR="00594FC6" w:rsidRPr="00D15FC8" w:rsidRDefault="00594FC6" w:rsidP="00103CC5">
            <w:pPr>
              <w:rPr>
                <w:rFonts w:cs="Times New Roman"/>
                <w:color w:val="000000"/>
                <w:sz w:val="22"/>
                <w:szCs w:val="22"/>
              </w:rPr>
            </w:pPr>
          </w:p>
        </w:tc>
        <w:tc>
          <w:tcPr>
            <w:tcW w:w="710" w:type="dxa"/>
            <w:tcBorders>
              <w:top w:val="nil"/>
              <w:left w:val="nil"/>
              <w:bottom w:val="single" w:sz="4" w:space="0" w:color="auto"/>
              <w:right w:val="nil"/>
            </w:tcBorders>
            <w:shd w:val="clear" w:color="auto" w:fill="auto"/>
            <w:noWrap/>
            <w:vAlign w:val="center"/>
            <w:hideMark/>
          </w:tcPr>
          <w:p w14:paraId="13FCB960"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0.82</w:t>
            </w:r>
          </w:p>
        </w:tc>
        <w:tc>
          <w:tcPr>
            <w:tcW w:w="1586" w:type="dxa"/>
            <w:tcBorders>
              <w:top w:val="nil"/>
              <w:left w:val="nil"/>
              <w:bottom w:val="single" w:sz="4" w:space="0" w:color="auto"/>
              <w:right w:val="nil"/>
            </w:tcBorders>
            <w:shd w:val="clear" w:color="auto" w:fill="auto"/>
            <w:noWrap/>
            <w:vAlign w:val="center"/>
            <w:hideMark/>
          </w:tcPr>
          <w:p w14:paraId="616043EE"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46.</w:t>
            </w:r>
            <w:r w:rsidRPr="00D15FC8">
              <w:rPr>
                <w:color w:val="000000"/>
                <w:sz w:val="22"/>
                <w:szCs w:val="22"/>
              </w:rPr>
              <w:t>2</w:t>
            </w:r>
          </w:p>
        </w:tc>
        <w:tc>
          <w:tcPr>
            <w:tcW w:w="1530" w:type="dxa"/>
            <w:tcBorders>
              <w:top w:val="nil"/>
              <w:left w:val="nil"/>
              <w:bottom w:val="single" w:sz="4" w:space="0" w:color="auto"/>
              <w:right w:val="nil"/>
            </w:tcBorders>
            <w:shd w:val="clear" w:color="auto" w:fill="auto"/>
            <w:noWrap/>
            <w:vAlign w:val="center"/>
            <w:hideMark/>
          </w:tcPr>
          <w:p w14:paraId="451AFA2C"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39.</w:t>
            </w:r>
            <w:r w:rsidRPr="00D15FC8">
              <w:rPr>
                <w:color w:val="000000"/>
                <w:sz w:val="22"/>
                <w:szCs w:val="22"/>
              </w:rPr>
              <w:t>7</w:t>
            </w:r>
          </w:p>
        </w:tc>
        <w:tc>
          <w:tcPr>
            <w:tcW w:w="1519" w:type="dxa"/>
            <w:tcBorders>
              <w:top w:val="nil"/>
              <w:left w:val="nil"/>
              <w:bottom w:val="single" w:sz="4" w:space="0" w:color="auto"/>
              <w:right w:val="nil"/>
            </w:tcBorders>
            <w:shd w:val="clear" w:color="auto" w:fill="auto"/>
            <w:noWrap/>
            <w:vAlign w:val="center"/>
            <w:hideMark/>
          </w:tcPr>
          <w:p w14:paraId="36FC355D"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52.</w:t>
            </w:r>
            <w:r w:rsidRPr="00D15FC8">
              <w:rPr>
                <w:color w:val="000000"/>
                <w:sz w:val="22"/>
                <w:szCs w:val="22"/>
              </w:rPr>
              <w:t>2</w:t>
            </w:r>
          </w:p>
        </w:tc>
        <w:tc>
          <w:tcPr>
            <w:tcW w:w="797" w:type="dxa"/>
            <w:tcBorders>
              <w:top w:val="nil"/>
              <w:left w:val="nil"/>
              <w:bottom w:val="single" w:sz="4" w:space="0" w:color="auto"/>
              <w:right w:val="nil"/>
            </w:tcBorders>
            <w:shd w:val="clear" w:color="auto" w:fill="auto"/>
            <w:noWrap/>
            <w:vAlign w:val="center"/>
            <w:hideMark/>
          </w:tcPr>
          <w:p w14:paraId="0498004A"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-0.156</w:t>
            </w:r>
          </w:p>
        </w:tc>
        <w:tc>
          <w:tcPr>
            <w:tcW w:w="865" w:type="dxa"/>
            <w:tcBorders>
              <w:top w:val="nil"/>
              <w:left w:val="nil"/>
              <w:bottom w:val="single" w:sz="4" w:space="0" w:color="auto"/>
              <w:right w:val="nil"/>
            </w:tcBorders>
            <w:shd w:val="clear" w:color="auto" w:fill="auto"/>
            <w:noWrap/>
            <w:vAlign w:val="center"/>
            <w:hideMark/>
          </w:tcPr>
          <w:p w14:paraId="564FBFA5"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-0.183</w:t>
            </w:r>
          </w:p>
        </w:tc>
        <w:tc>
          <w:tcPr>
            <w:tcW w:w="869" w:type="dxa"/>
            <w:tcBorders>
              <w:top w:val="nil"/>
              <w:left w:val="nil"/>
              <w:bottom w:val="single" w:sz="4" w:space="0" w:color="auto"/>
              <w:right w:val="nil"/>
            </w:tcBorders>
            <w:shd w:val="clear" w:color="auto" w:fill="auto"/>
            <w:noWrap/>
            <w:vAlign w:val="center"/>
            <w:hideMark/>
          </w:tcPr>
          <w:p w14:paraId="4C77EF96" w14:textId="77777777" w:rsidR="00594FC6" w:rsidRPr="00D15FC8" w:rsidRDefault="00594FC6" w:rsidP="00103CC5">
            <w:pPr>
              <w:jc w:val="center"/>
              <w:rPr>
                <w:rFonts w:cs="Times New Roman"/>
                <w:color w:val="000000"/>
                <w:sz w:val="22"/>
                <w:szCs w:val="22"/>
              </w:rPr>
            </w:pPr>
            <w:r w:rsidRPr="00D15FC8">
              <w:rPr>
                <w:rFonts w:cs="Times New Roman"/>
                <w:color w:val="000000"/>
                <w:sz w:val="22"/>
                <w:szCs w:val="22"/>
              </w:rPr>
              <w:t>-0.129</w:t>
            </w:r>
          </w:p>
        </w:tc>
      </w:tr>
    </w:tbl>
    <w:p w14:paraId="1E074267" w14:textId="546E6189" w:rsidR="00594FC6" w:rsidRPr="00891D4A" w:rsidRDefault="00594FC6" w:rsidP="00594FC6">
      <w:pPr>
        <w:contextualSpacing/>
        <w:sectPr w:rsidR="00594FC6" w:rsidRPr="00891D4A" w:rsidSect="00594FC6">
          <w:pgSz w:w="15840" w:h="12240" w:orient="landscape"/>
          <w:pgMar w:top="1440" w:right="1440" w:bottom="1440" w:left="1440" w:header="720" w:footer="720" w:gutter="0"/>
          <w:cols w:space="720"/>
          <w:docGrid w:linePitch="360"/>
        </w:sectPr>
      </w:pPr>
      <w:r>
        <w:t xml:space="preserve">Note: </w:t>
      </w:r>
      <w:r w:rsidR="00E01B9B">
        <w:rPr>
          <w:vertAlign w:val="superscript"/>
        </w:rPr>
        <w:t>a</w:t>
      </w:r>
      <w:r w:rsidR="00E77EB8">
        <w:t>Mortality</w:t>
      </w:r>
      <w:r w:rsidR="00E01B9B">
        <w:rPr>
          <w:vertAlign w:val="subscript"/>
        </w:rPr>
        <w:t>50</w:t>
      </w:r>
      <w:r w:rsidR="00E01B9B">
        <w:t xml:space="preserve"> </w:t>
      </w:r>
      <w:r>
        <w:t xml:space="preserve">and slope values determine the </w:t>
      </w:r>
      <w:r w:rsidR="00E77EB8">
        <w:t xml:space="preserve">mortality </w:t>
      </w:r>
      <w:r>
        <w:t>threshold according to the formula: Y = 1/ {1</w:t>
      </w:r>
      <w:proofErr w:type="gramStart"/>
      <w:r>
        <w:t>+</w:t>
      </w:r>
      <w:r>
        <w:rPr>
          <w:vertAlign w:val="superscript"/>
        </w:rPr>
        <w:t>[</w:t>
      </w:r>
      <w:proofErr w:type="gramEnd"/>
      <w:r>
        <w:rPr>
          <w:vertAlign w:val="superscript"/>
        </w:rPr>
        <w:t>-</w:t>
      </w:r>
      <w:proofErr w:type="gramStart"/>
      <w:r>
        <w:rPr>
          <w:vertAlign w:val="superscript"/>
        </w:rPr>
        <w:t>B(</w:t>
      </w:r>
      <w:proofErr w:type="gramEnd"/>
      <w:r>
        <w:rPr>
          <w:vertAlign w:val="superscript"/>
        </w:rPr>
        <w:t>X – X0)]</w:t>
      </w:r>
      <w:r>
        <w:t xml:space="preserve">} (logistic) or Y = </w:t>
      </w:r>
      <w:proofErr w:type="gramStart"/>
      <w:r>
        <w:t>B(</w:t>
      </w:r>
      <w:proofErr w:type="gramEnd"/>
      <w:r>
        <w:t>X – X</w:t>
      </w:r>
      <w:r>
        <w:rPr>
          <w:vertAlign w:val="subscript"/>
        </w:rPr>
        <w:t>0</w:t>
      </w:r>
      <w:r>
        <w:t>) (logit-linear). B = slope, X is the lateral movement distance predictor, and X</w:t>
      </w:r>
      <w:r>
        <w:rPr>
          <w:vertAlign w:val="subscript"/>
        </w:rPr>
        <w:t>0</w:t>
      </w:r>
      <w:r>
        <w:t xml:space="preserve"> is the value of X at which Y = 0.5.</w:t>
      </w:r>
    </w:p>
    <w:p w14:paraId="27B62259" w14:textId="343CCF38" w:rsidR="00980623" w:rsidRPr="00980623" w:rsidRDefault="00670B37" w:rsidP="00980623">
      <w:pPr>
        <w:contextualSpacing/>
        <w:jc w:val="center"/>
        <w:rPr>
          <w:color w:val="000000" w:themeColor="text1"/>
        </w:rPr>
      </w:pPr>
      <w:r>
        <w:rPr>
          <w:noProof/>
          <w:color w:val="000000" w:themeColor="text1"/>
        </w:rPr>
        <w:lastRenderedPageBreak/>
        <w:drawing>
          <wp:inline distT="0" distB="0" distL="0" distR="0" wp14:anchorId="0F2A2BFA" wp14:editId="61D704EE">
            <wp:extent cx="5486400" cy="3936365"/>
            <wp:effectExtent l="0" t="0" r="0" b="635"/>
            <wp:docPr id="2100115707"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15707" name="Picture 1" descr="A comparison of a graph&#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6400" cy="3936365"/>
                    </a:xfrm>
                    <a:prstGeom prst="rect">
                      <a:avLst/>
                    </a:prstGeom>
                  </pic:spPr>
                </pic:pic>
              </a:graphicData>
            </a:graphic>
          </wp:inline>
        </w:drawing>
      </w:r>
    </w:p>
    <w:p w14:paraId="1F3D3525" w14:textId="1974BDB0" w:rsidR="00594FC6" w:rsidRDefault="00980623" w:rsidP="00980623">
      <w:pPr>
        <w:pStyle w:val="Caption"/>
      </w:pPr>
      <w:bookmarkStart w:id="124" w:name="_Toc192868775"/>
      <w:r>
        <w:t>Figure 3</w:t>
      </w:r>
      <w:r w:rsidR="00E32A6E">
        <w:t>.</w:t>
      </w:r>
      <w:fldSimple w:instr=" SEQ Figure \* ARABIC \s 1 ">
        <w:r w:rsidR="00E32A6E">
          <w:rPr>
            <w:noProof/>
          </w:rPr>
          <w:t>1</w:t>
        </w:r>
      </w:fldSimple>
      <w:r>
        <w:t xml:space="preserve">. </w:t>
      </w:r>
      <w:r w:rsidR="00594FC6" w:rsidRPr="00980623">
        <w:rPr>
          <w:b w:val="0"/>
          <w:bCs w:val="0"/>
          <w:color w:val="000000" w:themeColor="text1"/>
        </w:rPr>
        <w:t>Lateral movement assessment of perennial ryegrass</w:t>
      </w:r>
      <w:r w:rsidR="00D0471D">
        <w:rPr>
          <w:b w:val="0"/>
          <w:bCs w:val="0"/>
          <w:color w:val="000000" w:themeColor="text1"/>
        </w:rPr>
        <w:t xml:space="preserve"> (</w:t>
      </w:r>
      <w:r w:rsidR="00D0471D" w:rsidRPr="00982454">
        <w:rPr>
          <w:b w:val="0"/>
          <w:bCs w:val="0"/>
          <w:i/>
          <w:iCs/>
          <w:color w:val="000000" w:themeColor="text1"/>
        </w:rPr>
        <w:t>Lolium perenne</w:t>
      </w:r>
      <w:r w:rsidR="00D0471D">
        <w:rPr>
          <w:b w:val="0"/>
          <w:bCs w:val="0"/>
          <w:color w:val="000000" w:themeColor="text1"/>
        </w:rPr>
        <w:t xml:space="preserve"> L.)</w:t>
      </w:r>
      <w:r w:rsidR="00594FC6" w:rsidRPr="00980623">
        <w:rPr>
          <w:b w:val="0"/>
          <w:bCs w:val="0"/>
          <w:color w:val="000000" w:themeColor="text1"/>
        </w:rPr>
        <w:t xml:space="preserve"> </w:t>
      </w:r>
      <w:r w:rsidR="00D0471D">
        <w:rPr>
          <w:b w:val="0"/>
          <w:bCs w:val="0"/>
          <w:color w:val="000000" w:themeColor="text1"/>
        </w:rPr>
        <w:t>mortality</w:t>
      </w:r>
      <w:r w:rsidR="00D0471D" w:rsidRPr="00980623">
        <w:rPr>
          <w:b w:val="0"/>
          <w:bCs w:val="0"/>
          <w:color w:val="000000" w:themeColor="text1"/>
        </w:rPr>
        <w:t xml:space="preserve"> </w:t>
      </w:r>
      <w:r w:rsidR="00594FC6" w:rsidRPr="00980623">
        <w:rPr>
          <w:b w:val="0"/>
          <w:bCs w:val="0"/>
          <w:color w:val="000000" w:themeColor="text1"/>
        </w:rPr>
        <w:t>(</w:t>
      </w:r>
      <w:r w:rsidR="00D0471D">
        <w:rPr>
          <w:b w:val="0"/>
          <w:bCs w:val="0"/>
          <w:color w:val="000000" w:themeColor="text1"/>
        </w:rPr>
        <w:t xml:space="preserve">within </w:t>
      </w:r>
      <w:r w:rsidR="00594FC6" w:rsidRPr="00980623">
        <w:rPr>
          <w:b w:val="0"/>
          <w:bCs w:val="0"/>
          <w:color w:val="000000" w:themeColor="text1"/>
        </w:rPr>
        <w:t>15 cm</w:t>
      </w:r>
      <w:r w:rsidR="00594FC6" w:rsidRPr="00980623">
        <w:rPr>
          <w:b w:val="0"/>
          <w:bCs w:val="0"/>
          <w:color w:val="000000" w:themeColor="text1"/>
          <w:vertAlign w:val="superscript"/>
        </w:rPr>
        <w:t>2</w:t>
      </w:r>
      <w:r w:rsidR="00594FC6" w:rsidRPr="00980623">
        <w:rPr>
          <w:b w:val="0"/>
          <w:bCs w:val="0"/>
          <w:color w:val="000000" w:themeColor="text1"/>
        </w:rPr>
        <w:t xml:space="preserve"> grids) at 8 weeks after treatment (WAT) in 2023 under field capacity soil-moisture conditions at NC State University Lake Wheeler Turfgrass Center Raleigh, NC, following applications of tetflupyrolimet (400 g ha</w:t>
      </w:r>
      <w:r w:rsidR="00594FC6" w:rsidRPr="00980623">
        <w:rPr>
          <w:b w:val="0"/>
          <w:bCs w:val="0"/>
          <w:color w:val="000000" w:themeColor="text1"/>
          <w:vertAlign w:val="superscript"/>
        </w:rPr>
        <w:t>-1</w:t>
      </w:r>
      <w:r w:rsidR="00594FC6" w:rsidRPr="00980623">
        <w:rPr>
          <w:b w:val="0"/>
          <w:bCs w:val="0"/>
          <w:color w:val="000000" w:themeColor="text1"/>
        </w:rPr>
        <w:t xml:space="preserve">) and </w:t>
      </w:r>
      <w:proofErr w:type="spellStart"/>
      <w:r w:rsidR="00594FC6" w:rsidRPr="00980623">
        <w:rPr>
          <w:b w:val="0"/>
          <w:bCs w:val="0"/>
          <w:color w:val="000000" w:themeColor="text1"/>
        </w:rPr>
        <w:t>pronamide</w:t>
      </w:r>
      <w:proofErr w:type="spellEnd"/>
      <w:r w:rsidR="00594FC6" w:rsidRPr="00980623">
        <w:rPr>
          <w:b w:val="0"/>
          <w:bCs w:val="0"/>
          <w:color w:val="000000" w:themeColor="text1"/>
        </w:rPr>
        <w:t xml:space="preserve"> (1160 g ha</w:t>
      </w:r>
      <w:r w:rsidR="00594FC6" w:rsidRPr="00980623">
        <w:rPr>
          <w:b w:val="0"/>
          <w:bCs w:val="0"/>
          <w:color w:val="000000" w:themeColor="text1"/>
          <w:vertAlign w:val="superscript"/>
        </w:rPr>
        <w:t>-1</w:t>
      </w:r>
      <w:r w:rsidR="00594FC6" w:rsidRPr="00980623">
        <w:rPr>
          <w:b w:val="0"/>
          <w:bCs w:val="0"/>
          <w:color w:val="000000" w:themeColor="text1"/>
        </w:rPr>
        <w:t xml:space="preserve">). Data was analyzed and then presented using heat maps created in Prism (Version 10.2.3. GraphPad Prism. Boston, MA, USA). Solid lines represent the mean distances for </w:t>
      </w:r>
      <w:r w:rsidR="00D0471D">
        <w:rPr>
          <w:b w:val="0"/>
          <w:bCs w:val="0"/>
          <w:color w:val="000000" w:themeColor="text1"/>
        </w:rPr>
        <w:t>50</w:t>
      </w:r>
      <w:r w:rsidR="00594FC6" w:rsidRPr="00980623">
        <w:rPr>
          <w:b w:val="0"/>
          <w:bCs w:val="0"/>
          <w:color w:val="000000" w:themeColor="text1"/>
        </w:rPr>
        <w:t xml:space="preserve">% </w:t>
      </w:r>
      <w:r w:rsidR="00D0471D">
        <w:rPr>
          <w:b w:val="0"/>
          <w:bCs w:val="0"/>
          <w:color w:val="000000" w:themeColor="text1"/>
        </w:rPr>
        <w:t>likelihood</w:t>
      </w:r>
      <w:r w:rsidR="00D0471D" w:rsidRPr="00980623">
        <w:rPr>
          <w:b w:val="0"/>
          <w:bCs w:val="0"/>
          <w:color w:val="000000" w:themeColor="text1"/>
        </w:rPr>
        <w:t xml:space="preserve"> </w:t>
      </w:r>
      <w:r w:rsidR="00594FC6" w:rsidRPr="00980623">
        <w:rPr>
          <w:b w:val="0"/>
          <w:bCs w:val="0"/>
          <w:color w:val="000000" w:themeColor="text1"/>
        </w:rPr>
        <w:t xml:space="preserve">of </w:t>
      </w:r>
      <w:r w:rsidR="00D0471D">
        <w:rPr>
          <w:b w:val="0"/>
          <w:bCs w:val="0"/>
          <w:color w:val="000000" w:themeColor="text1"/>
        </w:rPr>
        <w:t xml:space="preserve">perennial ryegrass mortality </w:t>
      </w:r>
      <w:r w:rsidR="00594FC6" w:rsidRPr="00980623">
        <w:rPr>
          <w:b w:val="0"/>
          <w:bCs w:val="0"/>
          <w:color w:val="000000" w:themeColor="text1"/>
        </w:rPr>
        <w:t>(</w:t>
      </w:r>
      <w:r w:rsidR="00D0471D">
        <w:rPr>
          <w:b w:val="0"/>
          <w:bCs w:val="0"/>
          <w:color w:val="000000" w:themeColor="text1"/>
        </w:rPr>
        <w:t>Mortality</w:t>
      </w:r>
      <w:r w:rsidR="00D0471D">
        <w:rPr>
          <w:b w:val="0"/>
          <w:bCs w:val="0"/>
          <w:color w:val="000000" w:themeColor="text1"/>
          <w:vertAlign w:val="subscript"/>
        </w:rPr>
        <w:t>5</w:t>
      </w:r>
      <w:r w:rsidR="00594FC6" w:rsidRPr="00980623">
        <w:rPr>
          <w:b w:val="0"/>
          <w:bCs w:val="0"/>
          <w:color w:val="000000" w:themeColor="text1"/>
          <w:vertAlign w:val="subscript"/>
        </w:rPr>
        <w:t>0</w:t>
      </w:r>
      <w:r w:rsidR="00594FC6" w:rsidRPr="00980623">
        <w:rPr>
          <w:b w:val="0"/>
          <w:bCs w:val="0"/>
          <w:color w:val="000000" w:themeColor="text1"/>
        </w:rPr>
        <w:t xml:space="preserve">) and dashed lines represent 95% confidence intervals. Treatments are not significantly different if </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w:t>
      </w:r>
      <w:r w:rsidR="00594FC6" w:rsidRPr="00980623">
        <w:rPr>
          <w:b w:val="0"/>
          <w:bCs w:val="0"/>
          <w:color w:val="000000" w:themeColor="text1"/>
        </w:rPr>
        <w:t>confidence intervals are overlapping.</w:t>
      </w:r>
      <w:bookmarkEnd w:id="124"/>
    </w:p>
    <w:p w14:paraId="0A2C92F4" w14:textId="77777777" w:rsidR="00594FC6" w:rsidRDefault="00594FC6" w:rsidP="00594FC6">
      <w:r>
        <w:br w:type="page"/>
      </w:r>
    </w:p>
    <w:p w14:paraId="73E2CB72" w14:textId="7C42098A" w:rsidR="00D30D2C" w:rsidRDefault="00670B37" w:rsidP="00D30D2C">
      <w:pPr>
        <w:contextualSpacing/>
        <w:jc w:val="center"/>
      </w:pPr>
      <w:r>
        <w:rPr>
          <w:noProof/>
        </w:rPr>
        <w:lastRenderedPageBreak/>
        <w:drawing>
          <wp:inline distT="0" distB="0" distL="0" distR="0" wp14:anchorId="2010F00B" wp14:editId="231E70B8">
            <wp:extent cx="5486400" cy="3936365"/>
            <wp:effectExtent l="0" t="0" r="0" b="635"/>
            <wp:docPr id="1273670003" name="Picture 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0003" name="Picture 2" descr="A comparison of a graph&#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86400" cy="3936365"/>
                    </a:xfrm>
                    <a:prstGeom prst="rect">
                      <a:avLst/>
                    </a:prstGeom>
                  </pic:spPr>
                </pic:pic>
              </a:graphicData>
            </a:graphic>
          </wp:inline>
        </w:drawing>
      </w:r>
    </w:p>
    <w:p w14:paraId="5E0AE6DE" w14:textId="77777777" w:rsidR="00D30D2C" w:rsidRDefault="00D30D2C" w:rsidP="00D30D2C">
      <w:pPr>
        <w:contextualSpacing/>
        <w:jc w:val="center"/>
      </w:pPr>
    </w:p>
    <w:p w14:paraId="7AAB5358" w14:textId="7A9A4DC5" w:rsidR="00D0471D" w:rsidRPr="00982454" w:rsidRDefault="00D30D2C" w:rsidP="00D0471D">
      <w:pPr>
        <w:pStyle w:val="Caption"/>
        <w:rPr>
          <w:b w:val="0"/>
          <w:bCs w:val="0"/>
          <w:color w:val="000000" w:themeColor="text1"/>
        </w:rPr>
      </w:pPr>
      <w:bookmarkStart w:id="125" w:name="_Toc192868776"/>
      <w:r>
        <w:t>Figure 3</w:t>
      </w:r>
      <w:r w:rsidR="00E32A6E">
        <w:t>.</w:t>
      </w:r>
      <w:fldSimple w:instr=" SEQ Figure \* ARABIC \s 1 ">
        <w:r w:rsidR="00E32A6E">
          <w:rPr>
            <w:noProof/>
          </w:rPr>
          <w:t>2</w:t>
        </w:r>
      </w:fldSimple>
      <w:r>
        <w:t xml:space="preserve">. </w:t>
      </w:r>
      <w:r w:rsidR="00594FC6" w:rsidRPr="00D30D2C">
        <w:rPr>
          <w:b w:val="0"/>
          <w:bCs w:val="0"/>
          <w:color w:val="000000" w:themeColor="text1"/>
        </w:rPr>
        <w:t xml:space="preserve">Lateral movement assessment of perennial ryegrass </w:t>
      </w:r>
      <w:r w:rsidR="00D0471D">
        <w:rPr>
          <w:b w:val="0"/>
          <w:bCs w:val="0"/>
          <w:color w:val="000000" w:themeColor="text1"/>
        </w:rPr>
        <w:t>(</w:t>
      </w:r>
      <w:r w:rsidR="00D0471D" w:rsidRPr="00982454">
        <w:rPr>
          <w:b w:val="0"/>
          <w:bCs w:val="0"/>
          <w:i/>
          <w:iCs/>
          <w:color w:val="000000" w:themeColor="text1"/>
        </w:rPr>
        <w:t>Lolium perenne</w:t>
      </w:r>
      <w:r w:rsidR="00D0471D">
        <w:rPr>
          <w:b w:val="0"/>
          <w:bCs w:val="0"/>
          <w:color w:val="000000" w:themeColor="text1"/>
        </w:rPr>
        <w:t xml:space="preserve"> L.)</w:t>
      </w:r>
      <w:r w:rsidR="00D0471D" w:rsidRPr="00D30D2C">
        <w:rPr>
          <w:b w:val="0"/>
          <w:bCs w:val="0"/>
          <w:color w:val="000000" w:themeColor="text1"/>
        </w:rPr>
        <w:t xml:space="preserve"> </w:t>
      </w:r>
      <w:r w:rsidR="00594FC6" w:rsidRPr="00D30D2C">
        <w:rPr>
          <w:b w:val="0"/>
          <w:bCs w:val="0"/>
          <w:color w:val="000000" w:themeColor="text1"/>
        </w:rPr>
        <w:t>(</w:t>
      </w:r>
      <w:r w:rsidR="00D0471D">
        <w:rPr>
          <w:b w:val="0"/>
          <w:bCs w:val="0"/>
          <w:color w:val="000000" w:themeColor="text1"/>
        </w:rPr>
        <w:t xml:space="preserve">within </w:t>
      </w:r>
      <w:r w:rsidR="00594FC6" w:rsidRPr="00D30D2C">
        <w:rPr>
          <w:b w:val="0"/>
          <w:bCs w:val="0"/>
          <w:color w:val="000000" w:themeColor="text1"/>
        </w:rPr>
        <w:t>15 cm</w:t>
      </w:r>
      <w:r w:rsidR="00594FC6" w:rsidRPr="00D30D2C">
        <w:rPr>
          <w:b w:val="0"/>
          <w:bCs w:val="0"/>
          <w:color w:val="000000" w:themeColor="text1"/>
          <w:vertAlign w:val="superscript"/>
        </w:rPr>
        <w:t>2</w:t>
      </w:r>
      <w:r w:rsidR="00594FC6" w:rsidRPr="00D30D2C">
        <w:rPr>
          <w:b w:val="0"/>
          <w:bCs w:val="0"/>
          <w:color w:val="000000" w:themeColor="text1"/>
        </w:rPr>
        <w:t xml:space="preserve"> grids) </w:t>
      </w:r>
      <w:r w:rsidR="00D0471D">
        <w:rPr>
          <w:b w:val="0"/>
          <w:bCs w:val="0"/>
          <w:color w:val="000000" w:themeColor="text1"/>
        </w:rPr>
        <w:t xml:space="preserve">mortality </w:t>
      </w:r>
      <w:r w:rsidR="00594FC6" w:rsidRPr="00D30D2C">
        <w:rPr>
          <w:b w:val="0"/>
          <w:bCs w:val="0"/>
          <w:color w:val="000000" w:themeColor="text1"/>
        </w:rPr>
        <w:t>at 8 weeks after treatment (WAT) in 2024 under field capacity soil-moisture conditions at NC State University Lake Wheeler Turfgrass Center Raleigh, NC, following applications of tetflupyrolimet (400 g ha</w:t>
      </w:r>
      <w:r w:rsidR="00594FC6" w:rsidRPr="00D30D2C">
        <w:rPr>
          <w:b w:val="0"/>
          <w:bCs w:val="0"/>
          <w:color w:val="000000" w:themeColor="text1"/>
          <w:vertAlign w:val="superscript"/>
        </w:rPr>
        <w:t>-1</w:t>
      </w:r>
      <w:r w:rsidR="00594FC6" w:rsidRPr="00D30D2C">
        <w:rPr>
          <w:b w:val="0"/>
          <w:bCs w:val="0"/>
          <w:color w:val="000000" w:themeColor="text1"/>
        </w:rPr>
        <w:t xml:space="preserve">) and </w:t>
      </w:r>
      <w:proofErr w:type="spellStart"/>
      <w:r w:rsidR="00594FC6" w:rsidRPr="00D30D2C">
        <w:rPr>
          <w:b w:val="0"/>
          <w:bCs w:val="0"/>
          <w:color w:val="000000" w:themeColor="text1"/>
        </w:rPr>
        <w:t>pronamide</w:t>
      </w:r>
      <w:proofErr w:type="spellEnd"/>
      <w:r w:rsidR="00594FC6" w:rsidRPr="00D30D2C">
        <w:rPr>
          <w:b w:val="0"/>
          <w:bCs w:val="0"/>
          <w:color w:val="000000" w:themeColor="text1"/>
        </w:rPr>
        <w:t xml:space="preserve"> (1160 g ha</w:t>
      </w:r>
      <w:r w:rsidR="00594FC6" w:rsidRPr="00D30D2C">
        <w:rPr>
          <w:b w:val="0"/>
          <w:bCs w:val="0"/>
          <w:color w:val="000000" w:themeColor="text1"/>
          <w:vertAlign w:val="superscript"/>
        </w:rPr>
        <w:t>-1</w:t>
      </w:r>
      <w:r w:rsidR="00594FC6" w:rsidRPr="00D30D2C">
        <w:rPr>
          <w:b w:val="0"/>
          <w:bCs w:val="0"/>
          <w:color w:val="000000" w:themeColor="text1"/>
        </w:rPr>
        <w:t xml:space="preserve">). Data was analyzed and then presented using heat maps created in Prism (Version 10.2.3. GraphPad Prism. Boston, MA, USA). </w:t>
      </w:r>
      <w:r w:rsidR="00D0471D" w:rsidRPr="00980623">
        <w:rPr>
          <w:b w:val="0"/>
          <w:bCs w:val="0"/>
          <w:color w:val="000000" w:themeColor="text1"/>
        </w:rPr>
        <w:t xml:space="preserve">Solid lines represent the mean distances for </w:t>
      </w:r>
      <w:r w:rsidR="00D0471D">
        <w:rPr>
          <w:b w:val="0"/>
          <w:bCs w:val="0"/>
          <w:color w:val="000000" w:themeColor="text1"/>
        </w:rPr>
        <w:t>50</w:t>
      </w:r>
      <w:r w:rsidR="00D0471D" w:rsidRPr="00980623">
        <w:rPr>
          <w:b w:val="0"/>
          <w:bCs w:val="0"/>
          <w:color w:val="000000" w:themeColor="text1"/>
        </w:rPr>
        <w:t xml:space="preserve">% </w:t>
      </w:r>
      <w:r w:rsidR="00D0471D">
        <w:rPr>
          <w:b w:val="0"/>
          <w:bCs w:val="0"/>
          <w:color w:val="000000" w:themeColor="text1"/>
        </w:rPr>
        <w:t>likelihood</w:t>
      </w:r>
      <w:r w:rsidR="00D0471D" w:rsidRPr="00980623">
        <w:rPr>
          <w:b w:val="0"/>
          <w:bCs w:val="0"/>
          <w:color w:val="000000" w:themeColor="text1"/>
        </w:rPr>
        <w:t xml:space="preserve"> of </w:t>
      </w:r>
      <w:r w:rsidR="00D0471D">
        <w:rPr>
          <w:b w:val="0"/>
          <w:bCs w:val="0"/>
          <w:color w:val="000000" w:themeColor="text1"/>
        </w:rPr>
        <w:t xml:space="preserve">perennial ryegrass mortality </w:t>
      </w:r>
      <w:r w:rsidR="00D0471D" w:rsidRPr="00980623">
        <w:rPr>
          <w:b w:val="0"/>
          <w:bCs w:val="0"/>
          <w:color w:val="000000" w:themeColor="text1"/>
        </w:rPr>
        <w:t>(</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and dashed lines represent 95% confidence intervals. Treatments are not significantly different if </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confidence intervals are overlapping.</w:t>
      </w:r>
      <w:bookmarkEnd w:id="125"/>
    </w:p>
    <w:p w14:paraId="0563E6C5" w14:textId="77777777" w:rsidR="00594FC6" w:rsidRDefault="00594FC6" w:rsidP="00D0471D">
      <w:r>
        <w:br w:type="page"/>
      </w:r>
    </w:p>
    <w:p w14:paraId="17E10562" w14:textId="2FE9A4FF" w:rsidR="00D30D2C" w:rsidRDefault="00670B37" w:rsidP="00D30D2C">
      <w:pPr>
        <w:contextualSpacing/>
        <w:jc w:val="center"/>
      </w:pPr>
      <w:r>
        <w:rPr>
          <w:noProof/>
        </w:rPr>
        <w:lastRenderedPageBreak/>
        <w:drawing>
          <wp:inline distT="0" distB="0" distL="0" distR="0" wp14:anchorId="277A1C17" wp14:editId="64C2E029">
            <wp:extent cx="5486400" cy="3936365"/>
            <wp:effectExtent l="0" t="0" r="0" b="635"/>
            <wp:docPr id="488380728" name="Picture 3"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80728" name="Picture 3" descr="A comparison of a graph&#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3936365"/>
                    </a:xfrm>
                    <a:prstGeom prst="rect">
                      <a:avLst/>
                    </a:prstGeom>
                  </pic:spPr>
                </pic:pic>
              </a:graphicData>
            </a:graphic>
          </wp:inline>
        </w:drawing>
      </w:r>
    </w:p>
    <w:p w14:paraId="1044D4A5" w14:textId="77777777" w:rsidR="00D30D2C" w:rsidRDefault="00D30D2C" w:rsidP="00D30D2C">
      <w:pPr>
        <w:contextualSpacing/>
        <w:jc w:val="center"/>
      </w:pPr>
    </w:p>
    <w:p w14:paraId="7DC73AF3" w14:textId="4A9257D4" w:rsidR="00D0471D" w:rsidRPr="00982454" w:rsidRDefault="00D30D2C" w:rsidP="00D0471D">
      <w:pPr>
        <w:pStyle w:val="Caption"/>
        <w:rPr>
          <w:b w:val="0"/>
          <w:bCs w:val="0"/>
          <w:color w:val="000000" w:themeColor="text1"/>
        </w:rPr>
      </w:pPr>
      <w:bookmarkStart w:id="126" w:name="_Toc192868777"/>
      <w:r>
        <w:t>Figure 3</w:t>
      </w:r>
      <w:r w:rsidR="00E32A6E">
        <w:t>.</w:t>
      </w:r>
      <w:fldSimple w:instr=" SEQ Figure \* ARABIC \s 1 ">
        <w:r w:rsidR="00E32A6E">
          <w:rPr>
            <w:noProof/>
          </w:rPr>
          <w:t>3</w:t>
        </w:r>
      </w:fldSimple>
      <w:r>
        <w:t xml:space="preserve">. </w:t>
      </w:r>
      <w:r w:rsidR="00594FC6" w:rsidRPr="00D30D2C">
        <w:rPr>
          <w:b w:val="0"/>
          <w:bCs w:val="0"/>
          <w:color w:val="000000" w:themeColor="text1"/>
        </w:rPr>
        <w:t xml:space="preserve">Lateral movement assessment of perennial ryegrass </w:t>
      </w:r>
      <w:r w:rsidR="00D0471D">
        <w:rPr>
          <w:b w:val="0"/>
          <w:bCs w:val="0"/>
          <w:color w:val="000000" w:themeColor="text1"/>
        </w:rPr>
        <w:t>mortality</w:t>
      </w:r>
      <w:r w:rsidR="00D0471D" w:rsidRPr="00D30D2C">
        <w:rPr>
          <w:b w:val="0"/>
          <w:bCs w:val="0"/>
          <w:color w:val="000000" w:themeColor="text1"/>
        </w:rPr>
        <w:t xml:space="preserve"> </w:t>
      </w:r>
      <w:r w:rsidR="00594FC6" w:rsidRPr="00D30D2C">
        <w:rPr>
          <w:b w:val="0"/>
          <w:bCs w:val="0"/>
          <w:color w:val="000000" w:themeColor="text1"/>
        </w:rPr>
        <w:t>(</w:t>
      </w:r>
      <w:r w:rsidR="00D0471D">
        <w:rPr>
          <w:b w:val="0"/>
          <w:bCs w:val="0"/>
          <w:color w:val="000000" w:themeColor="text1"/>
        </w:rPr>
        <w:t xml:space="preserve">within </w:t>
      </w:r>
      <w:r w:rsidR="00594FC6" w:rsidRPr="00D30D2C">
        <w:rPr>
          <w:b w:val="0"/>
          <w:bCs w:val="0"/>
          <w:color w:val="000000" w:themeColor="text1"/>
        </w:rPr>
        <w:t>15 cm</w:t>
      </w:r>
      <w:r w:rsidR="00594FC6" w:rsidRPr="00D30D2C">
        <w:rPr>
          <w:b w:val="0"/>
          <w:bCs w:val="0"/>
          <w:color w:val="000000" w:themeColor="text1"/>
          <w:vertAlign w:val="superscript"/>
        </w:rPr>
        <w:t>2</w:t>
      </w:r>
      <w:r w:rsidR="00594FC6" w:rsidRPr="00D30D2C">
        <w:rPr>
          <w:b w:val="0"/>
          <w:bCs w:val="0"/>
          <w:color w:val="000000" w:themeColor="text1"/>
        </w:rPr>
        <w:t xml:space="preserve"> grids) at 8 weeks after treatment in 2023 under saturated soil-moisture conditions at NC State University Lake Wheeler Turfgrass Center Raleigh, NC, following applications of tetflupyrolimet (400 g ha</w:t>
      </w:r>
      <w:r w:rsidR="00594FC6" w:rsidRPr="00D30D2C">
        <w:rPr>
          <w:b w:val="0"/>
          <w:bCs w:val="0"/>
          <w:color w:val="000000" w:themeColor="text1"/>
          <w:vertAlign w:val="superscript"/>
        </w:rPr>
        <w:t>-1</w:t>
      </w:r>
      <w:r w:rsidR="00594FC6" w:rsidRPr="00D30D2C">
        <w:rPr>
          <w:b w:val="0"/>
          <w:bCs w:val="0"/>
          <w:color w:val="000000" w:themeColor="text1"/>
        </w:rPr>
        <w:t xml:space="preserve">) and </w:t>
      </w:r>
      <w:proofErr w:type="spellStart"/>
      <w:r w:rsidR="00594FC6" w:rsidRPr="00D30D2C">
        <w:rPr>
          <w:b w:val="0"/>
          <w:bCs w:val="0"/>
          <w:color w:val="000000" w:themeColor="text1"/>
        </w:rPr>
        <w:t>pronamide</w:t>
      </w:r>
      <w:proofErr w:type="spellEnd"/>
      <w:r w:rsidR="00594FC6" w:rsidRPr="00D30D2C">
        <w:rPr>
          <w:b w:val="0"/>
          <w:bCs w:val="0"/>
          <w:color w:val="000000" w:themeColor="text1"/>
        </w:rPr>
        <w:t xml:space="preserve"> (1160 g ha</w:t>
      </w:r>
      <w:r w:rsidR="00594FC6" w:rsidRPr="00D30D2C">
        <w:rPr>
          <w:b w:val="0"/>
          <w:bCs w:val="0"/>
          <w:color w:val="000000" w:themeColor="text1"/>
          <w:vertAlign w:val="superscript"/>
        </w:rPr>
        <w:t>-1</w:t>
      </w:r>
      <w:r w:rsidR="00594FC6" w:rsidRPr="00D30D2C">
        <w:rPr>
          <w:b w:val="0"/>
          <w:bCs w:val="0"/>
          <w:color w:val="000000" w:themeColor="text1"/>
        </w:rPr>
        <w:t xml:space="preserve">). Data was analyzed and then presented using heat maps created in Prism (Version 10.2.3. GraphPad Prism. Boston, MA, USA). </w:t>
      </w:r>
      <w:r w:rsidR="00D0471D" w:rsidRPr="00980623">
        <w:rPr>
          <w:b w:val="0"/>
          <w:bCs w:val="0"/>
          <w:color w:val="000000" w:themeColor="text1"/>
        </w:rPr>
        <w:t xml:space="preserve">Solid lines represent the mean distances for </w:t>
      </w:r>
      <w:r w:rsidR="00D0471D">
        <w:rPr>
          <w:b w:val="0"/>
          <w:bCs w:val="0"/>
          <w:color w:val="000000" w:themeColor="text1"/>
        </w:rPr>
        <w:t>50</w:t>
      </w:r>
      <w:r w:rsidR="00D0471D" w:rsidRPr="00980623">
        <w:rPr>
          <w:b w:val="0"/>
          <w:bCs w:val="0"/>
          <w:color w:val="000000" w:themeColor="text1"/>
        </w:rPr>
        <w:t xml:space="preserve">% </w:t>
      </w:r>
      <w:r w:rsidR="00D0471D">
        <w:rPr>
          <w:b w:val="0"/>
          <w:bCs w:val="0"/>
          <w:color w:val="000000" w:themeColor="text1"/>
        </w:rPr>
        <w:t>likelihood</w:t>
      </w:r>
      <w:r w:rsidR="00D0471D" w:rsidRPr="00980623">
        <w:rPr>
          <w:b w:val="0"/>
          <w:bCs w:val="0"/>
          <w:color w:val="000000" w:themeColor="text1"/>
        </w:rPr>
        <w:t xml:space="preserve"> of </w:t>
      </w:r>
      <w:r w:rsidR="00D0471D">
        <w:rPr>
          <w:b w:val="0"/>
          <w:bCs w:val="0"/>
          <w:color w:val="000000" w:themeColor="text1"/>
        </w:rPr>
        <w:t xml:space="preserve">perennial ryegrass mortality </w:t>
      </w:r>
      <w:r w:rsidR="00D0471D" w:rsidRPr="00980623">
        <w:rPr>
          <w:b w:val="0"/>
          <w:bCs w:val="0"/>
          <w:color w:val="000000" w:themeColor="text1"/>
        </w:rPr>
        <w:t>(</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and dashed lines represent 95% confidence intervals. Treatments are not significantly different if </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confidence intervals are overlapping.</w:t>
      </w:r>
      <w:bookmarkEnd w:id="126"/>
    </w:p>
    <w:p w14:paraId="56F5C1B0" w14:textId="42C53D60" w:rsidR="00594FC6" w:rsidRDefault="00594FC6" w:rsidP="00D30D2C">
      <w:pPr>
        <w:pStyle w:val="Caption"/>
      </w:pPr>
      <w:r w:rsidRPr="00D30D2C">
        <w:rPr>
          <w:b w:val="0"/>
          <w:bCs w:val="0"/>
          <w:color w:val="000000" w:themeColor="text1"/>
        </w:rPr>
        <w:t>.</w:t>
      </w:r>
    </w:p>
    <w:p w14:paraId="2D146DA2" w14:textId="77777777" w:rsidR="00594FC6" w:rsidRDefault="00594FC6" w:rsidP="00594FC6">
      <w:r>
        <w:br w:type="page"/>
      </w:r>
    </w:p>
    <w:p w14:paraId="20EF9882" w14:textId="76403D05" w:rsidR="00E32A6E" w:rsidRDefault="00670B37" w:rsidP="00E32A6E">
      <w:pPr>
        <w:contextualSpacing/>
        <w:jc w:val="center"/>
        <w:rPr>
          <w:color w:val="000000" w:themeColor="text1"/>
        </w:rPr>
      </w:pPr>
      <w:r>
        <w:rPr>
          <w:noProof/>
          <w:color w:val="000000" w:themeColor="text1"/>
        </w:rPr>
        <w:lastRenderedPageBreak/>
        <w:drawing>
          <wp:inline distT="0" distB="0" distL="0" distR="0" wp14:anchorId="1F9A9C0D" wp14:editId="42E84C46">
            <wp:extent cx="5486400" cy="3936365"/>
            <wp:effectExtent l="0" t="0" r="0" b="635"/>
            <wp:docPr id="2036824577" name="Picture 4"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24577" name="Picture 4" descr="A comparison of a graph&#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86400" cy="3936365"/>
                    </a:xfrm>
                    <a:prstGeom prst="rect">
                      <a:avLst/>
                    </a:prstGeom>
                  </pic:spPr>
                </pic:pic>
              </a:graphicData>
            </a:graphic>
          </wp:inline>
        </w:drawing>
      </w:r>
    </w:p>
    <w:p w14:paraId="367FA538" w14:textId="77777777" w:rsidR="00E32A6E" w:rsidRPr="00E32A6E" w:rsidRDefault="00E32A6E" w:rsidP="00E32A6E">
      <w:pPr>
        <w:contextualSpacing/>
        <w:jc w:val="center"/>
        <w:rPr>
          <w:color w:val="000000" w:themeColor="text1"/>
        </w:rPr>
      </w:pPr>
    </w:p>
    <w:p w14:paraId="50B9916B" w14:textId="2D9B4580" w:rsidR="00D0471D" w:rsidRPr="00982454" w:rsidRDefault="00E32A6E" w:rsidP="00D0471D">
      <w:pPr>
        <w:pStyle w:val="Caption"/>
        <w:rPr>
          <w:b w:val="0"/>
          <w:bCs w:val="0"/>
          <w:color w:val="000000" w:themeColor="text1"/>
        </w:rPr>
      </w:pPr>
      <w:bookmarkStart w:id="127" w:name="_Toc192868778"/>
      <w:r>
        <w:t>Figure 3.</w:t>
      </w:r>
      <w:fldSimple w:instr=" SEQ Figure \* ARABIC \s 1 ">
        <w:r>
          <w:rPr>
            <w:noProof/>
          </w:rPr>
          <w:t>4</w:t>
        </w:r>
      </w:fldSimple>
      <w:r>
        <w:t xml:space="preserve">. </w:t>
      </w:r>
      <w:r w:rsidR="00594FC6" w:rsidRPr="00E32A6E">
        <w:rPr>
          <w:b w:val="0"/>
          <w:bCs w:val="0"/>
          <w:color w:val="000000" w:themeColor="text1"/>
        </w:rPr>
        <w:t>Lateral movement assessment of perennial ryegrass</w:t>
      </w:r>
      <w:r w:rsidR="00D0471D">
        <w:rPr>
          <w:b w:val="0"/>
          <w:bCs w:val="0"/>
          <w:color w:val="000000" w:themeColor="text1"/>
        </w:rPr>
        <w:t xml:space="preserve"> (</w:t>
      </w:r>
      <w:r w:rsidR="00D0471D" w:rsidRPr="00982454">
        <w:rPr>
          <w:b w:val="0"/>
          <w:bCs w:val="0"/>
          <w:i/>
          <w:iCs/>
          <w:color w:val="000000" w:themeColor="text1"/>
        </w:rPr>
        <w:t>Lolium perenne</w:t>
      </w:r>
      <w:r w:rsidR="00D0471D">
        <w:rPr>
          <w:b w:val="0"/>
          <w:bCs w:val="0"/>
          <w:color w:val="000000" w:themeColor="text1"/>
        </w:rPr>
        <w:t xml:space="preserve"> L.)</w:t>
      </w:r>
      <w:r w:rsidR="00594FC6" w:rsidRPr="00E32A6E">
        <w:rPr>
          <w:b w:val="0"/>
          <w:bCs w:val="0"/>
          <w:color w:val="000000" w:themeColor="text1"/>
        </w:rPr>
        <w:t xml:space="preserve"> </w:t>
      </w:r>
      <w:r w:rsidR="00D0471D">
        <w:rPr>
          <w:b w:val="0"/>
          <w:bCs w:val="0"/>
          <w:color w:val="000000" w:themeColor="text1"/>
        </w:rPr>
        <w:t>mortality</w:t>
      </w:r>
      <w:r w:rsidR="00D0471D" w:rsidRPr="00E32A6E">
        <w:rPr>
          <w:b w:val="0"/>
          <w:bCs w:val="0"/>
          <w:color w:val="000000" w:themeColor="text1"/>
        </w:rPr>
        <w:t xml:space="preserve"> </w:t>
      </w:r>
      <w:r w:rsidR="00594FC6" w:rsidRPr="00E32A6E">
        <w:rPr>
          <w:b w:val="0"/>
          <w:bCs w:val="0"/>
          <w:color w:val="000000" w:themeColor="text1"/>
        </w:rPr>
        <w:t>(</w:t>
      </w:r>
      <w:r w:rsidR="00D0471D">
        <w:rPr>
          <w:b w:val="0"/>
          <w:bCs w:val="0"/>
          <w:color w:val="000000" w:themeColor="text1"/>
        </w:rPr>
        <w:t xml:space="preserve">within </w:t>
      </w:r>
      <w:r w:rsidR="00594FC6" w:rsidRPr="00E32A6E">
        <w:rPr>
          <w:b w:val="0"/>
          <w:bCs w:val="0"/>
          <w:color w:val="000000" w:themeColor="text1"/>
        </w:rPr>
        <w:t>15 cm</w:t>
      </w:r>
      <w:r w:rsidR="00594FC6" w:rsidRPr="00E32A6E">
        <w:rPr>
          <w:b w:val="0"/>
          <w:bCs w:val="0"/>
          <w:color w:val="000000" w:themeColor="text1"/>
          <w:vertAlign w:val="superscript"/>
        </w:rPr>
        <w:t>2</w:t>
      </w:r>
      <w:r w:rsidR="00594FC6" w:rsidRPr="00E32A6E">
        <w:rPr>
          <w:b w:val="0"/>
          <w:bCs w:val="0"/>
          <w:color w:val="000000" w:themeColor="text1"/>
        </w:rPr>
        <w:t xml:space="preserve"> grids) at 8 weeks after treatment in 2024 under saturated soil-moisture conditions at NC State University Lake Wheeler Turfgrass Center Raleigh, NC, following applications of tetflupyrolimet (400 g ha</w:t>
      </w:r>
      <w:r w:rsidR="00594FC6" w:rsidRPr="00E32A6E">
        <w:rPr>
          <w:b w:val="0"/>
          <w:bCs w:val="0"/>
          <w:color w:val="000000" w:themeColor="text1"/>
          <w:vertAlign w:val="superscript"/>
        </w:rPr>
        <w:t>-1</w:t>
      </w:r>
      <w:r w:rsidR="00594FC6" w:rsidRPr="00E32A6E">
        <w:rPr>
          <w:b w:val="0"/>
          <w:bCs w:val="0"/>
          <w:color w:val="000000" w:themeColor="text1"/>
        </w:rPr>
        <w:t xml:space="preserve">) and </w:t>
      </w:r>
      <w:proofErr w:type="spellStart"/>
      <w:r w:rsidR="00594FC6" w:rsidRPr="00E32A6E">
        <w:rPr>
          <w:b w:val="0"/>
          <w:bCs w:val="0"/>
          <w:color w:val="000000" w:themeColor="text1"/>
        </w:rPr>
        <w:t>pronamide</w:t>
      </w:r>
      <w:proofErr w:type="spellEnd"/>
      <w:r w:rsidR="00594FC6" w:rsidRPr="00E32A6E">
        <w:rPr>
          <w:b w:val="0"/>
          <w:bCs w:val="0"/>
          <w:color w:val="000000" w:themeColor="text1"/>
        </w:rPr>
        <w:t xml:space="preserve"> (1160 g ha</w:t>
      </w:r>
      <w:r w:rsidR="00594FC6" w:rsidRPr="00E32A6E">
        <w:rPr>
          <w:b w:val="0"/>
          <w:bCs w:val="0"/>
          <w:color w:val="000000" w:themeColor="text1"/>
          <w:vertAlign w:val="superscript"/>
        </w:rPr>
        <w:t>-1</w:t>
      </w:r>
      <w:r w:rsidR="00594FC6" w:rsidRPr="00E32A6E">
        <w:rPr>
          <w:b w:val="0"/>
          <w:bCs w:val="0"/>
          <w:color w:val="000000" w:themeColor="text1"/>
        </w:rPr>
        <w:t xml:space="preserve">). Data was analyzed and then presented using heat maps created in Prism (Version 10.2.3. GraphPad Prism. Boston, MA, USA). </w:t>
      </w:r>
      <w:r w:rsidR="00D0471D" w:rsidRPr="00980623">
        <w:rPr>
          <w:b w:val="0"/>
          <w:bCs w:val="0"/>
          <w:color w:val="000000" w:themeColor="text1"/>
        </w:rPr>
        <w:t xml:space="preserve">Solid lines represent the mean distances for </w:t>
      </w:r>
      <w:r w:rsidR="00D0471D">
        <w:rPr>
          <w:b w:val="0"/>
          <w:bCs w:val="0"/>
          <w:color w:val="000000" w:themeColor="text1"/>
        </w:rPr>
        <w:t>50</w:t>
      </w:r>
      <w:r w:rsidR="00D0471D" w:rsidRPr="00980623">
        <w:rPr>
          <w:b w:val="0"/>
          <w:bCs w:val="0"/>
          <w:color w:val="000000" w:themeColor="text1"/>
        </w:rPr>
        <w:t xml:space="preserve">% </w:t>
      </w:r>
      <w:r w:rsidR="00D0471D">
        <w:rPr>
          <w:b w:val="0"/>
          <w:bCs w:val="0"/>
          <w:color w:val="000000" w:themeColor="text1"/>
        </w:rPr>
        <w:t>likelihood</w:t>
      </w:r>
      <w:r w:rsidR="00D0471D" w:rsidRPr="00980623">
        <w:rPr>
          <w:b w:val="0"/>
          <w:bCs w:val="0"/>
          <w:color w:val="000000" w:themeColor="text1"/>
        </w:rPr>
        <w:t xml:space="preserve"> of </w:t>
      </w:r>
      <w:r w:rsidR="00D0471D">
        <w:rPr>
          <w:b w:val="0"/>
          <w:bCs w:val="0"/>
          <w:color w:val="000000" w:themeColor="text1"/>
        </w:rPr>
        <w:t xml:space="preserve">perennial ryegrass mortality </w:t>
      </w:r>
      <w:r w:rsidR="00D0471D" w:rsidRPr="00980623">
        <w:rPr>
          <w:b w:val="0"/>
          <w:bCs w:val="0"/>
          <w:color w:val="000000" w:themeColor="text1"/>
        </w:rPr>
        <w:t>(</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and dashed lines represent 95% confidence intervals. Treatments are not significantly different if </w:t>
      </w:r>
      <w:r w:rsidR="00D0471D">
        <w:rPr>
          <w:b w:val="0"/>
          <w:bCs w:val="0"/>
          <w:color w:val="000000" w:themeColor="text1"/>
        </w:rPr>
        <w:t>Mortality</w:t>
      </w:r>
      <w:r w:rsidR="00D0471D">
        <w:rPr>
          <w:b w:val="0"/>
          <w:bCs w:val="0"/>
          <w:color w:val="000000" w:themeColor="text1"/>
          <w:vertAlign w:val="subscript"/>
        </w:rPr>
        <w:t>5</w:t>
      </w:r>
      <w:r w:rsidR="00D0471D" w:rsidRPr="00980623">
        <w:rPr>
          <w:b w:val="0"/>
          <w:bCs w:val="0"/>
          <w:color w:val="000000" w:themeColor="text1"/>
          <w:vertAlign w:val="subscript"/>
        </w:rPr>
        <w:t>0</w:t>
      </w:r>
      <w:r w:rsidR="00D0471D" w:rsidRPr="00980623">
        <w:rPr>
          <w:b w:val="0"/>
          <w:bCs w:val="0"/>
          <w:color w:val="000000" w:themeColor="text1"/>
        </w:rPr>
        <w:t xml:space="preserve"> confidence intervals are overlapping.</w:t>
      </w:r>
      <w:bookmarkEnd w:id="127"/>
    </w:p>
    <w:p w14:paraId="442A551F" w14:textId="549CB7BC" w:rsidR="00A47A99" w:rsidRDefault="00A47A99" w:rsidP="00D0471D">
      <w:pPr>
        <w:rPr>
          <w:rFonts w:cs="Times New Roman"/>
          <w:b/>
          <w:bCs/>
          <w:caps/>
          <w:szCs w:val="28"/>
        </w:rPr>
      </w:pPr>
      <w:r>
        <w:rPr>
          <w:rFonts w:cs="Times New Roman"/>
          <w:szCs w:val="28"/>
        </w:rPr>
        <w:br w:type="page"/>
      </w:r>
    </w:p>
    <w:p w14:paraId="0EC56286" w14:textId="4DA81494" w:rsidR="003D63DF" w:rsidRPr="00574AFF" w:rsidRDefault="00526151" w:rsidP="00FF5005">
      <w:pPr>
        <w:pStyle w:val="Heading1"/>
        <w:spacing w:line="360" w:lineRule="auto"/>
        <w:rPr>
          <w:rFonts w:cs="Times New Roman"/>
          <w:szCs w:val="28"/>
        </w:rPr>
      </w:pPr>
      <w:bookmarkStart w:id="128" w:name="_Toc192781579"/>
      <w:r w:rsidRPr="00DF7C87">
        <w:rPr>
          <w:rFonts w:cs="Times New Roman"/>
          <w:szCs w:val="28"/>
        </w:rPr>
        <w:lastRenderedPageBreak/>
        <w:t>VITA</w:t>
      </w:r>
      <w:bookmarkEnd w:id="109"/>
      <w:bookmarkEnd w:id="110"/>
      <w:bookmarkEnd w:id="128"/>
    </w:p>
    <w:p w14:paraId="0EC56287" w14:textId="1D9917D1" w:rsidR="003D63DF" w:rsidRPr="00DF7C87" w:rsidRDefault="00AF3BDF" w:rsidP="00574AFF">
      <w:pPr>
        <w:spacing w:line="360" w:lineRule="auto"/>
        <w:ind w:firstLine="720"/>
        <w:rPr>
          <w:rFonts w:cs="Times New Roman"/>
        </w:rPr>
      </w:pPr>
      <w:r w:rsidRPr="00AF3BDF">
        <w:rPr>
          <w:rFonts w:cs="Times New Roman"/>
        </w:rPr>
        <w:t>Benjamin D. Pritchard was born on December 25</w:t>
      </w:r>
      <w:r w:rsidRPr="00AF3BDF">
        <w:rPr>
          <w:rFonts w:cs="Times New Roman"/>
          <w:vertAlign w:val="superscript"/>
        </w:rPr>
        <w:t>th</w:t>
      </w:r>
      <w:r w:rsidRPr="00AF3BDF">
        <w:rPr>
          <w:rFonts w:cs="Times New Roman"/>
        </w:rPr>
        <w:t>, 1998</w:t>
      </w:r>
      <w:r w:rsidR="00B9262D">
        <w:rPr>
          <w:rFonts w:cs="Times New Roman"/>
        </w:rPr>
        <w:t>,</w:t>
      </w:r>
      <w:r w:rsidRPr="00AF3BDF">
        <w:rPr>
          <w:rFonts w:cs="Times New Roman"/>
        </w:rPr>
        <w:t xml:space="preserve"> in Bluff City, TN. He lived there until he moved to Knoxville, TN</w:t>
      </w:r>
      <w:r w:rsidR="00B9262D">
        <w:rPr>
          <w:rFonts w:cs="Times New Roman"/>
        </w:rPr>
        <w:t>,</w:t>
      </w:r>
      <w:r w:rsidRPr="00AF3BDF">
        <w:rPr>
          <w:rFonts w:cs="Times New Roman"/>
        </w:rPr>
        <w:t xml:space="preserve"> in Fall 2017 to attend the University of Tennessee. Ben graduated from the University of Tennessee in May 2020 with </w:t>
      </w:r>
      <w:r w:rsidR="00196169">
        <w:rPr>
          <w:rFonts w:cs="Times New Roman"/>
        </w:rPr>
        <w:t xml:space="preserve">a </w:t>
      </w:r>
      <w:r w:rsidRPr="00AF3BDF">
        <w:rPr>
          <w:rFonts w:cs="Times New Roman"/>
        </w:rPr>
        <w:t>Bachelor of Science in Plant Sciences. He also graduated with Chancellor’s honors a</w:t>
      </w:r>
      <w:r>
        <w:rPr>
          <w:rFonts w:cs="Times New Roman"/>
        </w:rPr>
        <w:t>nd</w:t>
      </w:r>
      <w:r w:rsidRPr="00AF3BDF">
        <w:rPr>
          <w:rFonts w:cs="Times New Roman"/>
        </w:rPr>
        <w:t xml:space="preserve"> two </w:t>
      </w:r>
      <w:r w:rsidR="00196169">
        <w:rPr>
          <w:rFonts w:cs="Times New Roman"/>
        </w:rPr>
        <w:t>C</w:t>
      </w:r>
      <w:r w:rsidRPr="00AF3BDF">
        <w:rPr>
          <w:rFonts w:cs="Times New Roman"/>
        </w:rPr>
        <w:t xml:space="preserve">hancellor’s </w:t>
      </w:r>
      <w:r w:rsidR="00196169">
        <w:rPr>
          <w:rFonts w:cs="Times New Roman"/>
        </w:rPr>
        <w:t>C</w:t>
      </w:r>
      <w:r w:rsidRPr="00AF3BDF">
        <w:rPr>
          <w:rFonts w:cs="Times New Roman"/>
        </w:rPr>
        <w:t xml:space="preserve">itations for </w:t>
      </w:r>
      <w:r w:rsidR="00196169">
        <w:rPr>
          <w:rFonts w:cs="Times New Roman"/>
        </w:rPr>
        <w:t>E</w:t>
      </w:r>
      <w:r w:rsidRPr="00AF3BDF">
        <w:rPr>
          <w:rFonts w:cs="Times New Roman"/>
        </w:rPr>
        <w:t xml:space="preserve">xtraordinary </w:t>
      </w:r>
      <w:r w:rsidR="00196169">
        <w:rPr>
          <w:rFonts w:cs="Times New Roman"/>
        </w:rPr>
        <w:t>A</w:t>
      </w:r>
      <w:r w:rsidRPr="00AF3BDF">
        <w:rPr>
          <w:rFonts w:cs="Times New Roman"/>
        </w:rPr>
        <w:t xml:space="preserve">cademic </w:t>
      </w:r>
      <w:r w:rsidR="00196169">
        <w:rPr>
          <w:rFonts w:cs="Times New Roman"/>
        </w:rPr>
        <w:t>A</w:t>
      </w:r>
      <w:r w:rsidRPr="00AF3BDF">
        <w:rPr>
          <w:rFonts w:cs="Times New Roman"/>
        </w:rPr>
        <w:t xml:space="preserve">chievement and </w:t>
      </w:r>
      <w:r w:rsidR="00196169">
        <w:rPr>
          <w:rFonts w:cs="Times New Roman"/>
        </w:rPr>
        <w:t>E</w:t>
      </w:r>
      <w:r w:rsidRPr="00AF3BDF">
        <w:rPr>
          <w:rFonts w:cs="Times New Roman"/>
        </w:rPr>
        <w:t xml:space="preserve">xtraordinary </w:t>
      </w:r>
      <w:r w:rsidR="00196169">
        <w:rPr>
          <w:rFonts w:cs="Times New Roman"/>
        </w:rPr>
        <w:t>P</w:t>
      </w:r>
      <w:r w:rsidRPr="00AF3BDF">
        <w:rPr>
          <w:rFonts w:cs="Times New Roman"/>
        </w:rPr>
        <w:t xml:space="preserve">rofessional </w:t>
      </w:r>
      <w:r w:rsidR="00196169">
        <w:rPr>
          <w:rFonts w:cs="Times New Roman"/>
        </w:rPr>
        <w:t>P</w:t>
      </w:r>
      <w:r w:rsidRPr="00AF3BDF">
        <w:rPr>
          <w:rFonts w:cs="Times New Roman"/>
        </w:rPr>
        <w:t>romise. Ben was</w:t>
      </w:r>
      <w:r>
        <w:rPr>
          <w:rFonts w:cs="Times New Roman"/>
        </w:rPr>
        <w:t xml:space="preserve"> also</w:t>
      </w:r>
      <w:r w:rsidRPr="00AF3BDF">
        <w:rPr>
          <w:rFonts w:cs="Times New Roman"/>
        </w:rPr>
        <w:t xml:space="preserve"> named the Plant Science </w:t>
      </w:r>
      <w:r w:rsidR="00196169">
        <w:rPr>
          <w:rFonts w:cs="Times New Roman"/>
        </w:rPr>
        <w:t>D</w:t>
      </w:r>
      <w:r w:rsidRPr="00AF3BDF">
        <w:rPr>
          <w:rFonts w:cs="Times New Roman"/>
        </w:rPr>
        <w:t xml:space="preserve">epartment </w:t>
      </w:r>
      <w:r w:rsidR="00196169">
        <w:rPr>
          <w:rFonts w:cs="Times New Roman"/>
        </w:rPr>
        <w:t>O</w:t>
      </w:r>
      <w:r w:rsidRPr="00AF3BDF">
        <w:rPr>
          <w:rFonts w:cs="Times New Roman"/>
        </w:rPr>
        <w:t xml:space="preserve">utstanding </w:t>
      </w:r>
      <w:r w:rsidR="00196169">
        <w:rPr>
          <w:rFonts w:cs="Times New Roman"/>
        </w:rPr>
        <w:t>S</w:t>
      </w:r>
      <w:r w:rsidRPr="00AF3BDF">
        <w:rPr>
          <w:rFonts w:cs="Times New Roman"/>
        </w:rPr>
        <w:t>enior of 2020. In Fall 2020, Ben began his Master’s in turfgrass weed science. His project was developing a bioassay to detect indaziflam</w:t>
      </w:r>
      <w:r>
        <w:rPr>
          <w:rFonts w:cs="Times New Roman"/>
        </w:rPr>
        <w:t>-</w:t>
      </w:r>
      <w:r w:rsidRPr="00AF3BDF">
        <w:rPr>
          <w:rFonts w:cs="Times New Roman"/>
        </w:rPr>
        <w:t xml:space="preserve">resistant collections of </w:t>
      </w:r>
      <w:r w:rsidRPr="00AF3BDF">
        <w:rPr>
          <w:rFonts w:cs="Times New Roman"/>
          <w:i/>
          <w:iCs/>
        </w:rPr>
        <w:t>Poa annua</w:t>
      </w:r>
      <w:r w:rsidRPr="00AF3BDF">
        <w:rPr>
          <w:rFonts w:cs="Times New Roman"/>
        </w:rPr>
        <w:t xml:space="preserve"> to assist turfgrass managers in identifying this problem in a timelier manner. This will provide them with answers </w:t>
      </w:r>
      <w:r w:rsidR="00B9262D">
        <w:rPr>
          <w:rFonts w:cs="Times New Roman"/>
        </w:rPr>
        <w:t>on</w:t>
      </w:r>
      <w:r w:rsidRPr="00AF3BDF">
        <w:rPr>
          <w:rFonts w:cs="Times New Roman"/>
        </w:rPr>
        <w:t xml:space="preserve"> what they should apply </w:t>
      </w:r>
      <w:r>
        <w:rPr>
          <w:rFonts w:cs="Times New Roman"/>
        </w:rPr>
        <w:t>to</w:t>
      </w:r>
      <w:r w:rsidRPr="00AF3BDF">
        <w:rPr>
          <w:rFonts w:cs="Times New Roman"/>
        </w:rPr>
        <w:t xml:space="preserve"> control the troublesome weed of turfgrass </w:t>
      </w:r>
      <w:r w:rsidRPr="00AF3BDF">
        <w:rPr>
          <w:rFonts w:cs="Times New Roman"/>
          <w:i/>
          <w:iCs/>
        </w:rPr>
        <w:t>Poa annua</w:t>
      </w:r>
      <w:r w:rsidRPr="00AF3BDF">
        <w:rPr>
          <w:rFonts w:cs="Times New Roman"/>
        </w:rPr>
        <w:t>. Ben wrote his thesis and defended it on March 29</w:t>
      </w:r>
      <w:r w:rsidRPr="00AF3BDF">
        <w:rPr>
          <w:rFonts w:cs="Times New Roman"/>
          <w:vertAlign w:val="superscript"/>
        </w:rPr>
        <w:t>th</w:t>
      </w:r>
      <w:r w:rsidRPr="00AF3BDF">
        <w:rPr>
          <w:rFonts w:cs="Times New Roman"/>
        </w:rPr>
        <w:t>, 2022</w:t>
      </w:r>
      <w:r>
        <w:rPr>
          <w:rFonts w:cs="Times New Roman"/>
        </w:rPr>
        <w:t>;</w:t>
      </w:r>
      <w:r w:rsidRPr="00AF3BDF">
        <w:rPr>
          <w:rFonts w:cs="Times New Roman"/>
        </w:rPr>
        <w:t xml:space="preserve"> </w:t>
      </w:r>
      <w:r>
        <w:rPr>
          <w:rFonts w:cs="Times New Roman"/>
        </w:rPr>
        <w:t>t</w:t>
      </w:r>
      <w:r w:rsidRPr="00AF3BDF">
        <w:rPr>
          <w:rFonts w:cs="Times New Roman"/>
        </w:rPr>
        <w:t>hen graduate</w:t>
      </w:r>
      <w:r>
        <w:rPr>
          <w:rFonts w:cs="Times New Roman"/>
        </w:rPr>
        <w:t>d</w:t>
      </w:r>
      <w:r w:rsidRPr="00AF3BDF">
        <w:rPr>
          <w:rFonts w:cs="Times New Roman"/>
        </w:rPr>
        <w:t xml:space="preserve"> on May 20</w:t>
      </w:r>
      <w:r w:rsidRPr="00AF3BDF">
        <w:rPr>
          <w:rFonts w:cs="Times New Roman"/>
          <w:vertAlign w:val="superscript"/>
        </w:rPr>
        <w:t>th</w:t>
      </w:r>
      <w:r w:rsidRPr="00AF3BDF">
        <w:rPr>
          <w:rFonts w:cs="Times New Roman"/>
        </w:rPr>
        <w:t>, 202</w:t>
      </w:r>
      <w:r w:rsidR="006D1633">
        <w:rPr>
          <w:rFonts w:cs="Times New Roman"/>
        </w:rPr>
        <w:t>2</w:t>
      </w:r>
      <w:r w:rsidR="00196169">
        <w:rPr>
          <w:rFonts w:cs="Times New Roman"/>
        </w:rPr>
        <w:t xml:space="preserve"> with a </w:t>
      </w:r>
      <w:r w:rsidR="00196169" w:rsidRPr="00196169">
        <w:rPr>
          <w:rFonts w:cs="Times New Roman"/>
        </w:rPr>
        <w:t>Volunteer of Distinction Extraordinary Professional Promise Award</w:t>
      </w:r>
      <w:r w:rsidRPr="00AF3BDF">
        <w:rPr>
          <w:rFonts w:cs="Times New Roman"/>
        </w:rPr>
        <w:t xml:space="preserve">. </w:t>
      </w:r>
      <w:r w:rsidR="00C71663">
        <w:rPr>
          <w:rFonts w:cs="Times New Roman"/>
        </w:rPr>
        <w:t>The following fall of 2022</w:t>
      </w:r>
      <w:r>
        <w:rPr>
          <w:rFonts w:cs="Times New Roman"/>
        </w:rPr>
        <w:t>, he decided to return to the University of Tennessee, Knoxville</w:t>
      </w:r>
      <w:r w:rsidR="00C71663">
        <w:rPr>
          <w:rFonts w:cs="Times New Roman"/>
        </w:rPr>
        <w:t>,</w:t>
      </w:r>
      <w:r>
        <w:rPr>
          <w:rFonts w:cs="Times New Roman"/>
        </w:rPr>
        <w:t xml:space="preserve"> </w:t>
      </w:r>
      <w:r w:rsidR="00C71663">
        <w:rPr>
          <w:rFonts w:cs="Times New Roman"/>
        </w:rPr>
        <w:t xml:space="preserve">to acquire a Doctorate of Philosophy </w:t>
      </w:r>
      <w:r w:rsidR="00196169">
        <w:rPr>
          <w:rFonts w:cs="Times New Roman"/>
        </w:rPr>
        <w:t>in turfgrass weed science under Dr. Jim Brosnan</w:t>
      </w:r>
      <w:r w:rsidR="002C49F8">
        <w:rPr>
          <w:rFonts w:cs="Times New Roman"/>
        </w:rPr>
        <w:t>,</w:t>
      </w:r>
      <w:r w:rsidR="00196169">
        <w:rPr>
          <w:rFonts w:cs="Times New Roman"/>
        </w:rPr>
        <w:t xml:space="preserve"> working on understanding the applications in turfgrass for the first novel mode of action herbicide in over three decades, tetflupyrolimet. </w:t>
      </w:r>
      <w:r w:rsidR="002C49F8">
        <w:rPr>
          <w:rFonts w:cs="Times New Roman"/>
        </w:rPr>
        <w:t>Upon graduation May 15</w:t>
      </w:r>
      <w:r w:rsidR="002C49F8" w:rsidRPr="002C49F8">
        <w:rPr>
          <w:rFonts w:cs="Times New Roman"/>
          <w:vertAlign w:val="superscript"/>
        </w:rPr>
        <w:t>th</w:t>
      </w:r>
      <w:r w:rsidR="002C49F8">
        <w:rPr>
          <w:rFonts w:cs="Times New Roman"/>
        </w:rPr>
        <w:t>, 2025, Ben will be starting as the new Turfgrass Weed Scientist at the University of Georgia in July 2025. Ben is grateful for this time at the University of Tennessee and the mentorship and camaraderie he found there. He now looks forward to this next step and is excited to serve Georgia turfgrass stakeholders and the greater turfgrass industry through his research and extension appointment.</w:t>
      </w:r>
    </w:p>
    <w:sectPr w:rsidR="003D63DF" w:rsidRPr="00DF7C87" w:rsidSect="00175AEA">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05CC" w14:textId="77777777" w:rsidR="00152E77" w:rsidRDefault="00152E77" w:rsidP="005E54E2">
      <w:r>
        <w:separator/>
      </w:r>
    </w:p>
    <w:p w14:paraId="30E715E9" w14:textId="77777777" w:rsidR="00152E77" w:rsidRDefault="00152E77" w:rsidP="005E54E2"/>
    <w:p w14:paraId="2C406B54" w14:textId="77777777" w:rsidR="00152E77" w:rsidRDefault="00152E77" w:rsidP="005E54E2"/>
    <w:p w14:paraId="3E624DA2" w14:textId="77777777" w:rsidR="00152E77" w:rsidRDefault="00152E77" w:rsidP="005E54E2"/>
  </w:endnote>
  <w:endnote w:type="continuationSeparator" w:id="0">
    <w:p w14:paraId="792C86D6" w14:textId="77777777" w:rsidR="00152E77" w:rsidRDefault="00152E77" w:rsidP="005E54E2">
      <w:r>
        <w:continuationSeparator/>
      </w:r>
    </w:p>
    <w:p w14:paraId="3C3DABB7" w14:textId="77777777" w:rsidR="00152E77" w:rsidRDefault="00152E77" w:rsidP="005E54E2"/>
    <w:p w14:paraId="24F15B95" w14:textId="77777777" w:rsidR="00152E77" w:rsidRDefault="00152E77" w:rsidP="005E54E2"/>
    <w:p w14:paraId="5A531D46" w14:textId="77777777" w:rsidR="00152E77" w:rsidRDefault="00152E7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629A" w14:textId="77777777" w:rsidR="00387656" w:rsidRPr="000E3772" w:rsidRDefault="00387656">
    <w:pPr>
      <w:pStyle w:val="Footer"/>
      <w:jc w:val="right"/>
      <w:rPr>
        <w:rFonts w:cs="Times New Roman"/>
      </w:rPr>
    </w:pPr>
    <w:r w:rsidRPr="000E3772">
      <w:rPr>
        <w:rFonts w:cs="Times New Roman"/>
      </w:rPr>
      <w:fldChar w:fldCharType="begin"/>
    </w:r>
    <w:r w:rsidRPr="000E3772">
      <w:rPr>
        <w:rFonts w:cs="Times New Roman"/>
      </w:rPr>
      <w:instrText xml:space="preserve"> PAGE   \* MERGEFORMAT </w:instrText>
    </w:r>
    <w:r w:rsidRPr="000E3772">
      <w:rPr>
        <w:rFonts w:cs="Times New Roman"/>
      </w:rPr>
      <w:fldChar w:fldCharType="separate"/>
    </w:r>
    <w:r w:rsidR="000E3772">
      <w:rPr>
        <w:rFonts w:cs="Times New Roman"/>
        <w:noProof/>
      </w:rPr>
      <w:t>13</w:t>
    </w:r>
    <w:r w:rsidRPr="000E3772">
      <w:rPr>
        <w:rFonts w:cs="Times New Roman"/>
        <w:noProof/>
      </w:rPr>
      <w:fldChar w:fldCharType="end"/>
    </w:r>
  </w:p>
  <w:p w14:paraId="0EC5629B"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88D44" w14:textId="77777777" w:rsidR="00152E77" w:rsidRDefault="00152E77" w:rsidP="005E54E2">
      <w:r>
        <w:separator/>
      </w:r>
    </w:p>
    <w:p w14:paraId="5E505081" w14:textId="77777777" w:rsidR="00152E77" w:rsidRDefault="00152E77" w:rsidP="005E54E2"/>
    <w:p w14:paraId="4A2D46CB" w14:textId="77777777" w:rsidR="00152E77" w:rsidRDefault="00152E77" w:rsidP="005E54E2"/>
    <w:p w14:paraId="4601C318" w14:textId="77777777" w:rsidR="00152E77" w:rsidRDefault="00152E77" w:rsidP="005E54E2"/>
  </w:footnote>
  <w:footnote w:type="continuationSeparator" w:id="0">
    <w:p w14:paraId="2499EB04" w14:textId="77777777" w:rsidR="00152E77" w:rsidRDefault="00152E77" w:rsidP="005E54E2">
      <w:r>
        <w:continuationSeparator/>
      </w:r>
    </w:p>
    <w:p w14:paraId="3FD9C781" w14:textId="77777777" w:rsidR="00152E77" w:rsidRDefault="00152E77" w:rsidP="005E54E2"/>
    <w:p w14:paraId="20C76B8B" w14:textId="77777777" w:rsidR="00152E77" w:rsidRDefault="00152E77" w:rsidP="005E54E2"/>
    <w:p w14:paraId="1D757882" w14:textId="77777777" w:rsidR="00152E77" w:rsidRDefault="00152E7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116F5"/>
    <w:multiLevelType w:val="hybridMultilevel"/>
    <w:tmpl w:val="DE3893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855B81"/>
    <w:multiLevelType w:val="hybridMultilevel"/>
    <w:tmpl w:val="430CA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9730FA"/>
    <w:multiLevelType w:val="hybridMultilevel"/>
    <w:tmpl w:val="44143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D45F82"/>
    <w:multiLevelType w:val="hybridMultilevel"/>
    <w:tmpl w:val="7A1CF72A"/>
    <w:lvl w:ilvl="0" w:tplc="CA6C44BA">
      <w:start w:val="1"/>
      <w:numFmt w:val="bullet"/>
      <w:lvlText w:val="•"/>
      <w:lvlJc w:val="left"/>
      <w:pPr>
        <w:tabs>
          <w:tab w:val="num" w:pos="720"/>
        </w:tabs>
        <w:ind w:left="720" w:hanging="360"/>
      </w:pPr>
      <w:rPr>
        <w:rFonts w:ascii="Arial" w:hAnsi="Arial" w:hint="default"/>
      </w:rPr>
    </w:lvl>
    <w:lvl w:ilvl="1" w:tplc="19BA6AE4" w:tentative="1">
      <w:start w:val="1"/>
      <w:numFmt w:val="bullet"/>
      <w:lvlText w:val="•"/>
      <w:lvlJc w:val="left"/>
      <w:pPr>
        <w:tabs>
          <w:tab w:val="num" w:pos="1440"/>
        </w:tabs>
        <w:ind w:left="1440" w:hanging="360"/>
      </w:pPr>
      <w:rPr>
        <w:rFonts w:ascii="Arial" w:hAnsi="Arial" w:hint="default"/>
      </w:rPr>
    </w:lvl>
    <w:lvl w:ilvl="2" w:tplc="1DF0E49C" w:tentative="1">
      <w:start w:val="1"/>
      <w:numFmt w:val="bullet"/>
      <w:lvlText w:val="•"/>
      <w:lvlJc w:val="left"/>
      <w:pPr>
        <w:tabs>
          <w:tab w:val="num" w:pos="2160"/>
        </w:tabs>
        <w:ind w:left="2160" w:hanging="360"/>
      </w:pPr>
      <w:rPr>
        <w:rFonts w:ascii="Arial" w:hAnsi="Arial" w:hint="default"/>
      </w:rPr>
    </w:lvl>
    <w:lvl w:ilvl="3" w:tplc="F14239B4" w:tentative="1">
      <w:start w:val="1"/>
      <w:numFmt w:val="bullet"/>
      <w:lvlText w:val="•"/>
      <w:lvlJc w:val="left"/>
      <w:pPr>
        <w:tabs>
          <w:tab w:val="num" w:pos="2880"/>
        </w:tabs>
        <w:ind w:left="2880" w:hanging="360"/>
      </w:pPr>
      <w:rPr>
        <w:rFonts w:ascii="Arial" w:hAnsi="Arial" w:hint="default"/>
      </w:rPr>
    </w:lvl>
    <w:lvl w:ilvl="4" w:tplc="03A42834" w:tentative="1">
      <w:start w:val="1"/>
      <w:numFmt w:val="bullet"/>
      <w:lvlText w:val="•"/>
      <w:lvlJc w:val="left"/>
      <w:pPr>
        <w:tabs>
          <w:tab w:val="num" w:pos="3600"/>
        </w:tabs>
        <w:ind w:left="3600" w:hanging="360"/>
      </w:pPr>
      <w:rPr>
        <w:rFonts w:ascii="Arial" w:hAnsi="Arial" w:hint="default"/>
      </w:rPr>
    </w:lvl>
    <w:lvl w:ilvl="5" w:tplc="AC52453A" w:tentative="1">
      <w:start w:val="1"/>
      <w:numFmt w:val="bullet"/>
      <w:lvlText w:val="•"/>
      <w:lvlJc w:val="left"/>
      <w:pPr>
        <w:tabs>
          <w:tab w:val="num" w:pos="4320"/>
        </w:tabs>
        <w:ind w:left="4320" w:hanging="360"/>
      </w:pPr>
      <w:rPr>
        <w:rFonts w:ascii="Arial" w:hAnsi="Arial" w:hint="default"/>
      </w:rPr>
    </w:lvl>
    <w:lvl w:ilvl="6" w:tplc="398AF726" w:tentative="1">
      <w:start w:val="1"/>
      <w:numFmt w:val="bullet"/>
      <w:lvlText w:val="•"/>
      <w:lvlJc w:val="left"/>
      <w:pPr>
        <w:tabs>
          <w:tab w:val="num" w:pos="5040"/>
        </w:tabs>
        <w:ind w:left="5040" w:hanging="360"/>
      </w:pPr>
      <w:rPr>
        <w:rFonts w:ascii="Arial" w:hAnsi="Arial" w:hint="default"/>
      </w:rPr>
    </w:lvl>
    <w:lvl w:ilvl="7" w:tplc="270AF020" w:tentative="1">
      <w:start w:val="1"/>
      <w:numFmt w:val="bullet"/>
      <w:lvlText w:val="•"/>
      <w:lvlJc w:val="left"/>
      <w:pPr>
        <w:tabs>
          <w:tab w:val="num" w:pos="5760"/>
        </w:tabs>
        <w:ind w:left="5760" w:hanging="360"/>
      </w:pPr>
      <w:rPr>
        <w:rFonts w:ascii="Arial" w:hAnsi="Arial" w:hint="default"/>
      </w:rPr>
    </w:lvl>
    <w:lvl w:ilvl="8" w:tplc="C2282D7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5971C8E"/>
    <w:multiLevelType w:val="hybridMultilevel"/>
    <w:tmpl w:val="639E1150"/>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66453C6D"/>
    <w:multiLevelType w:val="hybridMultilevel"/>
    <w:tmpl w:val="A2F8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793D78"/>
    <w:multiLevelType w:val="hybridMultilevel"/>
    <w:tmpl w:val="1AC42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04288252">
    <w:abstractNumId w:val="2"/>
  </w:num>
  <w:num w:numId="2" w16cid:durableId="120929006">
    <w:abstractNumId w:val="1"/>
  </w:num>
  <w:num w:numId="3" w16cid:durableId="119761466">
    <w:abstractNumId w:val="6"/>
  </w:num>
  <w:num w:numId="4" w16cid:durableId="451025283">
    <w:abstractNumId w:val="5"/>
  </w:num>
  <w:num w:numId="5" w16cid:durableId="1901283248">
    <w:abstractNumId w:val="4"/>
  </w:num>
  <w:num w:numId="6" w16cid:durableId="1643726639">
    <w:abstractNumId w:val="3"/>
  </w:num>
  <w:num w:numId="7" w16cid:durableId="127287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7915"/>
    <w:rsid w:val="00010366"/>
    <w:rsid w:val="000115A4"/>
    <w:rsid w:val="00014A3E"/>
    <w:rsid w:val="00014AD7"/>
    <w:rsid w:val="000156E9"/>
    <w:rsid w:val="000166A9"/>
    <w:rsid w:val="00016BC5"/>
    <w:rsid w:val="00020933"/>
    <w:rsid w:val="00021290"/>
    <w:rsid w:val="0002749A"/>
    <w:rsid w:val="0003064B"/>
    <w:rsid w:val="00030679"/>
    <w:rsid w:val="00034E91"/>
    <w:rsid w:val="0003593A"/>
    <w:rsid w:val="0003672C"/>
    <w:rsid w:val="00036998"/>
    <w:rsid w:val="00040F5D"/>
    <w:rsid w:val="00057004"/>
    <w:rsid w:val="00060A6A"/>
    <w:rsid w:val="00071FB8"/>
    <w:rsid w:val="00076A95"/>
    <w:rsid w:val="00087C24"/>
    <w:rsid w:val="0009362C"/>
    <w:rsid w:val="00094638"/>
    <w:rsid w:val="000A2084"/>
    <w:rsid w:val="000A508B"/>
    <w:rsid w:val="000B5C42"/>
    <w:rsid w:val="000C3665"/>
    <w:rsid w:val="000C3F40"/>
    <w:rsid w:val="000C6ACA"/>
    <w:rsid w:val="000C799B"/>
    <w:rsid w:val="000D0B9C"/>
    <w:rsid w:val="000E01A4"/>
    <w:rsid w:val="000E3772"/>
    <w:rsid w:val="000E6E65"/>
    <w:rsid w:val="000F0A61"/>
    <w:rsid w:val="000F3877"/>
    <w:rsid w:val="000F5ECF"/>
    <w:rsid w:val="0010217F"/>
    <w:rsid w:val="00113A7D"/>
    <w:rsid w:val="00121E11"/>
    <w:rsid w:val="001245AE"/>
    <w:rsid w:val="00137C08"/>
    <w:rsid w:val="00142002"/>
    <w:rsid w:val="00152E77"/>
    <w:rsid w:val="00160114"/>
    <w:rsid w:val="00173781"/>
    <w:rsid w:val="00175AEA"/>
    <w:rsid w:val="00180989"/>
    <w:rsid w:val="00181B21"/>
    <w:rsid w:val="001854FB"/>
    <w:rsid w:val="00193642"/>
    <w:rsid w:val="00196169"/>
    <w:rsid w:val="00197370"/>
    <w:rsid w:val="001A1AFC"/>
    <w:rsid w:val="001A7C9B"/>
    <w:rsid w:val="001B1034"/>
    <w:rsid w:val="001B5161"/>
    <w:rsid w:val="001B64D6"/>
    <w:rsid w:val="001C39F6"/>
    <w:rsid w:val="001C4124"/>
    <w:rsid w:val="001C66FE"/>
    <w:rsid w:val="001D11D5"/>
    <w:rsid w:val="001D4908"/>
    <w:rsid w:val="001D4ABE"/>
    <w:rsid w:val="001D6904"/>
    <w:rsid w:val="001E7CAC"/>
    <w:rsid w:val="001F00D5"/>
    <w:rsid w:val="001F1FFF"/>
    <w:rsid w:val="001F43C1"/>
    <w:rsid w:val="001F522F"/>
    <w:rsid w:val="001F7AC4"/>
    <w:rsid w:val="00201176"/>
    <w:rsid w:val="00210B06"/>
    <w:rsid w:val="00211BBC"/>
    <w:rsid w:val="002143EA"/>
    <w:rsid w:val="00215C1D"/>
    <w:rsid w:val="002168E9"/>
    <w:rsid w:val="00216B2B"/>
    <w:rsid w:val="00220867"/>
    <w:rsid w:val="0022210F"/>
    <w:rsid w:val="00236E6D"/>
    <w:rsid w:val="00237BFD"/>
    <w:rsid w:val="002429E5"/>
    <w:rsid w:val="002435BF"/>
    <w:rsid w:val="00246AF3"/>
    <w:rsid w:val="002604AD"/>
    <w:rsid w:val="00261B12"/>
    <w:rsid w:val="0026492D"/>
    <w:rsid w:val="00270B6F"/>
    <w:rsid w:val="00271D84"/>
    <w:rsid w:val="00272F62"/>
    <w:rsid w:val="00274CB6"/>
    <w:rsid w:val="002750B5"/>
    <w:rsid w:val="00280CEF"/>
    <w:rsid w:val="0028389F"/>
    <w:rsid w:val="00285685"/>
    <w:rsid w:val="0028757A"/>
    <w:rsid w:val="0029247A"/>
    <w:rsid w:val="002942C5"/>
    <w:rsid w:val="00295AF0"/>
    <w:rsid w:val="002A12F0"/>
    <w:rsid w:val="002A1875"/>
    <w:rsid w:val="002A3264"/>
    <w:rsid w:val="002A48EE"/>
    <w:rsid w:val="002A5AE4"/>
    <w:rsid w:val="002B0492"/>
    <w:rsid w:val="002B324F"/>
    <w:rsid w:val="002B70C1"/>
    <w:rsid w:val="002B7360"/>
    <w:rsid w:val="002C2627"/>
    <w:rsid w:val="002C2C75"/>
    <w:rsid w:val="002C49F8"/>
    <w:rsid w:val="002C5067"/>
    <w:rsid w:val="002C7AAA"/>
    <w:rsid w:val="002D23F8"/>
    <w:rsid w:val="002D24D9"/>
    <w:rsid w:val="002E0C33"/>
    <w:rsid w:val="002E2492"/>
    <w:rsid w:val="002E5F14"/>
    <w:rsid w:val="002F16A1"/>
    <w:rsid w:val="002F6C76"/>
    <w:rsid w:val="003012A9"/>
    <w:rsid w:val="003043B4"/>
    <w:rsid w:val="00304BD0"/>
    <w:rsid w:val="003050D2"/>
    <w:rsid w:val="00306BE7"/>
    <w:rsid w:val="00307D77"/>
    <w:rsid w:val="003120A1"/>
    <w:rsid w:val="00313E9E"/>
    <w:rsid w:val="003150D5"/>
    <w:rsid w:val="003206F1"/>
    <w:rsid w:val="00320F78"/>
    <w:rsid w:val="003235CE"/>
    <w:rsid w:val="00327D85"/>
    <w:rsid w:val="00332CC0"/>
    <w:rsid w:val="003337C5"/>
    <w:rsid w:val="00334400"/>
    <w:rsid w:val="003348A6"/>
    <w:rsid w:val="00345AF5"/>
    <w:rsid w:val="003467F8"/>
    <w:rsid w:val="00356D89"/>
    <w:rsid w:val="0035768F"/>
    <w:rsid w:val="00360B3C"/>
    <w:rsid w:val="0036251E"/>
    <w:rsid w:val="00362939"/>
    <w:rsid w:val="00373919"/>
    <w:rsid w:val="00376F7C"/>
    <w:rsid w:val="0038177C"/>
    <w:rsid w:val="003818D2"/>
    <w:rsid w:val="003836EB"/>
    <w:rsid w:val="00387024"/>
    <w:rsid w:val="00387656"/>
    <w:rsid w:val="00394464"/>
    <w:rsid w:val="003A155C"/>
    <w:rsid w:val="003A42B8"/>
    <w:rsid w:val="003B5058"/>
    <w:rsid w:val="003B557F"/>
    <w:rsid w:val="003B685B"/>
    <w:rsid w:val="003C070F"/>
    <w:rsid w:val="003C1575"/>
    <w:rsid w:val="003C34BC"/>
    <w:rsid w:val="003C451D"/>
    <w:rsid w:val="003C6BD6"/>
    <w:rsid w:val="003C7FC5"/>
    <w:rsid w:val="003D07F7"/>
    <w:rsid w:val="003D1876"/>
    <w:rsid w:val="003D5275"/>
    <w:rsid w:val="003D63DF"/>
    <w:rsid w:val="003D737F"/>
    <w:rsid w:val="003F380C"/>
    <w:rsid w:val="003F7474"/>
    <w:rsid w:val="00401008"/>
    <w:rsid w:val="00403546"/>
    <w:rsid w:val="00404616"/>
    <w:rsid w:val="0040562B"/>
    <w:rsid w:val="00406F6E"/>
    <w:rsid w:val="00407B6A"/>
    <w:rsid w:val="004120EB"/>
    <w:rsid w:val="00414400"/>
    <w:rsid w:val="00417A83"/>
    <w:rsid w:val="00421CD4"/>
    <w:rsid w:val="00421DE8"/>
    <w:rsid w:val="00422932"/>
    <w:rsid w:val="00423EA7"/>
    <w:rsid w:val="004247D2"/>
    <w:rsid w:val="00427833"/>
    <w:rsid w:val="004335E8"/>
    <w:rsid w:val="0043726D"/>
    <w:rsid w:val="0044196E"/>
    <w:rsid w:val="00445C5C"/>
    <w:rsid w:val="0045747A"/>
    <w:rsid w:val="00460044"/>
    <w:rsid w:val="0046493B"/>
    <w:rsid w:val="00474210"/>
    <w:rsid w:val="00480B96"/>
    <w:rsid w:val="0048303E"/>
    <w:rsid w:val="0049004B"/>
    <w:rsid w:val="004920D0"/>
    <w:rsid w:val="004920F6"/>
    <w:rsid w:val="00493F8A"/>
    <w:rsid w:val="00497636"/>
    <w:rsid w:val="00497CA9"/>
    <w:rsid w:val="004A2447"/>
    <w:rsid w:val="004A460F"/>
    <w:rsid w:val="004A67E8"/>
    <w:rsid w:val="004C03F1"/>
    <w:rsid w:val="004C2071"/>
    <w:rsid w:val="004C3D65"/>
    <w:rsid w:val="004C611C"/>
    <w:rsid w:val="004D30FE"/>
    <w:rsid w:val="004D3A16"/>
    <w:rsid w:val="004D6472"/>
    <w:rsid w:val="004D7C22"/>
    <w:rsid w:val="004E4C98"/>
    <w:rsid w:val="004E6B54"/>
    <w:rsid w:val="004F2BD4"/>
    <w:rsid w:val="004F4100"/>
    <w:rsid w:val="005049EE"/>
    <w:rsid w:val="00515DBC"/>
    <w:rsid w:val="00517167"/>
    <w:rsid w:val="00522FA3"/>
    <w:rsid w:val="00526151"/>
    <w:rsid w:val="00526CAD"/>
    <w:rsid w:val="00527644"/>
    <w:rsid w:val="00527DA5"/>
    <w:rsid w:val="0053674F"/>
    <w:rsid w:val="00574AFF"/>
    <w:rsid w:val="005763AB"/>
    <w:rsid w:val="00577BCF"/>
    <w:rsid w:val="0058217F"/>
    <w:rsid w:val="00583A04"/>
    <w:rsid w:val="00585C4C"/>
    <w:rsid w:val="00591DC4"/>
    <w:rsid w:val="00594FC6"/>
    <w:rsid w:val="0059660A"/>
    <w:rsid w:val="00597AD2"/>
    <w:rsid w:val="00597D3F"/>
    <w:rsid w:val="005B3801"/>
    <w:rsid w:val="005B79E9"/>
    <w:rsid w:val="005C7915"/>
    <w:rsid w:val="005E1E99"/>
    <w:rsid w:val="005E4912"/>
    <w:rsid w:val="005E54E2"/>
    <w:rsid w:val="005E6F1F"/>
    <w:rsid w:val="005F44D1"/>
    <w:rsid w:val="005F45DC"/>
    <w:rsid w:val="006075A7"/>
    <w:rsid w:val="0061080E"/>
    <w:rsid w:val="00611B90"/>
    <w:rsid w:val="00621129"/>
    <w:rsid w:val="00626B10"/>
    <w:rsid w:val="00633086"/>
    <w:rsid w:val="00633916"/>
    <w:rsid w:val="00634D11"/>
    <w:rsid w:val="00641D2B"/>
    <w:rsid w:val="00644DEB"/>
    <w:rsid w:val="00652687"/>
    <w:rsid w:val="006576B5"/>
    <w:rsid w:val="00662D3E"/>
    <w:rsid w:val="00662F55"/>
    <w:rsid w:val="00665C7E"/>
    <w:rsid w:val="00666E5F"/>
    <w:rsid w:val="00670B37"/>
    <w:rsid w:val="00672DDD"/>
    <w:rsid w:val="006751B1"/>
    <w:rsid w:val="00676C91"/>
    <w:rsid w:val="006803C0"/>
    <w:rsid w:val="0068325E"/>
    <w:rsid w:val="00686740"/>
    <w:rsid w:val="00690B77"/>
    <w:rsid w:val="006923A9"/>
    <w:rsid w:val="006A3EB6"/>
    <w:rsid w:val="006C4000"/>
    <w:rsid w:val="006C5D9B"/>
    <w:rsid w:val="006C621F"/>
    <w:rsid w:val="006C64CA"/>
    <w:rsid w:val="006C651A"/>
    <w:rsid w:val="006C7675"/>
    <w:rsid w:val="006D1633"/>
    <w:rsid w:val="006D3F53"/>
    <w:rsid w:val="006D5EE8"/>
    <w:rsid w:val="006E0F79"/>
    <w:rsid w:val="006E24CF"/>
    <w:rsid w:val="006E52CF"/>
    <w:rsid w:val="006E56E8"/>
    <w:rsid w:val="006E5B01"/>
    <w:rsid w:val="006F2B6E"/>
    <w:rsid w:val="006F5AA4"/>
    <w:rsid w:val="006F6B0F"/>
    <w:rsid w:val="007037E7"/>
    <w:rsid w:val="007039A2"/>
    <w:rsid w:val="0070548E"/>
    <w:rsid w:val="00710892"/>
    <w:rsid w:val="00711200"/>
    <w:rsid w:val="0072397F"/>
    <w:rsid w:val="00727250"/>
    <w:rsid w:val="00731922"/>
    <w:rsid w:val="00731ACB"/>
    <w:rsid w:val="007368AD"/>
    <w:rsid w:val="007378AE"/>
    <w:rsid w:val="00740B9C"/>
    <w:rsid w:val="0074133D"/>
    <w:rsid w:val="0074358E"/>
    <w:rsid w:val="007452FC"/>
    <w:rsid w:val="00745DF6"/>
    <w:rsid w:val="0075196D"/>
    <w:rsid w:val="007550D4"/>
    <w:rsid w:val="0075558C"/>
    <w:rsid w:val="00761EFA"/>
    <w:rsid w:val="00764873"/>
    <w:rsid w:val="00772C3C"/>
    <w:rsid w:val="007778DD"/>
    <w:rsid w:val="00781055"/>
    <w:rsid w:val="00783FF5"/>
    <w:rsid w:val="00787617"/>
    <w:rsid w:val="00796693"/>
    <w:rsid w:val="007A0F41"/>
    <w:rsid w:val="007A1605"/>
    <w:rsid w:val="007A3E2B"/>
    <w:rsid w:val="007C361F"/>
    <w:rsid w:val="007C3977"/>
    <w:rsid w:val="007C7591"/>
    <w:rsid w:val="007D1C7E"/>
    <w:rsid w:val="007D5CD5"/>
    <w:rsid w:val="007E6110"/>
    <w:rsid w:val="007F6AE9"/>
    <w:rsid w:val="00816A18"/>
    <w:rsid w:val="008225D1"/>
    <w:rsid w:val="0082274E"/>
    <w:rsid w:val="00824FA5"/>
    <w:rsid w:val="00825933"/>
    <w:rsid w:val="00826D54"/>
    <w:rsid w:val="00834CBF"/>
    <w:rsid w:val="00836F89"/>
    <w:rsid w:val="00846459"/>
    <w:rsid w:val="00853459"/>
    <w:rsid w:val="0085757D"/>
    <w:rsid w:val="00861E1B"/>
    <w:rsid w:val="00863435"/>
    <w:rsid w:val="00864954"/>
    <w:rsid w:val="00864A35"/>
    <w:rsid w:val="00866F72"/>
    <w:rsid w:val="00872827"/>
    <w:rsid w:val="0087349A"/>
    <w:rsid w:val="00874D79"/>
    <w:rsid w:val="00875322"/>
    <w:rsid w:val="0087532D"/>
    <w:rsid w:val="00881036"/>
    <w:rsid w:val="008865B6"/>
    <w:rsid w:val="008927EA"/>
    <w:rsid w:val="008949E3"/>
    <w:rsid w:val="008951FA"/>
    <w:rsid w:val="00895DF4"/>
    <w:rsid w:val="008978F3"/>
    <w:rsid w:val="008A7971"/>
    <w:rsid w:val="008B0A19"/>
    <w:rsid w:val="008B1A4D"/>
    <w:rsid w:val="008B61C9"/>
    <w:rsid w:val="008B6D46"/>
    <w:rsid w:val="008D0A54"/>
    <w:rsid w:val="008D350F"/>
    <w:rsid w:val="008D589C"/>
    <w:rsid w:val="008E27DD"/>
    <w:rsid w:val="008E4EFD"/>
    <w:rsid w:val="008E6B9D"/>
    <w:rsid w:val="008E7085"/>
    <w:rsid w:val="008F362F"/>
    <w:rsid w:val="008F4FDD"/>
    <w:rsid w:val="008F60C3"/>
    <w:rsid w:val="009007EF"/>
    <w:rsid w:val="009028C8"/>
    <w:rsid w:val="00902C28"/>
    <w:rsid w:val="00904969"/>
    <w:rsid w:val="0091421D"/>
    <w:rsid w:val="009254D6"/>
    <w:rsid w:val="0092669B"/>
    <w:rsid w:val="00926F1C"/>
    <w:rsid w:val="00930E88"/>
    <w:rsid w:val="0093163E"/>
    <w:rsid w:val="00936436"/>
    <w:rsid w:val="009411D1"/>
    <w:rsid w:val="0094433F"/>
    <w:rsid w:val="00945D78"/>
    <w:rsid w:val="00951263"/>
    <w:rsid w:val="0095406C"/>
    <w:rsid w:val="00957AE3"/>
    <w:rsid w:val="00961DFB"/>
    <w:rsid w:val="00965EA3"/>
    <w:rsid w:val="00966BAC"/>
    <w:rsid w:val="00967959"/>
    <w:rsid w:val="00967D28"/>
    <w:rsid w:val="00975E37"/>
    <w:rsid w:val="00980623"/>
    <w:rsid w:val="00982454"/>
    <w:rsid w:val="009839B6"/>
    <w:rsid w:val="00992937"/>
    <w:rsid w:val="009A2ABE"/>
    <w:rsid w:val="009A6A2F"/>
    <w:rsid w:val="009A6A54"/>
    <w:rsid w:val="009B11CE"/>
    <w:rsid w:val="009B3650"/>
    <w:rsid w:val="009C12B9"/>
    <w:rsid w:val="009C755C"/>
    <w:rsid w:val="009C780F"/>
    <w:rsid w:val="009D3912"/>
    <w:rsid w:val="009D794C"/>
    <w:rsid w:val="009E0CF1"/>
    <w:rsid w:val="009E1FEA"/>
    <w:rsid w:val="009E23F0"/>
    <w:rsid w:val="009E76B4"/>
    <w:rsid w:val="009F120D"/>
    <w:rsid w:val="009F6653"/>
    <w:rsid w:val="00A07EE3"/>
    <w:rsid w:val="00A125F3"/>
    <w:rsid w:val="00A14E62"/>
    <w:rsid w:val="00A25353"/>
    <w:rsid w:val="00A33D1B"/>
    <w:rsid w:val="00A34F5F"/>
    <w:rsid w:val="00A34FCC"/>
    <w:rsid w:val="00A42802"/>
    <w:rsid w:val="00A46A68"/>
    <w:rsid w:val="00A47525"/>
    <w:rsid w:val="00A47A99"/>
    <w:rsid w:val="00A50EE9"/>
    <w:rsid w:val="00A50F5A"/>
    <w:rsid w:val="00A52912"/>
    <w:rsid w:val="00A53A75"/>
    <w:rsid w:val="00A63EB8"/>
    <w:rsid w:val="00A746DE"/>
    <w:rsid w:val="00A75B02"/>
    <w:rsid w:val="00A825CC"/>
    <w:rsid w:val="00A847CB"/>
    <w:rsid w:val="00A86F48"/>
    <w:rsid w:val="00A92DA2"/>
    <w:rsid w:val="00A9605D"/>
    <w:rsid w:val="00A96DE2"/>
    <w:rsid w:val="00AA1A80"/>
    <w:rsid w:val="00AA34D8"/>
    <w:rsid w:val="00AA3E0C"/>
    <w:rsid w:val="00AA63D7"/>
    <w:rsid w:val="00AA77D7"/>
    <w:rsid w:val="00AB6429"/>
    <w:rsid w:val="00AC2321"/>
    <w:rsid w:val="00AC3796"/>
    <w:rsid w:val="00AC5021"/>
    <w:rsid w:val="00AC70B8"/>
    <w:rsid w:val="00AD0A33"/>
    <w:rsid w:val="00AD0E4B"/>
    <w:rsid w:val="00AD1B4E"/>
    <w:rsid w:val="00AD2551"/>
    <w:rsid w:val="00AD31BE"/>
    <w:rsid w:val="00AE0982"/>
    <w:rsid w:val="00AE39EF"/>
    <w:rsid w:val="00AE4306"/>
    <w:rsid w:val="00AE55D8"/>
    <w:rsid w:val="00AE64F9"/>
    <w:rsid w:val="00AF19D4"/>
    <w:rsid w:val="00AF3BDF"/>
    <w:rsid w:val="00AF6B1F"/>
    <w:rsid w:val="00B029EA"/>
    <w:rsid w:val="00B07524"/>
    <w:rsid w:val="00B10F82"/>
    <w:rsid w:val="00B113E7"/>
    <w:rsid w:val="00B12B64"/>
    <w:rsid w:val="00B17FDB"/>
    <w:rsid w:val="00B20C85"/>
    <w:rsid w:val="00B35B7C"/>
    <w:rsid w:val="00B36790"/>
    <w:rsid w:val="00B461C7"/>
    <w:rsid w:val="00B4767F"/>
    <w:rsid w:val="00B47DEB"/>
    <w:rsid w:val="00B53C15"/>
    <w:rsid w:val="00B63A91"/>
    <w:rsid w:val="00B7746D"/>
    <w:rsid w:val="00B90095"/>
    <w:rsid w:val="00B915B1"/>
    <w:rsid w:val="00B9262D"/>
    <w:rsid w:val="00B957C0"/>
    <w:rsid w:val="00BA1319"/>
    <w:rsid w:val="00BA56BA"/>
    <w:rsid w:val="00BB6AA2"/>
    <w:rsid w:val="00BC0268"/>
    <w:rsid w:val="00BD2603"/>
    <w:rsid w:val="00BD3522"/>
    <w:rsid w:val="00BD43E6"/>
    <w:rsid w:val="00BD540D"/>
    <w:rsid w:val="00BD7018"/>
    <w:rsid w:val="00BE2832"/>
    <w:rsid w:val="00C0799A"/>
    <w:rsid w:val="00C11D0D"/>
    <w:rsid w:val="00C12778"/>
    <w:rsid w:val="00C17312"/>
    <w:rsid w:val="00C21A28"/>
    <w:rsid w:val="00C21A36"/>
    <w:rsid w:val="00C21B30"/>
    <w:rsid w:val="00C26544"/>
    <w:rsid w:val="00C279BD"/>
    <w:rsid w:val="00C30D60"/>
    <w:rsid w:val="00C314EA"/>
    <w:rsid w:val="00C32FF2"/>
    <w:rsid w:val="00C4089A"/>
    <w:rsid w:val="00C409B0"/>
    <w:rsid w:val="00C509C3"/>
    <w:rsid w:val="00C50A17"/>
    <w:rsid w:val="00C56EF8"/>
    <w:rsid w:val="00C70EAE"/>
    <w:rsid w:val="00C71663"/>
    <w:rsid w:val="00C7209F"/>
    <w:rsid w:val="00C724CA"/>
    <w:rsid w:val="00C81E3C"/>
    <w:rsid w:val="00C83B65"/>
    <w:rsid w:val="00C947EC"/>
    <w:rsid w:val="00CA1B93"/>
    <w:rsid w:val="00CA7E3D"/>
    <w:rsid w:val="00CB15C4"/>
    <w:rsid w:val="00CB59AD"/>
    <w:rsid w:val="00CC3FC1"/>
    <w:rsid w:val="00CD18BC"/>
    <w:rsid w:val="00CD50B5"/>
    <w:rsid w:val="00CD73A9"/>
    <w:rsid w:val="00CE3A3E"/>
    <w:rsid w:val="00CE4D4B"/>
    <w:rsid w:val="00CE5019"/>
    <w:rsid w:val="00CE768B"/>
    <w:rsid w:val="00D000AD"/>
    <w:rsid w:val="00D018FE"/>
    <w:rsid w:val="00D041D3"/>
    <w:rsid w:val="00D0471D"/>
    <w:rsid w:val="00D048EF"/>
    <w:rsid w:val="00D054A3"/>
    <w:rsid w:val="00D06F12"/>
    <w:rsid w:val="00D07496"/>
    <w:rsid w:val="00D15FC8"/>
    <w:rsid w:val="00D16BB2"/>
    <w:rsid w:val="00D21EF3"/>
    <w:rsid w:val="00D22A3A"/>
    <w:rsid w:val="00D30D2C"/>
    <w:rsid w:val="00D349B0"/>
    <w:rsid w:val="00D36751"/>
    <w:rsid w:val="00D36CBD"/>
    <w:rsid w:val="00D40851"/>
    <w:rsid w:val="00D41205"/>
    <w:rsid w:val="00D45EA9"/>
    <w:rsid w:val="00D46790"/>
    <w:rsid w:val="00D468E2"/>
    <w:rsid w:val="00D5616B"/>
    <w:rsid w:val="00D6504C"/>
    <w:rsid w:val="00D677AA"/>
    <w:rsid w:val="00D73F4D"/>
    <w:rsid w:val="00D765F7"/>
    <w:rsid w:val="00D82E57"/>
    <w:rsid w:val="00D91C27"/>
    <w:rsid w:val="00D94B6C"/>
    <w:rsid w:val="00D97887"/>
    <w:rsid w:val="00DB3712"/>
    <w:rsid w:val="00DB6D86"/>
    <w:rsid w:val="00DC3177"/>
    <w:rsid w:val="00DC3C2F"/>
    <w:rsid w:val="00DC50EC"/>
    <w:rsid w:val="00DC5925"/>
    <w:rsid w:val="00DC60FA"/>
    <w:rsid w:val="00DD00DE"/>
    <w:rsid w:val="00DD666B"/>
    <w:rsid w:val="00DD7892"/>
    <w:rsid w:val="00DE14DC"/>
    <w:rsid w:val="00DE23AF"/>
    <w:rsid w:val="00DE3F06"/>
    <w:rsid w:val="00DF3B9A"/>
    <w:rsid w:val="00DF61B3"/>
    <w:rsid w:val="00DF70E0"/>
    <w:rsid w:val="00DF7C87"/>
    <w:rsid w:val="00E01B9B"/>
    <w:rsid w:val="00E041BB"/>
    <w:rsid w:val="00E07CC9"/>
    <w:rsid w:val="00E11326"/>
    <w:rsid w:val="00E12E76"/>
    <w:rsid w:val="00E16466"/>
    <w:rsid w:val="00E17598"/>
    <w:rsid w:val="00E266D3"/>
    <w:rsid w:val="00E32A6E"/>
    <w:rsid w:val="00E35D1B"/>
    <w:rsid w:val="00E41936"/>
    <w:rsid w:val="00E41BDE"/>
    <w:rsid w:val="00E459DC"/>
    <w:rsid w:val="00E5563B"/>
    <w:rsid w:val="00E55850"/>
    <w:rsid w:val="00E579B9"/>
    <w:rsid w:val="00E633BE"/>
    <w:rsid w:val="00E65381"/>
    <w:rsid w:val="00E77EB8"/>
    <w:rsid w:val="00E812DA"/>
    <w:rsid w:val="00E86124"/>
    <w:rsid w:val="00E91C95"/>
    <w:rsid w:val="00E91D7A"/>
    <w:rsid w:val="00E93532"/>
    <w:rsid w:val="00EA1C88"/>
    <w:rsid w:val="00EA464C"/>
    <w:rsid w:val="00EA5199"/>
    <w:rsid w:val="00EA54F6"/>
    <w:rsid w:val="00EA746A"/>
    <w:rsid w:val="00EB0EB1"/>
    <w:rsid w:val="00EB60F7"/>
    <w:rsid w:val="00EC3DF9"/>
    <w:rsid w:val="00EC6AAB"/>
    <w:rsid w:val="00EC7027"/>
    <w:rsid w:val="00ED1489"/>
    <w:rsid w:val="00ED7A05"/>
    <w:rsid w:val="00EE1C35"/>
    <w:rsid w:val="00EE334C"/>
    <w:rsid w:val="00EE5888"/>
    <w:rsid w:val="00EE72FC"/>
    <w:rsid w:val="00EE7764"/>
    <w:rsid w:val="00EF27BF"/>
    <w:rsid w:val="00F02153"/>
    <w:rsid w:val="00F058DF"/>
    <w:rsid w:val="00F05CB1"/>
    <w:rsid w:val="00F063AE"/>
    <w:rsid w:val="00F11026"/>
    <w:rsid w:val="00F15675"/>
    <w:rsid w:val="00F21250"/>
    <w:rsid w:val="00F2398D"/>
    <w:rsid w:val="00F26C23"/>
    <w:rsid w:val="00F327C9"/>
    <w:rsid w:val="00F3443D"/>
    <w:rsid w:val="00F373B2"/>
    <w:rsid w:val="00F5694B"/>
    <w:rsid w:val="00F57F03"/>
    <w:rsid w:val="00F634A3"/>
    <w:rsid w:val="00F70716"/>
    <w:rsid w:val="00F710F9"/>
    <w:rsid w:val="00F71ADC"/>
    <w:rsid w:val="00F71FA3"/>
    <w:rsid w:val="00F738DC"/>
    <w:rsid w:val="00F7620F"/>
    <w:rsid w:val="00F837B8"/>
    <w:rsid w:val="00F87F40"/>
    <w:rsid w:val="00F91120"/>
    <w:rsid w:val="00F947BA"/>
    <w:rsid w:val="00F96860"/>
    <w:rsid w:val="00FA0978"/>
    <w:rsid w:val="00FA0AE4"/>
    <w:rsid w:val="00FA10A1"/>
    <w:rsid w:val="00FA32EA"/>
    <w:rsid w:val="00FA75A5"/>
    <w:rsid w:val="00FA7FF9"/>
    <w:rsid w:val="00FB4DBA"/>
    <w:rsid w:val="00FB516D"/>
    <w:rsid w:val="00FB667E"/>
    <w:rsid w:val="00FC0002"/>
    <w:rsid w:val="00FC598B"/>
    <w:rsid w:val="00FC5A1B"/>
    <w:rsid w:val="00FE0168"/>
    <w:rsid w:val="00FE1BCB"/>
    <w:rsid w:val="00FE51F8"/>
    <w:rsid w:val="00FE552D"/>
    <w:rsid w:val="00FF0031"/>
    <w:rsid w:val="00FF11F5"/>
    <w:rsid w:val="00FF1665"/>
    <w:rsid w:val="00FF195C"/>
    <w:rsid w:val="00FF45A6"/>
    <w:rsid w:val="00FF5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1C88"/>
    <w:rPr>
      <w:rFonts w:cs="Arial"/>
      <w:sz w:val="24"/>
      <w:szCs w:val="24"/>
    </w:rPr>
  </w:style>
  <w:style w:type="paragraph" w:styleId="Heading1">
    <w:name w:val="heading 1"/>
    <w:basedOn w:val="Normal"/>
    <w:next w:val="Normal"/>
    <w:link w:val="Heading1Char"/>
    <w:uiPriority w:val="9"/>
    <w:qFormat/>
    <w:rsid w:val="00BD7018"/>
    <w:pPr>
      <w:autoSpaceDE w:val="0"/>
      <w:autoSpaceDN w:val="0"/>
      <w:adjustRightInd w:val="0"/>
      <w:jc w:val="center"/>
      <w:outlineLvl w:val="0"/>
    </w:pPr>
    <w:rPr>
      <w:b/>
      <w:bCs/>
      <w:caps/>
    </w:rPr>
  </w:style>
  <w:style w:type="paragraph" w:styleId="Heading2">
    <w:name w:val="heading 2"/>
    <w:basedOn w:val="Normal"/>
    <w:next w:val="Normal"/>
    <w:qFormat/>
    <w:rsid w:val="00BD7018"/>
    <w:pPr>
      <w:keepNext/>
      <w:spacing w:before="240" w:after="60"/>
      <w:jc w:val="center"/>
      <w:outlineLvl w:val="1"/>
    </w:pPr>
    <w:rPr>
      <w:b/>
      <w:bCs/>
      <w:iCs/>
      <w:szCs w:val="28"/>
    </w:rPr>
  </w:style>
  <w:style w:type="paragraph" w:styleId="Heading3">
    <w:name w:val="heading 3"/>
    <w:basedOn w:val="Normal"/>
    <w:next w:val="Normal"/>
    <w:link w:val="Heading3Char"/>
    <w:qFormat/>
    <w:rsid w:val="00BD7018"/>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2274E"/>
    <w:pPr>
      <w:tabs>
        <w:tab w:val="right" w:leader="dot" w:pos="8630"/>
      </w:tabs>
      <w:jc w:val="center"/>
    </w:pPr>
    <w:rPr>
      <w:b/>
      <w:bCs/>
      <w:noProof/>
    </w:rPr>
  </w:style>
  <w:style w:type="paragraph" w:styleId="TOC2">
    <w:name w:val="toc 2"/>
    <w:basedOn w:val="Normal"/>
    <w:next w:val="Normal"/>
    <w:autoRedefine/>
    <w:uiPriority w:val="39"/>
    <w:rsid w:val="00A52912"/>
    <w:pPr>
      <w:tabs>
        <w:tab w:val="right" w:leader="dot" w:pos="8630"/>
      </w:tabs>
      <w:ind w:left="240"/>
    </w:pPr>
    <w:rPr>
      <w:rFonts w:cs="Times New Roman"/>
      <w:b/>
      <w:bCs/>
      <w:noProof/>
    </w:rPr>
  </w:style>
  <w:style w:type="paragraph" w:styleId="TOC3">
    <w:name w:val="toc 3"/>
    <w:basedOn w:val="Normal"/>
    <w:next w:val="Normal"/>
    <w:autoRedefine/>
    <w:uiPriority w:val="39"/>
    <w:rsid w:val="006A3EB6"/>
    <w:pPr>
      <w:tabs>
        <w:tab w:val="right" w:leader="dot" w:pos="8630"/>
      </w:tabs>
      <w:spacing w:line="480" w:lineRule="auto"/>
      <w:ind w:left="480"/>
    </w:pPr>
    <w:rPr>
      <w:rFonts w:cs="Times New Roman"/>
      <w:b/>
      <w:bCs/>
      <w:i/>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BD7018"/>
    <w:rPr>
      <w:rFonts w:cs="Arial"/>
      <w:b/>
      <w:bCs/>
      <w:caps/>
      <w:sz w:val="24"/>
      <w:szCs w:val="24"/>
    </w:rPr>
  </w:style>
  <w:style w:type="character" w:customStyle="1" w:styleId="Heading3Char">
    <w:name w:val="Heading 3 Char"/>
    <w:link w:val="Heading3"/>
    <w:rsid w:val="00BD7018"/>
    <w:rPr>
      <w:rFonts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A48EE"/>
    <w:rPr>
      <w:sz w:val="16"/>
      <w:szCs w:val="16"/>
    </w:rPr>
  </w:style>
  <w:style w:type="paragraph" w:styleId="CommentText">
    <w:name w:val="annotation text"/>
    <w:basedOn w:val="Normal"/>
    <w:link w:val="CommentTextChar"/>
    <w:uiPriority w:val="99"/>
    <w:semiHidden/>
    <w:unhideWhenUsed/>
    <w:rsid w:val="002A48EE"/>
    <w:rPr>
      <w:sz w:val="20"/>
      <w:szCs w:val="20"/>
    </w:rPr>
  </w:style>
  <w:style w:type="character" w:customStyle="1" w:styleId="CommentTextChar">
    <w:name w:val="Comment Text Char"/>
    <w:basedOn w:val="DefaultParagraphFont"/>
    <w:link w:val="CommentText"/>
    <w:uiPriority w:val="99"/>
    <w:semiHidden/>
    <w:rsid w:val="002A48EE"/>
    <w:rPr>
      <w:rFonts w:ascii="Arial" w:hAnsi="Arial" w:cs="Arial"/>
    </w:rPr>
  </w:style>
  <w:style w:type="paragraph" w:styleId="CommentSubject">
    <w:name w:val="annotation subject"/>
    <w:basedOn w:val="CommentText"/>
    <w:next w:val="CommentText"/>
    <w:link w:val="CommentSubjectChar"/>
    <w:uiPriority w:val="99"/>
    <w:semiHidden/>
    <w:unhideWhenUsed/>
    <w:rsid w:val="002A48EE"/>
    <w:rPr>
      <w:b/>
      <w:bCs/>
    </w:rPr>
  </w:style>
  <w:style w:type="character" w:customStyle="1" w:styleId="CommentSubjectChar">
    <w:name w:val="Comment Subject Char"/>
    <w:basedOn w:val="CommentTextChar"/>
    <w:link w:val="CommentSubject"/>
    <w:uiPriority w:val="99"/>
    <w:semiHidden/>
    <w:rsid w:val="002A48EE"/>
    <w:rPr>
      <w:rFonts w:ascii="Arial" w:hAnsi="Arial" w:cs="Arial"/>
      <w:b/>
      <w:bCs/>
    </w:rPr>
  </w:style>
  <w:style w:type="paragraph" w:styleId="NormalWeb">
    <w:name w:val="Normal (Web)"/>
    <w:basedOn w:val="Normal"/>
    <w:uiPriority w:val="99"/>
    <w:unhideWhenUsed/>
    <w:rsid w:val="001D4ABE"/>
    <w:pPr>
      <w:spacing w:before="100" w:beforeAutospacing="1" w:after="100" w:afterAutospacing="1"/>
    </w:pPr>
    <w:rPr>
      <w:rFonts w:cs="Times New Roman"/>
    </w:rPr>
  </w:style>
  <w:style w:type="character" w:styleId="LineNumber">
    <w:name w:val="line number"/>
    <w:basedOn w:val="DefaultParagraphFont"/>
    <w:uiPriority w:val="99"/>
    <w:semiHidden/>
    <w:unhideWhenUsed/>
    <w:rsid w:val="001D4ABE"/>
  </w:style>
  <w:style w:type="character" w:styleId="Strong">
    <w:name w:val="Strong"/>
    <w:aliases w:val="Heading 4 (Tables &amp; Figures)"/>
    <w:basedOn w:val="DefaultParagraphFont"/>
    <w:qFormat/>
    <w:rsid w:val="007452FC"/>
    <w:rPr>
      <w:rFonts w:ascii="Times New Roman" w:hAnsi="Times New Roman"/>
      <w:b/>
      <w:bCs/>
      <w:sz w:val="24"/>
    </w:rPr>
  </w:style>
  <w:style w:type="character" w:customStyle="1" w:styleId="apple-tab-span">
    <w:name w:val="apple-tab-span"/>
    <w:basedOn w:val="DefaultParagraphFont"/>
    <w:rsid w:val="00866F72"/>
  </w:style>
  <w:style w:type="paragraph" w:styleId="BalloonText">
    <w:name w:val="Balloon Text"/>
    <w:basedOn w:val="Normal"/>
    <w:link w:val="BalloonTextChar"/>
    <w:uiPriority w:val="99"/>
    <w:semiHidden/>
    <w:unhideWhenUsed/>
    <w:rsid w:val="00866F72"/>
    <w:pPr>
      <w:spacing w:line="480" w:lineRule="auto"/>
    </w:pPr>
    <w:rPr>
      <w:rFonts w:eastAsiaTheme="minorHAnsi" w:cs="Times New Roman"/>
      <w:sz w:val="18"/>
      <w:szCs w:val="18"/>
    </w:rPr>
  </w:style>
  <w:style w:type="character" w:customStyle="1" w:styleId="BalloonTextChar">
    <w:name w:val="Balloon Text Char"/>
    <w:basedOn w:val="DefaultParagraphFont"/>
    <w:link w:val="BalloonText"/>
    <w:uiPriority w:val="99"/>
    <w:semiHidden/>
    <w:rsid w:val="00866F72"/>
    <w:rPr>
      <w:rFonts w:eastAsiaTheme="minorHAnsi"/>
      <w:sz w:val="18"/>
      <w:szCs w:val="18"/>
    </w:rPr>
  </w:style>
  <w:style w:type="paragraph" w:customStyle="1" w:styleId="Affiliations">
    <w:name w:val="Affiliations"/>
    <w:basedOn w:val="Normal"/>
    <w:rsid w:val="00866F72"/>
    <w:pPr>
      <w:spacing w:before="240" w:line="480" w:lineRule="auto"/>
    </w:pPr>
    <w:rPr>
      <w:rFonts w:cs="Times New Roman"/>
      <w:sz w:val="20"/>
      <w:szCs w:val="20"/>
    </w:rPr>
  </w:style>
  <w:style w:type="paragraph" w:customStyle="1" w:styleId="Abbreviations">
    <w:name w:val="Abbreviations"/>
    <w:basedOn w:val="Normal"/>
    <w:rsid w:val="00866F72"/>
    <w:pPr>
      <w:spacing w:before="120" w:line="480" w:lineRule="auto"/>
    </w:pPr>
    <w:rPr>
      <w:rFonts w:cs="Times New Roman"/>
      <w:sz w:val="20"/>
      <w:szCs w:val="20"/>
    </w:rPr>
  </w:style>
  <w:style w:type="paragraph" w:customStyle="1" w:styleId="ParaText">
    <w:name w:val="Para_Text"/>
    <w:link w:val="ParaTextChar"/>
    <w:rsid w:val="00866F72"/>
    <w:pPr>
      <w:spacing w:before="120" w:line="480" w:lineRule="auto"/>
      <w:ind w:firstLine="360"/>
    </w:pPr>
    <w:rPr>
      <w:sz w:val="24"/>
    </w:rPr>
  </w:style>
  <w:style w:type="character" w:customStyle="1" w:styleId="ParaTextChar">
    <w:name w:val="Para_Text Char"/>
    <w:basedOn w:val="DefaultParagraphFont"/>
    <w:link w:val="ParaText"/>
    <w:rsid w:val="00866F72"/>
    <w:rPr>
      <w:sz w:val="24"/>
    </w:rPr>
  </w:style>
  <w:style w:type="paragraph" w:styleId="ListParagraph">
    <w:name w:val="List Paragraph"/>
    <w:basedOn w:val="Normal"/>
    <w:uiPriority w:val="34"/>
    <w:qFormat/>
    <w:rsid w:val="00866F72"/>
    <w:pPr>
      <w:spacing w:line="480" w:lineRule="auto"/>
      <w:ind w:left="720"/>
      <w:contextualSpacing/>
    </w:pPr>
    <w:rPr>
      <w:rFonts w:asciiTheme="minorHAnsi" w:eastAsiaTheme="minorHAnsi" w:hAnsiTheme="minorHAnsi" w:cstheme="minorBidi"/>
    </w:rPr>
  </w:style>
  <w:style w:type="paragraph" w:styleId="Revision">
    <w:name w:val="Revision"/>
    <w:hidden/>
    <w:uiPriority w:val="99"/>
    <w:semiHidden/>
    <w:rsid w:val="00866F72"/>
    <w:pPr>
      <w:spacing w:line="480" w:lineRule="auto"/>
    </w:pPr>
    <w:rPr>
      <w:sz w:val="24"/>
      <w:szCs w:val="24"/>
    </w:rPr>
  </w:style>
  <w:style w:type="character" w:styleId="FollowedHyperlink">
    <w:name w:val="FollowedHyperlink"/>
    <w:basedOn w:val="DefaultParagraphFont"/>
    <w:uiPriority w:val="99"/>
    <w:semiHidden/>
    <w:unhideWhenUsed/>
    <w:rsid w:val="00866F72"/>
    <w:rPr>
      <w:color w:val="800080" w:themeColor="followedHyperlink"/>
      <w:u w:val="single"/>
    </w:rPr>
  </w:style>
  <w:style w:type="paragraph" w:styleId="FootnoteText">
    <w:name w:val="footnote text"/>
    <w:basedOn w:val="Normal"/>
    <w:link w:val="FootnoteTextChar"/>
    <w:uiPriority w:val="99"/>
    <w:semiHidden/>
    <w:unhideWhenUsed/>
    <w:rsid w:val="00866F72"/>
    <w:pPr>
      <w:spacing w:line="480" w:lineRule="auto"/>
    </w:pPr>
    <w:rPr>
      <w:rFonts w:cs="Times New Roman"/>
      <w:sz w:val="20"/>
      <w:szCs w:val="20"/>
    </w:rPr>
  </w:style>
  <w:style w:type="character" w:customStyle="1" w:styleId="FootnoteTextChar">
    <w:name w:val="Footnote Text Char"/>
    <w:basedOn w:val="DefaultParagraphFont"/>
    <w:link w:val="FootnoteText"/>
    <w:uiPriority w:val="99"/>
    <w:semiHidden/>
    <w:rsid w:val="00866F72"/>
  </w:style>
  <w:style w:type="character" w:styleId="FootnoteReference">
    <w:name w:val="footnote reference"/>
    <w:basedOn w:val="DefaultParagraphFont"/>
    <w:uiPriority w:val="99"/>
    <w:semiHidden/>
    <w:unhideWhenUsed/>
    <w:rsid w:val="00866F72"/>
    <w:rPr>
      <w:vertAlign w:val="superscript"/>
    </w:rPr>
  </w:style>
  <w:style w:type="character" w:customStyle="1" w:styleId="HeaderChar">
    <w:name w:val="Header Char"/>
    <w:basedOn w:val="DefaultParagraphFont"/>
    <w:link w:val="Header"/>
    <w:uiPriority w:val="99"/>
    <w:rsid w:val="00866F72"/>
    <w:rPr>
      <w:rFonts w:cs="Arial"/>
      <w:sz w:val="24"/>
      <w:szCs w:val="24"/>
    </w:rPr>
  </w:style>
  <w:style w:type="character" w:customStyle="1" w:styleId="normaltextrun">
    <w:name w:val="normaltextrun"/>
    <w:basedOn w:val="DefaultParagraphFont"/>
    <w:rsid w:val="00866F72"/>
  </w:style>
  <w:style w:type="character" w:customStyle="1" w:styleId="author">
    <w:name w:val="author"/>
    <w:basedOn w:val="DefaultParagraphFont"/>
    <w:rsid w:val="00866F72"/>
  </w:style>
  <w:style w:type="character" w:customStyle="1" w:styleId="pubyear">
    <w:name w:val="pubyear"/>
    <w:basedOn w:val="DefaultParagraphFont"/>
    <w:rsid w:val="00866F72"/>
  </w:style>
  <w:style w:type="character" w:customStyle="1" w:styleId="articletitle">
    <w:name w:val="articletitle"/>
    <w:basedOn w:val="DefaultParagraphFont"/>
    <w:rsid w:val="00866F72"/>
  </w:style>
  <w:style w:type="character" w:customStyle="1" w:styleId="vol">
    <w:name w:val="vol"/>
    <w:basedOn w:val="DefaultParagraphFont"/>
    <w:rsid w:val="00866F72"/>
  </w:style>
  <w:style w:type="character" w:styleId="PlaceholderText">
    <w:name w:val="Placeholder Text"/>
    <w:basedOn w:val="DefaultParagraphFont"/>
    <w:uiPriority w:val="99"/>
    <w:semiHidden/>
    <w:rsid w:val="00866F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ms.net/ldat/ldAMK018.pdf" TargetMode="External"/><Relationship Id="rId18" Type="http://schemas.openxmlformats.org/officeDocument/2006/relationships/image" Target="media/image1.emf"/><Relationship Id="rId26" Type="http://schemas.openxmlformats.org/officeDocument/2006/relationships/hyperlink" Target="https://www.cdms.net/ldat/ldEP2011.pdf" TargetMode="External"/><Relationship Id="rId39" Type="http://schemas.openxmlformats.org/officeDocument/2006/relationships/fontTable" Target="fontTable.xml"/><Relationship Id="rId21" Type="http://schemas.openxmlformats.org/officeDocument/2006/relationships/hyperlink" Target="https://www.cdms.net/ldat/ld867008.pdf" TargetMode="External"/><Relationship Id="rId34" Type="http://schemas.openxmlformats.org/officeDocument/2006/relationships/hyperlink" Target="https://doi.org/10.1002/cft2.20218" TargetMode="External"/><Relationship Id="rId7" Type="http://schemas.openxmlformats.org/officeDocument/2006/relationships/settings" Target="settings.xml"/><Relationship Id="rId12" Type="http://schemas.openxmlformats.org/officeDocument/2006/relationships/hyperlink" Target="https://www.cdms.net/ldat/ld5JC006.pdf" TargetMode="External"/><Relationship Id="rId17" Type="http://schemas.openxmlformats.org/officeDocument/2006/relationships/hyperlink" Target="https://wssa.net/wp-content/uploads/2020-Weed-Survey_grass-crops.xlsx" TargetMode="External"/><Relationship Id="rId25" Type="http://schemas.openxmlformats.org/officeDocument/2006/relationships/hyperlink" Target="https://www.cdms.net/ldat/ldAE3001.pdf" TargetMode="External"/><Relationship Id="rId33" Type="http://schemas.openxmlformats.org/officeDocument/2006/relationships/image" Target="media/image5.jpeg"/><Relationship Id="rId38"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doi.org/10.1111/tpj.15040" TargetMode="External"/><Relationship Id="rId20" Type="http://schemas.openxmlformats.org/officeDocument/2006/relationships/hyperlink" Target="https://www.ecfr.gov/current/title-40/chapter-I/subchapter-E/part-158" TargetMode="External"/><Relationship Id="rId29" Type="http://schemas.openxmlformats.org/officeDocument/2006/relationships/hyperlink" Target="https://www.epa.gov/test-guidelines-pesticides-and-toxic-substances/series-835-fate-transport-and-transformation-te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cdms.net/ldat/ld3BO000.pdf" TargetMode="External"/><Relationship Id="rId32" Type="http://schemas.openxmlformats.org/officeDocument/2006/relationships/image" Target="media/image4.emf"/><Relationship Id="rId37" Type="http://schemas.openxmlformats.org/officeDocument/2006/relationships/image" Target="media/image8.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7287/peerj.preprints.1404v1" TargetMode="External"/><Relationship Id="rId23" Type="http://schemas.openxmlformats.org/officeDocument/2006/relationships/hyperlink" Target="https://www.cdms.net/ldat/ldEF9000.pdf" TargetMode="External"/><Relationship Id="rId28" Type="http://schemas.openxmlformats.org/officeDocument/2006/relationships/hyperlink" Target="https://www.cdms.net/ldat/ldJEP000.pdf"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ps.5534" TargetMode="External"/><Relationship Id="rId22" Type="http://schemas.openxmlformats.org/officeDocument/2006/relationships/hyperlink" Target="https://www.ecfr.gov/current/title-40/chapter-I/subchapter-E/part-156" TargetMode="External"/><Relationship Id="rId27" Type="http://schemas.openxmlformats.org/officeDocument/2006/relationships/hyperlink" Target="https://www.cdms.net/ldat/ld280014.pdf" TargetMode="External"/><Relationship Id="rId30" Type="http://schemas.openxmlformats.org/officeDocument/2006/relationships/hyperlink" Target="https://archive.lib.msu.edu/tic/usgamisc/monos/2018recommendationsmethodputtinggreen.pdf" TargetMode="External"/><Relationship Id="rId35" Type="http://schemas.openxmlformats.org/officeDocument/2006/relationships/image" Target="media/image6.pn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2.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4.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docProps/app.xml><?xml version="1.0" encoding="utf-8"?>
<Properties xmlns="http://schemas.openxmlformats.org/officeDocument/2006/extended-properties" xmlns:vt="http://schemas.openxmlformats.org/officeDocument/2006/docPropsVTypes">
  <Template>multipart-te</Template>
  <TotalTime>107</TotalTime>
  <Pages>76</Pages>
  <Words>17522</Words>
  <Characters>109516</Characters>
  <Application>Microsoft Office Word</Application>
  <DocSecurity>0</DocSecurity>
  <Lines>1441</Lines>
  <Paragraphs>47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126991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Pritchard, Benjamin</dc:creator>
  <cp:lastModifiedBy>Sherman, Abby</cp:lastModifiedBy>
  <cp:revision>52</cp:revision>
  <dcterms:created xsi:type="dcterms:W3CDTF">2025-04-23T21:33:00Z</dcterms:created>
  <dcterms:modified xsi:type="dcterms:W3CDTF">2025-04-28T17:19:00Z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