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299D26" w14:textId="18D44985" w:rsidR="00DF24BA" w:rsidRPr="00DF24BA" w:rsidRDefault="00DF24BA" w:rsidP="00982006">
      <w:pPr>
        <w:spacing w:line="480" w:lineRule="auto"/>
        <w:jc w:val="center"/>
        <w:rPr>
          <w:b/>
          <w:sz w:val="28"/>
          <w:lang w:val="en-CA"/>
        </w:rPr>
      </w:pPr>
      <w:r w:rsidRPr="00DF24BA">
        <w:rPr>
          <w:b/>
          <w:sz w:val="28"/>
          <w:lang w:val="en-CA"/>
        </w:rPr>
        <w:t xml:space="preserve">Anti-inflammatory </w:t>
      </w:r>
      <w:r w:rsidR="00B26C38">
        <w:rPr>
          <w:b/>
          <w:sz w:val="28"/>
          <w:lang w:val="en-CA"/>
        </w:rPr>
        <w:t xml:space="preserve">and </w:t>
      </w:r>
      <w:r w:rsidR="00D92265">
        <w:rPr>
          <w:b/>
          <w:sz w:val="28"/>
          <w:lang w:val="en-CA"/>
        </w:rPr>
        <w:t xml:space="preserve">chemopreventive </w:t>
      </w:r>
      <w:r w:rsidR="008513A1">
        <w:rPr>
          <w:b/>
          <w:sz w:val="28"/>
          <w:lang w:val="en-CA"/>
        </w:rPr>
        <w:t>activity</w:t>
      </w:r>
      <w:r w:rsidRPr="00DF24BA">
        <w:rPr>
          <w:b/>
          <w:sz w:val="28"/>
          <w:lang w:val="en-CA"/>
        </w:rPr>
        <w:t xml:space="preserve"> of </w:t>
      </w:r>
      <w:r w:rsidR="00D92265">
        <w:rPr>
          <w:b/>
          <w:sz w:val="28"/>
          <w:lang w:val="en-CA"/>
        </w:rPr>
        <w:t>l</w:t>
      </w:r>
      <w:r w:rsidRPr="00DF24BA">
        <w:rPr>
          <w:b/>
          <w:sz w:val="28"/>
          <w:lang w:val="en-CA"/>
        </w:rPr>
        <w:t xml:space="preserve">unasin </w:t>
      </w:r>
      <w:r w:rsidR="008513A1">
        <w:rPr>
          <w:b/>
          <w:sz w:val="28"/>
          <w:lang w:val="en-CA"/>
        </w:rPr>
        <w:t xml:space="preserve">from tofu </w:t>
      </w:r>
      <w:r w:rsidR="008513A1" w:rsidRPr="00A909CB">
        <w:rPr>
          <w:b/>
          <w:sz w:val="28"/>
          <w:lang w:val="en-CA"/>
        </w:rPr>
        <w:t xml:space="preserve">whey </w:t>
      </w:r>
      <w:r w:rsidR="00B634D9" w:rsidRPr="00A909CB">
        <w:rPr>
          <w:b/>
          <w:sz w:val="28"/>
          <w:lang w:val="en-CA"/>
        </w:rPr>
        <w:t>for the management of</w:t>
      </w:r>
      <w:r w:rsidRPr="00A909CB">
        <w:rPr>
          <w:b/>
          <w:sz w:val="28"/>
          <w:lang w:val="en-CA"/>
        </w:rPr>
        <w:t xml:space="preserve"> </w:t>
      </w:r>
      <w:r w:rsidR="00D92265" w:rsidRPr="00A909CB">
        <w:rPr>
          <w:b/>
          <w:sz w:val="28"/>
          <w:lang w:val="en-CA"/>
        </w:rPr>
        <w:t>gastrointestinal</w:t>
      </w:r>
      <w:r w:rsidR="008513A1">
        <w:rPr>
          <w:b/>
          <w:sz w:val="28"/>
          <w:lang w:val="en-CA"/>
        </w:rPr>
        <w:t xml:space="preserve"> disease</w:t>
      </w:r>
      <w:r w:rsidR="00D92265">
        <w:rPr>
          <w:b/>
          <w:sz w:val="28"/>
          <w:lang w:val="en-CA"/>
        </w:rPr>
        <w:t>s</w:t>
      </w:r>
    </w:p>
    <w:p w14:paraId="567E7493" w14:textId="77777777" w:rsidR="003D07F7" w:rsidRPr="00387656" w:rsidRDefault="00DD00DE" w:rsidP="00982006">
      <w:pPr>
        <w:spacing w:line="480" w:lineRule="auto"/>
      </w:pPr>
      <w:r w:rsidRPr="00387656">
        <w:tab/>
      </w:r>
    </w:p>
    <w:p w14:paraId="47E2E1CD" w14:textId="1313A336" w:rsidR="00387656" w:rsidRDefault="00387656" w:rsidP="00982006">
      <w:pPr>
        <w:spacing w:line="480" w:lineRule="auto"/>
      </w:pPr>
    </w:p>
    <w:p w14:paraId="73691113" w14:textId="77777777" w:rsidR="00982006" w:rsidRDefault="00982006" w:rsidP="00982006">
      <w:pPr>
        <w:spacing w:line="480" w:lineRule="auto"/>
      </w:pPr>
    </w:p>
    <w:p w14:paraId="65FD5A66" w14:textId="77777777" w:rsidR="00387656" w:rsidRDefault="00387656" w:rsidP="00982006">
      <w:pPr>
        <w:spacing w:line="480" w:lineRule="auto"/>
      </w:pPr>
    </w:p>
    <w:p w14:paraId="629BD038" w14:textId="77777777" w:rsidR="00236E6D" w:rsidRPr="00387656" w:rsidRDefault="00236E6D" w:rsidP="00982006">
      <w:pPr>
        <w:spacing w:line="480" w:lineRule="auto"/>
      </w:pPr>
    </w:p>
    <w:p w14:paraId="0E8FDDEC" w14:textId="77777777" w:rsidR="00236E6D" w:rsidRPr="00387656" w:rsidRDefault="00236E6D" w:rsidP="00982006">
      <w:pPr>
        <w:spacing w:line="480" w:lineRule="auto"/>
      </w:pPr>
    </w:p>
    <w:p w14:paraId="40415797" w14:textId="77777777" w:rsidR="00236E6D" w:rsidRPr="00387656" w:rsidRDefault="00236E6D" w:rsidP="00982006">
      <w:pPr>
        <w:spacing w:line="480" w:lineRule="auto"/>
      </w:pPr>
    </w:p>
    <w:p w14:paraId="25C9FFD1" w14:textId="2C0717A1" w:rsidR="00236E6D" w:rsidRPr="00387656" w:rsidRDefault="009C755C" w:rsidP="00982006">
      <w:pPr>
        <w:spacing w:line="480" w:lineRule="auto"/>
        <w:jc w:val="center"/>
      </w:pPr>
      <w:r w:rsidRPr="00387656">
        <w:t xml:space="preserve">A </w:t>
      </w:r>
      <w:r w:rsidR="007355A4">
        <w:t>Dissertation</w:t>
      </w:r>
      <w:r w:rsidR="007355A4" w:rsidRPr="00387656">
        <w:t xml:space="preserve"> </w:t>
      </w:r>
      <w:r w:rsidRPr="00387656">
        <w:t>Presented for</w:t>
      </w:r>
      <w:r w:rsidR="008865B6" w:rsidRPr="00387656">
        <w:t xml:space="preserve"> the</w:t>
      </w:r>
    </w:p>
    <w:p w14:paraId="5167C519" w14:textId="77777777" w:rsidR="009C755C" w:rsidRPr="00387656" w:rsidRDefault="00DF24BA" w:rsidP="00982006">
      <w:pPr>
        <w:spacing w:line="480" w:lineRule="auto"/>
        <w:jc w:val="center"/>
      </w:pPr>
      <w:r>
        <w:t>Doctor of Philosophy</w:t>
      </w:r>
    </w:p>
    <w:p w14:paraId="15013790" w14:textId="77777777" w:rsidR="009C755C" w:rsidRPr="00387656" w:rsidRDefault="009C755C" w:rsidP="00982006">
      <w:pPr>
        <w:spacing w:line="480" w:lineRule="auto"/>
        <w:jc w:val="center"/>
      </w:pPr>
      <w:r w:rsidRPr="00387656">
        <w:t>Degree</w:t>
      </w:r>
    </w:p>
    <w:p w14:paraId="6ABD3CDE" w14:textId="77777777" w:rsidR="009C755C" w:rsidRPr="00387656" w:rsidRDefault="009C755C" w:rsidP="00982006">
      <w:pPr>
        <w:spacing w:line="480" w:lineRule="auto"/>
        <w:jc w:val="center"/>
      </w:pPr>
      <w:r w:rsidRPr="00387656">
        <w:t>The University of Tennessee, Knoxville</w:t>
      </w:r>
    </w:p>
    <w:p w14:paraId="78D4FB45" w14:textId="77777777" w:rsidR="00387656" w:rsidRDefault="00387656" w:rsidP="00982006">
      <w:pPr>
        <w:spacing w:line="480" w:lineRule="auto"/>
        <w:jc w:val="center"/>
      </w:pPr>
    </w:p>
    <w:p w14:paraId="1DB8721E" w14:textId="77777777" w:rsidR="00387656" w:rsidRDefault="00387656" w:rsidP="00982006">
      <w:pPr>
        <w:spacing w:line="480" w:lineRule="auto"/>
        <w:jc w:val="center"/>
      </w:pPr>
    </w:p>
    <w:p w14:paraId="196EABF4" w14:textId="77777777" w:rsidR="00236E6D" w:rsidRPr="00387656" w:rsidRDefault="00236E6D" w:rsidP="00982006">
      <w:pPr>
        <w:spacing w:line="480" w:lineRule="auto"/>
        <w:jc w:val="center"/>
      </w:pPr>
    </w:p>
    <w:p w14:paraId="45C76F54" w14:textId="14898420" w:rsidR="00236E6D" w:rsidRDefault="00236E6D" w:rsidP="00982006">
      <w:pPr>
        <w:spacing w:line="480" w:lineRule="auto"/>
        <w:jc w:val="center"/>
      </w:pPr>
    </w:p>
    <w:p w14:paraId="7A9E7CC3" w14:textId="2D254D70" w:rsidR="00982006" w:rsidRDefault="00982006" w:rsidP="00982006">
      <w:pPr>
        <w:spacing w:line="480" w:lineRule="auto"/>
        <w:jc w:val="center"/>
      </w:pPr>
    </w:p>
    <w:p w14:paraId="2192AD6B" w14:textId="77777777" w:rsidR="00982006" w:rsidRPr="00387656" w:rsidRDefault="00982006" w:rsidP="00982006">
      <w:pPr>
        <w:spacing w:line="480" w:lineRule="auto"/>
        <w:jc w:val="center"/>
      </w:pPr>
    </w:p>
    <w:p w14:paraId="0F06D27E" w14:textId="77777777" w:rsidR="00236E6D" w:rsidRPr="00387656" w:rsidRDefault="00236E6D" w:rsidP="00982006">
      <w:pPr>
        <w:spacing w:line="480" w:lineRule="auto"/>
        <w:jc w:val="center"/>
      </w:pPr>
    </w:p>
    <w:p w14:paraId="13C5F19C" w14:textId="77777777" w:rsidR="00236E6D" w:rsidRPr="00387656" w:rsidRDefault="00DF24BA" w:rsidP="00982006">
      <w:pPr>
        <w:spacing w:line="480" w:lineRule="auto"/>
        <w:jc w:val="center"/>
      </w:pPr>
      <w:r>
        <w:t>Cindy Andrea Nieto Veloza</w:t>
      </w:r>
    </w:p>
    <w:p w14:paraId="793D5986" w14:textId="27224359" w:rsidR="00526151" w:rsidRDefault="007355A4" w:rsidP="00982006">
      <w:pPr>
        <w:spacing w:line="480" w:lineRule="auto"/>
        <w:jc w:val="center"/>
      </w:pPr>
      <w:r>
        <w:t>August</w:t>
      </w:r>
      <w:r w:rsidR="009C755C" w:rsidRPr="00387656">
        <w:t xml:space="preserve"> </w:t>
      </w:r>
      <w:r w:rsidR="003D07F7" w:rsidRPr="00387656">
        <w:t>2</w:t>
      </w:r>
      <w:r w:rsidR="00D73F4D" w:rsidRPr="00387656">
        <w:t>0</w:t>
      </w:r>
      <w:r w:rsidR="00DF24BA">
        <w:t>21</w:t>
      </w:r>
    </w:p>
    <w:p w14:paraId="7B8F52D6" w14:textId="73FC48DF" w:rsidR="00916B9A" w:rsidRDefault="00387656" w:rsidP="00916B9A">
      <w:pPr>
        <w:spacing w:line="480" w:lineRule="auto"/>
        <w:jc w:val="center"/>
      </w:pPr>
      <w:r>
        <w:br w:type="page"/>
      </w:r>
      <w:r w:rsidR="00916B9A">
        <w:lastRenderedPageBreak/>
        <w:t>Copyright © 2021 by Cindy Andrea Nieto Veloza.</w:t>
      </w:r>
    </w:p>
    <w:p w14:paraId="4469E157" w14:textId="77777777" w:rsidR="00916B9A" w:rsidRDefault="00916B9A" w:rsidP="00916B9A">
      <w:pPr>
        <w:spacing w:line="480" w:lineRule="auto"/>
        <w:jc w:val="center"/>
      </w:pPr>
      <w:r>
        <w:t>All rights reserved.</w:t>
      </w:r>
    </w:p>
    <w:p w14:paraId="164794E5" w14:textId="2CF69B5A" w:rsidR="00916B9A" w:rsidRPr="00173C38" w:rsidRDefault="00916B9A" w:rsidP="00916B9A">
      <w:pPr>
        <w:spacing w:line="480" w:lineRule="auto"/>
        <w:jc w:val="center"/>
        <w:rPr>
          <w:b/>
        </w:rPr>
      </w:pPr>
      <w:r>
        <w:br w:type="page"/>
      </w:r>
      <w:r w:rsidRPr="00173C38">
        <w:rPr>
          <w:b/>
        </w:rPr>
        <w:lastRenderedPageBreak/>
        <w:t>DEDICATION</w:t>
      </w:r>
    </w:p>
    <w:p w14:paraId="5327CD16" w14:textId="77777777" w:rsidR="00916B9A" w:rsidRPr="005978F0" w:rsidRDefault="00916B9A" w:rsidP="00916B9A">
      <w:pPr>
        <w:spacing w:line="480" w:lineRule="auto"/>
        <w:jc w:val="center"/>
        <w:rPr>
          <w:color w:val="000000" w:themeColor="text1"/>
        </w:rPr>
      </w:pPr>
      <w:r w:rsidRPr="005978F0">
        <w:rPr>
          <w:color w:val="000000" w:themeColor="text1"/>
        </w:rPr>
        <w:t xml:space="preserve">To my family and husband-to-be, the engine of my life and the best reason to dream, try, and achieve anything.  </w:t>
      </w:r>
    </w:p>
    <w:p w14:paraId="5796DB2A" w14:textId="38F3B22A" w:rsidR="00916B9A" w:rsidRDefault="00916B9A"/>
    <w:p w14:paraId="36413AE7" w14:textId="77777777" w:rsidR="00916B9A" w:rsidRDefault="00916B9A">
      <w:pPr>
        <w:rPr>
          <w:b/>
        </w:rPr>
      </w:pPr>
      <w:r>
        <w:rPr>
          <w:b/>
        </w:rPr>
        <w:br w:type="page"/>
      </w:r>
    </w:p>
    <w:p w14:paraId="5416B1CF" w14:textId="7806C1AE" w:rsidR="00CD73A9" w:rsidRDefault="00CD73A9" w:rsidP="00982006">
      <w:pPr>
        <w:spacing w:line="480" w:lineRule="auto"/>
        <w:jc w:val="center"/>
        <w:rPr>
          <w:b/>
        </w:rPr>
      </w:pPr>
      <w:r w:rsidRPr="00173C38">
        <w:rPr>
          <w:b/>
        </w:rPr>
        <w:lastRenderedPageBreak/>
        <w:t>ACKNOWLEDGEMENTS</w:t>
      </w:r>
    </w:p>
    <w:p w14:paraId="3D9E91D8" w14:textId="6166DBB7" w:rsidR="00C036D9" w:rsidRDefault="00C036D9" w:rsidP="00AD2D24">
      <w:pPr>
        <w:spacing w:line="480" w:lineRule="auto"/>
        <w:ind w:firstLine="720"/>
        <w:rPr>
          <w:color w:val="000000" w:themeColor="text1"/>
        </w:rPr>
      </w:pPr>
      <w:r w:rsidRPr="00876194">
        <w:rPr>
          <w:color w:val="000000" w:themeColor="text1"/>
        </w:rPr>
        <w:t>Fulbright and Minciencias</w:t>
      </w:r>
      <w:r>
        <w:rPr>
          <w:color w:val="000000" w:themeColor="text1"/>
        </w:rPr>
        <w:t>,</w:t>
      </w:r>
      <w:r w:rsidRPr="00876194">
        <w:rPr>
          <w:color w:val="000000" w:themeColor="text1"/>
        </w:rPr>
        <w:t xml:space="preserve"> for the </w:t>
      </w:r>
      <w:r w:rsidR="00982006">
        <w:rPr>
          <w:color w:val="000000" w:themeColor="text1"/>
        </w:rPr>
        <w:t>economic</w:t>
      </w:r>
      <w:r>
        <w:rPr>
          <w:color w:val="000000" w:themeColor="text1"/>
        </w:rPr>
        <w:t xml:space="preserve"> support, </w:t>
      </w:r>
      <w:r w:rsidRPr="00876194">
        <w:rPr>
          <w:color w:val="000000" w:themeColor="text1"/>
        </w:rPr>
        <w:t>making possible to pursue my PhD in the USA</w:t>
      </w:r>
      <w:r>
        <w:rPr>
          <w:color w:val="000000" w:themeColor="text1"/>
        </w:rPr>
        <w:t>.</w:t>
      </w:r>
      <w:r w:rsidRPr="00876194">
        <w:rPr>
          <w:color w:val="000000" w:themeColor="text1"/>
        </w:rPr>
        <w:t xml:space="preserve"> </w:t>
      </w:r>
      <w:r w:rsidR="00B634D9">
        <w:rPr>
          <w:color w:val="000000" w:themeColor="text1"/>
        </w:rPr>
        <w:t xml:space="preserve">The University of Tennessee Institute of Agriculture (UTIA) and the </w:t>
      </w:r>
      <w:r w:rsidR="004A3367">
        <w:rPr>
          <w:color w:val="000000" w:themeColor="text1"/>
        </w:rPr>
        <w:t>D</w:t>
      </w:r>
      <w:r w:rsidR="00B634D9">
        <w:rPr>
          <w:color w:val="000000" w:themeColor="text1"/>
        </w:rPr>
        <w:t xml:space="preserve">epartment of Food Science for granting me a </w:t>
      </w:r>
      <w:r w:rsidR="004A3367">
        <w:rPr>
          <w:color w:val="000000" w:themeColor="text1"/>
        </w:rPr>
        <w:t>t</w:t>
      </w:r>
      <w:r w:rsidR="00B634D9">
        <w:rPr>
          <w:color w:val="000000" w:themeColor="text1"/>
        </w:rPr>
        <w:t xml:space="preserve">eaching assistantship position and providing crucial financial support during my PhD. </w:t>
      </w:r>
      <w:r w:rsidRPr="00876194">
        <w:rPr>
          <w:color w:val="000000" w:themeColor="text1"/>
        </w:rPr>
        <w:t>Farm Foods LLC</w:t>
      </w:r>
      <w:r>
        <w:rPr>
          <w:color w:val="000000" w:themeColor="text1"/>
        </w:rPr>
        <w:t>,</w:t>
      </w:r>
      <w:r w:rsidRPr="00876194">
        <w:rPr>
          <w:color w:val="000000" w:themeColor="text1"/>
        </w:rPr>
        <w:t xml:space="preserve"> for kindly providing </w:t>
      </w:r>
      <w:r w:rsidR="00B634D9">
        <w:rPr>
          <w:color w:val="000000" w:themeColor="text1"/>
        </w:rPr>
        <w:t xml:space="preserve">all </w:t>
      </w:r>
      <w:r w:rsidRPr="00876194">
        <w:rPr>
          <w:color w:val="000000" w:themeColor="text1"/>
        </w:rPr>
        <w:t xml:space="preserve">the tofu </w:t>
      </w:r>
      <w:r w:rsidR="004A3367">
        <w:rPr>
          <w:color w:val="000000" w:themeColor="text1"/>
        </w:rPr>
        <w:t>w</w:t>
      </w:r>
      <w:r w:rsidR="004A3367" w:rsidRPr="00876194">
        <w:rPr>
          <w:color w:val="000000" w:themeColor="text1"/>
        </w:rPr>
        <w:t>hey</w:t>
      </w:r>
      <w:r w:rsidR="004A3367">
        <w:rPr>
          <w:color w:val="000000" w:themeColor="text1"/>
        </w:rPr>
        <w:t xml:space="preserve"> </w:t>
      </w:r>
      <w:r w:rsidR="00B634D9">
        <w:rPr>
          <w:color w:val="000000" w:themeColor="text1"/>
        </w:rPr>
        <w:t>required for my experiments</w:t>
      </w:r>
      <w:r w:rsidRPr="00876194">
        <w:rPr>
          <w:color w:val="000000" w:themeColor="text1"/>
        </w:rPr>
        <w:t>.</w:t>
      </w:r>
    </w:p>
    <w:p w14:paraId="0AA6C9B7" w14:textId="666C5F04" w:rsidR="0085757D" w:rsidRPr="00876194" w:rsidRDefault="002331A9" w:rsidP="00AD2D24">
      <w:pPr>
        <w:spacing w:line="480" w:lineRule="auto"/>
        <w:ind w:firstLine="720"/>
        <w:rPr>
          <w:color w:val="000000" w:themeColor="text1"/>
        </w:rPr>
      </w:pPr>
      <w:r w:rsidRPr="00876194">
        <w:rPr>
          <w:color w:val="000000" w:themeColor="text1"/>
        </w:rPr>
        <w:t>Dr. Vermont P. Dia</w:t>
      </w:r>
      <w:r w:rsidR="00B42A64" w:rsidRPr="00876194">
        <w:rPr>
          <w:color w:val="000000" w:themeColor="text1"/>
        </w:rPr>
        <w:t xml:space="preserve">, </w:t>
      </w:r>
      <w:r w:rsidR="003877FA">
        <w:rPr>
          <w:color w:val="000000" w:themeColor="text1"/>
        </w:rPr>
        <w:t xml:space="preserve">my major advisor, </w:t>
      </w:r>
      <w:r w:rsidRPr="00876194">
        <w:rPr>
          <w:color w:val="000000" w:themeColor="text1"/>
        </w:rPr>
        <w:t>for invaluable guidance throughout my research project</w:t>
      </w:r>
      <w:r w:rsidR="000B3D19" w:rsidRPr="00876194">
        <w:rPr>
          <w:color w:val="000000" w:themeColor="text1"/>
        </w:rPr>
        <w:t xml:space="preserve">, </w:t>
      </w:r>
      <w:r w:rsidR="00953FE3" w:rsidRPr="00876194">
        <w:rPr>
          <w:color w:val="000000" w:themeColor="text1"/>
        </w:rPr>
        <w:t xml:space="preserve">for </w:t>
      </w:r>
      <w:r w:rsidR="000B3D19" w:rsidRPr="00876194">
        <w:rPr>
          <w:color w:val="000000" w:themeColor="text1"/>
        </w:rPr>
        <w:t xml:space="preserve">accepting me as PhD student </w:t>
      </w:r>
      <w:r w:rsidR="002109CE" w:rsidRPr="00876194">
        <w:rPr>
          <w:color w:val="000000" w:themeColor="text1"/>
        </w:rPr>
        <w:t xml:space="preserve">even when I had no clue how to </w:t>
      </w:r>
      <w:r w:rsidR="001904A4" w:rsidRPr="00876194">
        <w:rPr>
          <w:color w:val="000000" w:themeColor="text1"/>
        </w:rPr>
        <w:t>handle</w:t>
      </w:r>
      <w:r w:rsidR="002109CE" w:rsidRPr="00876194">
        <w:rPr>
          <w:color w:val="000000" w:themeColor="text1"/>
        </w:rPr>
        <w:t xml:space="preserve"> cells or dare to touch a pet hamster</w:t>
      </w:r>
      <w:r w:rsidR="00876194" w:rsidRPr="00876194">
        <w:rPr>
          <w:color w:val="000000" w:themeColor="text1"/>
        </w:rPr>
        <w:t>,</w:t>
      </w:r>
      <w:r w:rsidR="000B3D19" w:rsidRPr="00876194">
        <w:rPr>
          <w:color w:val="000000" w:themeColor="text1"/>
        </w:rPr>
        <w:t xml:space="preserve"> </w:t>
      </w:r>
      <w:r w:rsidR="00C036D9">
        <w:rPr>
          <w:color w:val="000000" w:themeColor="text1"/>
        </w:rPr>
        <w:t>for</w:t>
      </w:r>
      <w:r w:rsidR="001904A4" w:rsidRPr="00876194">
        <w:rPr>
          <w:color w:val="000000" w:themeColor="text1"/>
        </w:rPr>
        <w:t xml:space="preserve"> </w:t>
      </w:r>
      <w:r w:rsidR="00953FE3" w:rsidRPr="00876194">
        <w:rPr>
          <w:color w:val="000000" w:themeColor="text1"/>
        </w:rPr>
        <w:t xml:space="preserve">training me </w:t>
      </w:r>
      <w:r w:rsidR="001904A4" w:rsidRPr="00876194">
        <w:rPr>
          <w:color w:val="000000" w:themeColor="text1"/>
        </w:rPr>
        <w:t>in</w:t>
      </w:r>
      <w:r w:rsidR="00953FE3" w:rsidRPr="00876194">
        <w:rPr>
          <w:color w:val="000000" w:themeColor="text1"/>
        </w:rPr>
        <w:t xml:space="preserve"> cell </w:t>
      </w:r>
      <w:r w:rsidR="002109CE" w:rsidRPr="00876194">
        <w:rPr>
          <w:color w:val="000000" w:themeColor="text1"/>
        </w:rPr>
        <w:t xml:space="preserve">and animal </w:t>
      </w:r>
      <w:r w:rsidR="00953FE3" w:rsidRPr="00876194">
        <w:rPr>
          <w:color w:val="000000" w:themeColor="text1"/>
        </w:rPr>
        <w:t xml:space="preserve">work, for having the door </w:t>
      </w:r>
      <w:r w:rsidR="000B3D19" w:rsidRPr="00876194">
        <w:rPr>
          <w:color w:val="000000" w:themeColor="text1"/>
        </w:rPr>
        <w:t>always</w:t>
      </w:r>
      <w:r w:rsidR="00953FE3" w:rsidRPr="00876194">
        <w:rPr>
          <w:color w:val="000000" w:themeColor="text1"/>
        </w:rPr>
        <w:t xml:space="preserve"> </w:t>
      </w:r>
      <w:r w:rsidR="00CA3A91" w:rsidRPr="00876194">
        <w:rPr>
          <w:color w:val="000000" w:themeColor="text1"/>
        </w:rPr>
        <w:t xml:space="preserve">open </w:t>
      </w:r>
      <w:r w:rsidR="009470B1" w:rsidRPr="00876194">
        <w:rPr>
          <w:color w:val="000000" w:themeColor="text1"/>
        </w:rPr>
        <w:t xml:space="preserve">for </w:t>
      </w:r>
      <w:r w:rsidR="00953FE3" w:rsidRPr="00876194">
        <w:rPr>
          <w:color w:val="000000" w:themeColor="text1"/>
        </w:rPr>
        <w:t xml:space="preserve">questions and </w:t>
      </w:r>
      <w:r w:rsidR="009470B1" w:rsidRPr="00876194">
        <w:rPr>
          <w:color w:val="000000" w:themeColor="text1"/>
        </w:rPr>
        <w:t>discussion</w:t>
      </w:r>
      <w:r w:rsidR="002109CE" w:rsidRPr="00876194">
        <w:rPr>
          <w:color w:val="000000" w:themeColor="text1"/>
        </w:rPr>
        <w:t xml:space="preserve">, </w:t>
      </w:r>
      <w:r w:rsidR="000B3D19" w:rsidRPr="00876194">
        <w:rPr>
          <w:color w:val="000000" w:themeColor="text1"/>
        </w:rPr>
        <w:t xml:space="preserve">for constant academic and professional advice, </w:t>
      </w:r>
      <w:r w:rsidR="002109CE" w:rsidRPr="00876194">
        <w:rPr>
          <w:color w:val="000000" w:themeColor="text1"/>
        </w:rPr>
        <w:t xml:space="preserve">and more than anything </w:t>
      </w:r>
      <w:r w:rsidRPr="00876194">
        <w:rPr>
          <w:color w:val="000000" w:themeColor="text1"/>
        </w:rPr>
        <w:t xml:space="preserve">for </w:t>
      </w:r>
      <w:r w:rsidR="00953FE3" w:rsidRPr="00876194">
        <w:rPr>
          <w:color w:val="000000" w:themeColor="text1"/>
        </w:rPr>
        <w:t>always</w:t>
      </w:r>
      <w:r w:rsidRPr="00876194">
        <w:rPr>
          <w:color w:val="000000" w:themeColor="text1"/>
        </w:rPr>
        <w:t xml:space="preserve"> having a huge smile, supporting words</w:t>
      </w:r>
      <w:r w:rsidR="00CA3A91" w:rsidRPr="00876194">
        <w:rPr>
          <w:color w:val="000000" w:themeColor="text1"/>
        </w:rPr>
        <w:t xml:space="preserve">, </w:t>
      </w:r>
      <w:r w:rsidR="00953FE3" w:rsidRPr="00876194">
        <w:rPr>
          <w:color w:val="000000" w:themeColor="text1"/>
        </w:rPr>
        <w:t>cheers,</w:t>
      </w:r>
      <w:r w:rsidR="00CA3A91" w:rsidRPr="00876194">
        <w:rPr>
          <w:color w:val="000000" w:themeColor="text1"/>
        </w:rPr>
        <w:t xml:space="preserve"> and encouragement </w:t>
      </w:r>
      <w:r w:rsidRPr="00876194">
        <w:rPr>
          <w:color w:val="000000" w:themeColor="text1"/>
        </w:rPr>
        <w:t xml:space="preserve">during the most challenging moments. </w:t>
      </w:r>
    </w:p>
    <w:p w14:paraId="2A282C6D" w14:textId="301AF59B" w:rsidR="00B42A64" w:rsidRPr="00876194" w:rsidRDefault="002331A9" w:rsidP="00AD2D24">
      <w:pPr>
        <w:spacing w:line="480" w:lineRule="auto"/>
        <w:ind w:firstLine="720"/>
        <w:rPr>
          <w:color w:val="000000" w:themeColor="text1"/>
        </w:rPr>
      </w:pPr>
      <w:r w:rsidRPr="00876194">
        <w:rPr>
          <w:color w:val="000000" w:themeColor="text1"/>
        </w:rPr>
        <w:t>Dr</w:t>
      </w:r>
      <w:r w:rsidR="006E7BE1">
        <w:rPr>
          <w:color w:val="000000" w:themeColor="text1"/>
        </w:rPr>
        <w:t>s</w:t>
      </w:r>
      <w:r w:rsidRPr="00876194">
        <w:rPr>
          <w:color w:val="000000" w:themeColor="text1"/>
        </w:rPr>
        <w:t>. Qixin Zhong</w:t>
      </w:r>
      <w:r w:rsidR="003877FA">
        <w:rPr>
          <w:color w:val="000000" w:themeColor="text1"/>
        </w:rPr>
        <w:t>, my co-advisor</w:t>
      </w:r>
      <w:r w:rsidRPr="00876194">
        <w:rPr>
          <w:color w:val="000000" w:themeColor="text1"/>
        </w:rPr>
        <w:t xml:space="preserve">, Doris D’Souza, Hwa-Chain Robert Wang, and Mee-Ja Sula for their </w:t>
      </w:r>
      <w:r w:rsidR="00B42A64" w:rsidRPr="00876194">
        <w:rPr>
          <w:color w:val="000000" w:themeColor="text1"/>
        </w:rPr>
        <w:t xml:space="preserve">time, professional advice, </w:t>
      </w:r>
      <w:r w:rsidR="007F5A85" w:rsidRPr="00876194">
        <w:rPr>
          <w:color w:val="000000" w:themeColor="text1"/>
        </w:rPr>
        <w:t>feedback,</w:t>
      </w:r>
      <w:r w:rsidR="00CA3A91" w:rsidRPr="00876194">
        <w:rPr>
          <w:color w:val="000000" w:themeColor="text1"/>
        </w:rPr>
        <w:t xml:space="preserve"> </w:t>
      </w:r>
      <w:r w:rsidR="00B42A64" w:rsidRPr="00876194">
        <w:rPr>
          <w:color w:val="000000" w:themeColor="text1"/>
        </w:rPr>
        <w:t xml:space="preserve">and collaboration in different aspects of my research as my committee members. </w:t>
      </w:r>
    </w:p>
    <w:p w14:paraId="4F167427" w14:textId="6030F268" w:rsidR="00B42A64" w:rsidRPr="00876194" w:rsidRDefault="00B42A64" w:rsidP="00AD2D24">
      <w:pPr>
        <w:spacing w:line="480" w:lineRule="auto"/>
        <w:ind w:firstLine="720"/>
        <w:rPr>
          <w:color w:val="000000" w:themeColor="text1"/>
        </w:rPr>
      </w:pPr>
      <w:r w:rsidRPr="00876194">
        <w:rPr>
          <w:color w:val="000000" w:themeColor="text1"/>
        </w:rPr>
        <w:t>Dr. Philipus Pangloli, Barbara Gillespie, Sujata Agarwal, Jessica Hunt and the personnel from the CVM-LAF for the technical support with my experiments and friendly collaboration.</w:t>
      </w:r>
    </w:p>
    <w:p w14:paraId="0F483A3D" w14:textId="477405A8" w:rsidR="007657BC" w:rsidRPr="00876194" w:rsidRDefault="008F0310" w:rsidP="00AD2D24">
      <w:pPr>
        <w:spacing w:line="480" w:lineRule="auto"/>
        <w:ind w:firstLine="720"/>
        <w:rPr>
          <w:color w:val="000000" w:themeColor="text1"/>
        </w:rPr>
      </w:pPr>
      <w:r w:rsidRPr="00876194">
        <w:rPr>
          <w:color w:val="000000" w:themeColor="text1"/>
        </w:rPr>
        <w:t xml:space="preserve">Dr. Dia’s lab crew: </w:t>
      </w:r>
      <w:r w:rsidR="007F5A85" w:rsidRPr="00876194">
        <w:rPr>
          <w:color w:val="000000" w:themeColor="text1"/>
        </w:rPr>
        <w:t xml:space="preserve">Shan Hong, </w:t>
      </w:r>
      <w:r w:rsidR="000B3D19" w:rsidRPr="00876194">
        <w:rPr>
          <w:color w:val="000000" w:themeColor="text1"/>
        </w:rPr>
        <w:t>Zhihong Wang and Matthew Reeder for their</w:t>
      </w:r>
      <w:r w:rsidR="001904A4" w:rsidRPr="00876194">
        <w:rPr>
          <w:color w:val="000000" w:themeColor="text1"/>
        </w:rPr>
        <w:t xml:space="preserve"> </w:t>
      </w:r>
      <w:r w:rsidR="00207518" w:rsidRPr="00876194">
        <w:rPr>
          <w:color w:val="000000" w:themeColor="text1"/>
        </w:rPr>
        <w:t>contribution</w:t>
      </w:r>
      <w:r w:rsidR="000B3D19" w:rsidRPr="00876194">
        <w:rPr>
          <w:color w:val="000000" w:themeColor="text1"/>
        </w:rPr>
        <w:t xml:space="preserve"> with the animal experiments</w:t>
      </w:r>
      <w:r w:rsidR="001904A4" w:rsidRPr="00876194">
        <w:rPr>
          <w:color w:val="000000" w:themeColor="text1"/>
        </w:rPr>
        <w:t>;</w:t>
      </w:r>
      <w:r w:rsidR="007657BC" w:rsidRPr="00876194">
        <w:rPr>
          <w:color w:val="000000" w:themeColor="text1"/>
        </w:rPr>
        <w:t xml:space="preserve"> as well as</w:t>
      </w:r>
      <w:r w:rsidR="000B3D19" w:rsidRPr="00876194">
        <w:rPr>
          <w:color w:val="000000" w:themeColor="text1"/>
        </w:rPr>
        <w:t xml:space="preserve"> Svetlana Matic, </w:t>
      </w:r>
      <w:r w:rsidRPr="00876194">
        <w:rPr>
          <w:color w:val="000000" w:themeColor="text1"/>
        </w:rPr>
        <w:t xml:space="preserve">Yang </w:t>
      </w:r>
      <w:r w:rsidRPr="00876194">
        <w:rPr>
          <w:color w:val="000000" w:themeColor="text1"/>
        </w:rPr>
        <w:lastRenderedPageBreak/>
        <w:t xml:space="preserve">Lin, </w:t>
      </w:r>
      <w:r w:rsidR="007657BC" w:rsidRPr="00876194">
        <w:rPr>
          <w:color w:val="000000" w:themeColor="text1"/>
        </w:rPr>
        <w:t xml:space="preserve">and </w:t>
      </w:r>
      <w:r w:rsidRPr="00876194">
        <w:rPr>
          <w:color w:val="000000" w:themeColor="text1"/>
        </w:rPr>
        <w:t xml:space="preserve">Xiaoqing Xu, </w:t>
      </w:r>
      <w:r w:rsidR="007657BC" w:rsidRPr="00876194">
        <w:rPr>
          <w:color w:val="000000" w:themeColor="text1"/>
        </w:rPr>
        <w:t>for the</w:t>
      </w:r>
      <w:r w:rsidR="00207518" w:rsidRPr="00876194">
        <w:rPr>
          <w:color w:val="000000" w:themeColor="text1"/>
        </w:rPr>
        <w:t>ir sincere friendship, the</w:t>
      </w:r>
      <w:r w:rsidR="007657BC" w:rsidRPr="00876194">
        <w:rPr>
          <w:color w:val="000000" w:themeColor="text1"/>
        </w:rPr>
        <w:t xml:space="preserve"> constant </w:t>
      </w:r>
      <w:r w:rsidR="001904A4" w:rsidRPr="00876194">
        <w:rPr>
          <w:color w:val="000000" w:themeColor="text1"/>
        </w:rPr>
        <w:t xml:space="preserve">personal and experimental </w:t>
      </w:r>
      <w:r w:rsidR="007657BC" w:rsidRPr="00876194">
        <w:rPr>
          <w:color w:val="000000" w:themeColor="text1"/>
        </w:rPr>
        <w:t xml:space="preserve">support, </w:t>
      </w:r>
      <w:r w:rsidR="00207518" w:rsidRPr="00876194">
        <w:rPr>
          <w:color w:val="000000" w:themeColor="text1"/>
        </w:rPr>
        <w:t xml:space="preserve">the innumerable </w:t>
      </w:r>
      <w:r w:rsidR="00574F44" w:rsidRPr="00876194">
        <w:rPr>
          <w:color w:val="000000" w:themeColor="text1"/>
        </w:rPr>
        <w:t xml:space="preserve">hours running ELISA together, </w:t>
      </w:r>
      <w:r w:rsidR="007657BC" w:rsidRPr="00876194">
        <w:rPr>
          <w:color w:val="000000" w:themeColor="text1"/>
        </w:rPr>
        <w:t xml:space="preserve">the </w:t>
      </w:r>
      <w:r w:rsidR="00207518" w:rsidRPr="00876194">
        <w:rPr>
          <w:color w:val="000000" w:themeColor="text1"/>
        </w:rPr>
        <w:t xml:space="preserve">shared </w:t>
      </w:r>
      <w:r w:rsidR="007657BC" w:rsidRPr="00876194">
        <w:rPr>
          <w:color w:val="000000" w:themeColor="text1"/>
        </w:rPr>
        <w:t>laughs</w:t>
      </w:r>
      <w:r w:rsidR="001904A4" w:rsidRPr="00876194">
        <w:rPr>
          <w:color w:val="000000" w:themeColor="text1"/>
        </w:rPr>
        <w:t xml:space="preserve"> and sorrow</w:t>
      </w:r>
      <w:r w:rsidR="007657BC" w:rsidRPr="00876194">
        <w:rPr>
          <w:color w:val="000000" w:themeColor="text1"/>
        </w:rPr>
        <w:t xml:space="preserve">, </w:t>
      </w:r>
      <w:r w:rsidR="001904A4" w:rsidRPr="00876194">
        <w:rPr>
          <w:color w:val="000000" w:themeColor="text1"/>
        </w:rPr>
        <w:t xml:space="preserve">and </w:t>
      </w:r>
      <w:r w:rsidR="007657BC" w:rsidRPr="00876194">
        <w:rPr>
          <w:color w:val="000000" w:themeColor="text1"/>
        </w:rPr>
        <w:t xml:space="preserve">the </w:t>
      </w:r>
      <w:r w:rsidR="00207518" w:rsidRPr="00876194">
        <w:rPr>
          <w:color w:val="000000" w:themeColor="text1"/>
        </w:rPr>
        <w:t xml:space="preserve">unforgettable </w:t>
      </w:r>
      <w:r w:rsidR="00574F44" w:rsidRPr="00876194">
        <w:rPr>
          <w:color w:val="000000" w:themeColor="text1"/>
        </w:rPr>
        <w:t>working hours, afterhours,</w:t>
      </w:r>
      <w:r w:rsidR="007657BC" w:rsidRPr="00876194">
        <w:rPr>
          <w:color w:val="000000" w:themeColor="text1"/>
        </w:rPr>
        <w:t xml:space="preserve"> and weekends in the lab.</w:t>
      </w:r>
      <w:r w:rsidR="001904A4" w:rsidRPr="00876194">
        <w:rPr>
          <w:color w:val="000000" w:themeColor="text1"/>
        </w:rPr>
        <w:t xml:space="preserve"> </w:t>
      </w:r>
      <w:r w:rsidRPr="00876194">
        <w:rPr>
          <w:color w:val="000000" w:themeColor="text1"/>
        </w:rPr>
        <w:t>Wynton Phillips, Niamh Schumacher, Allison Shaunak,</w:t>
      </w:r>
      <w:r w:rsidR="007657BC" w:rsidRPr="00876194">
        <w:rPr>
          <w:color w:val="000000" w:themeColor="text1"/>
        </w:rPr>
        <w:t xml:space="preserve"> </w:t>
      </w:r>
      <w:r w:rsidRPr="00876194">
        <w:rPr>
          <w:color w:val="000000" w:themeColor="text1"/>
        </w:rPr>
        <w:t>Chelsea Huynh</w:t>
      </w:r>
      <w:r w:rsidR="007657BC" w:rsidRPr="00876194">
        <w:rPr>
          <w:color w:val="000000" w:themeColor="text1"/>
        </w:rPr>
        <w:t>, and Claire Gorman for the experimental support</w:t>
      </w:r>
      <w:r w:rsidR="00574F44" w:rsidRPr="00876194">
        <w:rPr>
          <w:color w:val="000000" w:themeColor="text1"/>
        </w:rPr>
        <w:t xml:space="preserve">. </w:t>
      </w:r>
    </w:p>
    <w:p w14:paraId="11C30C06" w14:textId="77777777" w:rsidR="00AD2D24" w:rsidRDefault="007657BC" w:rsidP="00AD2D24">
      <w:pPr>
        <w:spacing w:line="480" w:lineRule="auto"/>
        <w:ind w:firstLine="720"/>
        <w:rPr>
          <w:color w:val="000000" w:themeColor="text1"/>
        </w:rPr>
      </w:pPr>
      <w:r w:rsidRPr="00876194">
        <w:rPr>
          <w:color w:val="000000" w:themeColor="text1"/>
        </w:rPr>
        <w:t xml:space="preserve">Jennifer Vuia-Riser, Anyi Wang, Nan Li, Melody Fagan, Inseob Choi, and other lab and office mates along these 4 years, for their </w:t>
      </w:r>
      <w:r w:rsidR="00574F44" w:rsidRPr="00876194">
        <w:rPr>
          <w:color w:val="000000" w:themeColor="text1"/>
        </w:rPr>
        <w:t xml:space="preserve">personal </w:t>
      </w:r>
      <w:r w:rsidRPr="00876194">
        <w:rPr>
          <w:color w:val="000000" w:themeColor="text1"/>
        </w:rPr>
        <w:t>support and friend</w:t>
      </w:r>
      <w:r w:rsidR="00574F44" w:rsidRPr="00876194">
        <w:rPr>
          <w:color w:val="000000" w:themeColor="text1"/>
        </w:rPr>
        <w:t>ship.</w:t>
      </w:r>
      <w:r w:rsidRPr="00876194">
        <w:rPr>
          <w:color w:val="000000" w:themeColor="text1"/>
        </w:rPr>
        <w:t xml:space="preserve"> </w:t>
      </w:r>
    </w:p>
    <w:p w14:paraId="68EC474A" w14:textId="6E4615E6" w:rsidR="00982006" w:rsidRPr="00876194" w:rsidRDefault="00982006" w:rsidP="00AD2D24">
      <w:pPr>
        <w:spacing w:line="480" w:lineRule="auto"/>
        <w:ind w:firstLine="720"/>
        <w:rPr>
          <w:color w:val="000000" w:themeColor="text1"/>
        </w:rPr>
      </w:pPr>
      <w:r w:rsidRPr="00876194">
        <w:rPr>
          <w:color w:val="000000" w:themeColor="text1"/>
        </w:rPr>
        <w:t>May Lamsen, Fabian Fallas, Saray Ramirez, Omar Aza, Janneth Tarapues, Luis Vizcaya and Sonia Malave</w:t>
      </w:r>
      <w:r>
        <w:rPr>
          <w:color w:val="000000" w:themeColor="text1"/>
        </w:rPr>
        <w:t>,</w:t>
      </w:r>
      <w:r w:rsidRPr="00876194">
        <w:rPr>
          <w:color w:val="000000" w:themeColor="text1"/>
        </w:rPr>
        <w:t xml:space="preserve"> for making me part of their beautiful families and making me feel at home.  </w:t>
      </w:r>
    </w:p>
    <w:p w14:paraId="69D75F41" w14:textId="50D06981" w:rsidR="00B15C7E" w:rsidRPr="00876194" w:rsidRDefault="00B15C7E" w:rsidP="00AD2D24">
      <w:pPr>
        <w:spacing w:line="480" w:lineRule="auto"/>
        <w:ind w:firstLine="720"/>
        <w:rPr>
          <w:color w:val="000000" w:themeColor="text1"/>
        </w:rPr>
      </w:pPr>
      <w:r w:rsidRPr="00876194">
        <w:rPr>
          <w:color w:val="000000" w:themeColor="text1"/>
        </w:rPr>
        <w:t>Dr. Martha Quicazan, my former PI</w:t>
      </w:r>
      <w:r w:rsidR="00140494" w:rsidRPr="00876194">
        <w:rPr>
          <w:color w:val="000000" w:themeColor="text1"/>
        </w:rPr>
        <w:t xml:space="preserve"> and mentor, for her valuable professional and personal advice, for believing in me as an undergrad and changing the path of my life.   </w:t>
      </w:r>
    </w:p>
    <w:p w14:paraId="5948C5A7" w14:textId="77777777" w:rsidR="00AD2D24" w:rsidRDefault="00912E4C" w:rsidP="00AD2D24">
      <w:pPr>
        <w:spacing w:line="480" w:lineRule="auto"/>
        <w:ind w:firstLine="720"/>
        <w:rPr>
          <w:color w:val="000000" w:themeColor="text1"/>
        </w:rPr>
      </w:pPr>
      <w:r w:rsidRPr="00876194">
        <w:rPr>
          <w:color w:val="000000" w:themeColor="text1"/>
        </w:rPr>
        <w:t xml:space="preserve">My </w:t>
      </w:r>
      <w:r w:rsidR="00B15C7E" w:rsidRPr="00876194">
        <w:rPr>
          <w:color w:val="000000" w:themeColor="text1"/>
        </w:rPr>
        <w:t>family</w:t>
      </w:r>
      <w:r w:rsidRPr="00876194">
        <w:rPr>
          <w:color w:val="000000" w:themeColor="text1"/>
        </w:rPr>
        <w:t xml:space="preserve"> Carlos Nieto</w:t>
      </w:r>
      <w:r w:rsidR="00553EBD" w:rsidRPr="00876194">
        <w:rPr>
          <w:color w:val="000000" w:themeColor="text1"/>
        </w:rPr>
        <w:t>,</w:t>
      </w:r>
      <w:r w:rsidRPr="00876194">
        <w:rPr>
          <w:color w:val="000000" w:themeColor="text1"/>
        </w:rPr>
        <w:t xml:space="preserve"> Marleny Veloza,</w:t>
      </w:r>
      <w:r w:rsidR="00553EBD" w:rsidRPr="00876194">
        <w:rPr>
          <w:color w:val="000000" w:themeColor="text1"/>
        </w:rPr>
        <w:t xml:space="preserve"> Jonatan </w:t>
      </w:r>
      <w:r w:rsidR="00B15C7E" w:rsidRPr="00876194">
        <w:rPr>
          <w:color w:val="000000" w:themeColor="text1"/>
        </w:rPr>
        <w:t>Nieto,</w:t>
      </w:r>
      <w:r w:rsidR="00553EBD" w:rsidRPr="00876194">
        <w:rPr>
          <w:color w:val="000000" w:themeColor="text1"/>
        </w:rPr>
        <w:t xml:space="preserve"> Nat</w:t>
      </w:r>
      <w:r w:rsidR="00B15C7E" w:rsidRPr="00876194">
        <w:rPr>
          <w:color w:val="000000" w:themeColor="text1"/>
        </w:rPr>
        <w:t>al</w:t>
      </w:r>
      <w:r w:rsidR="00553EBD" w:rsidRPr="00876194">
        <w:rPr>
          <w:color w:val="000000" w:themeColor="text1"/>
        </w:rPr>
        <w:t>i</w:t>
      </w:r>
      <w:r w:rsidR="00B15C7E" w:rsidRPr="00876194">
        <w:rPr>
          <w:color w:val="000000" w:themeColor="text1"/>
        </w:rPr>
        <w:t>a Nieto, and Maria Peralta</w:t>
      </w:r>
      <w:r w:rsidR="00553EBD" w:rsidRPr="00876194">
        <w:rPr>
          <w:color w:val="000000" w:themeColor="text1"/>
        </w:rPr>
        <w:t>,</w:t>
      </w:r>
      <w:r w:rsidRPr="00876194">
        <w:rPr>
          <w:color w:val="000000" w:themeColor="text1"/>
        </w:rPr>
        <w:t xml:space="preserve"> </w:t>
      </w:r>
      <w:r w:rsidR="00553EBD" w:rsidRPr="00876194">
        <w:rPr>
          <w:color w:val="000000" w:themeColor="text1"/>
        </w:rPr>
        <w:t xml:space="preserve">for their love, </w:t>
      </w:r>
      <w:r w:rsidR="00B15C7E" w:rsidRPr="00876194">
        <w:rPr>
          <w:color w:val="000000" w:themeColor="text1"/>
        </w:rPr>
        <w:t xml:space="preserve">support, </w:t>
      </w:r>
      <w:r w:rsidR="00553EBD" w:rsidRPr="00876194">
        <w:rPr>
          <w:color w:val="000000" w:themeColor="text1"/>
        </w:rPr>
        <w:t xml:space="preserve">encouragement, and sacrifices, and for helping my science with their prays. </w:t>
      </w:r>
    </w:p>
    <w:p w14:paraId="193EEFB6" w14:textId="02B0F236" w:rsidR="00B15C7E" w:rsidRPr="00876194" w:rsidRDefault="00B15C7E" w:rsidP="00AD2D24">
      <w:pPr>
        <w:spacing w:line="480" w:lineRule="auto"/>
        <w:ind w:firstLine="720"/>
        <w:rPr>
          <w:color w:val="000000" w:themeColor="text1"/>
        </w:rPr>
      </w:pPr>
      <w:r w:rsidRPr="00876194">
        <w:rPr>
          <w:color w:val="000000" w:themeColor="text1"/>
        </w:rPr>
        <w:t xml:space="preserve">My </w:t>
      </w:r>
      <w:r w:rsidR="00C036D9">
        <w:rPr>
          <w:color w:val="000000" w:themeColor="text1"/>
        </w:rPr>
        <w:t>husband-to-be</w:t>
      </w:r>
      <w:r w:rsidRPr="00876194">
        <w:rPr>
          <w:color w:val="000000" w:themeColor="text1"/>
        </w:rPr>
        <w:t xml:space="preserve"> Carlos Zuluaga, for his </w:t>
      </w:r>
      <w:r w:rsidR="00140494" w:rsidRPr="00876194">
        <w:rPr>
          <w:color w:val="000000" w:themeColor="text1"/>
        </w:rPr>
        <w:t>unconditional</w:t>
      </w:r>
      <w:r w:rsidRPr="00876194">
        <w:rPr>
          <w:color w:val="000000" w:themeColor="text1"/>
        </w:rPr>
        <w:t xml:space="preserve"> love</w:t>
      </w:r>
      <w:r w:rsidR="00140494" w:rsidRPr="00876194">
        <w:rPr>
          <w:color w:val="000000" w:themeColor="text1"/>
        </w:rPr>
        <w:t xml:space="preserve">, </w:t>
      </w:r>
      <w:r w:rsidR="005978F0">
        <w:rPr>
          <w:color w:val="000000" w:themeColor="text1"/>
        </w:rPr>
        <w:t xml:space="preserve">for being there for me every single night across the distance, for </w:t>
      </w:r>
      <w:r w:rsidR="00140494" w:rsidRPr="00876194">
        <w:rPr>
          <w:color w:val="000000" w:themeColor="text1"/>
        </w:rPr>
        <w:t xml:space="preserve">teaching me to dream and to make those dreams become true. </w:t>
      </w:r>
      <w:r w:rsidRPr="00876194">
        <w:rPr>
          <w:color w:val="000000" w:themeColor="text1"/>
        </w:rPr>
        <w:t xml:space="preserve"> </w:t>
      </w:r>
    </w:p>
    <w:p w14:paraId="6346B3D5" w14:textId="77777777" w:rsidR="00904969" w:rsidRPr="00912E4C" w:rsidRDefault="00904969" w:rsidP="00982006">
      <w:pPr>
        <w:spacing w:line="480" w:lineRule="auto"/>
      </w:pPr>
    </w:p>
    <w:p w14:paraId="2A6DCBEB" w14:textId="77777777" w:rsidR="00236E6D" w:rsidRPr="00173C38" w:rsidRDefault="0085757D" w:rsidP="00982006">
      <w:pPr>
        <w:spacing w:line="480" w:lineRule="auto"/>
        <w:jc w:val="center"/>
        <w:rPr>
          <w:b/>
        </w:rPr>
      </w:pPr>
      <w:r w:rsidRPr="00912E4C">
        <w:br w:type="page"/>
      </w:r>
      <w:r w:rsidR="00236E6D" w:rsidRPr="00173C38">
        <w:rPr>
          <w:b/>
        </w:rPr>
        <w:lastRenderedPageBreak/>
        <w:t>ABSTRACT</w:t>
      </w:r>
    </w:p>
    <w:p w14:paraId="727D9547" w14:textId="06121B3C" w:rsidR="00236E6D" w:rsidRDefault="00D92265" w:rsidP="00982006">
      <w:pPr>
        <w:spacing w:line="480" w:lineRule="auto"/>
        <w:ind w:firstLine="720"/>
      </w:pPr>
      <w:r>
        <w:t>Gastrointestinal diseases such as inflammatory bowel diseases (IBD) and colorectal cancer (CRC)</w:t>
      </w:r>
      <w:r w:rsidR="003152A3">
        <w:t xml:space="preserve"> </w:t>
      </w:r>
      <w:r>
        <w:t>are</w:t>
      </w:r>
      <w:r w:rsidR="003152A3">
        <w:t xml:space="preserve"> pathological condition</w:t>
      </w:r>
      <w:r>
        <w:t>s</w:t>
      </w:r>
      <w:r w:rsidR="003152A3">
        <w:t xml:space="preserve"> </w:t>
      </w:r>
      <w:r>
        <w:t xml:space="preserve">associated with </w:t>
      </w:r>
      <w:r w:rsidR="003152A3">
        <w:t>chronic inflammation</w:t>
      </w:r>
      <w:r w:rsidR="00CE5E0E">
        <w:t>,</w:t>
      </w:r>
      <w:r>
        <w:t xml:space="preserve"> </w:t>
      </w:r>
      <w:r w:rsidR="003152A3">
        <w:t xml:space="preserve">characterized by intestinal damage, debilitating symptoms, and detrimental health consequences. The increased risk of </w:t>
      </w:r>
      <w:r>
        <w:t>CRC</w:t>
      </w:r>
      <w:r w:rsidR="003152A3">
        <w:t xml:space="preserve"> in IBD patients, and the adverse effects associated with current therapeutic strategies, point out the need for safer alternatives to reduce chronic inflammation in the bowel. Lunasin is a bioactive peptide naturally occurring in soybeans, with chemopreventive and anti-inflammatory properties</w:t>
      </w:r>
      <w:r w:rsidR="00216739">
        <w:t xml:space="preserve"> demonstrated in </w:t>
      </w:r>
      <w:r w:rsidR="003152A3">
        <w:t>several extra-intestinal</w:t>
      </w:r>
      <w:r w:rsidR="00216739">
        <w:t xml:space="preserve"> diseases</w:t>
      </w:r>
      <w:r w:rsidR="003152A3">
        <w:t xml:space="preserve">. However, to date, there is no evidence of the biological activity of lunasin on the gastrointestinal tract as a target site. The objective of this research was to </w:t>
      </w:r>
      <w:r w:rsidR="003152A3">
        <w:rPr>
          <w:color w:val="000000" w:themeColor="text1"/>
        </w:rPr>
        <w:t>investigate the biological activity of lunasin against bowel</w:t>
      </w:r>
      <w:r w:rsidR="00C73BEB">
        <w:rPr>
          <w:color w:val="000000" w:themeColor="text1"/>
        </w:rPr>
        <w:t>-</w:t>
      </w:r>
      <w:r w:rsidR="003152A3">
        <w:rPr>
          <w:color w:val="000000" w:themeColor="text1"/>
        </w:rPr>
        <w:t xml:space="preserve">related diseases </w:t>
      </w:r>
      <w:r w:rsidR="00216739">
        <w:rPr>
          <w:color w:val="000000" w:themeColor="text1"/>
        </w:rPr>
        <w:t>using</w:t>
      </w:r>
      <w:r w:rsidR="003152A3">
        <w:rPr>
          <w:color w:val="000000" w:themeColor="text1"/>
        </w:rPr>
        <w:t xml:space="preserve"> </w:t>
      </w:r>
      <w:r w:rsidR="003152A3">
        <w:rPr>
          <w:i/>
          <w:iCs/>
          <w:color w:val="000000" w:themeColor="text1"/>
        </w:rPr>
        <w:t>in vivo</w:t>
      </w:r>
      <w:r w:rsidR="003152A3">
        <w:rPr>
          <w:color w:val="000000" w:themeColor="text1"/>
        </w:rPr>
        <w:t xml:space="preserve"> models.</w:t>
      </w:r>
      <w:r w:rsidR="003152A3">
        <w:t xml:space="preserve"> First, lunasin was isolated from tofu wastewater applying a designed process that combines precipitation techniques and chromatographic purification. The three-step isolation process was applied to industrially produced tofu wastewater yielding 773mg lunasin of 80% purity per kg dry tofu whey</w:t>
      </w:r>
      <w:r w:rsidR="00216739">
        <w:t xml:space="preserve">, with anti-inflammatory properties as </w:t>
      </w:r>
      <w:r w:rsidR="00CE5E0E">
        <w:t>tested</w:t>
      </w:r>
      <w:r w:rsidR="00216739">
        <w:t xml:space="preserve"> </w:t>
      </w:r>
      <w:r w:rsidR="00216739" w:rsidRPr="00A909CB">
        <w:rPr>
          <w:i/>
          <w:iCs/>
        </w:rPr>
        <w:t>in vitro</w:t>
      </w:r>
      <w:r w:rsidR="00216739">
        <w:t xml:space="preserve"> using </w:t>
      </w:r>
      <w:r w:rsidR="003152A3">
        <w:t xml:space="preserve">activated murine macrophages. Then, the anti-inflammatory activity of lunasin in the gut was determined using an </w:t>
      </w:r>
      <w:r w:rsidR="003152A3">
        <w:rPr>
          <w:i/>
          <w:iCs/>
        </w:rPr>
        <w:t>in vivo</w:t>
      </w:r>
      <w:r w:rsidR="003152A3">
        <w:t xml:space="preserve"> model of spontaneous colitis. Oral administration of lunasin reduced </w:t>
      </w:r>
      <w:r w:rsidR="00216739" w:rsidRPr="00216739">
        <w:t xml:space="preserve">pro-inflammatory cytokines throughout the small and large intestines </w:t>
      </w:r>
      <w:r w:rsidR="00216739">
        <w:t>and decreased the</w:t>
      </w:r>
      <w:r w:rsidR="004F1F1D">
        <w:t xml:space="preserve"> </w:t>
      </w:r>
      <w:r w:rsidR="00216739">
        <w:rPr>
          <w:color w:val="000000" w:themeColor="text1"/>
        </w:rPr>
        <w:t>frequency</w:t>
      </w:r>
      <w:r w:rsidR="003152A3">
        <w:rPr>
          <w:color w:val="000000" w:themeColor="text1"/>
        </w:rPr>
        <w:t xml:space="preserve"> of clinical manifestations of IBD </w:t>
      </w:r>
      <w:r w:rsidR="003152A3">
        <w:t>in IL-10</w:t>
      </w:r>
      <w:r>
        <w:rPr>
          <w:vertAlign w:val="superscript"/>
        </w:rPr>
        <w:t>-/-</w:t>
      </w:r>
      <w:r w:rsidR="003152A3">
        <w:t xml:space="preserve"> mice</w:t>
      </w:r>
      <w:r w:rsidR="003152A3">
        <w:rPr>
          <w:color w:val="000000" w:themeColor="text1"/>
        </w:rPr>
        <w:t xml:space="preserve">. </w:t>
      </w:r>
      <w:r w:rsidR="003152A3">
        <w:rPr>
          <w:i/>
          <w:iCs/>
          <w:color w:val="000000" w:themeColor="text1"/>
        </w:rPr>
        <w:t>In vitro</w:t>
      </w:r>
      <w:r w:rsidR="003152A3">
        <w:rPr>
          <w:color w:val="000000" w:themeColor="text1"/>
        </w:rPr>
        <w:t xml:space="preserve"> analysis indicated that the mechanism of action is partially </w:t>
      </w:r>
      <w:r w:rsidR="003152A3">
        <w:rPr>
          <w:color w:val="000000" w:themeColor="text1"/>
        </w:rPr>
        <w:lastRenderedPageBreak/>
        <w:t xml:space="preserve">associated with the ability of lunasin to modulate the activation of the NLRP3 inflammasome. </w:t>
      </w:r>
      <w:r w:rsidR="003152A3">
        <w:t xml:space="preserve">Finally, the chemopreventive activity of lunasin in the bowel was evaluated using an </w:t>
      </w:r>
      <w:r w:rsidR="003152A3">
        <w:rPr>
          <w:i/>
          <w:iCs/>
        </w:rPr>
        <w:t>in vivo</w:t>
      </w:r>
      <w:r w:rsidR="003152A3">
        <w:t xml:space="preserve"> model of colitis-associated </w:t>
      </w:r>
      <w:r>
        <w:t>CRC</w:t>
      </w:r>
      <w:r w:rsidR="003152A3">
        <w:t xml:space="preserve">. Oral administration of lunasin </w:t>
      </w:r>
      <w:r w:rsidR="004F1F1D">
        <w:t>decreased the impact of inflammation over the colon, facilitated recovery from episodes of mild and moderate inflammation, redu</w:t>
      </w:r>
      <w:r w:rsidR="00AA744B">
        <w:t>c</w:t>
      </w:r>
      <w:r w:rsidR="004F1F1D">
        <w:t>ed tumor burden</w:t>
      </w:r>
      <w:r w:rsidR="008D5AAF">
        <w:t>,</w:t>
      </w:r>
      <w:r w:rsidR="004F1F1D">
        <w:t xml:space="preserve"> and mitigated the progression of malignant features</w:t>
      </w:r>
      <w:r w:rsidR="003152A3">
        <w:t xml:space="preserve">. The results of this study demonstrate: 1) the presence of bioactive lunasin in tofu wastewater, 2) the anti-inflammatory and chemopreventive activity of lunasin in the bowel, and 3) the modulatory activity of lunasin over the NLRP3 inflammasome.  This research can serve as a basis for further investigation on the active incorporation of lunasin for the management of </w:t>
      </w:r>
      <w:r w:rsidR="000F27AA">
        <w:t>IBD.</w:t>
      </w:r>
      <w:r w:rsidR="003152A3">
        <w:t xml:space="preserve">   </w:t>
      </w:r>
      <w:r w:rsidR="00236E6D" w:rsidRPr="005E54E2">
        <w:br w:type="page"/>
      </w:r>
    </w:p>
    <w:p w14:paraId="56D4B7E2" w14:textId="77777777" w:rsidR="00387656" w:rsidRPr="00173C38" w:rsidRDefault="00387656" w:rsidP="00756F41">
      <w:pPr>
        <w:spacing w:line="480" w:lineRule="auto"/>
        <w:jc w:val="center"/>
        <w:rPr>
          <w:b/>
        </w:rPr>
      </w:pPr>
      <w:r w:rsidRPr="00173C38">
        <w:rPr>
          <w:b/>
        </w:rPr>
        <w:lastRenderedPageBreak/>
        <w:t>TABLE OF CONTENTS</w:t>
      </w:r>
    </w:p>
    <w:p w14:paraId="5B54AD38" w14:textId="115A1AC9" w:rsidR="00916B9A" w:rsidRDefault="00387656" w:rsidP="009369AD">
      <w:pPr>
        <w:pStyle w:val="TOC1"/>
        <w:tabs>
          <w:tab w:val="left" w:pos="1680"/>
          <w:tab w:val="right" w:leader="dot" w:pos="8630"/>
        </w:tabs>
        <w:spacing w:line="480" w:lineRule="auto"/>
        <w:rPr>
          <w:rFonts w:asciiTheme="minorHAnsi" w:eastAsiaTheme="minorEastAsia" w:hAnsiTheme="minorHAnsi" w:cstheme="minorBidi"/>
          <w:noProof/>
          <w:sz w:val="22"/>
          <w:szCs w:val="22"/>
          <w:lang w:val="es-CO" w:eastAsia="es-CO"/>
        </w:rPr>
      </w:pPr>
      <w:r>
        <w:fldChar w:fldCharType="begin"/>
      </w:r>
      <w:r>
        <w:instrText xml:space="preserve"> TOC \o "1-3" \h \z \u </w:instrText>
      </w:r>
      <w:r>
        <w:fldChar w:fldCharType="separate"/>
      </w:r>
      <w:hyperlink w:anchor="_Toc77082085" w:history="1">
        <w:r w:rsidR="00916B9A" w:rsidRPr="00D14023">
          <w:rPr>
            <w:rStyle w:val="Hyperlink"/>
            <w:noProof/>
          </w:rPr>
          <w:t>CHAPTER 1.</w:t>
        </w:r>
        <w:r w:rsidR="00916B9A">
          <w:rPr>
            <w:rFonts w:asciiTheme="minorHAnsi" w:eastAsiaTheme="minorEastAsia" w:hAnsiTheme="minorHAnsi" w:cstheme="minorBidi"/>
            <w:noProof/>
            <w:sz w:val="22"/>
            <w:szCs w:val="22"/>
            <w:lang w:val="es-CO" w:eastAsia="es-CO"/>
          </w:rPr>
          <w:tab/>
        </w:r>
        <w:r w:rsidR="00916B9A" w:rsidRPr="00D14023">
          <w:rPr>
            <w:rStyle w:val="Hyperlink"/>
            <w:noProof/>
          </w:rPr>
          <w:t>INTRODUCTION</w:t>
        </w:r>
        <w:r w:rsidR="00916B9A">
          <w:rPr>
            <w:noProof/>
            <w:webHidden/>
          </w:rPr>
          <w:tab/>
        </w:r>
        <w:r w:rsidR="00916B9A">
          <w:rPr>
            <w:noProof/>
            <w:webHidden/>
          </w:rPr>
          <w:fldChar w:fldCharType="begin"/>
        </w:r>
        <w:r w:rsidR="00916B9A">
          <w:rPr>
            <w:noProof/>
            <w:webHidden/>
          </w:rPr>
          <w:instrText xml:space="preserve"> PAGEREF _Toc77082085 \h </w:instrText>
        </w:r>
        <w:r w:rsidR="00916B9A">
          <w:rPr>
            <w:noProof/>
            <w:webHidden/>
          </w:rPr>
        </w:r>
        <w:r w:rsidR="00916B9A">
          <w:rPr>
            <w:noProof/>
            <w:webHidden/>
          </w:rPr>
          <w:fldChar w:fldCharType="separate"/>
        </w:r>
        <w:r w:rsidR="009369AD">
          <w:rPr>
            <w:noProof/>
            <w:webHidden/>
          </w:rPr>
          <w:t>1</w:t>
        </w:r>
        <w:r w:rsidR="00916B9A">
          <w:rPr>
            <w:noProof/>
            <w:webHidden/>
          </w:rPr>
          <w:fldChar w:fldCharType="end"/>
        </w:r>
      </w:hyperlink>
    </w:p>
    <w:p w14:paraId="5A861A7A" w14:textId="5FEFEC20" w:rsidR="00916B9A" w:rsidRDefault="005D04B4" w:rsidP="009369AD">
      <w:pPr>
        <w:pStyle w:val="TOC2"/>
        <w:tabs>
          <w:tab w:val="left" w:pos="960"/>
          <w:tab w:val="right" w:leader="dot" w:pos="8630"/>
        </w:tabs>
        <w:spacing w:line="480" w:lineRule="auto"/>
        <w:rPr>
          <w:rFonts w:asciiTheme="minorHAnsi" w:eastAsiaTheme="minorEastAsia" w:hAnsiTheme="minorHAnsi" w:cstheme="minorBidi"/>
          <w:noProof/>
          <w:sz w:val="22"/>
          <w:szCs w:val="22"/>
          <w:lang w:val="es-CO" w:eastAsia="es-CO"/>
        </w:rPr>
      </w:pPr>
      <w:hyperlink w:anchor="_Toc77082086" w:history="1">
        <w:r w:rsidR="00916B9A" w:rsidRPr="00D14023">
          <w:rPr>
            <w:rStyle w:val="Hyperlink"/>
            <w:noProof/>
          </w:rPr>
          <w:t>1.1</w:t>
        </w:r>
        <w:r w:rsidR="00916B9A">
          <w:rPr>
            <w:rFonts w:asciiTheme="minorHAnsi" w:eastAsiaTheme="minorEastAsia" w:hAnsiTheme="minorHAnsi" w:cstheme="minorBidi"/>
            <w:noProof/>
            <w:sz w:val="22"/>
            <w:szCs w:val="22"/>
            <w:lang w:val="es-CO" w:eastAsia="es-CO"/>
          </w:rPr>
          <w:tab/>
        </w:r>
        <w:r w:rsidR="00916B9A" w:rsidRPr="00D14023">
          <w:rPr>
            <w:rStyle w:val="Hyperlink"/>
            <w:noProof/>
          </w:rPr>
          <w:t>Abstract</w:t>
        </w:r>
        <w:r w:rsidR="00916B9A">
          <w:rPr>
            <w:noProof/>
            <w:webHidden/>
          </w:rPr>
          <w:tab/>
        </w:r>
        <w:r w:rsidR="00916B9A">
          <w:rPr>
            <w:noProof/>
            <w:webHidden/>
          </w:rPr>
          <w:fldChar w:fldCharType="begin"/>
        </w:r>
        <w:r w:rsidR="00916B9A">
          <w:rPr>
            <w:noProof/>
            <w:webHidden/>
          </w:rPr>
          <w:instrText xml:space="preserve"> PAGEREF _Toc77082086 \h </w:instrText>
        </w:r>
        <w:r w:rsidR="00916B9A">
          <w:rPr>
            <w:noProof/>
            <w:webHidden/>
          </w:rPr>
        </w:r>
        <w:r w:rsidR="00916B9A">
          <w:rPr>
            <w:noProof/>
            <w:webHidden/>
          </w:rPr>
          <w:fldChar w:fldCharType="separate"/>
        </w:r>
        <w:r w:rsidR="009369AD">
          <w:rPr>
            <w:noProof/>
            <w:webHidden/>
          </w:rPr>
          <w:t>1</w:t>
        </w:r>
        <w:r w:rsidR="00916B9A">
          <w:rPr>
            <w:noProof/>
            <w:webHidden/>
          </w:rPr>
          <w:fldChar w:fldCharType="end"/>
        </w:r>
      </w:hyperlink>
    </w:p>
    <w:p w14:paraId="65B2B20E" w14:textId="1B08DCB8" w:rsidR="00916B9A" w:rsidRDefault="005D04B4" w:rsidP="009369AD">
      <w:pPr>
        <w:pStyle w:val="TOC2"/>
        <w:tabs>
          <w:tab w:val="left" w:pos="960"/>
          <w:tab w:val="right" w:leader="dot" w:pos="8630"/>
        </w:tabs>
        <w:spacing w:line="480" w:lineRule="auto"/>
        <w:rPr>
          <w:rFonts w:asciiTheme="minorHAnsi" w:eastAsiaTheme="minorEastAsia" w:hAnsiTheme="minorHAnsi" w:cstheme="minorBidi"/>
          <w:noProof/>
          <w:sz w:val="22"/>
          <w:szCs w:val="22"/>
          <w:lang w:val="es-CO" w:eastAsia="es-CO"/>
        </w:rPr>
      </w:pPr>
      <w:hyperlink w:anchor="_Toc77082087" w:history="1">
        <w:r w:rsidR="00916B9A" w:rsidRPr="00D14023">
          <w:rPr>
            <w:rStyle w:val="Hyperlink"/>
            <w:noProof/>
          </w:rPr>
          <w:t>1.2</w:t>
        </w:r>
        <w:r w:rsidR="00916B9A">
          <w:rPr>
            <w:rFonts w:asciiTheme="minorHAnsi" w:eastAsiaTheme="minorEastAsia" w:hAnsiTheme="minorHAnsi" w:cstheme="minorBidi"/>
            <w:noProof/>
            <w:sz w:val="22"/>
            <w:szCs w:val="22"/>
            <w:lang w:val="es-CO" w:eastAsia="es-CO"/>
          </w:rPr>
          <w:tab/>
        </w:r>
        <w:r w:rsidR="00916B9A" w:rsidRPr="00D14023">
          <w:rPr>
            <w:rStyle w:val="Hyperlink"/>
            <w:noProof/>
          </w:rPr>
          <w:t>Literature Review</w:t>
        </w:r>
        <w:r w:rsidR="00916B9A">
          <w:rPr>
            <w:noProof/>
            <w:webHidden/>
          </w:rPr>
          <w:tab/>
        </w:r>
        <w:r w:rsidR="00916B9A">
          <w:rPr>
            <w:noProof/>
            <w:webHidden/>
          </w:rPr>
          <w:fldChar w:fldCharType="begin"/>
        </w:r>
        <w:r w:rsidR="00916B9A">
          <w:rPr>
            <w:noProof/>
            <w:webHidden/>
          </w:rPr>
          <w:instrText xml:space="preserve"> PAGEREF _Toc77082087 \h </w:instrText>
        </w:r>
        <w:r w:rsidR="00916B9A">
          <w:rPr>
            <w:noProof/>
            <w:webHidden/>
          </w:rPr>
        </w:r>
        <w:r w:rsidR="00916B9A">
          <w:rPr>
            <w:noProof/>
            <w:webHidden/>
          </w:rPr>
          <w:fldChar w:fldCharType="separate"/>
        </w:r>
        <w:r w:rsidR="009369AD">
          <w:rPr>
            <w:noProof/>
            <w:webHidden/>
          </w:rPr>
          <w:t>2</w:t>
        </w:r>
        <w:r w:rsidR="00916B9A">
          <w:rPr>
            <w:noProof/>
            <w:webHidden/>
          </w:rPr>
          <w:fldChar w:fldCharType="end"/>
        </w:r>
      </w:hyperlink>
    </w:p>
    <w:p w14:paraId="1365A6F8" w14:textId="5E06085C" w:rsidR="00916B9A" w:rsidRDefault="005D04B4" w:rsidP="009369AD">
      <w:pPr>
        <w:pStyle w:val="TOC3"/>
        <w:rPr>
          <w:rFonts w:asciiTheme="minorHAnsi" w:eastAsiaTheme="minorEastAsia" w:hAnsiTheme="minorHAnsi" w:cstheme="minorBidi"/>
          <w:noProof/>
          <w:sz w:val="22"/>
          <w:szCs w:val="22"/>
          <w:lang w:val="es-CO" w:eastAsia="es-CO"/>
        </w:rPr>
      </w:pPr>
      <w:hyperlink w:anchor="_Toc77082088" w:history="1">
        <w:r w:rsidR="00916B9A" w:rsidRPr="00D14023">
          <w:rPr>
            <w:rStyle w:val="Hyperlink"/>
            <w:noProof/>
          </w:rPr>
          <w:t>1.2.1 The gastrointestinal tract and inflammatory bowel disease</w:t>
        </w:r>
        <w:r w:rsidR="00916B9A">
          <w:rPr>
            <w:noProof/>
            <w:webHidden/>
          </w:rPr>
          <w:tab/>
        </w:r>
        <w:r w:rsidR="00916B9A">
          <w:rPr>
            <w:noProof/>
            <w:webHidden/>
          </w:rPr>
          <w:fldChar w:fldCharType="begin"/>
        </w:r>
        <w:r w:rsidR="00916B9A">
          <w:rPr>
            <w:noProof/>
            <w:webHidden/>
          </w:rPr>
          <w:instrText xml:space="preserve"> PAGEREF _Toc77082088 \h </w:instrText>
        </w:r>
        <w:r w:rsidR="00916B9A">
          <w:rPr>
            <w:noProof/>
            <w:webHidden/>
          </w:rPr>
        </w:r>
        <w:r w:rsidR="00916B9A">
          <w:rPr>
            <w:noProof/>
            <w:webHidden/>
          </w:rPr>
          <w:fldChar w:fldCharType="separate"/>
        </w:r>
        <w:r w:rsidR="009369AD">
          <w:rPr>
            <w:noProof/>
            <w:webHidden/>
          </w:rPr>
          <w:t>2</w:t>
        </w:r>
        <w:r w:rsidR="00916B9A">
          <w:rPr>
            <w:noProof/>
            <w:webHidden/>
          </w:rPr>
          <w:fldChar w:fldCharType="end"/>
        </w:r>
      </w:hyperlink>
    </w:p>
    <w:p w14:paraId="3DC33071" w14:textId="2B4EC4D3" w:rsidR="00916B9A" w:rsidRDefault="005D04B4" w:rsidP="009369AD">
      <w:pPr>
        <w:pStyle w:val="TOC3"/>
        <w:rPr>
          <w:rFonts w:asciiTheme="minorHAnsi" w:eastAsiaTheme="minorEastAsia" w:hAnsiTheme="minorHAnsi" w:cstheme="minorBidi"/>
          <w:noProof/>
          <w:sz w:val="22"/>
          <w:szCs w:val="22"/>
          <w:lang w:val="es-CO" w:eastAsia="es-CO"/>
        </w:rPr>
      </w:pPr>
      <w:hyperlink w:anchor="_Toc77082089" w:history="1">
        <w:r w:rsidR="00916B9A" w:rsidRPr="00D14023">
          <w:rPr>
            <w:rStyle w:val="Hyperlink"/>
            <w:noProof/>
          </w:rPr>
          <w:t>1.2.2 Risk factors contributing to the pathogenesis of IBD</w:t>
        </w:r>
        <w:r w:rsidR="00916B9A">
          <w:rPr>
            <w:noProof/>
            <w:webHidden/>
          </w:rPr>
          <w:tab/>
        </w:r>
        <w:r w:rsidR="00916B9A">
          <w:rPr>
            <w:noProof/>
            <w:webHidden/>
          </w:rPr>
          <w:fldChar w:fldCharType="begin"/>
        </w:r>
        <w:r w:rsidR="00916B9A">
          <w:rPr>
            <w:noProof/>
            <w:webHidden/>
          </w:rPr>
          <w:instrText xml:space="preserve"> PAGEREF _Toc77082089 \h </w:instrText>
        </w:r>
        <w:r w:rsidR="00916B9A">
          <w:rPr>
            <w:noProof/>
            <w:webHidden/>
          </w:rPr>
        </w:r>
        <w:r w:rsidR="00916B9A">
          <w:rPr>
            <w:noProof/>
            <w:webHidden/>
          </w:rPr>
          <w:fldChar w:fldCharType="separate"/>
        </w:r>
        <w:r w:rsidR="009369AD">
          <w:rPr>
            <w:noProof/>
            <w:webHidden/>
          </w:rPr>
          <w:t>6</w:t>
        </w:r>
        <w:r w:rsidR="00916B9A">
          <w:rPr>
            <w:noProof/>
            <w:webHidden/>
          </w:rPr>
          <w:fldChar w:fldCharType="end"/>
        </w:r>
      </w:hyperlink>
    </w:p>
    <w:p w14:paraId="0426294F" w14:textId="778390DD" w:rsidR="00916B9A" w:rsidRDefault="005D04B4" w:rsidP="009369AD">
      <w:pPr>
        <w:pStyle w:val="TOC3"/>
        <w:rPr>
          <w:rFonts w:asciiTheme="minorHAnsi" w:eastAsiaTheme="minorEastAsia" w:hAnsiTheme="minorHAnsi" w:cstheme="minorBidi"/>
          <w:noProof/>
          <w:sz w:val="22"/>
          <w:szCs w:val="22"/>
          <w:lang w:val="es-CO" w:eastAsia="es-CO"/>
        </w:rPr>
      </w:pPr>
      <w:hyperlink w:anchor="_Toc77082090" w:history="1">
        <w:r w:rsidR="00916B9A" w:rsidRPr="00D14023">
          <w:rPr>
            <w:rStyle w:val="Hyperlink"/>
            <w:noProof/>
          </w:rPr>
          <w:t>1.2.3 Dysregulated immune response: the central role of cytokines in IBD</w:t>
        </w:r>
        <w:r w:rsidR="00916B9A">
          <w:rPr>
            <w:noProof/>
            <w:webHidden/>
          </w:rPr>
          <w:tab/>
        </w:r>
        <w:r w:rsidR="00916B9A">
          <w:rPr>
            <w:noProof/>
            <w:webHidden/>
          </w:rPr>
          <w:fldChar w:fldCharType="begin"/>
        </w:r>
        <w:r w:rsidR="00916B9A">
          <w:rPr>
            <w:noProof/>
            <w:webHidden/>
          </w:rPr>
          <w:instrText xml:space="preserve"> PAGEREF _Toc77082090 \h </w:instrText>
        </w:r>
        <w:r w:rsidR="00916B9A">
          <w:rPr>
            <w:noProof/>
            <w:webHidden/>
          </w:rPr>
        </w:r>
        <w:r w:rsidR="00916B9A">
          <w:rPr>
            <w:noProof/>
            <w:webHidden/>
          </w:rPr>
          <w:fldChar w:fldCharType="separate"/>
        </w:r>
        <w:r w:rsidR="009369AD">
          <w:rPr>
            <w:noProof/>
            <w:webHidden/>
          </w:rPr>
          <w:t>10</w:t>
        </w:r>
        <w:r w:rsidR="00916B9A">
          <w:rPr>
            <w:noProof/>
            <w:webHidden/>
          </w:rPr>
          <w:fldChar w:fldCharType="end"/>
        </w:r>
      </w:hyperlink>
    </w:p>
    <w:p w14:paraId="470B6F66" w14:textId="3BEA97FB" w:rsidR="00916B9A" w:rsidRDefault="005D04B4" w:rsidP="009369AD">
      <w:pPr>
        <w:pStyle w:val="TOC3"/>
        <w:rPr>
          <w:rFonts w:asciiTheme="minorHAnsi" w:eastAsiaTheme="minorEastAsia" w:hAnsiTheme="minorHAnsi" w:cstheme="minorBidi"/>
          <w:noProof/>
          <w:sz w:val="22"/>
          <w:szCs w:val="22"/>
          <w:lang w:val="es-CO" w:eastAsia="es-CO"/>
        </w:rPr>
      </w:pPr>
      <w:hyperlink w:anchor="_Toc77082091" w:history="1">
        <w:r w:rsidR="00916B9A" w:rsidRPr="00D14023">
          <w:rPr>
            <w:rStyle w:val="Hyperlink"/>
            <w:noProof/>
          </w:rPr>
          <w:t>1.2.4 The potential role of diet in IBD</w:t>
        </w:r>
        <w:r w:rsidR="00916B9A">
          <w:rPr>
            <w:noProof/>
            <w:webHidden/>
          </w:rPr>
          <w:tab/>
        </w:r>
        <w:r w:rsidR="00916B9A">
          <w:rPr>
            <w:noProof/>
            <w:webHidden/>
          </w:rPr>
          <w:fldChar w:fldCharType="begin"/>
        </w:r>
        <w:r w:rsidR="00916B9A">
          <w:rPr>
            <w:noProof/>
            <w:webHidden/>
          </w:rPr>
          <w:instrText xml:space="preserve"> PAGEREF _Toc77082091 \h </w:instrText>
        </w:r>
        <w:r w:rsidR="00916B9A">
          <w:rPr>
            <w:noProof/>
            <w:webHidden/>
          </w:rPr>
        </w:r>
        <w:r w:rsidR="00916B9A">
          <w:rPr>
            <w:noProof/>
            <w:webHidden/>
          </w:rPr>
          <w:fldChar w:fldCharType="separate"/>
        </w:r>
        <w:r w:rsidR="009369AD">
          <w:rPr>
            <w:noProof/>
            <w:webHidden/>
          </w:rPr>
          <w:t>13</w:t>
        </w:r>
        <w:r w:rsidR="00916B9A">
          <w:rPr>
            <w:noProof/>
            <w:webHidden/>
          </w:rPr>
          <w:fldChar w:fldCharType="end"/>
        </w:r>
      </w:hyperlink>
    </w:p>
    <w:p w14:paraId="1CBD82A2" w14:textId="5FC12176" w:rsidR="00916B9A" w:rsidRDefault="005D04B4" w:rsidP="009369AD">
      <w:pPr>
        <w:pStyle w:val="TOC3"/>
        <w:rPr>
          <w:rFonts w:asciiTheme="minorHAnsi" w:eastAsiaTheme="minorEastAsia" w:hAnsiTheme="minorHAnsi" w:cstheme="minorBidi"/>
          <w:noProof/>
          <w:sz w:val="22"/>
          <w:szCs w:val="22"/>
          <w:lang w:val="es-CO" w:eastAsia="es-CO"/>
        </w:rPr>
      </w:pPr>
      <w:hyperlink w:anchor="_Toc77082092" w:history="1">
        <w:r w:rsidR="00916B9A" w:rsidRPr="00D14023">
          <w:rPr>
            <w:rStyle w:val="Hyperlink"/>
            <w:noProof/>
          </w:rPr>
          <w:t>1.2.5 Lunasin, a soybean peptide with potential activity against IBD</w:t>
        </w:r>
        <w:r w:rsidR="00916B9A">
          <w:rPr>
            <w:noProof/>
            <w:webHidden/>
          </w:rPr>
          <w:tab/>
        </w:r>
        <w:r w:rsidR="00916B9A">
          <w:rPr>
            <w:noProof/>
            <w:webHidden/>
          </w:rPr>
          <w:fldChar w:fldCharType="begin"/>
        </w:r>
        <w:r w:rsidR="00916B9A">
          <w:rPr>
            <w:noProof/>
            <w:webHidden/>
          </w:rPr>
          <w:instrText xml:space="preserve"> PAGEREF _Toc77082092 \h </w:instrText>
        </w:r>
        <w:r w:rsidR="00916B9A">
          <w:rPr>
            <w:noProof/>
            <w:webHidden/>
          </w:rPr>
        </w:r>
        <w:r w:rsidR="00916B9A">
          <w:rPr>
            <w:noProof/>
            <w:webHidden/>
          </w:rPr>
          <w:fldChar w:fldCharType="separate"/>
        </w:r>
        <w:r w:rsidR="009369AD">
          <w:rPr>
            <w:noProof/>
            <w:webHidden/>
          </w:rPr>
          <w:t>16</w:t>
        </w:r>
        <w:r w:rsidR="00916B9A">
          <w:rPr>
            <w:noProof/>
            <w:webHidden/>
          </w:rPr>
          <w:fldChar w:fldCharType="end"/>
        </w:r>
      </w:hyperlink>
    </w:p>
    <w:p w14:paraId="2D494DE1" w14:textId="64437653" w:rsidR="00916B9A" w:rsidRDefault="005D04B4" w:rsidP="009369AD">
      <w:pPr>
        <w:pStyle w:val="TOC3"/>
        <w:rPr>
          <w:rFonts w:asciiTheme="minorHAnsi" w:eastAsiaTheme="minorEastAsia" w:hAnsiTheme="minorHAnsi" w:cstheme="minorBidi"/>
          <w:noProof/>
          <w:sz w:val="22"/>
          <w:szCs w:val="22"/>
          <w:lang w:val="es-CO" w:eastAsia="es-CO"/>
        </w:rPr>
      </w:pPr>
      <w:hyperlink w:anchor="_Toc77082093" w:history="1">
        <w:r w:rsidR="00916B9A" w:rsidRPr="00D14023">
          <w:rPr>
            <w:rStyle w:val="Hyperlink"/>
            <w:noProof/>
          </w:rPr>
          <w:t>1.2.6 Biological activity of lunasin</w:t>
        </w:r>
        <w:r w:rsidR="00916B9A">
          <w:rPr>
            <w:noProof/>
            <w:webHidden/>
          </w:rPr>
          <w:tab/>
        </w:r>
        <w:r w:rsidR="00916B9A">
          <w:rPr>
            <w:noProof/>
            <w:webHidden/>
          </w:rPr>
          <w:fldChar w:fldCharType="begin"/>
        </w:r>
        <w:r w:rsidR="00916B9A">
          <w:rPr>
            <w:noProof/>
            <w:webHidden/>
          </w:rPr>
          <w:instrText xml:space="preserve"> PAGEREF _Toc77082093 \h </w:instrText>
        </w:r>
        <w:r w:rsidR="00916B9A">
          <w:rPr>
            <w:noProof/>
            <w:webHidden/>
          </w:rPr>
        </w:r>
        <w:r w:rsidR="00916B9A">
          <w:rPr>
            <w:noProof/>
            <w:webHidden/>
          </w:rPr>
          <w:fldChar w:fldCharType="separate"/>
        </w:r>
        <w:r w:rsidR="009369AD">
          <w:rPr>
            <w:noProof/>
            <w:webHidden/>
          </w:rPr>
          <w:t>18</w:t>
        </w:r>
        <w:r w:rsidR="00916B9A">
          <w:rPr>
            <w:noProof/>
            <w:webHidden/>
          </w:rPr>
          <w:fldChar w:fldCharType="end"/>
        </w:r>
      </w:hyperlink>
    </w:p>
    <w:p w14:paraId="703D8016" w14:textId="475C1547" w:rsidR="00916B9A" w:rsidRDefault="005D04B4" w:rsidP="009369AD">
      <w:pPr>
        <w:pStyle w:val="TOC3"/>
        <w:rPr>
          <w:rFonts w:asciiTheme="minorHAnsi" w:eastAsiaTheme="minorEastAsia" w:hAnsiTheme="minorHAnsi" w:cstheme="minorBidi"/>
          <w:noProof/>
          <w:sz w:val="22"/>
          <w:szCs w:val="22"/>
          <w:lang w:val="es-CO" w:eastAsia="es-CO"/>
        </w:rPr>
      </w:pPr>
      <w:hyperlink w:anchor="_Toc77082094" w:history="1">
        <w:r w:rsidR="00916B9A" w:rsidRPr="00D14023">
          <w:rPr>
            <w:rStyle w:val="Hyperlink"/>
            <w:noProof/>
          </w:rPr>
          <w:t>1.2.7 Lunasin in the gastrointestinal tract</w:t>
        </w:r>
        <w:r w:rsidR="00916B9A">
          <w:rPr>
            <w:noProof/>
            <w:webHidden/>
          </w:rPr>
          <w:tab/>
        </w:r>
        <w:r w:rsidR="00916B9A">
          <w:rPr>
            <w:noProof/>
            <w:webHidden/>
          </w:rPr>
          <w:fldChar w:fldCharType="begin"/>
        </w:r>
        <w:r w:rsidR="00916B9A">
          <w:rPr>
            <w:noProof/>
            <w:webHidden/>
          </w:rPr>
          <w:instrText xml:space="preserve"> PAGEREF _Toc77082094 \h </w:instrText>
        </w:r>
        <w:r w:rsidR="00916B9A">
          <w:rPr>
            <w:noProof/>
            <w:webHidden/>
          </w:rPr>
        </w:r>
        <w:r w:rsidR="00916B9A">
          <w:rPr>
            <w:noProof/>
            <w:webHidden/>
          </w:rPr>
          <w:fldChar w:fldCharType="separate"/>
        </w:r>
        <w:r w:rsidR="009369AD">
          <w:rPr>
            <w:noProof/>
            <w:webHidden/>
          </w:rPr>
          <w:t>22</w:t>
        </w:r>
        <w:r w:rsidR="00916B9A">
          <w:rPr>
            <w:noProof/>
            <w:webHidden/>
          </w:rPr>
          <w:fldChar w:fldCharType="end"/>
        </w:r>
      </w:hyperlink>
    </w:p>
    <w:p w14:paraId="0267B38C" w14:textId="1EEEC8AB" w:rsidR="00916B9A" w:rsidRDefault="005D04B4" w:rsidP="009369AD">
      <w:pPr>
        <w:pStyle w:val="TOC2"/>
        <w:tabs>
          <w:tab w:val="left" w:pos="960"/>
          <w:tab w:val="right" w:leader="dot" w:pos="8630"/>
        </w:tabs>
        <w:spacing w:line="480" w:lineRule="auto"/>
        <w:rPr>
          <w:rFonts w:asciiTheme="minorHAnsi" w:eastAsiaTheme="minorEastAsia" w:hAnsiTheme="minorHAnsi" w:cstheme="minorBidi"/>
          <w:noProof/>
          <w:sz w:val="22"/>
          <w:szCs w:val="22"/>
          <w:lang w:val="es-CO" w:eastAsia="es-CO"/>
        </w:rPr>
      </w:pPr>
      <w:hyperlink w:anchor="_Toc77082095" w:history="1">
        <w:r w:rsidR="00916B9A" w:rsidRPr="00D14023">
          <w:rPr>
            <w:rStyle w:val="Hyperlink"/>
            <w:noProof/>
          </w:rPr>
          <w:t>1.3</w:t>
        </w:r>
        <w:r w:rsidR="00916B9A">
          <w:rPr>
            <w:rFonts w:asciiTheme="minorHAnsi" w:eastAsiaTheme="minorEastAsia" w:hAnsiTheme="minorHAnsi" w:cstheme="minorBidi"/>
            <w:noProof/>
            <w:sz w:val="22"/>
            <w:szCs w:val="22"/>
            <w:lang w:val="es-CO" w:eastAsia="es-CO"/>
          </w:rPr>
          <w:tab/>
        </w:r>
        <w:r w:rsidR="00916B9A" w:rsidRPr="00D14023">
          <w:rPr>
            <w:rStyle w:val="Hyperlink"/>
            <w:noProof/>
          </w:rPr>
          <w:t>Hypothesis and objectives</w:t>
        </w:r>
        <w:r w:rsidR="00916B9A">
          <w:rPr>
            <w:noProof/>
            <w:webHidden/>
          </w:rPr>
          <w:tab/>
        </w:r>
        <w:r w:rsidR="00916B9A">
          <w:rPr>
            <w:noProof/>
            <w:webHidden/>
          </w:rPr>
          <w:fldChar w:fldCharType="begin"/>
        </w:r>
        <w:r w:rsidR="00916B9A">
          <w:rPr>
            <w:noProof/>
            <w:webHidden/>
          </w:rPr>
          <w:instrText xml:space="preserve"> PAGEREF _Toc77082095 \h </w:instrText>
        </w:r>
        <w:r w:rsidR="00916B9A">
          <w:rPr>
            <w:noProof/>
            <w:webHidden/>
          </w:rPr>
        </w:r>
        <w:r w:rsidR="00916B9A">
          <w:rPr>
            <w:noProof/>
            <w:webHidden/>
          </w:rPr>
          <w:fldChar w:fldCharType="separate"/>
        </w:r>
        <w:r w:rsidR="009369AD">
          <w:rPr>
            <w:noProof/>
            <w:webHidden/>
          </w:rPr>
          <w:t>28</w:t>
        </w:r>
        <w:r w:rsidR="00916B9A">
          <w:rPr>
            <w:noProof/>
            <w:webHidden/>
          </w:rPr>
          <w:fldChar w:fldCharType="end"/>
        </w:r>
      </w:hyperlink>
    </w:p>
    <w:p w14:paraId="5F5FB688" w14:textId="78505707" w:rsidR="00916B9A" w:rsidRDefault="005D04B4" w:rsidP="009369AD">
      <w:pPr>
        <w:pStyle w:val="TOC2"/>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096" w:history="1">
        <w:r w:rsidR="00916B9A" w:rsidRPr="00D14023">
          <w:rPr>
            <w:rStyle w:val="Hyperlink"/>
            <w:noProof/>
          </w:rPr>
          <w:t>References</w:t>
        </w:r>
        <w:r w:rsidR="00916B9A">
          <w:rPr>
            <w:noProof/>
            <w:webHidden/>
          </w:rPr>
          <w:tab/>
        </w:r>
        <w:r w:rsidR="00916B9A">
          <w:rPr>
            <w:noProof/>
            <w:webHidden/>
          </w:rPr>
          <w:fldChar w:fldCharType="begin"/>
        </w:r>
        <w:r w:rsidR="00916B9A">
          <w:rPr>
            <w:noProof/>
            <w:webHidden/>
          </w:rPr>
          <w:instrText xml:space="preserve"> PAGEREF _Toc77082096 \h </w:instrText>
        </w:r>
        <w:r w:rsidR="00916B9A">
          <w:rPr>
            <w:noProof/>
            <w:webHidden/>
          </w:rPr>
        </w:r>
        <w:r w:rsidR="00916B9A">
          <w:rPr>
            <w:noProof/>
            <w:webHidden/>
          </w:rPr>
          <w:fldChar w:fldCharType="separate"/>
        </w:r>
        <w:r w:rsidR="009369AD">
          <w:rPr>
            <w:noProof/>
            <w:webHidden/>
          </w:rPr>
          <w:t>32</w:t>
        </w:r>
        <w:r w:rsidR="00916B9A">
          <w:rPr>
            <w:noProof/>
            <w:webHidden/>
          </w:rPr>
          <w:fldChar w:fldCharType="end"/>
        </w:r>
      </w:hyperlink>
    </w:p>
    <w:p w14:paraId="75EA73D8" w14:textId="360A742C" w:rsidR="00916B9A" w:rsidRDefault="005D04B4" w:rsidP="009369AD">
      <w:pPr>
        <w:pStyle w:val="TOC2"/>
        <w:tabs>
          <w:tab w:val="right" w:leader="dot" w:pos="8630"/>
        </w:tabs>
        <w:spacing w:line="480" w:lineRule="auto"/>
        <w:rPr>
          <w:rStyle w:val="Hyperlink"/>
          <w:noProof/>
        </w:rPr>
      </w:pPr>
      <w:hyperlink w:anchor="_Toc77082097" w:history="1">
        <w:r w:rsidR="00916B9A" w:rsidRPr="00D14023">
          <w:rPr>
            <w:rStyle w:val="Hyperlink"/>
            <w:noProof/>
          </w:rPr>
          <w:t>Appendix</w:t>
        </w:r>
        <w:r w:rsidR="00916B9A">
          <w:rPr>
            <w:noProof/>
            <w:webHidden/>
          </w:rPr>
          <w:tab/>
        </w:r>
        <w:r w:rsidR="00916B9A">
          <w:rPr>
            <w:noProof/>
            <w:webHidden/>
          </w:rPr>
          <w:fldChar w:fldCharType="begin"/>
        </w:r>
        <w:r w:rsidR="00916B9A">
          <w:rPr>
            <w:noProof/>
            <w:webHidden/>
          </w:rPr>
          <w:instrText xml:space="preserve"> PAGEREF _Toc77082097 \h </w:instrText>
        </w:r>
        <w:r w:rsidR="00916B9A">
          <w:rPr>
            <w:noProof/>
            <w:webHidden/>
          </w:rPr>
        </w:r>
        <w:r w:rsidR="00916B9A">
          <w:rPr>
            <w:noProof/>
            <w:webHidden/>
          </w:rPr>
          <w:fldChar w:fldCharType="separate"/>
        </w:r>
        <w:r w:rsidR="009369AD">
          <w:rPr>
            <w:noProof/>
            <w:webHidden/>
          </w:rPr>
          <w:t>53</w:t>
        </w:r>
        <w:r w:rsidR="00916B9A">
          <w:rPr>
            <w:noProof/>
            <w:webHidden/>
          </w:rPr>
          <w:fldChar w:fldCharType="end"/>
        </w:r>
      </w:hyperlink>
    </w:p>
    <w:p w14:paraId="0393E66C" w14:textId="77777777" w:rsidR="009369AD" w:rsidRPr="009369AD" w:rsidRDefault="009369AD" w:rsidP="009369AD">
      <w:pPr>
        <w:rPr>
          <w:rFonts w:eastAsiaTheme="minorEastAsia"/>
          <w:noProof/>
        </w:rPr>
      </w:pPr>
    </w:p>
    <w:p w14:paraId="3E6B20A7" w14:textId="029CD6B4" w:rsidR="00916B9A" w:rsidRDefault="005D04B4" w:rsidP="009369AD">
      <w:pPr>
        <w:pStyle w:val="TOC1"/>
        <w:tabs>
          <w:tab w:val="left" w:pos="1680"/>
          <w:tab w:val="right" w:leader="dot" w:pos="8630"/>
        </w:tabs>
        <w:spacing w:line="480" w:lineRule="auto"/>
        <w:rPr>
          <w:rFonts w:asciiTheme="minorHAnsi" w:eastAsiaTheme="minorEastAsia" w:hAnsiTheme="minorHAnsi" w:cstheme="minorBidi"/>
          <w:noProof/>
          <w:sz w:val="22"/>
          <w:szCs w:val="22"/>
          <w:lang w:val="es-CO" w:eastAsia="es-CO"/>
        </w:rPr>
      </w:pPr>
      <w:hyperlink w:anchor="_Toc77082098" w:history="1">
        <w:r w:rsidR="00916B9A" w:rsidRPr="00D14023">
          <w:rPr>
            <w:rStyle w:val="Hyperlink"/>
            <w:noProof/>
          </w:rPr>
          <w:t>CHAPTER 2.</w:t>
        </w:r>
        <w:r w:rsidR="00916B9A">
          <w:rPr>
            <w:rFonts w:asciiTheme="minorHAnsi" w:eastAsiaTheme="minorEastAsia" w:hAnsiTheme="minorHAnsi" w:cstheme="minorBidi"/>
            <w:noProof/>
            <w:sz w:val="22"/>
            <w:szCs w:val="22"/>
            <w:lang w:val="es-CO" w:eastAsia="es-CO"/>
          </w:rPr>
          <w:tab/>
        </w:r>
        <w:r w:rsidR="00916B9A" w:rsidRPr="00D14023">
          <w:rPr>
            <w:rStyle w:val="Hyperlink"/>
            <w:noProof/>
          </w:rPr>
          <w:t>UTILIZATION OF TOFU PROCESSING WASTEWATER AS A SOURCE OF THE BIOACTIVE PEPTIDE LUNASIN</w:t>
        </w:r>
        <w:r w:rsidR="00916B9A">
          <w:rPr>
            <w:noProof/>
            <w:webHidden/>
          </w:rPr>
          <w:tab/>
        </w:r>
        <w:r w:rsidR="00916B9A">
          <w:rPr>
            <w:noProof/>
            <w:webHidden/>
          </w:rPr>
          <w:fldChar w:fldCharType="begin"/>
        </w:r>
        <w:r w:rsidR="00916B9A">
          <w:rPr>
            <w:noProof/>
            <w:webHidden/>
          </w:rPr>
          <w:instrText xml:space="preserve"> PAGEREF _Toc77082098 \h </w:instrText>
        </w:r>
        <w:r w:rsidR="00916B9A">
          <w:rPr>
            <w:noProof/>
            <w:webHidden/>
          </w:rPr>
        </w:r>
        <w:r w:rsidR="00916B9A">
          <w:rPr>
            <w:noProof/>
            <w:webHidden/>
          </w:rPr>
          <w:fldChar w:fldCharType="separate"/>
        </w:r>
        <w:r w:rsidR="009369AD">
          <w:rPr>
            <w:noProof/>
            <w:webHidden/>
          </w:rPr>
          <w:t>56</w:t>
        </w:r>
        <w:r w:rsidR="00916B9A">
          <w:rPr>
            <w:noProof/>
            <w:webHidden/>
          </w:rPr>
          <w:fldChar w:fldCharType="end"/>
        </w:r>
      </w:hyperlink>
    </w:p>
    <w:p w14:paraId="2ED071D3" w14:textId="5D72761F" w:rsidR="00916B9A" w:rsidRDefault="005D04B4" w:rsidP="009369AD">
      <w:pPr>
        <w:pStyle w:val="TOC2"/>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099" w:history="1">
        <w:r w:rsidR="00916B9A" w:rsidRPr="00D14023">
          <w:rPr>
            <w:rStyle w:val="Hyperlink"/>
            <w:noProof/>
          </w:rPr>
          <w:t>2.1 Abstract</w:t>
        </w:r>
        <w:r w:rsidR="00916B9A">
          <w:rPr>
            <w:noProof/>
            <w:webHidden/>
          </w:rPr>
          <w:tab/>
        </w:r>
        <w:r w:rsidR="00916B9A">
          <w:rPr>
            <w:noProof/>
            <w:webHidden/>
          </w:rPr>
          <w:fldChar w:fldCharType="begin"/>
        </w:r>
        <w:r w:rsidR="00916B9A">
          <w:rPr>
            <w:noProof/>
            <w:webHidden/>
          </w:rPr>
          <w:instrText xml:space="preserve"> PAGEREF _Toc77082099 \h </w:instrText>
        </w:r>
        <w:r w:rsidR="00916B9A">
          <w:rPr>
            <w:noProof/>
            <w:webHidden/>
          </w:rPr>
        </w:r>
        <w:r w:rsidR="00916B9A">
          <w:rPr>
            <w:noProof/>
            <w:webHidden/>
          </w:rPr>
          <w:fldChar w:fldCharType="separate"/>
        </w:r>
        <w:r w:rsidR="009369AD">
          <w:rPr>
            <w:noProof/>
            <w:webHidden/>
          </w:rPr>
          <w:t>58</w:t>
        </w:r>
        <w:r w:rsidR="00916B9A">
          <w:rPr>
            <w:noProof/>
            <w:webHidden/>
          </w:rPr>
          <w:fldChar w:fldCharType="end"/>
        </w:r>
      </w:hyperlink>
    </w:p>
    <w:p w14:paraId="0DAB6640" w14:textId="77A38DAD" w:rsidR="00916B9A" w:rsidRDefault="005D04B4" w:rsidP="009369AD">
      <w:pPr>
        <w:pStyle w:val="TOC2"/>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00" w:history="1">
        <w:r w:rsidR="00916B9A" w:rsidRPr="00D14023">
          <w:rPr>
            <w:rStyle w:val="Hyperlink"/>
            <w:noProof/>
          </w:rPr>
          <w:t>2.2 Introduction</w:t>
        </w:r>
        <w:r w:rsidR="00916B9A">
          <w:rPr>
            <w:noProof/>
            <w:webHidden/>
          </w:rPr>
          <w:tab/>
        </w:r>
        <w:r w:rsidR="00916B9A">
          <w:rPr>
            <w:noProof/>
            <w:webHidden/>
          </w:rPr>
          <w:fldChar w:fldCharType="begin"/>
        </w:r>
        <w:r w:rsidR="00916B9A">
          <w:rPr>
            <w:noProof/>
            <w:webHidden/>
          </w:rPr>
          <w:instrText xml:space="preserve"> PAGEREF _Toc77082100 \h </w:instrText>
        </w:r>
        <w:r w:rsidR="00916B9A">
          <w:rPr>
            <w:noProof/>
            <w:webHidden/>
          </w:rPr>
        </w:r>
        <w:r w:rsidR="00916B9A">
          <w:rPr>
            <w:noProof/>
            <w:webHidden/>
          </w:rPr>
          <w:fldChar w:fldCharType="separate"/>
        </w:r>
        <w:r w:rsidR="009369AD">
          <w:rPr>
            <w:noProof/>
            <w:webHidden/>
          </w:rPr>
          <w:t>58</w:t>
        </w:r>
        <w:r w:rsidR="00916B9A">
          <w:rPr>
            <w:noProof/>
            <w:webHidden/>
          </w:rPr>
          <w:fldChar w:fldCharType="end"/>
        </w:r>
      </w:hyperlink>
    </w:p>
    <w:p w14:paraId="037E5A61" w14:textId="216D8C44" w:rsidR="00916B9A" w:rsidRDefault="005D04B4" w:rsidP="009369AD">
      <w:pPr>
        <w:pStyle w:val="TOC2"/>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01" w:history="1">
        <w:r w:rsidR="00916B9A" w:rsidRPr="00D14023">
          <w:rPr>
            <w:rStyle w:val="Hyperlink"/>
            <w:noProof/>
          </w:rPr>
          <w:t>2.3 Materials and Methods</w:t>
        </w:r>
        <w:r w:rsidR="00916B9A">
          <w:rPr>
            <w:noProof/>
            <w:webHidden/>
          </w:rPr>
          <w:tab/>
        </w:r>
        <w:r w:rsidR="00916B9A">
          <w:rPr>
            <w:noProof/>
            <w:webHidden/>
          </w:rPr>
          <w:fldChar w:fldCharType="begin"/>
        </w:r>
        <w:r w:rsidR="00916B9A">
          <w:rPr>
            <w:noProof/>
            <w:webHidden/>
          </w:rPr>
          <w:instrText xml:space="preserve"> PAGEREF _Toc77082101 \h </w:instrText>
        </w:r>
        <w:r w:rsidR="00916B9A">
          <w:rPr>
            <w:noProof/>
            <w:webHidden/>
          </w:rPr>
        </w:r>
        <w:r w:rsidR="00916B9A">
          <w:rPr>
            <w:noProof/>
            <w:webHidden/>
          </w:rPr>
          <w:fldChar w:fldCharType="separate"/>
        </w:r>
        <w:r w:rsidR="009369AD">
          <w:rPr>
            <w:noProof/>
            <w:webHidden/>
          </w:rPr>
          <w:t>61</w:t>
        </w:r>
        <w:r w:rsidR="00916B9A">
          <w:rPr>
            <w:noProof/>
            <w:webHidden/>
          </w:rPr>
          <w:fldChar w:fldCharType="end"/>
        </w:r>
      </w:hyperlink>
    </w:p>
    <w:p w14:paraId="215DE666" w14:textId="6BAF957A" w:rsidR="00916B9A" w:rsidRDefault="005D04B4" w:rsidP="009369AD">
      <w:pPr>
        <w:pStyle w:val="TOC3"/>
        <w:rPr>
          <w:rFonts w:asciiTheme="minorHAnsi" w:eastAsiaTheme="minorEastAsia" w:hAnsiTheme="minorHAnsi" w:cstheme="minorBidi"/>
          <w:noProof/>
          <w:sz w:val="22"/>
          <w:szCs w:val="22"/>
          <w:lang w:val="es-CO" w:eastAsia="es-CO"/>
        </w:rPr>
      </w:pPr>
      <w:hyperlink w:anchor="_Toc77082102" w:history="1">
        <w:r w:rsidR="00916B9A" w:rsidRPr="00D14023">
          <w:rPr>
            <w:rStyle w:val="Hyperlink"/>
            <w:noProof/>
          </w:rPr>
          <w:t>2.3.1 Materials</w:t>
        </w:r>
        <w:r w:rsidR="00916B9A">
          <w:rPr>
            <w:noProof/>
            <w:webHidden/>
          </w:rPr>
          <w:tab/>
        </w:r>
        <w:r w:rsidR="00916B9A">
          <w:rPr>
            <w:noProof/>
            <w:webHidden/>
          </w:rPr>
          <w:fldChar w:fldCharType="begin"/>
        </w:r>
        <w:r w:rsidR="00916B9A">
          <w:rPr>
            <w:noProof/>
            <w:webHidden/>
          </w:rPr>
          <w:instrText xml:space="preserve"> PAGEREF _Toc77082102 \h </w:instrText>
        </w:r>
        <w:r w:rsidR="00916B9A">
          <w:rPr>
            <w:noProof/>
            <w:webHidden/>
          </w:rPr>
        </w:r>
        <w:r w:rsidR="00916B9A">
          <w:rPr>
            <w:noProof/>
            <w:webHidden/>
          </w:rPr>
          <w:fldChar w:fldCharType="separate"/>
        </w:r>
        <w:r w:rsidR="009369AD">
          <w:rPr>
            <w:noProof/>
            <w:webHidden/>
          </w:rPr>
          <w:t>61</w:t>
        </w:r>
        <w:r w:rsidR="00916B9A">
          <w:rPr>
            <w:noProof/>
            <w:webHidden/>
          </w:rPr>
          <w:fldChar w:fldCharType="end"/>
        </w:r>
      </w:hyperlink>
    </w:p>
    <w:p w14:paraId="2A5CA282" w14:textId="6EA734FE" w:rsidR="00916B9A" w:rsidRDefault="005D04B4" w:rsidP="009369AD">
      <w:pPr>
        <w:pStyle w:val="TOC3"/>
        <w:rPr>
          <w:rFonts w:asciiTheme="minorHAnsi" w:eastAsiaTheme="minorEastAsia" w:hAnsiTheme="minorHAnsi" w:cstheme="minorBidi"/>
          <w:noProof/>
          <w:sz w:val="22"/>
          <w:szCs w:val="22"/>
          <w:lang w:val="es-CO" w:eastAsia="es-CO"/>
        </w:rPr>
      </w:pPr>
      <w:hyperlink w:anchor="_Toc77082103" w:history="1">
        <w:r w:rsidR="00916B9A" w:rsidRPr="00D14023">
          <w:rPr>
            <w:rStyle w:val="Hyperlink"/>
            <w:noProof/>
          </w:rPr>
          <w:t>2.3.2 Laboratory scale preparation of tofu whey</w:t>
        </w:r>
        <w:r w:rsidR="00916B9A">
          <w:rPr>
            <w:noProof/>
            <w:webHidden/>
          </w:rPr>
          <w:tab/>
        </w:r>
        <w:r w:rsidR="00916B9A">
          <w:rPr>
            <w:noProof/>
            <w:webHidden/>
          </w:rPr>
          <w:fldChar w:fldCharType="begin"/>
        </w:r>
        <w:r w:rsidR="00916B9A">
          <w:rPr>
            <w:noProof/>
            <w:webHidden/>
          </w:rPr>
          <w:instrText xml:space="preserve"> PAGEREF _Toc77082103 \h </w:instrText>
        </w:r>
        <w:r w:rsidR="00916B9A">
          <w:rPr>
            <w:noProof/>
            <w:webHidden/>
          </w:rPr>
        </w:r>
        <w:r w:rsidR="00916B9A">
          <w:rPr>
            <w:noProof/>
            <w:webHidden/>
          </w:rPr>
          <w:fldChar w:fldCharType="separate"/>
        </w:r>
        <w:r w:rsidR="009369AD">
          <w:rPr>
            <w:noProof/>
            <w:webHidden/>
          </w:rPr>
          <w:t>62</w:t>
        </w:r>
        <w:r w:rsidR="00916B9A">
          <w:rPr>
            <w:noProof/>
            <w:webHidden/>
          </w:rPr>
          <w:fldChar w:fldCharType="end"/>
        </w:r>
      </w:hyperlink>
    </w:p>
    <w:p w14:paraId="3ED32BB2" w14:textId="2F58E269" w:rsidR="00916B9A" w:rsidRDefault="005D04B4" w:rsidP="009369AD">
      <w:pPr>
        <w:pStyle w:val="TOC3"/>
        <w:rPr>
          <w:rFonts w:asciiTheme="minorHAnsi" w:eastAsiaTheme="minorEastAsia" w:hAnsiTheme="minorHAnsi" w:cstheme="minorBidi"/>
          <w:noProof/>
          <w:sz w:val="22"/>
          <w:szCs w:val="22"/>
          <w:lang w:val="es-CO" w:eastAsia="es-CO"/>
        </w:rPr>
      </w:pPr>
      <w:hyperlink w:anchor="_Toc77082104" w:history="1">
        <w:r w:rsidR="00916B9A" w:rsidRPr="00D14023">
          <w:rPr>
            <w:rStyle w:val="Hyperlink"/>
            <w:noProof/>
          </w:rPr>
          <w:t>2.3.3 Lunasin enrichment</w:t>
        </w:r>
        <w:r w:rsidR="00916B9A">
          <w:rPr>
            <w:noProof/>
            <w:webHidden/>
          </w:rPr>
          <w:tab/>
        </w:r>
        <w:r w:rsidR="00916B9A">
          <w:rPr>
            <w:noProof/>
            <w:webHidden/>
          </w:rPr>
          <w:fldChar w:fldCharType="begin"/>
        </w:r>
        <w:r w:rsidR="00916B9A">
          <w:rPr>
            <w:noProof/>
            <w:webHidden/>
          </w:rPr>
          <w:instrText xml:space="preserve"> PAGEREF _Toc77082104 \h </w:instrText>
        </w:r>
        <w:r w:rsidR="00916B9A">
          <w:rPr>
            <w:noProof/>
            <w:webHidden/>
          </w:rPr>
        </w:r>
        <w:r w:rsidR="00916B9A">
          <w:rPr>
            <w:noProof/>
            <w:webHidden/>
          </w:rPr>
          <w:fldChar w:fldCharType="separate"/>
        </w:r>
        <w:r w:rsidR="009369AD">
          <w:rPr>
            <w:noProof/>
            <w:webHidden/>
          </w:rPr>
          <w:t>63</w:t>
        </w:r>
        <w:r w:rsidR="00916B9A">
          <w:rPr>
            <w:noProof/>
            <w:webHidden/>
          </w:rPr>
          <w:fldChar w:fldCharType="end"/>
        </w:r>
      </w:hyperlink>
    </w:p>
    <w:p w14:paraId="464016AB" w14:textId="1BBDCF13" w:rsidR="00916B9A" w:rsidRDefault="005D04B4" w:rsidP="009369AD">
      <w:pPr>
        <w:pStyle w:val="TOC3"/>
        <w:rPr>
          <w:rFonts w:asciiTheme="minorHAnsi" w:eastAsiaTheme="minorEastAsia" w:hAnsiTheme="minorHAnsi" w:cstheme="minorBidi"/>
          <w:noProof/>
          <w:sz w:val="22"/>
          <w:szCs w:val="22"/>
          <w:lang w:val="es-CO" w:eastAsia="es-CO"/>
        </w:rPr>
      </w:pPr>
      <w:hyperlink w:anchor="_Toc77082105" w:history="1">
        <w:r w:rsidR="00916B9A" w:rsidRPr="00D14023">
          <w:rPr>
            <w:rStyle w:val="Hyperlink"/>
            <w:noProof/>
          </w:rPr>
          <w:t>2.3.4 Adjustment of preparative gel filtration chromatography parameters</w:t>
        </w:r>
        <w:r w:rsidR="00916B9A">
          <w:rPr>
            <w:noProof/>
            <w:webHidden/>
          </w:rPr>
          <w:tab/>
        </w:r>
        <w:r w:rsidR="00916B9A">
          <w:rPr>
            <w:noProof/>
            <w:webHidden/>
          </w:rPr>
          <w:fldChar w:fldCharType="begin"/>
        </w:r>
        <w:r w:rsidR="00916B9A">
          <w:rPr>
            <w:noProof/>
            <w:webHidden/>
          </w:rPr>
          <w:instrText xml:space="preserve"> PAGEREF _Toc77082105 \h </w:instrText>
        </w:r>
        <w:r w:rsidR="00916B9A">
          <w:rPr>
            <w:noProof/>
            <w:webHidden/>
          </w:rPr>
        </w:r>
        <w:r w:rsidR="00916B9A">
          <w:rPr>
            <w:noProof/>
            <w:webHidden/>
          </w:rPr>
          <w:fldChar w:fldCharType="separate"/>
        </w:r>
        <w:r w:rsidR="009369AD">
          <w:rPr>
            <w:noProof/>
            <w:webHidden/>
          </w:rPr>
          <w:t>63</w:t>
        </w:r>
        <w:r w:rsidR="00916B9A">
          <w:rPr>
            <w:noProof/>
            <w:webHidden/>
          </w:rPr>
          <w:fldChar w:fldCharType="end"/>
        </w:r>
      </w:hyperlink>
    </w:p>
    <w:p w14:paraId="23B27125" w14:textId="1D51D0A6" w:rsidR="00916B9A" w:rsidRDefault="005D04B4" w:rsidP="009369AD">
      <w:pPr>
        <w:pStyle w:val="TOC3"/>
        <w:rPr>
          <w:rFonts w:asciiTheme="minorHAnsi" w:eastAsiaTheme="minorEastAsia" w:hAnsiTheme="minorHAnsi" w:cstheme="minorBidi"/>
          <w:noProof/>
          <w:sz w:val="22"/>
          <w:szCs w:val="22"/>
          <w:lang w:val="es-CO" w:eastAsia="es-CO"/>
        </w:rPr>
      </w:pPr>
      <w:hyperlink w:anchor="_Toc77082106" w:history="1">
        <w:r w:rsidR="00916B9A" w:rsidRPr="00D14023">
          <w:rPr>
            <w:rStyle w:val="Hyperlink"/>
            <w:noProof/>
          </w:rPr>
          <w:t>2.3.5 Isolation of lunasin from industrially produced tofu whey.</w:t>
        </w:r>
        <w:r w:rsidR="00916B9A">
          <w:rPr>
            <w:noProof/>
            <w:webHidden/>
          </w:rPr>
          <w:tab/>
        </w:r>
        <w:r w:rsidR="00916B9A">
          <w:rPr>
            <w:noProof/>
            <w:webHidden/>
          </w:rPr>
          <w:fldChar w:fldCharType="begin"/>
        </w:r>
        <w:r w:rsidR="00916B9A">
          <w:rPr>
            <w:noProof/>
            <w:webHidden/>
          </w:rPr>
          <w:instrText xml:space="preserve"> PAGEREF _Toc77082106 \h </w:instrText>
        </w:r>
        <w:r w:rsidR="00916B9A">
          <w:rPr>
            <w:noProof/>
            <w:webHidden/>
          </w:rPr>
        </w:r>
        <w:r w:rsidR="00916B9A">
          <w:rPr>
            <w:noProof/>
            <w:webHidden/>
          </w:rPr>
          <w:fldChar w:fldCharType="separate"/>
        </w:r>
        <w:r w:rsidR="009369AD">
          <w:rPr>
            <w:noProof/>
            <w:webHidden/>
          </w:rPr>
          <w:t>64</w:t>
        </w:r>
        <w:r w:rsidR="00916B9A">
          <w:rPr>
            <w:noProof/>
            <w:webHidden/>
          </w:rPr>
          <w:fldChar w:fldCharType="end"/>
        </w:r>
      </w:hyperlink>
    </w:p>
    <w:p w14:paraId="0FAB55D0" w14:textId="29AE6777" w:rsidR="00916B9A" w:rsidRDefault="005D04B4" w:rsidP="009369AD">
      <w:pPr>
        <w:pStyle w:val="TOC3"/>
        <w:rPr>
          <w:rFonts w:asciiTheme="minorHAnsi" w:eastAsiaTheme="minorEastAsia" w:hAnsiTheme="minorHAnsi" w:cstheme="minorBidi"/>
          <w:noProof/>
          <w:sz w:val="22"/>
          <w:szCs w:val="22"/>
          <w:lang w:val="es-CO" w:eastAsia="es-CO"/>
        </w:rPr>
      </w:pPr>
      <w:hyperlink w:anchor="_Toc77082107" w:history="1">
        <w:r w:rsidR="00916B9A" w:rsidRPr="00D14023">
          <w:rPr>
            <w:rStyle w:val="Hyperlink"/>
            <w:noProof/>
          </w:rPr>
          <w:t>2.3.6 Analytical methods for the characterization of lunasin</w:t>
        </w:r>
        <w:r w:rsidR="00916B9A">
          <w:rPr>
            <w:noProof/>
            <w:webHidden/>
          </w:rPr>
          <w:tab/>
        </w:r>
        <w:r w:rsidR="00916B9A">
          <w:rPr>
            <w:noProof/>
            <w:webHidden/>
          </w:rPr>
          <w:fldChar w:fldCharType="begin"/>
        </w:r>
        <w:r w:rsidR="00916B9A">
          <w:rPr>
            <w:noProof/>
            <w:webHidden/>
          </w:rPr>
          <w:instrText xml:space="preserve"> PAGEREF _Toc77082107 \h </w:instrText>
        </w:r>
        <w:r w:rsidR="00916B9A">
          <w:rPr>
            <w:noProof/>
            <w:webHidden/>
          </w:rPr>
        </w:r>
        <w:r w:rsidR="00916B9A">
          <w:rPr>
            <w:noProof/>
            <w:webHidden/>
          </w:rPr>
          <w:fldChar w:fldCharType="separate"/>
        </w:r>
        <w:r w:rsidR="009369AD">
          <w:rPr>
            <w:noProof/>
            <w:webHidden/>
          </w:rPr>
          <w:t>65</w:t>
        </w:r>
        <w:r w:rsidR="00916B9A">
          <w:rPr>
            <w:noProof/>
            <w:webHidden/>
          </w:rPr>
          <w:fldChar w:fldCharType="end"/>
        </w:r>
      </w:hyperlink>
    </w:p>
    <w:p w14:paraId="3B07B6F9" w14:textId="554ED70F" w:rsidR="00916B9A" w:rsidRDefault="005D04B4" w:rsidP="009369AD">
      <w:pPr>
        <w:pStyle w:val="TOC3"/>
        <w:rPr>
          <w:rFonts w:asciiTheme="minorHAnsi" w:eastAsiaTheme="minorEastAsia" w:hAnsiTheme="minorHAnsi" w:cstheme="minorBidi"/>
          <w:noProof/>
          <w:sz w:val="22"/>
          <w:szCs w:val="22"/>
          <w:lang w:val="es-CO" w:eastAsia="es-CO"/>
        </w:rPr>
      </w:pPr>
      <w:hyperlink w:anchor="_Toc77082108" w:history="1">
        <w:r w:rsidR="00916B9A" w:rsidRPr="00D14023">
          <w:rPr>
            <w:rStyle w:val="Hyperlink"/>
            <w:noProof/>
          </w:rPr>
          <w:t>2.3.7 Biological activity of the isolated lunasin</w:t>
        </w:r>
        <w:r w:rsidR="00916B9A">
          <w:rPr>
            <w:noProof/>
            <w:webHidden/>
          </w:rPr>
          <w:tab/>
        </w:r>
        <w:r w:rsidR="00916B9A">
          <w:rPr>
            <w:noProof/>
            <w:webHidden/>
          </w:rPr>
          <w:fldChar w:fldCharType="begin"/>
        </w:r>
        <w:r w:rsidR="00916B9A">
          <w:rPr>
            <w:noProof/>
            <w:webHidden/>
          </w:rPr>
          <w:instrText xml:space="preserve"> PAGEREF _Toc77082108 \h </w:instrText>
        </w:r>
        <w:r w:rsidR="00916B9A">
          <w:rPr>
            <w:noProof/>
            <w:webHidden/>
          </w:rPr>
        </w:r>
        <w:r w:rsidR="00916B9A">
          <w:rPr>
            <w:noProof/>
            <w:webHidden/>
          </w:rPr>
          <w:fldChar w:fldCharType="separate"/>
        </w:r>
        <w:r w:rsidR="009369AD">
          <w:rPr>
            <w:noProof/>
            <w:webHidden/>
          </w:rPr>
          <w:t>68</w:t>
        </w:r>
        <w:r w:rsidR="00916B9A">
          <w:rPr>
            <w:noProof/>
            <w:webHidden/>
          </w:rPr>
          <w:fldChar w:fldCharType="end"/>
        </w:r>
      </w:hyperlink>
    </w:p>
    <w:p w14:paraId="320340F4" w14:textId="477E3A73" w:rsidR="00916B9A" w:rsidRDefault="005D04B4" w:rsidP="009369AD">
      <w:pPr>
        <w:pStyle w:val="TOC3"/>
        <w:rPr>
          <w:rFonts w:asciiTheme="minorHAnsi" w:eastAsiaTheme="minorEastAsia" w:hAnsiTheme="minorHAnsi" w:cstheme="minorBidi"/>
          <w:noProof/>
          <w:sz w:val="22"/>
          <w:szCs w:val="22"/>
          <w:lang w:val="es-CO" w:eastAsia="es-CO"/>
        </w:rPr>
      </w:pPr>
      <w:hyperlink w:anchor="_Toc77082109" w:history="1">
        <w:r w:rsidR="00916B9A" w:rsidRPr="00D14023">
          <w:rPr>
            <w:rStyle w:val="Hyperlink"/>
            <w:noProof/>
          </w:rPr>
          <w:t>2.3.8 Statistical analysis</w:t>
        </w:r>
        <w:r w:rsidR="00916B9A">
          <w:rPr>
            <w:noProof/>
            <w:webHidden/>
          </w:rPr>
          <w:tab/>
        </w:r>
        <w:r w:rsidR="00916B9A">
          <w:rPr>
            <w:noProof/>
            <w:webHidden/>
          </w:rPr>
          <w:fldChar w:fldCharType="begin"/>
        </w:r>
        <w:r w:rsidR="00916B9A">
          <w:rPr>
            <w:noProof/>
            <w:webHidden/>
          </w:rPr>
          <w:instrText xml:space="preserve"> PAGEREF _Toc77082109 \h </w:instrText>
        </w:r>
        <w:r w:rsidR="00916B9A">
          <w:rPr>
            <w:noProof/>
            <w:webHidden/>
          </w:rPr>
        </w:r>
        <w:r w:rsidR="00916B9A">
          <w:rPr>
            <w:noProof/>
            <w:webHidden/>
          </w:rPr>
          <w:fldChar w:fldCharType="separate"/>
        </w:r>
        <w:r w:rsidR="009369AD">
          <w:rPr>
            <w:noProof/>
            <w:webHidden/>
          </w:rPr>
          <w:t>68</w:t>
        </w:r>
        <w:r w:rsidR="00916B9A">
          <w:rPr>
            <w:noProof/>
            <w:webHidden/>
          </w:rPr>
          <w:fldChar w:fldCharType="end"/>
        </w:r>
      </w:hyperlink>
    </w:p>
    <w:p w14:paraId="41DFA9F5" w14:textId="04D2ED70" w:rsidR="00916B9A" w:rsidRDefault="005D04B4" w:rsidP="009369AD">
      <w:pPr>
        <w:pStyle w:val="TOC2"/>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10" w:history="1">
        <w:r w:rsidR="00916B9A" w:rsidRPr="00D14023">
          <w:rPr>
            <w:rStyle w:val="Hyperlink"/>
            <w:noProof/>
          </w:rPr>
          <w:t>2.4 Results and Discussion</w:t>
        </w:r>
        <w:r w:rsidR="00916B9A">
          <w:rPr>
            <w:noProof/>
            <w:webHidden/>
          </w:rPr>
          <w:tab/>
        </w:r>
        <w:r w:rsidR="00916B9A">
          <w:rPr>
            <w:noProof/>
            <w:webHidden/>
          </w:rPr>
          <w:fldChar w:fldCharType="begin"/>
        </w:r>
        <w:r w:rsidR="00916B9A">
          <w:rPr>
            <w:noProof/>
            <w:webHidden/>
          </w:rPr>
          <w:instrText xml:space="preserve"> PAGEREF _Toc77082110 \h </w:instrText>
        </w:r>
        <w:r w:rsidR="00916B9A">
          <w:rPr>
            <w:noProof/>
            <w:webHidden/>
          </w:rPr>
        </w:r>
        <w:r w:rsidR="00916B9A">
          <w:rPr>
            <w:noProof/>
            <w:webHidden/>
          </w:rPr>
          <w:fldChar w:fldCharType="separate"/>
        </w:r>
        <w:r w:rsidR="009369AD">
          <w:rPr>
            <w:noProof/>
            <w:webHidden/>
          </w:rPr>
          <w:t>69</w:t>
        </w:r>
        <w:r w:rsidR="00916B9A">
          <w:rPr>
            <w:noProof/>
            <w:webHidden/>
          </w:rPr>
          <w:fldChar w:fldCharType="end"/>
        </w:r>
      </w:hyperlink>
    </w:p>
    <w:p w14:paraId="3C87E343" w14:textId="29844C6A" w:rsidR="00916B9A" w:rsidRDefault="005D04B4" w:rsidP="009369AD">
      <w:pPr>
        <w:pStyle w:val="TOC3"/>
        <w:rPr>
          <w:rFonts w:asciiTheme="minorHAnsi" w:eastAsiaTheme="minorEastAsia" w:hAnsiTheme="minorHAnsi" w:cstheme="minorBidi"/>
          <w:noProof/>
          <w:sz w:val="22"/>
          <w:szCs w:val="22"/>
          <w:lang w:val="es-CO" w:eastAsia="es-CO"/>
        </w:rPr>
      </w:pPr>
      <w:hyperlink w:anchor="_Toc77082111" w:history="1">
        <w:r w:rsidR="00916B9A" w:rsidRPr="00D14023">
          <w:rPr>
            <w:rStyle w:val="Hyperlink"/>
            <w:noProof/>
          </w:rPr>
          <w:t>2.4.1 Lunasin enrichment from tofu whey</w:t>
        </w:r>
        <w:r w:rsidR="00916B9A">
          <w:rPr>
            <w:noProof/>
            <w:webHidden/>
          </w:rPr>
          <w:tab/>
        </w:r>
        <w:r w:rsidR="00916B9A">
          <w:rPr>
            <w:noProof/>
            <w:webHidden/>
          </w:rPr>
          <w:fldChar w:fldCharType="begin"/>
        </w:r>
        <w:r w:rsidR="00916B9A">
          <w:rPr>
            <w:noProof/>
            <w:webHidden/>
          </w:rPr>
          <w:instrText xml:space="preserve"> PAGEREF _Toc77082111 \h </w:instrText>
        </w:r>
        <w:r w:rsidR="00916B9A">
          <w:rPr>
            <w:noProof/>
            <w:webHidden/>
          </w:rPr>
        </w:r>
        <w:r w:rsidR="00916B9A">
          <w:rPr>
            <w:noProof/>
            <w:webHidden/>
          </w:rPr>
          <w:fldChar w:fldCharType="separate"/>
        </w:r>
        <w:r w:rsidR="009369AD">
          <w:rPr>
            <w:noProof/>
            <w:webHidden/>
          </w:rPr>
          <w:t>69</w:t>
        </w:r>
        <w:r w:rsidR="00916B9A">
          <w:rPr>
            <w:noProof/>
            <w:webHidden/>
          </w:rPr>
          <w:fldChar w:fldCharType="end"/>
        </w:r>
      </w:hyperlink>
    </w:p>
    <w:p w14:paraId="44265137" w14:textId="318ADEB6" w:rsidR="00916B9A" w:rsidRDefault="005D04B4" w:rsidP="009369AD">
      <w:pPr>
        <w:pStyle w:val="TOC3"/>
        <w:rPr>
          <w:rFonts w:asciiTheme="minorHAnsi" w:eastAsiaTheme="minorEastAsia" w:hAnsiTheme="minorHAnsi" w:cstheme="minorBidi"/>
          <w:noProof/>
          <w:sz w:val="22"/>
          <w:szCs w:val="22"/>
          <w:lang w:val="es-CO" w:eastAsia="es-CO"/>
        </w:rPr>
      </w:pPr>
      <w:hyperlink w:anchor="_Toc77082112" w:history="1">
        <w:r w:rsidR="00916B9A" w:rsidRPr="00D14023">
          <w:rPr>
            <w:rStyle w:val="Hyperlink"/>
            <w:noProof/>
          </w:rPr>
          <w:t>2.4.2 Adjustment of preparative gel filtration chromatography parameters</w:t>
        </w:r>
        <w:r w:rsidR="00916B9A">
          <w:rPr>
            <w:noProof/>
            <w:webHidden/>
          </w:rPr>
          <w:tab/>
        </w:r>
        <w:r w:rsidR="00916B9A">
          <w:rPr>
            <w:noProof/>
            <w:webHidden/>
          </w:rPr>
          <w:fldChar w:fldCharType="begin"/>
        </w:r>
        <w:r w:rsidR="00916B9A">
          <w:rPr>
            <w:noProof/>
            <w:webHidden/>
          </w:rPr>
          <w:instrText xml:space="preserve"> PAGEREF _Toc77082112 \h </w:instrText>
        </w:r>
        <w:r w:rsidR="00916B9A">
          <w:rPr>
            <w:noProof/>
            <w:webHidden/>
          </w:rPr>
        </w:r>
        <w:r w:rsidR="00916B9A">
          <w:rPr>
            <w:noProof/>
            <w:webHidden/>
          </w:rPr>
          <w:fldChar w:fldCharType="separate"/>
        </w:r>
        <w:r w:rsidR="009369AD">
          <w:rPr>
            <w:noProof/>
            <w:webHidden/>
          </w:rPr>
          <w:t>75</w:t>
        </w:r>
        <w:r w:rsidR="00916B9A">
          <w:rPr>
            <w:noProof/>
            <w:webHidden/>
          </w:rPr>
          <w:fldChar w:fldCharType="end"/>
        </w:r>
      </w:hyperlink>
    </w:p>
    <w:p w14:paraId="0D067696" w14:textId="7ACE9F5D" w:rsidR="00916B9A" w:rsidRDefault="005D04B4" w:rsidP="009369AD">
      <w:pPr>
        <w:pStyle w:val="TOC3"/>
        <w:rPr>
          <w:rFonts w:asciiTheme="minorHAnsi" w:eastAsiaTheme="minorEastAsia" w:hAnsiTheme="minorHAnsi" w:cstheme="minorBidi"/>
          <w:noProof/>
          <w:sz w:val="22"/>
          <w:szCs w:val="22"/>
          <w:lang w:val="es-CO" w:eastAsia="es-CO"/>
        </w:rPr>
      </w:pPr>
      <w:hyperlink w:anchor="_Toc77082113" w:history="1">
        <w:r w:rsidR="00916B9A" w:rsidRPr="00D14023">
          <w:rPr>
            <w:rStyle w:val="Hyperlink"/>
            <w:noProof/>
          </w:rPr>
          <w:t>2.4.3 Application of adjusted enrichment and purification processes to industrially produced tofu whey.</w:t>
        </w:r>
        <w:r w:rsidR="00916B9A">
          <w:rPr>
            <w:noProof/>
            <w:webHidden/>
          </w:rPr>
          <w:tab/>
        </w:r>
        <w:r w:rsidR="00916B9A">
          <w:rPr>
            <w:noProof/>
            <w:webHidden/>
          </w:rPr>
          <w:fldChar w:fldCharType="begin"/>
        </w:r>
        <w:r w:rsidR="00916B9A">
          <w:rPr>
            <w:noProof/>
            <w:webHidden/>
          </w:rPr>
          <w:instrText xml:space="preserve"> PAGEREF _Toc77082113 \h </w:instrText>
        </w:r>
        <w:r w:rsidR="00916B9A">
          <w:rPr>
            <w:noProof/>
            <w:webHidden/>
          </w:rPr>
        </w:r>
        <w:r w:rsidR="00916B9A">
          <w:rPr>
            <w:noProof/>
            <w:webHidden/>
          </w:rPr>
          <w:fldChar w:fldCharType="separate"/>
        </w:r>
        <w:r w:rsidR="009369AD">
          <w:rPr>
            <w:noProof/>
            <w:webHidden/>
          </w:rPr>
          <w:t>79</w:t>
        </w:r>
        <w:r w:rsidR="00916B9A">
          <w:rPr>
            <w:noProof/>
            <w:webHidden/>
          </w:rPr>
          <w:fldChar w:fldCharType="end"/>
        </w:r>
      </w:hyperlink>
    </w:p>
    <w:p w14:paraId="4C001688" w14:textId="0A6FB88B" w:rsidR="00916B9A" w:rsidRDefault="005D04B4" w:rsidP="009369AD">
      <w:pPr>
        <w:pStyle w:val="TOC3"/>
        <w:rPr>
          <w:rFonts w:asciiTheme="minorHAnsi" w:eastAsiaTheme="minorEastAsia" w:hAnsiTheme="minorHAnsi" w:cstheme="minorBidi"/>
          <w:noProof/>
          <w:sz w:val="22"/>
          <w:szCs w:val="22"/>
          <w:lang w:val="es-CO" w:eastAsia="es-CO"/>
        </w:rPr>
      </w:pPr>
      <w:hyperlink w:anchor="_Toc77082114" w:history="1">
        <w:r w:rsidR="00916B9A" w:rsidRPr="00D14023">
          <w:rPr>
            <w:rStyle w:val="Hyperlink"/>
            <w:noProof/>
          </w:rPr>
          <w:t>2.4.4 Biological activity of isolated lunasin</w:t>
        </w:r>
        <w:r w:rsidR="00916B9A">
          <w:rPr>
            <w:noProof/>
            <w:webHidden/>
          </w:rPr>
          <w:tab/>
        </w:r>
        <w:r w:rsidR="00916B9A">
          <w:rPr>
            <w:noProof/>
            <w:webHidden/>
          </w:rPr>
          <w:fldChar w:fldCharType="begin"/>
        </w:r>
        <w:r w:rsidR="00916B9A">
          <w:rPr>
            <w:noProof/>
            <w:webHidden/>
          </w:rPr>
          <w:instrText xml:space="preserve"> PAGEREF _Toc77082114 \h </w:instrText>
        </w:r>
        <w:r w:rsidR="00916B9A">
          <w:rPr>
            <w:noProof/>
            <w:webHidden/>
          </w:rPr>
        </w:r>
        <w:r w:rsidR="00916B9A">
          <w:rPr>
            <w:noProof/>
            <w:webHidden/>
          </w:rPr>
          <w:fldChar w:fldCharType="separate"/>
        </w:r>
        <w:r w:rsidR="009369AD">
          <w:rPr>
            <w:noProof/>
            <w:webHidden/>
          </w:rPr>
          <w:t>82</w:t>
        </w:r>
        <w:r w:rsidR="00916B9A">
          <w:rPr>
            <w:noProof/>
            <w:webHidden/>
          </w:rPr>
          <w:fldChar w:fldCharType="end"/>
        </w:r>
      </w:hyperlink>
    </w:p>
    <w:p w14:paraId="3A6D4888" w14:textId="64220ED4" w:rsidR="00916B9A" w:rsidRDefault="005D04B4" w:rsidP="009369AD">
      <w:pPr>
        <w:pStyle w:val="TOC2"/>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15" w:history="1">
        <w:r w:rsidR="00916B9A" w:rsidRPr="00D14023">
          <w:rPr>
            <w:rStyle w:val="Hyperlink"/>
            <w:noProof/>
          </w:rPr>
          <w:t>2.5 Conclusions</w:t>
        </w:r>
        <w:r w:rsidR="00916B9A">
          <w:rPr>
            <w:noProof/>
            <w:webHidden/>
          </w:rPr>
          <w:tab/>
        </w:r>
        <w:r w:rsidR="00916B9A">
          <w:rPr>
            <w:noProof/>
            <w:webHidden/>
          </w:rPr>
          <w:fldChar w:fldCharType="begin"/>
        </w:r>
        <w:r w:rsidR="00916B9A">
          <w:rPr>
            <w:noProof/>
            <w:webHidden/>
          </w:rPr>
          <w:instrText xml:space="preserve"> PAGEREF _Toc77082115 \h </w:instrText>
        </w:r>
        <w:r w:rsidR="00916B9A">
          <w:rPr>
            <w:noProof/>
            <w:webHidden/>
          </w:rPr>
        </w:r>
        <w:r w:rsidR="00916B9A">
          <w:rPr>
            <w:noProof/>
            <w:webHidden/>
          </w:rPr>
          <w:fldChar w:fldCharType="separate"/>
        </w:r>
        <w:r w:rsidR="009369AD">
          <w:rPr>
            <w:noProof/>
            <w:webHidden/>
          </w:rPr>
          <w:t>83</w:t>
        </w:r>
        <w:r w:rsidR="00916B9A">
          <w:rPr>
            <w:noProof/>
            <w:webHidden/>
          </w:rPr>
          <w:fldChar w:fldCharType="end"/>
        </w:r>
      </w:hyperlink>
    </w:p>
    <w:p w14:paraId="0D845D2E" w14:textId="4F2F0420" w:rsidR="00916B9A" w:rsidRDefault="005D04B4" w:rsidP="009369AD">
      <w:pPr>
        <w:pStyle w:val="TOC2"/>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16" w:history="1">
        <w:r w:rsidR="00916B9A" w:rsidRPr="00D14023">
          <w:rPr>
            <w:rStyle w:val="Hyperlink"/>
            <w:noProof/>
          </w:rPr>
          <w:t>References</w:t>
        </w:r>
        <w:r w:rsidR="00916B9A">
          <w:rPr>
            <w:noProof/>
            <w:webHidden/>
          </w:rPr>
          <w:tab/>
        </w:r>
        <w:r w:rsidR="00916B9A">
          <w:rPr>
            <w:noProof/>
            <w:webHidden/>
          </w:rPr>
          <w:fldChar w:fldCharType="begin"/>
        </w:r>
        <w:r w:rsidR="00916B9A">
          <w:rPr>
            <w:noProof/>
            <w:webHidden/>
          </w:rPr>
          <w:instrText xml:space="preserve"> PAGEREF _Toc77082116 \h </w:instrText>
        </w:r>
        <w:r w:rsidR="00916B9A">
          <w:rPr>
            <w:noProof/>
            <w:webHidden/>
          </w:rPr>
        </w:r>
        <w:r w:rsidR="00916B9A">
          <w:rPr>
            <w:noProof/>
            <w:webHidden/>
          </w:rPr>
          <w:fldChar w:fldCharType="separate"/>
        </w:r>
        <w:r w:rsidR="009369AD">
          <w:rPr>
            <w:noProof/>
            <w:webHidden/>
          </w:rPr>
          <w:t>84</w:t>
        </w:r>
        <w:r w:rsidR="00916B9A">
          <w:rPr>
            <w:noProof/>
            <w:webHidden/>
          </w:rPr>
          <w:fldChar w:fldCharType="end"/>
        </w:r>
      </w:hyperlink>
    </w:p>
    <w:p w14:paraId="29F76409" w14:textId="6F3F60BE" w:rsidR="00916B9A" w:rsidRDefault="005D04B4" w:rsidP="009369AD">
      <w:pPr>
        <w:pStyle w:val="TOC2"/>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17" w:history="1">
        <w:r w:rsidR="00916B9A" w:rsidRPr="00D14023">
          <w:rPr>
            <w:rStyle w:val="Hyperlink"/>
            <w:noProof/>
          </w:rPr>
          <w:t>Appendix</w:t>
        </w:r>
        <w:r w:rsidR="00916B9A">
          <w:rPr>
            <w:noProof/>
            <w:webHidden/>
          </w:rPr>
          <w:tab/>
        </w:r>
        <w:r w:rsidR="00916B9A">
          <w:rPr>
            <w:noProof/>
            <w:webHidden/>
          </w:rPr>
          <w:fldChar w:fldCharType="begin"/>
        </w:r>
        <w:r w:rsidR="00916B9A">
          <w:rPr>
            <w:noProof/>
            <w:webHidden/>
          </w:rPr>
          <w:instrText xml:space="preserve"> PAGEREF _Toc77082117 \h </w:instrText>
        </w:r>
        <w:r w:rsidR="00916B9A">
          <w:rPr>
            <w:noProof/>
            <w:webHidden/>
          </w:rPr>
        </w:r>
        <w:r w:rsidR="00916B9A">
          <w:rPr>
            <w:noProof/>
            <w:webHidden/>
          </w:rPr>
          <w:fldChar w:fldCharType="separate"/>
        </w:r>
        <w:r w:rsidR="009369AD">
          <w:rPr>
            <w:noProof/>
            <w:webHidden/>
          </w:rPr>
          <w:t>91</w:t>
        </w:r>
        <w:r w:rsidR="00916B9A">
          <w:rPr>
            <w:noProof/>
            <w:webHidden/>
          </w:rPr>
          <w:fldChar w:fldCharType="end"/>
        </w:r>
      </w:hyperlink>
    </w:p>
    <w:p w14:paraId="12C57B33" w14:textId="60777D94" w:rsidR="00916B9A" w:rsidRDefault="005D04B4" w:rsidP="009369AD">
      <w:pPr>
        <w:pStyle w:val="TOC3"/>
        <w:rPr>
          <w:rFonts w:asciiTheme="minorHAnsi" w:eastAsiaTheme="minorEastAsia" w:hAnsiTheme="minorHAnsi" w:cstheme="minorBidi"/>
          <w:noProof/>
          <w:sz w:val="22"/>
          <w:szCs w:val="22"/>
          <w:lang w:val="es-CO" w:eastAsia="es-CO"/>
        </w:rPr>
      </w:pPr>
      <w:hyperlink w:anchor="_Toc77082118" w:history="1">
        <w:r w:rsidR="00916B9A" w:rsidRPr="00D14023">
          <w:rPr>
            <w:rStyle w:val="Hyperlink"/>
            <w:noProof/>
          </w:rPr>
          <w:t>Tables and Figures</w:t>
        </w:r>
        <w:r w:rsidR="00916B9A">
          <w:rPr>
            <w:noProof/>
            <w:webHidden/>
          </w:rPr>
          <w:tab/>
        </w:r>
        <w:r w:rsidR="00916B9A">
          <w:rPr>
            <w:noProof/>
            <w:webHidden/>
          </w:rPr>
          <w:fldChar w:fldCharType="begin"/>
        </w:r>
        <w:r w:rsidR="00916B9A">
          <w:rPr>
            <w:noProof/>
            <w:webHidden/>
          </w:rPr>
          <w:instrText xml:space="preserve"> PAGEREF _Toc77082118 \h </w:instrText>
        </w:r>
        <w:r w:rsidR="00916B9A">
          <w:rPr>
            <w:noProof/>
            <w:webHidden/>
          </w:rPr>
        </w:r>
        <w:r w:rsidR="00916B9A">
          <w:rPr>
            <w:noProof/>
            <w:webHidden/>
          </w:rPr>
          <w:fldChar w:fldCharType="separate"/>
        </w:r>
        <w:r w:rsidR="009369AD">
          <w:rPr>
            <w:noProof/>
            <w:webHidden/>
          </w:rPr>
          <w:t>91</w:t>
        </w:r>
        <w:r w:rsidR="00916B9A">
          <w:rPr>
            <w:noProof/>
            <w:webHidden/>
          </w:rPr>
          <w:fldChar w:fldCharType="end"/>
        </w:r>
      </w:hyperlink>
    </w:p>
    <w:p w14:paraId="3D140368" w14:textId="651B1849" w:rsidR="00916B9A" w:rsidRDefault="005D04B4" w:rsidP="009369AD">
      <w:pPr>
        <w:pStyle w:val="TOC3"/>
        <w:rPr>
          <w:rStyle w:val="Hyperlink"/>
          <w:noProof/>
        </w:rPr>
      </w:pPr>
      <w:hyperlink w:anchor="_Toc77082119" w:history="1">
        <w:r w:rsidR="00916B9A" w:rsidRPr="00D14023">
          <w:rPr>
            <w:rStyle w:val="Hyperlink"/>
            <w:noProof/>
          </w:rPr>
          <w:t>Supplementary material</w:t>
        </w:r>
        <w:r w:rsidR="00916B9A">
          <w:rPr>
            <w:noProof/>
            <w:webHidden/>
          </w:rPr>
          <w:tab/>
        </w:r>
        <w:r w:rsidR="00916B9A">
          <w:rPr>
            <w:noProof/>
            <w:webHidden/>
          </w:rPr>
          <w:fldChar w:fldCharType="begin"/>
        </w:r>
        <w:r w:rsidR="00916B9A">
          <w:rPr>
            <w:noProof/>
            <w:webHidden/>
          </w:rPr>
          <w:instrText xml:space="preserve"> PAGEREF _Toc77082119 \h </w:instrText>
        </w:r>
        <w:r w:rsidR="00916B9A">
          <w:rPr>
            <w:noProof/>
            <w:webHidden/>
          </w:rPr>
        </w:r>
        <w:r w:rsidR="00916B9A">
          <w:rPr>
            <w:noProof/>
            <w:webHidden/>
          </w:rPr>
          <w:fldChar w:fldCharType="separate"/>
        </w:r>
        <w:r w:rsidR="009369AD">
          <w:rPr>
            <w:noProof/>
            <w:webHidden/>
          </w:rPr>
          <w:t>102</w:t>
        </w:r>
        <w:r w:rsidR="00916B9A">
          <w:rPr>
            <w:noProof/>
            <w:webHidden/>
          </w:rPr>
          <w:fldChar w:fldCharType="end"/>
        </w:r>
      </w:hyperlink>
    </w:p>
    <w:p w14:paraId="59BDB52A" w14:textId="77777777" w:rsidR="009369AD" w:rsidRPr="009369AD" w:rsidRDefault="009369AD" w:rsidP="009369AD">
      <w:pPr>
        <w:rPr>
          <w:rFonts w:eastAsiaTheme="minorEastAsia"/>
          <w:noProof/>
        </w:rPr>
      </w:pPr>
    </w:p>
    <w:p w14:paraId="43D3893E" w14:textId="47ACFE97" w:rsidR="00916B9A" w:rsidRDefault="005D04B4" w:rsidP="009369AD">
      <w:pPr>
        <w:pStyle w:val="TOC1"/>
        <w:tabs>
          <w:tab w:val="left" w:pos="1680"/>
          <w:tab w:val="right" w:leader="dot" w:pos="8630"/>
        </w:tabs>
        <w:spacing w:line="480" w:lineRule="auto"/>
        <w:rPr>
          <w:rFonts w:asciiTheme="minorHAnsi" w:eastAsiaTheme="minorEastAsia" w:hAnsiTheme="minorHAnsi" w:cstheme="minorBidi"/>
          <w:noProof/>
          <w:sz w:val="22"/>
          <w:szCs w:val="22"/>
          <w:lang w:val="es-CO" w:eastAsia="es-CO"/>
        </w:rPr>
      </w:pPr>
      <w:hyperlink w:anchor="_Toc77082120" w:history="1">
        <w:r w:rsidR="00916B9A" w:rsidRPr="00D14023">
          <w:rPr>
            <w:rStyle w:val="Hyperlink"/>
            <w:noProof/>
          </w:rPr>
          <w:t>CHAPTER 3.</w:t>
        </w:r>
        <w:r w:rsidR="00916B9A">
          <w:rPr>
            <w:rFonts w:asciiTheme="minorHAnsi" w:eastAsiaTheme="minorEastAsia" w:hAnsiTheme="minorHAnsi" w:cstheme="minorBidi"/>
            <w:noProof/>
            <w:sz w:val="22"/>
            <w:szCs w:val="22"/>
            <w:lang w:val="es-CO" w:eastAsia="es-CO"/>
          </w:rPr>
          <w:tab/>
        </w:r>
        <w:r w:rsidR="00916B9A" w:rsidRPr="00D14023">
          <w:rPr>
            <w:rStyle w:val="Hyperlink"/>
            <w:noProof/>
          </w:rPr>
          <w:t>LUNASIN MODULATES THE ACTIVATION OF THE NLRP3 INFLAMMASOME AND REDUCES THE SUSCEPTIBILITY TO INFLAMMATORY BOWEL DISEASE IN IL-10</w:t>
        </w:r>
        <w:r w:rsidR="00916B9A" w:rsidRPr="00D14023">
          <w:rPr>
            <w:rStyle w:val="Hyperlink"/>
            <w:noProof/>
            <w:vertAlign w:val="superscript"/>
          </w:rPr>
          <w:t>-/-</w:t>
        </w:r>
        <w:r w:rsidR="00916B9A" w:rsidRPr="00D14023">
          <w:rPr>
            <w:rStyle w:val="Hyperlink"/>
            <w:noProof/>
          </w:rPr>
          <w:t xml:space="preserve"> MICE</w:t>
        </w:r>
        <w:r w:rsidR="00916B9A">
          <w:rPr>
            <w:noProof/>
            <w:webHidden/>
          </w:rPr>
          <w:tab/>
        </w:r>
        <w:r w:rsidR="00916B9A">
          <w:rPr>
            <w:noProof/>
            <w:webHidden/>
          </w:rPr>
          <w:fldChar w:fldCharType="begin"/>
        </w:r>
        <w:r w:rsidR="00916B9A">
          <w:rPr>
            <w:noProof/>
            <w:webHidden/>
          </w:rPr>
          <w:instrText xml:space="preserve"> PAGEREF _Toc77082120 \h </w:instrText>
        </w:r>
        <w:r w:rsidR="00916B9A">
          <w:rPr>
            <w:noProof/>
            <w:webHidden/>
          </w:rPr>
        </w:r>
        <w:r w:rsidR="00916B9A">
          <w:rPr>
            <w:noProof/>
            <w:webHidden/>
          </w:rPr>
          <w:fldChar w:fldCharType="separate"/>
        </w:r>
        <w:r w:rsidR="009369AD">
          <w:rPr>
            <w:noProof/>
            <w:webHidden/>
          </w:rPr>
          <w:t>112</w:t>
        </w:r>
        <w:r w:rsidR="00916B9A">
          <w:rPr>
            <w:noProof/>
            <w:webHidden/>
          </w:rPr>
          <w:fldChar w:fldCharType="end"/>
        </w:r>
      </w:hyperlink>
    </w:p>
    <w:p w14:paraId="2544EEE9" w14:textId="3D352AAE" w:rsidR="00916B9A" w:rsidRDefault="005D04B4" w:rsidP="009369AD">
      <w:pPr>
        <w:pStyle w:val="TOC2"/>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21" w:history="1">
        <w:r w:rsidR="00916B9A" w:rsidRPr="00D14023">
          <w:rPr>
            <w:rStyle w:val="Hyperlink"/>
            <w:noProof/>
          </w:rPr>
          <w:t>3.1 Abstract</w:t>
        </w:r>
        <w:r w:rsidR="00916B9A">
          <w:rPr>
            <w:noProof/>
            <w:webHidden/>
          </w:rPr>
          <w:tab/>
        </w:r>
        <w:r w:rsidR="00916B9A">
          <w:rPr>
            <w:noProof/>
            <w:webHidden/>
          </w:rPr>
          <w:fldChar w:fldCharType="begin"/>
        </w:r>
        <w:r w:rsidR="00916B9A">
          <w:rPr>
            <w:noProof/>
            <w:webHidden/>
          </w:rPr>
          <w:instrText xml:space="preserve"> PAGEREF _Toc77082121 \h </w:instrText>
        </w:r>
        <w:r w:rsidR="00916B9A">
          <w:rPr>
            <w:noProof/>
            <w:webHidden/>
          </w:rPr>
        </w:r>
        <w:r w:rsidR="00916B9A">
          <w:rPr>
            <w:noProof/>
            <w:webHidden/>
          </w:rPr>
          <w:fldChar w:fldCharType="separate"/>
        </w:r>
        <w:r w:rsidR="009369AD">
          <w:rPr>
            <w:noProof/>
            <w:webHidden/>
          </w:rPr>
          <w:t>113</w:t>
        </w:r>
        <w:r w:rsidR="00916B9A">
          <w:rPr>
            <w:noProof/>
            <w:webHidden/>
          </w:rPr>
          <w:fldChar w:fldCharType="end"/>
        </w:r>
      </w:hyperlink>
    </w:p>
    <w:p w14:paraId="608E1CE3" w14:textId="622CADE5" w:rsidR="00916B9A" w:rsidRDefault="005D04B4" w:rsidP="009369AD">
      <w:pPr>
        <w:pStyle w:val="TOC2"/>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22" w:history="1">
        <w:r w:rsidR="00916B9A" w:rsidRPr="00D14023">
          <w:rPr>
            <w:rStyle w:val="Hyperlink"/>
            <w:noProof/>
          </w:rPr>
          <w:t>3.2 Introduction</w:t>
        </w:r>
        <w:r w:rsidR="00916B9A">
          <w:rPr>
            <w:noProof/>
            <w:webHidden/>
          </w:rPr>
          <w:tab/>
        </w:r>
        <w:r w:rsidR="00916B9A">
          <w:rPr>
            <w:noProof/>
            <w:webHidden/>
          </w:rPr>
          <w:fldChar w:fldCharType="begin"/>
        </w:r>
        <w:r w:rsidR="00916B9A">
          <w:rPr>
            <w:noProof/>
            <w:webHidden/>
          </w:rPr>
          <w:instrText xml:space="preserve"> PAGEREF _Toc77082122 \h </w:instrText>
        </w:r>
        <w:r w:rsidR="00916B9A">
          <w:rPr>
            <w:noProof/>
            <w:webHidden/>
          </w:rPr>
        </w:r>
        <w:r w:rsidR="00916B9A">
          <w:rPr>
            <w:noProof/>
            <w:webHidden/>
          </w:rPr>
          <w:fldChar w:fldCharType="separate"/>
        </w:r>
        <w:r w:rsidR="009369AD">
          <w:rPr>
            <w:noProof/>
            <w:webHidden/>
          </w:rPr>
          <w:t>113</w:t>
        </w:r>
        <w:r w:rsidR="00916B9A">
          <w:rPr>
            <w:noProof/>
            <w:webHidden/>
          </w:rPr>
          <w:fldChar w:fldCharType="end"/>
        </w:r>
      </w:hyperlink>
    </w:p>
    <w:p w14:paraId="46F70BCD" w14:textId="2347CB93" w:rsidR="00916B9A" w:rsidRDefault="005D04B4" w:rsidP="009369AD">
      <w:pPr>
        <w:pStyle w:val="TOC2"/>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23" w:history="1">
        <w:r w:rsidR="00916B9A" w:rsidRPr="00D14023">
          <w:rPr>
            <w:rStyle w:val="Hyperlink"/>
            <w:noProof/>
          </w:rPr>
          <w:t>3.3 Materials and Methods</w:t>
        </w:r>
        <w:r w:rsidR="00916B9A">
          <w:rPr>
            <w:noProof/>
            <w:webHidden/>
          </w:rPr>
          <w:tab/>
        </w:r>
        <w:r w:rsidR="00916B9A">
          <w:rPr>
            <w:noProof/>
            <w:webHidden/>
          </w:rPr>
          <w:fldChar w:fldCharType="begin"/>
        </w:r>
        <w:r w:rsidR="00916B9A">
          <w:rPr>
            <w:noProof/>
            <w:webHidden/>
          </w:rPr>
          <w:instrText xml:space="preserve"> PAGEREF _Toc77082123 \h </w:instrText>
        </w:r>
        <w:r w:rsidR="00916B9A">
          <w:rPr>
            <w:noProof/>
            <w:webHidden/>
          </w:rPr>
        </w:r>
        <w:r w:rsidR="00916B9A">
          <w:rPr>
            <w:noProof/>
            <w:webHidden/>
          </w:rPr>
          <w:fldChar w:fldCharType="separate"/>
        </w:r>
        <w:r w:rsidR="009369AD">
          <w:rPr>
            <w:noProof/>
            <w:webHidden/>
          </w:rPr>
          <w:t>117</w:t>
        </w:r>
        <w:r w:rsidR="00916B9A">
          <w:rPr>
            <w:noProof/>
            <w:webHidden/>
          </w:rPr>
          <w:fldChar w:fldCharType="end"/>
        </w:r>
      </w:hyperlink>
    </w:p>
    <w:p w14:paraId="0E8CA16D" w14:textId="4B209652" w:rsidR="00916B9A" w:rsidRDefault="005D04B4" w:rsidP="009369AD">
      <w:pPr>
        <w:pStyle w:val="TOC3"/>
        <w:rPr>
          <w:rFonts w:asciiTheme="minorHAnsi" w:eastAsiaTheme="minorEastAsia" w:hAnsiTheme="minorHAnsi" w:cstheme="minorBidi"/>
          <w:noProof/>
          <w:sz w:val="22"/>
          <w:szCs w:val="22"/>
          <w:lang w:val="es-CO" w:eastAsia="es-CO"/>
        </w:rPr>
      </w:pPr>
      <w:hyperlink w:anchor="_Toc77082124" w:history="1">
        <w:r w:rsidR="00916B9A" w:rsidRPr="00D14023">
          <w:rPr>
            <w:rStyle w:val="Hyperlink"/>
            <w:noProof/>
          </w:rPr>
          <w:t>3.3.1 Lunasin isolation</w:t>
        </w:r>
        <w:r w:rsidR="00916B9A">
          <w:rPr>
            <w:noProof/>
            <w:webHidden/>
          </w:rPr>
          <w:tab/>
        </w:r>
        <w:r w:rsidR="00916B9A">
          <w:rPr>
            <w:noProof/>
            <w:webHidden/>
          </w:rPr>
          <w:fldChar w:fldCharType="begin"/>
        </w:r>
        <w:r w:rsidR="00916B9A">
          <w:rPr>
            <w:noProof/>
            <w:webHidden/>
          </w:rPr>
          <w:instrText xml:space="preserve"> PAGEREF _Toc77082124 \h </w:instrText>
        </w:r>
        <w:r w:rsidR="00916B9A">
          <w:rPr>
            <w:noProof/>
            <w:webHidden/>
          </w:rPr>
        </w:r>
        <w:r w:rsidR="00916B9A">
          <w:rPr>
            <w:noProof/>
            <w:webHidden/>
          </w:rPr>
          <w:fldChar w:fldCharType="separate"/>
        </w:r>
        <w:r w:rsidR="009369AD">
          <w:rPr>
            <w:noProof/>
            <w:webHidden/>
          </w:rPr>
          <w:t>117</w:t>
        </w:r>
        <w:r w:rsidR="00916B9A">
          <w:rPr>
            <w:noProof/>
            <w:webHidden/>
          </w:rPr>
          <w:fldChar w:fldCharType="end"/>
        </w:r>
      </w:hyperlink>
    </w:p>
    <w:p w14:paraId="44197FEE" w14:textId="220083DB" w:rsidR="00916B9A" w:rsidRDefault="005D04B4" w:rsidP="009369AD">
      <w:pPr>
        <w:pStyle w:val="TOC3"/>
        <w:rPr>
          <w:rFonts w:asciiTheme="minorHAnsi" w:eastAsiaTheme="minorEastAsia" w:hAnsiTheme="minorHAnsi" w:cstheme="minorBidi"/>
          <w:noProof/>
          <w:sz w:val="22"/>
          <w:szCs w:val="22"/>
          <w:lang w:val="es-CO" w:eastAsia="es-CO"/>
        </w:rPr>
      </w:pPr>
      <w:hyperlink w:anchor="_Toc77082125" w:history="1">
        <w:r w:rsidR="00916B9A" w:rsidRPr="00D14023">
          <w:rPr>
            <w:rStyle w:val="Hyperlink"/>
            <w:noProof/>
          </w:rPr>
          <w:t>3.3.2 In vivo experiments</w:t>
        </w:r>
        <w:r w:rsidR="00916B9A">
          <w:rPr>
            <w:noProof/>
            <w:webHidden/>
          </w:rPr>
          <w:tab/>
        </w:r>
        <w:r w:rsidR="00916B9A">
          <w:rPr>
            <w:noProof/>
            <w:webHidden/>
          </w:rPr>
          <w:fldChar w:fldCharType="begin"/>
        </w:r>
        <w:r w:rsidR="00916B9A">
          <w:rPr>
            <w:noProof/>
            <w:webHidden/>
          </w:rPr>
          <w:instrText xml:space="preserve"> PAGEREF _Toc77082125 \h </w:instrText>
        </w:r>
        <w:r w:rsidR="00916B9A">
          <w:rPr>
            <w:noProof/>
            <w:webHidden/>
          </w:rPr>
        </w:r>
        <w:r w:rsidR="00916B9A">
          <w:rPr>
            <w:noProof/>
            <w:webHidden/>
          </w:rPr>
          <w:fldChar w:fldCharType="separate"/>
        </w:r>
        <w:r w:rsidR="009369AD">
          <w:rPr>
            <w:noProof/>
            <w:webHidden/>
          </w:rPr>
          <w:t>118</w:t>
        </w:r>
        <w:r w:rsidR="00916B9A">
          <w:rPr>
            <w:noProof/>
            <w:webHidden/>
          </w:rPr>
          <w:fldChar w:fldCharType="end"/>
        </w:r>
      </w:hyperlink>
    </w:p>
    <w:p w14:paraId="214DA32E" w14:textId="0D760B4E" w:rsidR="00916B9A" w:rsidRDefault="005D04B4" w:rsidP="009369AD">
      <w:pPr>
        <w:pStyle w:val="TOC3"/>
        <w:rPr>
          <w:rFonts w:asciiTheme="minorHAnsi" w:eastAsiaTheme="minorEastAsia" w:hAnsiTheme="minorHAnsi" w:cstheme="minorBidi"/>
          <w:noProof/>
          <w:sz w:val="22"/>
          <w:szCs w:val="22"/>
          <w:lang w:val="es-CO" w:eastAsia="es-CO"/>
        </w:rPr>
      </w:pPr>
      <w:hyperlink w:anchor="_Toc77082126" w:history="1">
        <w:r w:rsidR="00916B9A" w:rsidRPr="00D14023">
          <w:rPr>
            <w:rStyle w:val="Hyperlink"/>
            <w:noProof/>
          </w:rPr>
          <w:t>3.3.3 Macroscopic disease activity index (DAI)</w:t>
        </w:r>
        <w:r w:rsidR="00916B9A">
          <w:rPr>
            <w:noProof/>
            <w:webHidden/>
          </w:rPr>
          <w:tab/>
        </w:r>
        <w:r w:rsidR="00916B9A">
          <w:rPr>
            <w:noProof/>
            <w:webHidden/>
          </w:rPr>
          <w:fldChar w:fldCharType="begin"/>
        </w:r>
        <w:r w:rsidR="00916B9A">
          <w:rPr>
            <w:noProof/>
            <w:webHidden/>
          </w:rPr>
          <w:instrText xml:space="preserve"> PAGEREF _Toc77082126 \h </w:instrText>
        </w:r>
        <w:r w:rsidR="00916B9A">
          <w:rPr>
            <w:noProof/>
            <w:webHidden/>
          </w:rPr>
        </w:r>
        <w:r w:rsidR="00916B9A">
          <w:rPr>
            <w:noProof/>
            <w:webHidden/>
          </w:rPr>
          <w:fldChar w:fldCharType="separate"/>
        </w:r>
        <w:r w:rsidR="009369AD">
          <w:rPr>
            <w:noProof/>
            <w:webHidden/>
          </w:rPr>
          <w:t>119</w:t>
        </w:r>
        <w:r w:rsidR="00916B9A">
          <w:rPr>
            <w:noProof/>
            <w:webHidden/>
          </w:rPr>
          <w:fldChar w:fldCharType="end"/>
        </w:r>
      </w:hyperlink>
    </w:p>
    <w:p w14:paraId="3A79EDC2" w14:textId="005F0207" w:rsidR="00916B9A" w:rsidRDefault="005D04B4" w:rsidP="009369AD">
      <w:pPr>
        <w:pStyle w:val="TOC3"/>
        <w:rPr>
          <w:rFonts w:asciiTheme="minorHAnsi" w:eastAsiaTheme="minorEastAsia" w:hAnsiTheme="minorHAnsi" w:cstheme="minorBidi"/>
          <w:noProof/>
          <w:sz w:val="22"/>
          <w:szCs w:val="22"/>
          <w:lang w:val="es-CO" w:eastAsia="es-CO"/>
        </w:rPr>
      </w:pPr>
      <w:hyperlink w:anchor="_Toc77082127" w:history="1">
        <w:r w:rsidR="00916B9A" w:rsidRPr="00D14023">
          <w:rPr>
            <w:rStyle w:val="Hyperlink"/>
            <w:noProof/>
          </w:rPr>
          <w:t>3.3.4 Analysis of fecal occult blood</w:t>
        </w:r>
        <w:r w:rsidR="00916B9A">
          <w:rPr>
            <w:noProof/>
            <w:webHidden/>
          </w:rPr>
          <w:tab/>
        </w:r>
        <w:r w:rsidR="00916B9A">
          <w:rPr>
            <w:noProof/>
            <w:webHidden/>
          </w:rPr>
          <w:fldChar w:fldCharType="begin"/>
        </w:r>
        <w:r w:rsidR="00916B9A">
          <w:rPr>
            <w:noProof/>
            <w:webHidden/>
          </w:rPr>
          <w:instrText xml:space="preserve"> PAGEREF _Toc77082127 \h </w:instrText>
        </w:r>
        <w:r w:rsidR="00916B9A">
          <w:rPr>
            <w:noProof/>
            <w:webHidden/>
          </w:rPr>
        </w:r>
        <w:r w:rsidR="00916B9A">
          <w:rPr>
            <w:noProof/>
            <w:webHidden/>
          </w:rPr>
          <w:fldChar w:fldCharType="separate"/>
        </w:r>
        <w:r w:rsidR="009369AD">
          <w:rPr>
            <w:noProof/>
            <w:webHidden/>
          </w:rPr>
          <w:t>119</w:t>
        </w:r>
        <w:r w:rsidR="00916B9A">
          <w:rPr>
            <w:noProof/>
            <w:webHidden/>
          </w:rPr>
          <w:fldChar w:fldCharType="end"/>
        </w:r>
      </w:hyperlink>
    </w:p>
    <w:p w14:paraId="72A30157" w14:textId="68C10AEA" w:rsidR="00916B9A" w:rsidRDefault="005D04B4" w:rsidP="009369AD">
      <w:pPr>
        <w:pStyle w:val="TOC3"/>
        <w:rPr>
          <w:rFonts w:asciiTheme="minorHAnsi" w:eastAsiaTheme="minorEastAsia" w:hAnsiTheme="minorHAnsi" w:cstheme="minorBidi"/>
          <w:noProof/>
          <w:sz w:val="22"/>
          <w:szCs w:val="22"/>
          <w:lang w:val="es-CO" w:eastAsia="es-CO"/>
        </w:rPr>
      </w:pPr>
      <w:hyperlink w:anchor="_Toc77082128" w:history="1">
        <w:r w:rsidR="00916B9A" w:rsidRPr="00D14023">
          <w:rPr>
            <w:rStyle w:val="Hyperlink"/>
            <w:noProof/>
          </w:rPr>
          <w:t>3.3.5 Histopathological assessment</w:t>
        </w:r>
        <w:r w:rsidR="00916B9A">
          <w:rPr>
            <w:noProof/>
            <w:webHidden/>
          </w:rPr>
          <w:tab/>
        </w:r>
        <w:r w:rsidR="00916B9A">
          <w:rPr>
            <w:noProof/>
            <w:webHidden/>
          </w:rPr>
          <w:fldChar w:fldCharType="begin"/>
        </w:r>
        <w:r w:rsidR="00916B9A">
          <w:rPr>
            <w:noProof/>
            <w:webHidden/>
          </w:rPr>
          <w:instrText xml:space="preserve"> PAGEREF _Toc77082128 \h </w:instrText>
        </w:r>
        <w:r w:rsidR="00916B9A">
          <w:rPr>
            <w:noProof/>
            <w:webHidden/>
          </w:rPr>
        </w:r>
        <w:r w:rsidR="00916B9A">
          <w:rPr>
            <w:noProof/>
            <w:webHidden/>
          </w:rPr>
          <w:fldChar w:fldCharType="separate"/>
        </w:r>
        <w:r w:rsidR="009369AD">
          <w:rPr>
            <w:noProof/>
            <w:webHidden/>
          </w:rPr>
          <w:t>120</w:t>
        </w:r>
        <w:r w:rsidR="00916B9A">
          <w:rPr>
            <w:noProof/>
            <w:webHidden/>
          </w:rPr>
          <w:fldChar w:fldCharType="end"/>
        </w:r>
      </w:hyperlink>
    </w:p>
    <w:p w14:paraId="72776CF3" w14:textId="57BEF364" w:rsidR="00916B9A" w:rsidRDefault="005D04B4" w:rsidP="009369AD">
      <w:pPr>
        <w:pStyle w:val="TOC3"/>
        <w:rPr>
          <w:rFonts w:asciiTheme="minorHAnsi" w:eastAsiaTheme="minorEastAsia" w:hAnsiTheme="minorHAnsi" w:cstheme="minorBidi"/>
          <w:noProof/>
          <w:sz w:val="22"/>
          <w:szCs w:val="22"/>
          <w:lang w:val="es-CO" w:eastAsia="es-CO"/>
        </w:rPr>
      </w:pPr>
      <w:hyperlink w:anchor="_Toc77082129" w:history="1">
        <w:r w:rsidR="00916B9A" w:rsidRPr="00D14023">
          <w:rPr>
            <w:rStyle w:val="Hyperlink"/>
            <w:noProof/>
          </w:rPr>
          <w:t>3.3.6 Quantification of pro-inflammatory cytokines and myeloperoxidase activity (MPO)</w:t>
        </w:r>
        <w:r w:rsidR="00916B9A">
          <w:rPr>
            <w:noProof/>
            <w:webHidden/>
          </w:rPr>
          <w:tab/>
        </w:r>
        <w:r w:rsidR="00916B9A">
          <w:rPr>
            <w:noProof/>
            <w:webHidden/>
          </w:rPr>
          <w:fldChar w:fldCharType="begin"/>
        </w:r>
        <w:r w:rsidR="00916B9A">
          <w:rPr>
            <w:noProof/>
            <w:webHidden/>
          </w:rPr>
          <w:instrText xml:space="preserve"> PAGEREF _Toc77082129 \h </w:instrText>
        </w:r>
        <w:r w:rsidR="00916B9A">
          <w:rPr>
            <w:noProof/>
            <w:webHidden/>
          </w:rPr>
        </w:r>
        <w:r w:rsidR="00916B9A">
          <w:rPr>
            <w:noProof/>
            <w:webHidden/>
          </w:rPr>
          <w:fldChar w:fldCharType="separate"/>
        </w:r>
        <w:r w:rsidR="009369AD">
          <w:rPr>
            <w:noProof/>
            <w:webHidden/>
          </w:rPr>
          <w:t>120</w:t>
        </w:r>
        <w:r w:rsidR="00916B9A">
          <w:rPr>
            <w:noProof/>
            <w:webHidden/>
          </w:rPr>
          <w:fldChar w:fldCharType="end"/>
        </w:r>
      </w:hyperlink>
    </w:p>
    <w:p w14:paraId="6A9B9A57" w14:textId="448966CA" w:rsidR="00916B9A" w:rsidRDefault="005D04B4" w:rsidP="009369AD">
      <w:pPr>
        <w:pStyle w:val="TOC3"/>
        <w:rPr>
          <w:rFonts w:asciiTheme="minorHAnsi" w:eastAsiaTheme="minorEastAsia" w:hAnsiTheme="minorHAnsi" w:cstheme="minorBidi"/>
          <w:noProof/>
          <w:sz w:val="22"/>
          <w:szCs w:val="22"/>
          <w:lang w:val="es-CO" w:eastAsia="es-CO"/>
        </w:rPr>
      </w:pPr>
      <w:hyperlink w:anchor="_Toc77082130" w:history="1">
        <w:r w:rsidR="00916B9A" w:rsidRPr="00D14023">
          <w:rPr>
            <w:rStyle w:val="Hyperlink"/>
            <w:noProof/>
          </w:rPr>
          <w:t>3.3.7 Cell culture, differentiation, and assessment of viability</w:t>
        </w:r>
        <w:r w:rsidR="00916B9A">
          <w:rPr>
            <w:noProof/>
            <w:webHidden/>
          </w:rPr>
          <w:tab/>
        </w:r>
        <w:r w:rsidR="00916B9A">
          <w:rPr>
            <w:noProof/>
            <w:webHidden/>
          </w:rPr>
          <w:fldChar w:fldCharType="begin"/>
        </w:r>
        <w:r w:rsidR="00916B9A">
          <w:rPr>
            <w:noProof/>
            <w:webHidden/>
          </w:rPr>
          <w:instrText xml:space="preserve"> PAGEREF _Toc77082130 \h </w:instrText>
        </w:r>
        <w:r w:rsidR="00916B9A">
          <w:rPr>
            <w:noProof/>
            <w:webHidden/>
          </w:rPr>
        </w:r>
        <w:r w:rsidR="00916B9A">
          <w:rPr>
            <w:noProof/>
            <w:webHidden/>
          </w:rPr>
          <w:fldChar w:fldCharType="separate"/>
        </w:r>
        <w:r w:rsidR="009369AD">
          <w:rPr>
            <w:noProof/>
            <w:webHidden/>
          </w:rPr>
          <w:t>121</w:t>
        </w:r>
        <w:r w:rsidR="00916B9A">
          <w:rPr>
            <w:noProof/>
            <w:webHidden/>
          </w:rPr>
          <w:fldChar w:fldCharType="end"/>
        </w:r>
      </w:hyperlink>
    </w:p>
    <w:p w14:paraId="6E7CE361" w14:textId="3997403E" w:rsidR="00916B9A" w:rsidRDefault="005D04B4" w:rsidP="009369AD">
      <w:pPr>
        <w:pStyle w:val="TOC3"/>
        <w:rPr>
          <w:rFonts w:asciiTheme="minorHAnsi" w:eastAsiaTheme="minorEastAsia" w:hAnsiTheme="minorHAnsi" w:cstheme="minorBidi"/>
          <w:noProof/>
          <w:sz w:val="22"/>
          <w:szCs w:val="22"/>
          <w:lang w:val="es-CO" w:eastAsia="es-CO"/>
        </w:rPr>
      </w:pPr>
      <w:hyperlink w:anchor="_Toc77082131" w:history="1">
        <w:r w:rsidR="00916B9A" w:rsidRPr="00D14023">
          <w:rPr>
            <w:rStyle w:val="Hyperlink"/>
            <w:noProof/>
          </w:rPr>
          <w:t>3.3.8 Activation of NLRP3 inflammasome via NLRP3 agonist</w:t>
        </w:r>
        <w:r w:rsidR="00916B9A">
          <w:rPr>
            <w:noProof/>
            <w:webHidden/>
          </w:rPr>
          <w:tab/>
        </w:r>
        <w:r w:rsidR="00916B9A">
          <w:rPr>
            <w:noProof/>
            <w:webHidden/>
          </w:rPr>
          <w:fldChar w:fldCharType="begin"/>
        </w:r>
        <w:r w:rsidR="00916B9A">
          <w:rPr>
            <w:noProof/>
            <w:webHidden/>
          </w:rPr>
          <w:instrText xml:space="preserve"> PAGEREF _Toc77082131 \h </w:instrText>
        </w:r>
        <w:r w:rsidR="00916B9A">
          <w:rPr>
            <w:noProof/>
            <w:webHidden/>
          </w:rPr>
        </w:r>
        <w:r w:rsidR="00916B9A">
          <w:rPr>
            <w:noProof/>
            <w:webHidden/>
          </w:rPr>
          <w:fldChar w:fldCharType="separate"/>
        </w:r>
        <w:r w:rsidR="009369AD">
          <w:rPr>
            <w:noProof/>
            <w:webHidden/>
          </w:rPr>
          <w:t>121</w:t>
        </w:r>
        <w:r w:rsidR="00916B9A">
          <w:rPr>
            <w:noProof/>
            <w:webHidden/>
          </w:rPr>
          <w:fldChar w:fldCharType="end"/>
        </w:r>
      </w:hyperlink>
    </w:p>
    <w:p w14:paraId="482BF008" w14:textId="5D9054AE" w:rsidR="00916B9A" w:rsidRDefault="005D04B4" w:rsidP="009369AD">
      <w:pPr>
        <w:pStyle w:val="TOC3"/>
        <w:rPr>
          <w:rFonts w:asciiTheme="minorHAnsi" w:eastAsiaTheme="minorEastAsia" w:hAnsiTheme="minorHAnsi" w:cstheme="minorBidi"/>
          <w:noProof/>
          <w:sz w:val="22"/>
          <w:szCs w:val="22"/>
          <w:lang w:val="es-CO" w:eastAsia="es-CO"/>
        </w:rPr>
      </w:pPr>
      <w:hyperlink w:anchor="_Toc77082132" w:history="1">
        <w:r w:rsidR="00916B9A" w:rsidRPr="00D14023">
          <w:rPr>
            <w:rStyle w:val="Hyperlink"/>
            <w:noProof/>
          </w:rPr>
          <w:t>3.3.9 Western Blot</w:t>
        </w:r>
        <w:r w:rsidR="00916B9A">
          <w:rPr>
            <w:noProof/>
            <w:webHidden/>
          </w:rPr>
          <w:tab/>
        </w:r>
        <w:r w:rsidR="00916B9A">
          <w:rPr>
            <w:noProof/>
            <w:webHidden/>
          </w:rPr>
          <w:fldChar w:fldCharType="begin"/>
        </w:r>
        <w:r w:rsidR="00916B9A">
          <w:rPr>
            <w:noProof/>
            <w:webHidden/>
          </w:rPr>
          <w:instrText xml:space="preserve"> PAGEREF _Toc77082132 \h </w:instrText>
        </w:r>
        <w:r w:rsidR="00916B9A">
          <w:rPr>
            <w:noProof/>
            <w:webHidden/>
          </w:rPr>
        </w:r>
        <w:r w:rsidR="00916B9A">
          <w:rPr>
            <w:noProof/>
            <w:webHidden/>
          </w:rPr>
          <w:fldChar w:fldCharType="separate"/>
        </w:r>
        <w:r w:rsidR="009369AD">
          <w:rPr>
            <w:noProof/>
            <w:webHidden/>
          </w:rPr>
          <w:t>122</w:t>
        </w:r>
        <w:r w:rsidR="00916B9A">
          <w:rPr>
            <w:noProof/>
            <w:webHidden/>
          </w:rPr>
          <w:fldChar w:fldCharType="end"/>
        </w:r>
      </w:hyperlink>
    </w:p>
    <w:p w14:paraId="58A43D0B" w14:textId="71B0BAA1" w:rsidR="00916B9A" w:rsidRDefault="005D04B4" w:rsidP="009369AD">
      <w:pPr>
        <w:pStyle w:val="TOC3"/>
        <w:rPr>
          <w:rFonts w:asciiTheme="minorHAnsi" w:eastAsiaTheme="minorEastAsia" w:hAnsiTheme="minorHAnsi" w:cstheme="minorBidi"/>
          <w:noProof/>
          <w:sz w:val="22"/>
          <w:szCs w:val="22"/>
          <w:lang w:val="es-CO" w:eastAsia="es-CO"/>
        </w:rPr>
      </w:pPr>
      <w:hyperlink w:anchor="_Toc77082133" w:history="1">
        <w:r w:rsidR="00916B9A" w:rsidRPr="00D14023">
          <w:rPr>
            <w:rStyle w:val="Hyperlink"/>
            <w:noProof/>
          </w:rPr>
          <w:t>3.3.10 Mitochondrial reactive oxygen species (mROS)</w:t>
        </w:r>
        <w:r w:rsidR="00916B9A">
          <w:rPr>
            <w:noProof/>
            <w:webHidden/>
          </w:rPr>
          <w:tab/>
        </w:r>
        <w:r w:rsidR="00916B9A">
          <w:rPr>
            <w:noProof/>
            <w:webHidden/>
          </w:rPr>
          <w:fldChar w:fldCharType="begin"/>
        </w:r>
        <w:r w:rsidR="00916B9A">
          <w:rPr>
            <w:noProof/>
            <w:webHidden/>
          </w:rPr>
          <w:instrText xml:space="preserve"> PAGEREF _Toc77082133 \h </w:instrText>
        </w:r>
        <w:r w:rsidR="00916B9A">
          <w:rPr>
            <w:noProof/>
            <w:webHidden/>
          </w:rPr>
        </w:r>
        <w:r w:rsidR="00916B9A">
          <w:rPr>
            <w:noProof/>
            <w:webHidden/>
          </w:rPr>
          <w:fldChar w:fldCharType="separate"/>
        </w:r>
        <w:r w:rsidR="009369AD">
          <w:rPr>
            <w:noProof/>
            <w:webHidden/>
          </w:rPr>
          <w:t>122</w:t>
        </w:r>
        <w:r w:rsidR="00916B9A">
          <w:rPr>
            <w:noProof/>
            <w:webHidden/>
          </w:rPr>
          <w:fldChar w:fldCharType="end"/>
        </w:r>
      </w:hyperlink>
    </w:p>
    <w:p w14:paraId="2FC6BC8B" w14:textId="7DF0BC9D" w:rsidR="00916B9A" w:rsidRDefault="005D04B4" w:rsidP="009369AD">
      <w:pPr>
        <w:pStyle w:val="TOC3"/>
        <w:rPr>
          <w:rFonts w:asciiTheme="minorHAnsi" w:eastAsiaTheme="minorEastAsia" w:hAnsiTheme="minorHAnsi" w:cstheme="minorBidi"/>
          <w:noProof/>
          <w:sz w:val="22"/>
          <w:szCs w:val="22"/>
          <w:lang w:val="es-CO" w:eastAsia="es-CO"/>
        </w:rPr>
      </w:pPr>
      <w:hyperlink w:anchor="_Toc77082134" w:history="1">
        <w:r w:rsidR="00916B9A" w:rsidRPr="00D14023">
          <w:rPr>
            <w:rStyle w:val="Hyperlink"/>
            <w:noProof/>
          </w:rPr>
          <w:t>3.3.11 Activation of the inflammasome via induced K</w:t>
        </w:r>
        <w:r w:rsidR="00916B9A" w:rsidRPr="00D14023">
          <w:rPr>
            <w:rStyle w:val="Hyperlink"/>
            <w:noProof/>
            <w:vertAlign w:val="superscript"/>
          </w:rPr>
          <w:t xml:space="preserve">+ </w:t>
        </w:r>
        <w:r w:rsidR="00916B9A" w:rsidRPr="00D14023">
          <w:rPr>
            <w:rStyle w:val="Hyperlink"/>
            <w:noProof/>
          </w:rPr>
          <w:t>efflux</w:t>
        </w:r>
        <w:r w:rsidR="00916B9A">
          <w:rPr>
            <w:noProof/>
            <w:webHidden/>
          </w:rPr>
          <w:tab/>
        </w:r>
        <w:r w:rsidR="00916B9A">
          <w:rPr>
            <w:noProof/>
            <w:webHidden/>
          </w:rPr>
          <w:fldChar w:fldCharType="begin"/>
        </w:r>
        <w:r w:rsidR="00916B9A">
          <w:rPr>
            <w:noProof/>
            <w:webHidden/>
          </w:rPr>
          <w:instrText xml:space="preserve"> PAGEREF _Toc77082134 \h </w:instrText>
        </w:r>
        <w:r w:rsidR="00916B9A">
          <w:rPr>
            <w:noProof/>
            <w:webHidden/>
          </w:rPr>
        </w:r>
        <w:r w:rsidR="00916B9A">
          <w:rPr>
            <w:noProof/>
            <w:webHidden/>
          </w:rPr>
          <w:fldChar w:fldCharType="separate"/>
        </w:r>
        <w:r w:rsidR="009369AD">
          <w:rPr>
            <w:noProof/>
            <w:webHidden/>
          </w:rPr>
          <w:t>123</w:t>
        </w:r>
        <w:r w:rsidR="00916B9A">
          <w:rPr>
            <w:noProof/>
            <w:webHidden/>
          </w:rPr>
          <w:fldChar w:fldCharType="end"/>
        </w:r>
      </w:hyperlink>
    </w:p>
    <w:p w14:paraId="763BE966" w14:textId="423D9377" w:rsidR="00916B9A" w:rsidRDefault="005D04B4" w:rsidP="009369AD">
      <w:pPr>
        <w:pStyle w:val="TOC3"/>
        <w:rPr>
          <w:rFonts w:asciiTheme="minorHAnsi" w:eastAsiaTheme="minorEastAsia" w:hAnsiTheme="minorHAnsi" w:cstheme="minorBidi"/>
          <w:noProof/>
          <w:sz w:val="22"/>
          <w:szCs w:val="22"/>
          <w:lang w:val="es-CO" w:eastAsia="es-CO"/>
        </w:rPr>
      </w:pPr>
      <w:hyperlink w:anchor="_Toc77082135" w:history="1">
        <w:r w:rsidR="00916B9A" w:rsidRPr="00D14023">
          <w:rPr>
            <w:rStyle w:val="Hyperlink"/>
            <w:noProof/>
          </w:rPr>
          <w:t>3.3.12 Statistical analysis</w:t>
        </w:r>
        <w:r w:rsidR="00916B9A">
          <w:rPr>
            <w:noProof/>
            <w:webHidden/>
          </w:rPr>
          <w:tab/>
        </w:r>
        <w:r w:rsidR="00916B9A">
          <w:rPr>
            <w:noProof/>
            <w:webHidden/>
          </w:rPr>
          <w:fldChar w:fldCharType="begin"/>
        </w:r>
        <w:r w:rsidR="00916B9A">
          <w:rPr>
            <w:noProof/>
            <w:webHidden/>
          </w:rPr>
          <w:instrText xml:space="preserve"> PAGEREF _Toc77082135 \h </w:instrText>
        </w:r>
        <w:r w:rsidR="00916B9A">
          <w:rPr>
            <w:noProof/>
            <w:webHidden/>
          </w:rPr>
        </w:r>
        <w:r w:rsidR="00916B9A">
          <w:rPr>
            <w:noProof/>
            <w:webHidden/>
          </w:rPr>
          <w:fldChar w:fldCharType="separate"/>
        </w:r>
        <w:r w:rsidR="009369AD">
          <w:rPr>
            <w:noProof/>
            <w:webHidden/>
          </w:rPr>
          <w:t>124</w:t>
        </w:r>
        <w:r w:rsidR="00916B9A">
          <w:rPr>
            <w:noProof/>
            <w:webHidden/>
          </w:rPr>
          <w:fldChar w:fldCharType="end"/>
        </w:r>
      </w:hyperlink>
    </w:p>
    <w:p w14:paraId="7375E424" w14:textId="26D5304F" w:rsidR="00916B9A" w:rsidRDefault="005D04B4" w:rsidP="009369AD">
      <w:pPr>
        <w:pStyle w:val="TOC2"/>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36" w:history="1">
        <w:r w:rsidR="00916B9A" w:rsidRPr="00D14023">
          <w:rPr>
            <w:rStyle w:val="Hyperlink"/>
            <w:noProof/>
          </w:rPr>
          <w:t>3.4 Results</w:t>
        </w:r>
        <w:r w:rsidR="00916B9A">
          <w:rPr>
            <w:noProof/>
            <w:webHidden/>
          </w:rPr>
          <w:tab/>
        </w:r>
        <w:r w:rsidR="00916B9A">
          <w:rPr>
            <w:noProof/>
            <w:webHidden/>
          </w:rPr>
          <w:fldChar w:fldCharType="begin"/>
        </w:r>
        <w:r w:rsidR="00916B9A">
          <w:rPr>
            <w:noProof/>
            <w:webHidden/>
          </w:rPr>
          <w:instrText xml:space="preserve"> PAGEREF _Toc77082136 \h </w:instrText>
        </w:r>
        <w:r w:rsidR="00916B9A">
          <w:rPr>
            <w:noProof/>
            <w:webHidden/>
          </w:rPr>
        </w:r>
        <w:r w:rsidR="00916B9A">
          <w:rPr>
            <w:noProof/>
            <w:webHidden/>
          </w:rPr>
          <w:fldChar w:fldCharType="separate"/>
        </w:r>
        <w:r w:rsidR="009369AD">
          <w:rPr>
            <w:noProof/>
            <w:webHidden/>
          </w:rPr>
          <w:t>125</w:t>
        </w:r>
        <w:r w:rsidR="00916B9A">
          <w:rPr>
            <w:noProof/>
            <w:webHidden/>
          </w:rPr>
          <w:fldChar w:fldCharType="end"/>
        </w:r>
      </w:hyperlink>
    </w:p>
    <w:p w14:paraId="0CBE1D1C" w14:textId="4D4E93DA" w:rsidR="00916B9A" w:rsidRDefault="005D04B4" w:rsidP="009369AD">
      <w:pPr>
        <w:pStyle w:val="TOC3"/>
        <w:rPr>
          <w:rFonts w:asciiTheme="minorHAnsi" w:eastAsiaTheme="minorEastAsia" w:hAnsiTheme="minorHAnsi" w:cstheme="minorBidi"/>
          <w:noProof/>
          <w:sz w:val="22"/>
          <w:szCs w:val="22"/>
          <w:lang w:val="es-CO" w:eastAsia="es-CO"/>
        </w:rPr>
      </w:pPr>
      <w:hyperlink w:anchor="_Toc77082137" w:history="1">
        <w:r w:rsidR="00916B9A" w:rsidRPr="00D14023">
          <w:rPr>
            <w:rStyle w:val="Hyperlink"/>
            <w:noProof/>
          </w:rPr>
          <w:t>3.4.1 Oral administration of lunasin attenuated macroscopic indicators of intestinal inflammation and reduced pro-inflammatory cytokines in the bowel of IL-10</w:t>
        </w:r>
        <w:r w:rsidR="00916B9A" w:rsidRPr="00D14023">
          <w:rPr>
            <w:rStyle w:val="Hyperlink"/>
            <w:noProof/>
            <w:vertAlign w:val="superscript"/>
          </w:rPr>
          <w:t xml:space="preserve">-/- </w:t>
        </w:r>
        <w:r w:rsidR="00916B9A" w:rsidRPr="00D14023">
          <w:rPr>
            <w:rStyle w:val="Hyperlink"/>
            <w:noProof/>
          </w:rPr>
          <w:t>mice.</w:t>
        </w:r>
        <w:r w:rsidR="00916B9A">
          <w:rPr>
            <w:noProof/>
            <w:webHidden/>
          </w:rPr>
          <w:tab/>
        </w:r>
        <w:r w:rsidR="00916B9A">
          <w:rPr>
            <w:noProof/>
            <w:webHidden/>
          </w:rPr>
          <w:fldChar w:fldCharType="begin"/>
        </w:r>
        <w:r w:rsidR="00916B9A">
          <w:rPr>
            <w:noProof/>
            <w:webHidden/>
          </w:rPr>
          <w:instrText xml:space="preserve"> PAGEREF _Toc77082137 \h </w:instrText>
        </w:r>
        <w:r w:rsidR="00916B9A">
          <w:rPr>
            <w:noProof/>
            <w:webHidden/>
          </w:rPr>
        </w:r>
        <w:r w:rsidR="00916B9A">
          <w:rPr>
            <w:noProof/>
            <w:webHidden/>
          </w:rPr>
          <w:fldChar w:fldCharType="separate"/>
        </w:r>
        <w:r w:rsidR="009369AD">
          <w:rPr>
            <w:noProof/>
            <w:webHidden/>
          </w:rPr>
          <w:t>125</w:t>
        </w:r>
        <w:r w:rsidR="00916B9A">
          <w:rPr>
            <w:noProof/>
            <w:webHidden/>
          </w:rPr>
          <w:fldChar w:fldCharType="end"/>
        </w:r>
      </w:hyperlink>
    </w:p>
    <w:p w14:paraId="746F8187" w14:textId="1C7A1EDF" w:rsidR="00916B9A" w:rsidRDefault="005D04B4" w:rsidP="009369AD">
      <w:pPr>
        <w:pStyle w:val="TOC3"/>
        <w:rPr>
          <w:rFonts w:asciiTheme="minorHAnsi" w:eastAsiaTheme="minorEastAsia" w:hAnsiTheme="minorHAnsi" w:cstheme="minorBidi"/>
          <w:noProof/>
          <w:sz w:val="22"/>
          <w:szCs w:val="22"/>
          <w:lang w:val="es-CO" w:eastAsia="es-CO"/>
        </w:rPr>
      </w:pPr>
      <w:hyperlink w:anchor="_Toc77082138" w:history="1">
        <w:r w:rsidR="00916B9A" w:rsidRPr="00D14023">
          <w:rPr>
            <w:rStyle w:val="Hyperlink"/>
            <w:noProof/>
          </w:rPr>
          <w:t>3.4.2 Principal component analysis of characteristic in vivo parameters</w:t>
        </w:r>
        <w:r w:rsidR="00916B9A">
          <w:rPr>
            <w:noProof/>
            <w:webHidden/>
          </w:rPr>
          <w:tab/>
        </w:r>
        <w:r w:rsidR="00916B9A">
          <w:rPr>
            <w:noProof/>
            <w:webHidden/>
          </w:rPr>
          <w:fldChar w:fldCharType="begin"/>
        </w:r>
        <w:r w:rsidR="00916B9A">
          <w:rPr>
            <w:noProof/>
            <w:webHidden/>
          </w:rPr>
          <w:instrText xml:space="preserve"> PAGEREF _Toc77082138 \h </w:instrText>
        </w:r>
        <w:r w:rsidR="00916B9A">
          <w:rPr>
            <w:noProof/>
            <w:webHidden/>
          </w:rPr>
        </w:r>
        <w:r w:rsidR="00916B9A">
          <w:rPr>
            <w:noProof/>
            <w:webHidden/>
          </w:rPr>
          <w:fldChar w:fldCharType="separate"/>
        </w:r>
        <w:r w:rsidR="009369AD">
          <w:rPr>
            <w:noProof/>
            <w:webHidden/>
          </w:rPr>
          <w:t>129</w:t>
        </w:r>
        <w:r w:rsidR="00916B9A">
          <w:rPr>
            <w:noProof/>
            <w:webHidden/>
          </w:rPr>
          <w:fldChar w:fldCharType="end"/>
        </w:r>
      </w:hyperlink>
    </w:p>
    <w:p w14:paraId="74C90762" w14:textId="388FEA44" w:rsidR="00916B9A" w:rsidRDefault="005D04B4" w:rsidP="009369AD">
      <w:pPr>
        <w:pStyle w:val="TOC3"/>
        <w:rPr>
          <w:rFonts w:asciiTheme="minorHAnsi" w:eastAsiaTheme="minorEastAsia" w:hAnsiTheme="minorHAnsi" w:cstheme="minorBidi"/>
          <w:noProof/>
          <w:sz w:val="22"/>
          <w:szCs w:val="22"/>
          <w:lang w:val="es-CO" w:eastAsia="es-CO"/>
        </w:rPr>
      </w:pPr>
      <w:hyperlink w:anchor="_Toc77082139" w:history="1">
        <w:r w:rsidR="00916B9A" w:rsidRPr="00D14023">
          <w:rPr>
            <w:rStyle w:val="Hyperlink"/>
            <w:noProof/>
          </w:rPr>
          <w:t>3.4.3 Lunasin modulates the activation of the NLRP3 inflammasome.</w:t>
        </w:r>
        <w:r w:rsidR="00916B9A">
          <w:rPr>
            <w:noProof/>
            <w:webHidden/>
          </w:rPr>
          <w:tab/>
        </w:r>
        <w:r w:rsidR="00916B9A">
          <w:rPr>
            <w:noProof/>
            <w:webHidden/>
          </w:rPr>
          <w:fldChar w:fldCharType="begin"/>
        </w:r>
        <w:r w:rsidR="00916B9A">
          <w:rPr>
            <w:noProof/>
            <w:webHidden/>
          </w:rPr>
          <w:instrText xml:space="preserve"> PAGEREF _Toc77082139 \h </w:instrText>
        </w:r>
        <w:r w:rsidR="00916B9A">
          <w:rPr>
            <w:noProof/>
            <w:webHidden/>
          </w:rPr>
        </w:r>
        <w:r w:rsidR="00916B9A">
          <w:rPr>
            <w:noProof/>
            <w:webHidden/>
          </w:rPr>
          <w:fldChar w:fldCharType="separate"/>
        </w:r>
        <w:r w:rsidR="009369AD">
          <w:rPr>
            <w:noProof/>
            <w:webHidden/>
          </w:rPr>
          <w:t>130</w:t>
        </w:r>
        <w:r w:rsidR="00916B9A">
          <w:rPr>
            <w:noProof/>
            <w:webHidden/>
          </w:rPr>
          <w:fldChar w:fldCharType="end"/>
        </w:r>
      </w:hyperlink>
    </w:p>
    <w:p w14:paraId="5F2D37CE" w14:textId="1A86BBA6" w:rsidR="00916B9A" w:rsidRDefault="005D04B4" w:rsidP="009369AD">
      <w:pPr>
        <w:pStyle w:val="TOC3"/>
        <w:rPr>
          <w:rFonts w:asciiTheme="minorHAnsi" w:eastAsiaTheme="minorEastAsia" w:hAnsiTheme="minorHAnsi" w:cstheme="minorBidi"/>
          <w:noProof/>
          <w:sz w:val="22"/>
          <w:szCs w:val="22"/>
          <w:lang w:val="es-CO" w:eastAsia="es-CO"/>
        </w:rPr>
      </w:pPr>
      <w:hyperlink w:anchor="_Toc77082140" w:history="1">
        <w:r w:rsidR="00916B9A" w:rsidRPr="00D14023">
          <w:rPr>
            <w:rStyle w:val="Hyperlink"/>
            <w:noProof/>
          </w:rPr>
          <w:t>3.4.4 Lunasin-induced decline of extracellular IL-1β is independent of mROS</w:t>
        </w:r>
        <w:r w:rsidR="00916B9A">
          <w:rPr>
            <w:noProof/>
            <w:webHidden/>
          </w:rPr>
          <w:tab/>
        </w:r>
        <w:r w:rsidR="00916B9A">
          <w:rPr>
            <w:noProof/>
            <w:webHidden/>
          </w:rPr>
          <w:fldChar w:fldCharType="begin"/>
        </w:r>
        <w:r w:rsidR="00916B9A">
          <w:rPr>
            <w:noProof/>
            <w:webHidden/>
          </w:rPr>
          <w:instrText xml:space="preserve"> PAGEREF _Toc77082140 \h </w:instrText>
        </w:r>
        <w:r w:rsidR="00916B9A">
          <w:rPr>
            <w:noProof/>
            <w:webHidden/>
          </w:rPr>
        </w:r>
        <w:r w:rsidR="00916B9A">
          <w:rPr>
            <w:noProof/>
            <w:webHidden/>
          </w:rPr>
          <w:fldChar w:fldCharType="separate"/>
        </w:r>
        <w:r w:rsidR="009369AD">
          <w:rPr>
            <w:noProof/>
            <w:webHidden/>
          </w:rPr>
          <w:t>131</w:t>
        </w:r>
        <w:r w:rsidR="00916B9A">
          <w:rPr>
            <w:noProof/>
            <w:webHidden/>
          </w:rPr>
          <w:fldChar w:fldCharType="end"/>
        </w:r>
      </w:hyperlink>
    </w:p>
    <w:p w14:paraId="64C2C7C1" w14:textId="5D585A5E" w:rsidR="00916B9A" w:rsidRDefault="005D04B4" w:rsidP="009369AD">
      <w:pPr>
        <w:pStyle w:val="TOC3"/>
        <w:rPr>
          <w:rFonts w:asciiTheme="minorHAnsi" w:eastAsiaTheme="minorEastAsia" w:hAnsiTheme="minorHAnsi" w:cstheme="minorBidi"/>
          <w:noProof/>
          <w:sz w:val="22"/>
          <w:szCs w:val="22"/>
          <w:lang w:val="es-CO" w:eastAsia="es-CO"/>
        </w:rPr>
      </w:pPr>
      <w:hyperlink w:anchor="_Toc77082141" w:history="1">
        <w:r w:rsidR="00916B9A" w:rsidRPr="00D14023">
          <w:rPr>
            <w:rStyle w:val="Hyperlink"/>
            <w:noProof/>
          </w:rPr>
          <w:t>3.4.5 Lunasin-induced decline of extracellular IL-1β is not mediated by blockade of potassium efflux.</w:t>
        </w:r>
        <w:r w:rsidR="00916B9A">
          <w:rPr>
            <w:noProof/>
            <w:webHidden/>
          </w:rPr>
          <w:tab/>
        </w:r>
        <w:r w:rsidR="00916B9A">
          <w:rPr>
            <w:noProof/>
            <w:webHidden/>
          </w:rPr>
          <w:fldChar w:fldCharType="begin"/>
        </w:r>
        <w:r w:rsidR="00916B9A">
          <w:rPr>
            <w:noProof/>
            <w:webHidden/>
          </w:rPr>
          <w:instrText xml:space="preserve"> PAGEREF _Toc77082141 \h </w:instrText>
        </w:r>
        <w:r w:rsidR="00916B9A">
          <w:rPr>
            <w:noProof/>
            <w:webHidden/>
          </w:rPr>
        </w:r>
        <w:r w:rsidR="00916B9A">
          <w:rPr>
            <w:noProof/>
            <w:webHidden/>
          </w:rPr>
          <w:fldChar w:fldCharType="separate"/>
        </w:r>
        <w:r w:rsidR="009369AD">
          <w:rPr>
            <w:noProof/>
            <w:webHidden/>
          </w:rPr>
          <w:t>132</w:t>
        </w:r>
        <w:r w:rsidR="00916B9A">
          <w:rPr>
            <w:noProof/>
            <w:webHidden/>
          </w:rPr>
          <w:fldChar w:fldCharType="end"/>
        </w:r>
      </w:hyperlink>
    </w:p>
    <w:p w14:paraId="1F7622DD" w14:textId="2265291F" w:rsidR="00916B9A" w:rsidRDefault="005D04B4" w:rsidP="009369AD">
      <w:pPr>
        <w:pStyle w:val="TOC2"/>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42" w:history="1">
        <w:r w:rsidR="00916B9A" w:rsidRPr="00D14023">
          <w:rPr>
            <w:rStyle w:val="Hyperlink"/>
            <w:noProof/>
          </w:rPr>
          <w:t>3.5 Discussion</w:t>
        </w:r>
        <w:r w:rsidR="00916B9A">
          <w:rPr>
            <w:noProof/>
            <w:webHidden/>
          </w:rPr>
          <w:tab/>
        </w:r>
        <w:r w:rsidR="00916B9A">
          <w:rPr>
            <w:noProof/>
            <w:webHidden/>
          </w:rPr>
          <w:fldChar w:fldCharType="begin"/>
        </w:r>
        <w:r w:rsidR="00916B9A">
          <w:rPr>
            <w:noProof/>
            <w:webHidden/>
          </w:rPr>
          <w:instrText xml:space="preserve"> PAGEREF _Toc77082142 \h </w:instrText>
        </w:r>
        <w:r w:rsidR="00916B9A">
          <w:rPr>
            <w:noProof/>
            <w:webHidden/>
          </w:rPr>
        </w:r>
        <w:r w:rsidR="00916B9A">
          <w:rPr>
            <w:noProof/>
            <w:webHidden/>
          </w:rPr>
          <w:fldChar w:fldCharType="separate"/>
        </w:r>
        <w:r w:rsidR="009369AD">
          <w:rPr>
            <w:noProof/>
            <w:webHidden/>
          </w:rPr>
          <w:t>135</w:t>
        </w:r>
        <w:r w:rsidR="00916B9A">
          <w:rPr>
            <w:noProof/>
            <w:webHidden/>
          </w:rPr>
          <w:fldChar w:fldCharType="end"/>
        </w:r>
      </w:hyperlink>
    </w:p>
    <w:p w14:paraId="12243368" w14:textId="4E7707F5" w:rsidR="00916B9A" w:rsidRDefault="005D04B4" w:rsidP="009369AD">
      <w:pPr>
        <w:pStyle w:val="TOC2"/>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43" w:history="1">
        <w:r w:rsidR="00916B9A" w:rsidRPr="00D14023">
          <w:rPr>
            <w:rStyle w:val="Hyperlink"/>
            <w:noProof/>
          </w:rPr>
          <w:t>References</w:t>
        </w:r>
        <w:r w:rsidR="00916B9A">
          <w:rPr>
            <w:noProof/>
            <w:webHidden/>
          </w:rPr>
          <w:tab/>
        </w:r>
        <w:r w:rsidR="00916B9A">
          <w:rPr>
            <w:noProof/>
            <w:webHidden/>
          </w:rPr>
          <w:fldChar w:fldCharType="begin"/>
        </w:r>
        <w:r w:rsidR="00916B9A">
          <w:rPr>
            <w:noProof/>
            <w:webHidden/>
          </w:rPr>
          <w:instrText xml:space="preserve"> PAGEREF _Toc77082143 \h </w:instrText>
        </w:r>
        <w:r w:rsidR="00916B9A">
          <w:rPr>
            <w:noProof/>
            <w:webHidden/>
          </w:rPr>
        </w:r>
        <w:r w:rsidR="00916B9A">
          <w:rPr>
            <w:noProof/>
            <w:webHidden/>
          </w:rPr>
          <w:fldChar w:fldCharType="separate"/>
        </w:r>
        <w:r w:rsidR="009369AD">
          <w:rPr>
            <w:noProof/>
            <w:webHidden/>
          </w:rPr>
          <w:t>141</w:t>
        </w:r>
        <w:r w:rsidR="00916B9A">
          <w:rPr>
            <w:noProof/>
            <w:webHidden/>
          </w:rPr>
          <w:fldChar w:fldCharType="end"/>
        </w:r>
      </w:hyperlink>
    </w:p>
    <w:p w14:paraId="11D4DC53" w14:textId="0BDAA2E5" w:rsidR="00916B9A" w:rsidRDefault="005D04B4" w:rsidP="009369AD">
      <w:pPr>
        <w:pStyle w:val="TOC2"/>
        <w:tabs>
          <w:tab w:val="right" w:leader="dot" w:pos="8630"/>
        </w:tabs>
        <w:spacing w:line="480" w:lineRule="auto"/>
        <w:rPr>
          <w:rStyle w:val="Hyperlink"/>
          <w:noProof/>
        </w:rPr>
      </w:pPr>
      <w:hyperlink w:anchor="_Toc77082144" w:history="1">
        <w:r w:rsidR="00916B9A" w:rsidRPr="00D14023">
          <w:rPr>
            <w:rStyle w:val="Hyperlink"/>
            <w:noProof/>
          </w:rPr>
          <w:t>Appendix</w:t>
        </w:r>
        <w:r w:rsidR="00916B9A">
          <w:rPr>
            <w:noProof/>
            <w:webHidden/>
          </w:rPr>
          <w:tab/>
        </w:r>
        <w:r w:rsidR="00916B9A">
          <w:rPr>
            <w:noProof/>
            <w:webHidden/>
          </w:rPr>
          <w:fldChar w:fldCharType="begin"/>
        </w:r>
        <w:r w:rsidR="00916B9A">
          <w:rPr>
            <w:noProof/>
            <w:webHidden/>
          </w:rPr>
          <w:instrText xml:space="preserve"> PAGEREF _Toc77082144 \h </w:instrText>
        </w:r>
        <w:r w:rsidR="00916B9A">
          <w:rPr>
            <w:noProof/>
            <w:webHidden/>
          </w:rPr>
        </w:r>
        <w:r w:rsidR="00916B9A">
          <w:rPr>
            <w:noProof/>
            <w:webHidden/>
          </w:rPr>
          <w:fldChar w:fldCharType="separate"/>
        </w:r>
        <w:r w:rsidR="009369AD">
          <w:rPr>
            <w:noProof/>
            <w:webHidden/>
          </w:rPr>
          <w:t>149</w:t>
        </w:r>
        <w:r w:rsidR="00916B9A">
          <w:rPr>
            <w:noProof/>
            <w:webHidden/>
          </w:rPr>
          <w:fldChar w:fldCharType="end"/>
        </w:r>
      </w:hyperlink>
    </w:p>
    <w:p w14:paraId="5B13BC5A" w14:textId="77777777" w:rsidR="009369AD" w:rsidRPr="009369AD" w:rsidRDefault="009369AD" w:rsidP="009369AD">
      <w:pPr>
        <w:rPr>
          <w:rFonts w:eastAsiaTheme="minorEastAsia"/>
          <w:noProof/>
        </w:rPr>
      </w:pPr>
    </w:p>
    <w:p w14:paraId="2E1510D4" w14:textId="0CAE70F1" w:rsidR="00916B9A" w:rsidRDefault="005D04B4" w:rsidP="009369AD">
      <w:pPr>
        <w:pStyle w:val="TOC1"/>
        <w:tabs>
          <w:tab w:val="left" w:pos="1680"/>
          <w:tab w:val="right" w:leader="dot" w:pos="8630"/>
        </w:tabs>
        <w:spacing w:line="480" w:lineRule="auto"/>
        <w:rPr>
          <w:rFonts w:asciiTheme="minorHAnsi" w:eastAsiaTheme="minorEastAsia" w:hAnsiTheme="minorHAnsi" w:cstheme="minorBidi"/>
          <w:noProof/>
          <w:sz w:val="22"/>
          <w:szCs w:val="22"/>
          <w:lang w:val="es-CO" w:eastAsia="es-CO"/>
        </w:rPr>
      </w:pPr>
      <w:hyperlink w:anchor="_Toc77082145" w:history="1">
        <w:r w:rsidR="00916B9A" w:rsidRPr="00D14023">
          <w:rPr>
            <w:rStyle w:val="Hyperlink"/>
            <w:noProof/>
          </w:rPr>
          <w:t>CHAPTER 4.</w:t>
        </w:r>
        <w:r w:rsidR="00916B9A">
          <w:rPr>
            <w:rFonts w:asciiTheme="minorHAnsi" w:eastAsiaTheme="minorEastAsia" w:hAnsiTheme="minorHAnsi" w:cstheme="minorBidi"/>
            <w:noProof/>
            <w:sz w:val="22"/>
            <w:szCs w:val="22"/>
            <w:lang w:val="es-CO" w:eastAsia="es-CO"/>
          </w:rPr>
          <w:tab/>
        </w:r>
        <w:r w:rsidR="00916B9A" w:rsidRPr="00D14023">
          <w:rPr>
            <w:rStyle w:val="Hyperlink"/>
            <w:noProof/>
          </w:rPr>
          <w:t>CHEMOPREVENTIVE EFFECT OF LUNASIN IN AOM/DSS-INDUCED COLITIS-ASSOCIATED COLORECTAL CANCER IN MICE</w:t>
        </w:r>
        <w:r w:rsidR="00916B9A">
          <w:rPr>
            <w:noProof/>
            <w:webHidden/>
          </w:rPr>
          <w:tab/>
        </w:r>
        <w:r w:rsidR="00916B9A">
          <w:rPr>
            <w:noProof/>
            <w:webHidden/>
          </w:rPr>
          <w:fldChar w:fldCharType="begin"/>
        </w:r>
        <w:r w:rsidR="00916B9A">
          <w:rPr>
            <w:noProof/>
            <w:webHidden/>
          </w:rPr>
          <w:instrText xml:space="preserve"> PAGEREF _Toc77082145 \h </w:instrText>
        </w:r>
        <w:r w:rsidR="00916B9A">
          <w:rPr>
            <w:noProof/>
            <w:webHidden/>
          </w:rPr>
        </w:r>
        <w:r w:rsidR="00916B9A">
          <w:rPr>
            <w:noProof/>
            <w:webHidden/>
          </w:rPr>
          <w:fldChar w:fldCharType="separate"/>
        </w:r>
        <w:r w:rsidR="009369AD">
          <w:rPr>
            <w:noProof/>
            <w:webHidden/>
          </w:rPr>
          <w:t>158</w:t>
        </w:r>
        <w:r w:rsidR="00916B9A">
          <w:rPr>
            <w:noProof/>
            <w:webHidden/>
          </w:rPr>
          <w:fldChar w:fldCharType="end"/>
        </w:r>
      </w:hyperlink>
    </w:p>
    <w:p w14:paraId="79336316" w14:textId="0A27C7B1" w:rsidR="00916B9A" w:rsidRDefault="005D04B4" w:rsidP="009369AD">
      <w:pPr>
        <w:pStyle w:val="TOC2"/>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46" w:history="1">
        <w:r w:rsidR="00916B9A" w:rsidRPr="00D14023">
          <w:rPr>
            <w:rStyle w:val="Hyperlink"/>
            <w:noProof/>
          </w:rPr>
          <w:t>4.1 Abstract</w:t>
        </w:r>
        <w:r w:rsidR="00916B9A">
          <w:rPr>
            <w:noProof/>
            <w:webHidden/>
          </w:rPr>
          <w:tab/>
        </w:r>
        <w:r w:rsidR="00916B9A">
          <w:rPr>
            <w:noProof/>
            <w:webHidden/>
          </w:rPr>
          <w:fldChar w:fldCharType="begin"/>
        </w:r>
        <w:r w:rsidR="00916B9A">
          <w:rPr>
            <w:noProof/>
            <w:webHidden/>
          </w:rPr>
          <w:instrText xml:space="preserve"> PAGEREF _Toc77082146 \h </w:instrText>
        </w:r>
        <w:r w:rsidR="00916B9A">
          <w:rPr>
            <w:noProof/>
            <w:webHidden/>
          </w:rPr>
        </w:r>
        <w:r w:rsidR="00916B9A">
          <w:rPr>
            <w:noProof/>
            <w:webHidden/>
          </w:rPr>
          <w:fldChar w:fldCharType="separate"/>
        </w:r>
        <w:r w:rsidR="009369AD">
          <w:rPr>
            <w:noProof/>
            <w:webHidden/>
          </w:rPr>
          <w:t>159</w:t>
        </w:r>
        <w:r w:rsidR="00916B9A">
          <w:rPr>
            <w:noProof/>
            <w:webHidden/>
          </w:rPr>
          <w:fldChar w:fldCharType="end"/>
        </w:r>
      </w:hyperlink>
    </w:p>
    <w:p w14:paraId="436D4D89" w14:textId="19B0875B" w:rsidR="00916B9A" w:rsidRDefault="005D04B4" w:rsidP="009369AD">
      <w:pPr>
        <w:pStyle w:val="TOC2"/>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47" w:history="1">
        <w:r w:rsidR="00916B9A" w:rsidRPr="00D14023">
          <w:rPr>
            <w:rStyle w:val="Hyperlink"/>
            <w:noProof/>
          </w:rPr>
          <w:t>4.2 Introduction</w:t>
        </w:r>
        <w:r w:rsidR="00916B9A">
          <w:rPr>
            <w:noProof/>
            <w:webHidden/>
          </w:rPr>
          <w:tab/>
        </w:r>
        <w:r w:rsidR="00916B9A">
          <w:rPr>
            <w:noProof/>
            <w:webHidden/>
          </w:rPr>
          <w:fldChar w:fldCharType="begin"/>
        </w:r>
        <w:r w:rsidR="00916B9A">
          <w:rPr>
            <w:noProof/>
            <w:webHidden/>
          </w:rPr>
          <w:instrText xml:space="preserve"> PAGEREF _Toc77082147 \h </w:instrText>
        </w:r>
        <w:r w:rsidR="00916B9A">
          <w:rPr>
            <w:noProof/>
            <w:webHidden/>
          </w:rPr>
        </w:r>
        <w:r w:rsidR="00916B9A">
          <w:rPr>
            <w:noProof/>
            <w:webHidden/>
          </w:rPr>
          <w:fldChar w:fldCharType="separate"/>
        </w:r>
        <w:r w:rsidR="009369AD">
          <w:rPr>
            <w:noProof/>
            <w:webHidden/>
          </w:rPr>
          <w:t>160</w:t>
        </w:r>
        <w:r w:rsidR="00916B9A">
          <w:rPr>
            <w:noProof/>
            <w:webHidden/>
          </w:rPr>
          <w:fldChar w:fldCharType="end"/>
        </w:r>
      </w:hyperlink>
    </w:p>
    <w:p w14:paraId="53445510" w14:textId="192B035C" w:rsidR="00916B9A" w:rsidRDefault="005D04B4" w:rsidP="009369AD">
      <w:pPr>
        <w:pStyle w:val="TOC2"/>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48" w:history="1">
        <w:r w:rsidR="00916B9A" w:rsidRPr="00D14023">
          <w:rPr>
            <w:rStyle w:val="Hyperlink"/>
            <w:noProof/>
          </w:rPr>
          <w:t>4.3 Methods</w:t>
        </w:r>
        <w:r w:rsidR="00916B9A">
          <w:rPr>
            <w:noProof/>
            <w:webHidden/>
          </w:rPr>
          <w:tab/>
        </w:r>
        <w:r w:rsidR="00916B9A">
          <w:rPr>
            <w:noProof/>
            <w:webHidden/>
          </w:rPr>
          <w:fldChar w:fldCharType="begin"/>
        </w:r>
        <w:r w:rsidR="00916B9A">
          <w:rPr>
            <w:noProof/>
            <w:webHidden/>
          </w:rPr>
          <w:instrText xml:space="preserve"> PAGEREF _Toc77082148 \h </w:instrText>
        </w:r>
        <w:r w:rsidR="00916B9A">
          <w:rPr>
            <w:noProof/>
            <w:webHidden/>
          </w:rPr>
        </w:r>
        <w:r w:rsidR="00916B9A">
          <w:rPr>
            <w:noProof/>
            <w:webHidden/>
          </w:rPr>
          <w:fldChar w:fldCharType="separate"/>
        </w:r>
        <w:r w:rsidR="009369AD">
          <w:rPr>
            <w:noProof/>
            <w:webHidden/>
          </w:rPr>
          <w:t>162</w:t>
        </w:r>
        <w:r w:rsidR="00916B9A">
          <w:rPr>
            <w:noProof/>
            <w:webHidden/>
          </w:rPr>
          <w:fldChar w:fldCharType="end"/>
        </w:r>
      </w:hyperlink>
    </w:p>
    <w:p w14:paraId="7F802DE9" w14:textId="2665EB5F" w:rsidR="00916B9A" w:rsidRDefault="005D04B4" w:rsidP="009369AD">
      <w:pPr>
        <w:pStyle w:val="TOC3"/>
        <w:rPr>
          <w:rFonts w:asciiTheme="minorHAnsi" w:eastAsiaTheme="minorEastAsia" w:hAnsiTheme="minorHAnsi" w:cstheme="minorBidi"/>
          <w:noProof/>
          <w:sz w:val="22"/>
          <w:szCs w:val="22"/>
          <w:lang w:val="es-CO" w:eastAsia="es-CO"/>
        </w:rPr>
      </w:pPr>
      <w:hyperlink w:anchor="_Toc77082149" w:history="1">
        <w:r w:rsidR="00916B9A" w:rsidRPr="00D14023">
          <w:rPr>
            <w:rStyle w:val="Hyperlink"/>
            <w:noProof/>
          </w:rPr>
          <w:t>4.3.1 Isolation of lunasin and preparation of jelly for voluntary oral administration</w:t>
        </w:r>
        <w:r w:rsidR="00916B9A">
          <w:rPr>
            <w:noProof/>
            <w:webHidden/>
          </w:rPr>
          <w:tab/>
        </w:r>
        <w:r w:rsidR="00916B9A">
          <w:rPr>
            <w:noProof/>
            <w:webHidden/>
          </w:rPr>
          <w:fldChar w:fldCharType="begin"/>
        </w:r>
        <w:r w:rsidR="00916B9A">
          <w:rPr>
            <w:noProof/>
            <w:webHidden/>
          </w:rPr>
          <w:instrText xml:space="preserve"> PAGEREF _Toc77082149 \h </w:instrText>
        </w:r>
        <w:r w:rsidR="00916B9A">
          <w:rPr>
            <w:noProof/>
            <w:webHidden/>
          </w:rPr>
        </w:r>
        <w:r w:rsidR="00916B9A">
          <w:rPr>
            <w:noProof/>
            <w:webHidden/>
          </w:rPr>
          <w:fldChar w:fldCharType="separate"/>
        </w:r>
        <w:r w:rsidR="009369AD">
          <w:rPr>
            <w:noProof/>
            <w:webHidden/>
          </w:rPr>
          <w:t>162</w:t>
        </w:r>
        <w:r w:rsidR="00916B9A">
          <w:rPr>
            <w:noProof/>
            <w:webHidden/>
          </w:rPr>
          <w:fldChar w:fldCharType="end"/>
        </w:r>
      </w:hyperlink>
    </w:p>
    <w:p w14:paraId="736E4172" w14:textId="2F1F18E2" w:rsidR="00916B9A" w:rsidRDefault="005D04B4" w:rsidP="009369AD">
      <w:pPr>
        <w:pStyle w:val="TOC3"/>
        <w:rPr>
          <w:rFonts w:asciiTheme="minorHAnsi" w:eastAsiaTheme="minorEastAsia" w:hAnsiTheme="minorHAnsi" w:cstheme="minorBidi"/>
          <w:noProof/>
          <w:sz w:val="22"/>
          <w:szCs w:val="22"/>
          <w:lang w:val="es-CO" w:eastAsia="es-CO"/>
        </w:rPr>
      </w:pPr>
      <w:hyperlink w:anchor="_Toc77082150" w:history="1">
        <w:r w:rsidR="00916B9A" w:rsidRPr="00D14023">
          <w:rPr>
            <w:rStyle w:val="Hyperlink"/>
            <w:noProof/>
          </w:rPr>
          <w:t>4.3.2 Animals and experimental design</w:t>
        </w:r>
        <w:r w:rsidR="00916B9A">
          <w:rPr>
            <w:noProof/>
            <w:webHidden/>
          </w:rPr>
          <w:tab/>
        </w:r>
        <w:r w:rsidR="00916B9A">
          <w:rPr>
            <w:noProof/>
            <w:webHidden/>
          </w:rPr>
          <w:fldChar w:fldCharType="begin"/>
        </w:r>
        <w:r w:rsidR="00916B9A">
          <w:rPr>
            <w:noProof/>
            <w:webHidden/>
          </w:rPr>
          <w:instrText xml:space="preserve"> PAGEREF _Toc77082150 \h </w:instrText>
        </w:r>
        <w:r w:rsidR="00916B9A">
          <w:rPr>
            <w:noProof/>
            <w:webHidden/>
          </w:rPr>
        </w:r>
        <w:r w:rsidR="00916B9A">
          <w:rPr>
            <w:noProof/>
            <w:webHidden/>
          </w:rPr>
          <w:fldChar w:fldCharType="separate"/>
        </w:r>
        <w:r w:rsidR="009369AD">
          <w:rPr>
            <w:noProof/>
            <w:webHidden/>
          </w:rPr>
          <w:t>163</w:t>
        </w:r>
        <w:r w:rsidR="00916B9A">
          <w:rPr>
            <w:noProof/>
            <w:webHidden/>
          </w:rPr>
          <w:fldChar w:fldCharType="end"/>
        </w:r>
      </w:hyperlink>
    </w:p>
    <w:p w14:paraId="67D1B1B7" w14:textId="436A4545" w:rsidR="00916B9A" w:rsidRDefault="005D04B4" w:rsidP="009369AD">
      <w:pPr>
        <w:pStyle w:val="TOC3"/>
        <w:rPr>
          <w:rFonts w:asciiTheme="minorHAnsi" w:eastAsiaTheme="minorEastAsia" w:hAnsiTheme="minorHAnsi" w:cstheme="minorBidi"/>
          <w:noProof/>
          <w:sz w:val="22"/>
          <w:szCs w:val="22"/>
          <w:lang w:val="es-CO" w:eastAsia="es-CO"/>
        </w:rPr>
      </w:pPr>
      <w:hyperlink w:anchor="_Toc77082151" w:history="1">
        <w:r w:rsidR="00916B9A" w:rsidRPr="00D14023">
          <w:rPr>
            <w:rStyle w:val="Hyperlink"/>
            <w:noProof/>
          </w:rPr>
          <w:t>4.3.3 Blood and tissue collection</w:t>
        </w:r>
        <w:r w:rsidR="00916B9A">
          <w:rPr>
            <w:noProof/>
            <w:webHidden/>
          </w:rPr>
          <w:tab/>
        </w:r>
        <w:r w:rsidR="00916B9A">
          <w:rPr>
            <w:noProof/>
            <w:webHidden/>
          </w:rPr>
          <w:fldChar w:fldCharType="begin"/>
        </w:r>
        <w:r w:rsidR="00916B9A">
          <w:rPr>
            <w:noProof/>
            <w:webHidden/>
          </w:rPr>
          <w:instrText xml:space="preserve"> PAGEREF _Toc77082151 \h </w:instrText>
        </w:r>
        <w:r w:rsidR="00916B9A">
          <w:rPr>
            <w:noProof/>
            <w:webHidden/>
          </w:rPr>
        </w:r>
        <w:r w:rsidR="00916B9A">
          <w:rPr>
            <w:noProof/>
            <w:webHidden/>
          </w:rPr>
          <w:fldChar w:fldCharType="separate"/>
        </w:r>
        <w:r w:rsidR="009369AD">
          <w:rPr>
            <w:noProof/>
            <w:webHidden/>
          </w:rPr>
          <w:t>165</w:t>
        </w:r>
        <w:r w:rsidR="00916B9A">
          <w:rPr>
            <w:noProof/>
            <w:webHidden/>
          </w:rPr>
          <w:fldChar w:fldCharType="end"/>
        </w:r>
      </w:hyperlink>
    </w:p>
    <w:p w14:paraId="729BAAB2" w14:textId="42AFCC5C" w:rsidR="00916B9A" w:rsidRDefault="005D04B4" w:rsidP="009369AD">
      <w:pPr>
        <w:pStyle w:val="TOC3"/>
        <w:rPr>
          <w:rFonts w:asciiTheme="minorHAnsi" w:eastAsiaTheme="minorEastAsia" w:hAnsiTheme="minorHAnsi" w:cstheme="minorBidi"/>
          <w:noProof/>
          <w:sz w:val="22"/>
          <w:szCs w:val="22"/>
          <w:lang w:val="es-CO" w:eastAsia="es-CO"/>
        </w:rPr>
      </w:pPr>
      <w:hyperlink w:anchor="_Toc77082152" w:history="1">
        <w:r w:rsidR="00916B9A" w:rsidRPr="00D14023">
          <w:rPr>
            <w:rStyle w:val="Hyperlink"/>
            <w:noProof/>
          </w:rPr>
          <w:t>4.3.4 Disease activity index (DAI)</w:t>
        </w:r>
        <w:r w:rsidR="00916B9A">
          <w:rPr>
            <w:noProof/>
            <w:webHidden/>
          </w:rPr>
          <w:tab/>
        </w:r>
        <w:r w:rsidR="00916B9A">
          <w:rPr>
            <w:noProof/>
            <w:webHidden/>
          </w:rPr>
          <w:fldChar w:fldCharType="begin"/>
        </w:r>
        <w:r w:rsidR="00916B9A">
          <w:rPr>
            <w:noProof/>
            <w:webHidden/>
          </w:rPr>
          <w:instrText xml:space="preserve"> PAGEREF _Toc77082152 \h </w:instrText>
        </w:r>
        <w:r w:rsidR="00916B9A">
          <w:rPr>
            <w:noProof/>
            <w:webHidden/>
          </w:rPr>
        </w:r>
        <w:r w:rsidR="00916B9A">
          <w:rPr>
            <w:noProof/>
            <w:webHidden/>
          </w:rPr>
          <w:fldChar w:fldCharType="separate"/>
        </w:r>
        <w:r w:rsidR="009369AD">
          <w:rPr>
            <w:noProof/>
            <w:webHidden/>
          </w:rPr>
          <w:t>165</w:t>
        </w:r>
        <w:r w:rsidR="00916B9A">
          <w:rPr>
            <w:noProof/>
            <w:webHidden/>
          </w:rPr>
          <w:fldChar w:fldCharType="end"/>
        </w:r>
      </w:hyperlink>
    </w:p>
    <w:p w14:paraId="58F05A1C" w14:textId="3EC7BF79" w:rsidR="00916B9A" w:rsidRDefault="005D04B4" w:rsidP="009369AD">
      <w:pPr>
        <w:pStyle w:val="TOC3"/>
        <w:rPr>
          <w:rFonts w:asciiTheme="minorHAnsi" w:eastAsiaTheme="minorEastAsia" w:hAnsiTheme="minorHAnsi" w:cstheme="minorBidi"/>
          <w:noProof/>
          <w:sz w:val="22"/>
          <w:szCs w:val="22"/>
          <w:lang w:val="es-CO" w:eastAsia="es-CO"/>
        </w:rPr>
      </w:pPr>
      <w:hyperlink w:anchor="_Toc77082153" w:history="1">
        <w:r w:rsidR="00916B9A" w:rsidRPr="00D14023">
          <w:rPr>
            <w:rStyle w:val="Hyperlink"/>
            <w:noProof/>
          </w:rPr>
          <w:t>4.3.5 Myeloperoxidase (MPO) activity and cytokines</w:t>
        </w:r>
        <w:r w:rsidR="00916B9A">
          <w:rPr>
            <w:noProof/>
            <w:webHidden/>
          </w:rPr>
          <w:tab/>
        </w:r>
        <w:r w:rsidR="00916B9A">
          <w:rPr>
            <w:noProof/>
            <w:webHidden/>
          </w:rPr>
          <w:fldChar w:fldCharType="begin"/>
        </w:r>
        <w:r w:rsidR="00916B9A">
          <w:rPr>
            <w:noProof/>
            <w:webHidden/>
          </w:rPr>
          <w:instrText xml:space="preserve"> PAGEREF _Toc77082153 \h </w:instrText>
        </w:r>
        <w:r w:rsidR="00916B9A">
          <w:rPr>
            <w:noProof/>
            <w:webHidden/>
          </w:rPr>
        </w:r>
        <w:r w:rsidR="00916B9A">
          <w:rPr>
            <w:noProof/>
            <w:webHidden/>
          </w:rPr>
          <w:fldChar w:fldCharType="separate"/>
        </w:r>
        <w:r w:rsidR="009369AD">
          <w:rPr>
            <w:noProof/>
            <w:webHidden/>
          </w:rPr>
          <w:t>166</w:t>
        </w:r>
        <w:r w:rsidR="00916B9A">
          <w:rPr>
            <w:noProof/>
            <w:webHidden/>
          </w:rPr>
          <w:fldChar w:fldCharType="end"/>
        </w:r>
      </w:hyperlink>
    </w:p>
    <w:p w14:paraId="17BDD04C" w14:textId="52418CE2" w:rsidR="00916B9A" w:rsidRDefault="005D04B4" w:rsidP="009369AD">
      <w:pPr>
        <w:pStyle w:val="TOC3"/>
        <w:rPr>
          <w:rFonts w:asciiTheme="minorHAnsi" w:eastAsiaTheme="minorEastAsia" w:hAnsiTheme="minorHAnsi" w:cstheme="minorBidi"/>
          <w:noProof/>
          <w:sz w:val="22"/>
          <w:szCs w:val="22"/>
          <w:lang w:val="es-CO" w:eastAsia="es-CO"/>
        </w:rPr>
      </w:pPr>
      <w:hyperlink w:anchor="_Toc77082154" w:history="1">
        <w:r w:rsidR="00916B9A" w:rsidRPr="00D14023">
          <w:rPr>
            <w:rStyle w:val="Hyperlink"/>
            <w:noProof/>
          </w:rPr>
          <w:t>4.3.6 Western Blot</w:t>
        </w:r>
        <w:r w:rsidR="00916B9A">
          <w:rPr>
            <w:noProof/>
            <w:webHidden/>
          </w:rPr>
          <w:tab/>
        </w:r>
        <w:r w:rsidR="00916B9A">
          <w:rPr>
            <w:noProof/>
            <w:webHidden/>
          </w:rPr>
          <w:fldChar w:fldCharType="begin"/>
        </w:r>
        <w:r w:rsidR="00916B9A">
          <w:rPr>
            <w:noProof/>
            <w:webHidden/>
          </w:rPr>
          <w:instrText xml:space="preserve"> PAGEREF _Toc77082154 \h </w:instrText>
        </w:r>
        <w:r w:rsidR="00916B9A">
          <w:rPr>
            <w:noProof/>
            <w:webHidden/>
          </w:rPr>
        </w:r>
        <w:r w:rsidR="00916B9A">
          <w:rPr>
            <w:noProof/>
            <w:webHidden/>
          </w:rPr>
          <w:fldChar w:fldCharType="separate"/>
        </w:r>
        <w:r w:rsidR="009369AD">
          <w:rPr>
            <w:noProof/>
            <w:webHidden/>
          </w:rPr>
          <w:t>167</w:t>
        </w:r>
        <w:r w:rsidR="00916B9A">
          <w:rPr>
            <w:noProof/>
            <w:webHidden/>
          </w:rPr>
          <w:fldChar w:fldCharType="end"/>
        </w:r>
      </w:hyperlink>
    </w:p>
    <w:p w14:paraId="67ECAB34" w14:textId="5B67F0B7" w:rsidR="00916B9A" w:rsidRDefault="005D04B4" w:rsidP="009369AD">
      <w:pPr>
        <w:pStyle w:val="TOC3"/>
        <w:rPr>
          <w:rFonts w:asciiTheme="minorHAnsi" w:eastAsiaTheme="minorEastAsia" w:hAnsiTheme="minorHAnsi" w:cstheme="minorBidi"/>
          <w:noProof/>
          <w:sz w:val="22"/>
          <w:szCs w:val="22"/>
          <w:lang w:val="es-CO" w:eastAsia="es-CO"/>
        </w:rPr>
      </w:pPr>
      <w:hyperlink w:anchor="_Toc77082155" w:history="1">
        <w:r w:rsidR="00916B9A" w:rsidRPr="00D14023">
          <w:rPr>
            <w:rStyle w:val="Hyperlink"/>
            <w:noProof/>
          </w:rPr>
          <w:t>4.3.7 Histopathological assessment</w:t>
        </w:r>
        <w:r w:rsidR="00916B9A">
          <w:rPr>
            <w:noProof/>
            <w:webHidden/>
          </w:rPr>
          <w:tab/>
        </w:r>
        <w:r w:rsidR="00916B9A">
          <w:rPr>
            <w:noProof/>
            <w:webHidden/>
          </w:rPr>
          <w:fldChar w:fldCharType="begin"/>
        </w:r>
        <w:r w:rsidR="00916B9A">
          <w:rPr>
            <w:noProof/>
            <w:webHidden/>
          </w:rPr>
          <w:instrText xml:space="preserve"> PAGEREF _Toc77082155 \h </w:instrText>
        </w:r>
        <w:r w:rsidR="00916B9A">
          <w:rPr>
            <w:noProof/>
            <w:webHidden/>
          </w:rPr>
        </w:r>
        <w:r w:rsidR="00916B9A">
          <w:rPr>
            <w:noProof/>
            <w:webHidden/>
          </w:rPr>
          <w:fldChar w:fldCharType="separate"/>
        </w:r>
        <w:r w:rsidR="009369AD">
          <w:rPr>
            <w:noProof/>
            <w:webHidden/>
          </w:rPr>
          <w:t>168</w:t>
        </w:r>
        <w:r w:rsidR="00916B9A">
          <w:rPr>
            <w:noProof/>
            <w:webHidden/>
          </w:rPr>
          <w:fldChar w:fldCharType="end"/>
        </w:r>
      </w:hyperlink>
    </w:p>
    <w:p w14:paraId="7D70E18C" w14:textId="08B8421D" w:rsidR="00916B9A" w:rsidRDefault="005D04B4" w:rsidP="009369AD">
      <w:pPr>
        <w:pStyle w:val="TOC3"/>
        <w:rPr>
          <w:rFonts w:asciiTheme="minorHAnsi" w:eastAsiaTheme="minorEastAsia" w:hAnsiTheme="minorHAnsi" w:cstheme="minorBidi"/>
          <w:noProof/>
          <w:sz w:val="22"/>
          <w:szCs w:val="22"/>
          <w:lang w:val="es-CO" w:eastAsia="es-CO"/>
        </w:rPr>
      </w:pPr>
      <w:hyperlink w:anchor="_Toc77082156" w:history="1">
        <w:r w:rsidR="00916B9A" w:rsidRPr="00D14023">
          <w:rPr>
            <w:rStyle w:val="Hyperlink"/>
            <w:noProof/>
          </w:rPr>
          <w:t>4.3.8 Statistical analysis</w:t>
        </w:r>
        <w:r w:rsidR="00916B9A">
          <w:rPr>
            <w:noProof/>
            <w:webHidden/>
          </w:rPr>
          <w:tab/>
        </w:r>
        <w:r w:rsidR="00916B9A">
          <w:rPr>
            <w:noProof/>
            <w:webHidden/>
          </w:rPr>
          <w:fldChar w:fldCharType="begin"/>
        </w:r>
        <w:r w:rsidR="00916B9A">
          <w:rPr>
            <w:noProof/>
            <w:webHidden/>
          </w:rPr>
          <w:instrText xml:space="preserve"> PAGEREF _Toc77082156 \h </w:instrText>
        </w:r>
        <w:r w:rsidR="00916B9A">
          <w:rPr>
            <w:noProof/>
            <w:webHidden/>
          </w:rPr>
        </w:r>
        <w:r w:rsidR="00916B9A">
          <w:rPr>
            <w:noProof/>
            <w:webHidden/>
          </w:rPr>
          <w:fldChar w:fldCharType="separate"/>
        </w:r>
        <w:r w:rsidR="009369AD">
          <w:rPr>
            <w:noProof/>
            <w:webHidden/>
          </w:rPr>
          <w:t>169</w:t>
        </w:r>
        <w:r w:rsidR="00916B9A">
          <w:rPr>
            <w:noProof/>
            <w:webHidden/>
          </w:rPr>
          <w:fldChar w:fldCharType="end"/>
        </w:r>
      </w:hyperlink>
    </w:p>
    <w:p w14:paraId="6E89BB22" w14:textId="177DB1FD" w:rsidR="00916B9A" w:rsidRDefault="005D04B4" w:rsidP="009369AD">
      <w:pPr>
        <w:pStyle w:val="TOC2"/>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57" w:history="1">
        <w:r w:rsidR="00916B9A" w:rsidRPr="00D14023">
          <w:rPr>
            <w:rStyle w:val="Hyperlink"/>
            <w:noProof/>
          </w:rPr>
          <w:t>4.4 Results</w:t>
        </w:r>
        <w:r w:rsidR="00916B9A">
          <w:rPr>
            <w:noProof/>
            <w:webHidden/>
          </w:rPr>
          <w:tab/>
        </w:r>
        <w:r w:rsidR="00916B9A">
          <w:rPr>
            <w:noProof/>
            <w:webHidden/>
          </w:rPr>
          <w:fldChar w:fldCharType="begin"/>
        </w:r>
        <w:r w:rsidR="00916B9A">
          <w:rPr>
            <w:noProof/>
            <w:webHidden/>
          </w:rPr>
          <w:instrText xml:space="preserve"> PAGEREF _Toc77082157 \h </w:instrText>
        </w:r>
        <w:r w:rsidR="00916B9A">
          <w:rPr>
            <w:noProof/>
            <w:webHidden/>
          </w:rPr>
        </w:r>
        <w:r w:rsidR="00916B9A">
          <w:rPr>
            <w:noProof/>
            <w:webHidden/>
          </w:rPr>
          <w:fldChar w:fldCharType="separate"/>
        </w:r>
        <w:r w:rsidR="009369AD">
          <w:rPr>
            <w:noProof/>
            <w:webHidden/>
          </w:rPr>
          <w:t>169</w:t>
        </w:r>
        <w:r w:rsidR="00916B9A">
          <w:rPr>
            <w:noProof/>
            <w:webHidden/>
          </w:rPr>
          <w:fldChar w:fldCharType="end"/>
        </w:r>
      </w:hyperlink>
    </w:p>
    <w:p w14:paraId="34DCEA2F" w14:textId="4E2392E0" w:rsidR="00916B9A" w:rsidRDefault="005D04B4" w:rsidP="009369AD">
      <w:pPr>
        <w:pStyle w:val="TOC3"/>
        <w:rPr>
          <w:rFonts w:asciiTheme="minorHAnsi" w:eastAsiaTheme="minorEastAsia" w:hAnsiTheme="minorHAnsi" w:cstheme="minorBidi"/>
          <w:noProof/>
          <w:sz w:val="22"/>
          <w:szCs w:val="22"/>
          <w:lang w:val="es-CO" w:eastAsia="es-CO"/>
        </w:rPr>
      </w:pPr>
      <w:hyperlink w:anchor="_Toc77082158" w:history="1">
        <w:r w:rsidR="00916B9A" w:rsidRPr="00D14023">
          <w:rPr>
            <w:rStyle w:val="Hyperlink"/>
            <w:noProof/>
          </w:rPr>
          <w:t>4.4.1 Lunasin facilitated the recovery of body weight and stool consistency.</w:t>
        </w:r>
        <w:r w:rsidR="00916B9A">
          <w:rPr>
            <w:noProof/>
            <w:webHidden/>
          </w:rPr>
          <w:tab/>
        </w:r>
        <w:r w:rsidR="00916B9A">
          <w:rPr>
            <w:noProof/>
            <w:webHidden/>
          </w:rPr>
          <w:fldChar w:fldCharType="begin"/>
        </w:r>
        <w:r w:rsidR="00916B9A">
          <w:rPr>
            <w:noProof/>
            <w:webHidden/>
          </w:rPr>
          <w:instrText xml:space="preserve"> PAGEREF _Toc77082158 \h </w:instrText>
        </w:r>
        <w:r w:rsidR="00916B9A">
          <w:rPr>
            <w:noProof/>
            <w:webHidden/>
          </w:rPr>
        </w:r>
        <w:r w:rsidR="00916B9A">
          <w:rPr>
            <w:noProof/>
            <w:webHidden/>
          </w:rPr>
          <w:fldChar w:fldCharType="separate"/>
        </w:r>
        <w:r w:rsidR="009369AD">
          <w:rPr>
            <w:noProof/>
            <w:webHidden/>
          </w:rPr>
          <w:t>169</w:t>
        </w:r>
        <w:r w:rsidR="00916B9A">
          <w:rPr>
            <w:noProof/>
            <w:webHidden/>
          </w:rPr>
          <w:fldChar w:fldCharType="end"/>
        </w:r>
      </w:hyperlink>
    </w:p>
    <w:p w14:paraId="1A10D708" w14:textId="6A044B38" w:rsidR="00916B9A" w:rsidRDefault="005D04B4" w:rsidP="009369AD">
      <w:pPr>
        <w:pStyle w:val="TOC3"/>
        <w:rPr>
          <w:rFonts w:asciiTheme="minorHAnsi" w:eastAsiaTheme="minorEastAsia" w:hAnsiTheme="minorHAnsi" w:cstheme="minorBidi"/>
          <w:noProof/>
          <w:sz w:val="22"/>
          <w:szCs w:val="22"/>
          <w:lang w:val="es-CO" w:eastAsia="es-CO"/>
        </w:rPr>
      </w:pPr>
      <w:hyperlink w:anchor="_Toc77082159" w:history="1">
        <w:r w:rsidR="00916B9A" w:rsidRPr="00D14023">
          <w:rPr>
            <w:rStyle w:val="Hyperlink"/>
            <w:noProof/>
          </w:rPr>
          <w:t>4.4.2 Lunasin treated mice had lower relative spleen and colon weight.</w:t>
        </w:r>
        <w:r w:rsidR="00916B9A">
          <w:rPr>
            <w:noProof/>
            <w:webHidden/>
          </w:rPr>
          <w:tab/>
        </w:r>
        <w:r w:rsidR="00916B9A">
          <w:rPr>
            <w:noProof/>
            <w:webHidden/>
          </w:rPr>
          <w:fldChar w:fldCharType="begin"/>
        </w:r>
        <w:r w:rsidR="00916B9A">
          <w:rPr>
            <w:noProof/>
            <w:webHidden/>
          </w:rPr>
          <w:instrText xml:space="preserve"> PAGEREF _Toc77082159 \h </w:instrText>
        </w:r>
        <w:r w:rsidR="00916B9A">
          <w:rPr>
            <w:noProof/>
            <w:webHidden/>
          </w:rPr>
        </w:r>
        <w:r w:rsidR="00916B9A">
          <w:rPr>
            <w:noProof/>
            <w:webHidden/>
          </w:rPr>
          <w:fldChar w:fldCharType="separate"/>
        </w:r>
        <w:r w:rsidR="009369AD">
          <w:rPr>
            <w:noProof/>
            <w:webHidden/>
          </w:rPr>
          <w:t>171</w:t>
        </w:r>
        <w:r w:rsidR="00916B9A">
          <w:rPr>
            <w:noProof/>
            <w:webHidden/>
          </w:rPr>
          <w:fldChar w:fldCharType="end"/>
        </w:r>
      </w:hyperlink>
    </w:p>
    <w:p w14:paraId="13160C1A" w14:textId="797AA630" w:rsidR="00916B9A" w:rsidRDefault="005D04B4" w:rsidP="009369AD">
      <w:pPr>
        <w:pStyle w:val="TOC3"/>
        <w:rPr>
          <w:rFonts w:asciiTheme="minorHAnsi" w:eastAsiaTheme="minorEastAsia" w:hAnsiTheme="minorHAnsi" w:cstheme="minorBidi"/>
          <w:noProof/>
          <w:sz w:val="22"/>
          <w:szCs w:val="22"/>
          <w:lang w:val="es-CO" w:eastAsia="es-CO"/>
        </w:rPr>
      </w:pPr>
      <w:hyperlink w:anchor="_Toc77082160" w:history="1">
        <w:r w:rsidR="00916B9A" w:rsidRPr="00D14023">
          <w:rPr>
            <w:rStyle w:val="Hyperlink"/>
            <w:noProof/>
          </w:rPr>
          <w:t>4.4.3 Lunasin reduced histological markers of inflammation.</w:t>
        </w:r>
        <w:r w:rsidR="00916B9A">
          <w:rPr>
            <w:noProof/>
            <w:webHidden/>
          </w:rPr>
          <w:tab/>
        </w:r>
        <w:r w:rsidR="00916B9A">
          <w:rPr>
            <w:noProof/>
            <w:webHidden/>
          </w:rPr>
          <w:fldChar w:fldCharType="begin"/>
        </w:r>
        <w:r w:rsidR="00916B9A">
          <w:rPr>
            <w:noProof/>
            <w:webHidden/>
          </w:rPr>
          <w:instrText xml:space="preserve"> PAGEREF _Toc77082160 \h </w:instrText>
        </w:r>
        <w:r w:rsidR="00916B9A">
          <w:rPr>
            <w:noProof/>
            <w:webHidden/>
          </w:rPr>
        </w:r>
        <w:r w:rsidR="00916B9A">
          <w:rPr>
            <w:noProof/>
            <w:webHidden/>
          </w:rPr>
          <w:fldChar w:fldCharType="separate"/>
        </w:r>
        <w:r w:rsidR="009369AD">
          <w:rPr>
            <w:noProof/>
            <w:webHidden/>
          </w:rPr>
          <w:t>171</w:t>
        </w:r>
        <w:r w:rsidR="00916B9A">
          <w:rPr>
            <w:noProof/>
            <w:webHidden/>
          </w:rPr>
          <w:fldChar w:fldCharType="end"/>
        </w:r>
      </w:hyperlink>
    </w:p>
    <w:p w14:paraId="4FDAEBC7" w14:textId="3753D712" w:rsidR="00916B9A" w:rsidRDefault="005D04B4" w:rsidP="009369AD">
      <w:pPr>
        <w:pStyle w:val="TOC3"/>
        <w:rPr>
          <w:rFonts w:asciiTheme="minorHAnsi" w:eastAsiaTheme="minorEastAsia" w:hAnsiTheme="minorHAnsi" w:cstheme="minorBidi"/>
          <w:noProof/>
          <w:sz w:val="22"/>
          <w:szCs w:val="22"/>
          <w:lang w:val="es-CO" w:eastAsia="es-CO"/>
        </w:rPr>
      </w:pPr>
      <w:hyperlink w:anchor="_Toc77082161" w:history="1">
        <w:r w:rsidR="00916B9A" w:rsidRPr="00D14023">
          <w:rPr>
            <w:rStyle w:val="Hyperlink"/>
            <w:noProof/>
          </w:rPr>
          <w:t>4.4.4 Lunasin reduced tumor burden and malignant histological features.</w:t>
        </w:r>
        <w:r w:rsidR="00916B9A">
          <w:rPr>
            <w:noProof/>
            <w:webHidden/>
          </w:rPr>
          <w:tab/>
        </w:r>
        <w:r w:rsidR="00916B9A">
          <w:rPr>
            <w:noProof/>
            <w:webHidden/>
          </w:rPr>
          <w:fldChar w:fldCharType="begin"/>
        </w:r>
        <w:r w:rsidR="00916B9A">
          <w:rPr>
            <w:noProof/>
            <w:webHidden/>
          </w:rPr>
          <w:instrText xml:space="preserve"> PAGEREF _Toc77082161 \h </w:instrText>
        </w:r>
        <w:r w:rsidR="00916B9A">
          <w:rPr>
            <w:noProof/>
            <w:webHidden/>
          </w:rPr>
        </w:r>
        <w:r w:rsidR="00916B9A">
          <w:rPr>
            <w:noProof/>
            <w:webHidden/>
          </w:rPr>
          <w:fldChar w:fldCharType="separate"/>
        </w:r>
        <w:r w:rsidR="009369AD">
          <w:rPr>
            <w:noProof/>
            <w:webHidden/>
          </w:rPr>
          <w:t>172</w:t>
        </w:r>
        <w:r w:rsidR="00916B9A">
          <w:rPr>
            <w:noProof/>
            <w:webHidden/>
          </w:rPr>
          <w:fldChar w:fldCharType="end"/>
        </w:r>
      </w:hyperlink>
    </w:p>
    <w:p w14:paraId="1C942330" w14:textId="7ABF6C72" w:rsidR="00916B9A" w:rsidRDefault="005D04B4" w:rsidP="009369AD">
      <w:pPr>
        <w:pStyle w:val="TOC3"/>
        <w:rPr>
          <w:rFonts w:asciiTheme="minorHAnsi" w:eastAsiaTheme="minorEastAsia" w:hAnsiTheme="minorHAnsi" w:cstheme="minorBidi"/>
          <w:noProof/>
          <w:sz w:val="22"/>
          <w:szCs w:val="22"/>
          <w:lang w:val="es-CO" w:eastAsia="es-CO"/>
        </w:rPr>
      </w:pPr>
      <w:hyperlink w:anchor="_Toc77082162" w:history="1">
        <w:r w:rsidR="00916B9A" w:rsidRPr="00D14023">
          <w:rPr>
            <w:rStyle w:val="Hyperlink"/>
            <w:noProof/>
          </w:rPr>
          <w:t>4.4.5 Lunasin decreased serum levels of TNF-α.</w:t>
        </w:r>
        <w:r w:rsidR="00916B9A">
          <w:rPr>
            <w:noProof/>
            <w:webHidden/>
          </w:rPr>
          <w:tab/>
        </w:r>
        <w:r w:rsidR="00916B9A">
          <w:rPr>
            <w:noProof/>
            <w:webHidden/>
          </w:rPr>
          <w:fldChar w:fldCharType="begin"/>
        </w:r>
        <w:r w:rsidR="00916B9A">
          <w:rPr>
            <w:noProof/>
            <w:webHidden/>
          </w:rPr>
          <w:instrText xml:space="preserve"> PAGEREF _Toc77082162 \h </w:instrText>
        </w:r>
        <w:r w:rsidR="00916B9A">
          <w:rPr>
            <w:noProof/>
            <w:webHidden/>
          </w:rPr>
        </w:r>
        <w:r w:rsidR="00916B9A">
          <w:rPr>
            <w:noProof/>
            <w:webHidden/>
          </w:rPr>
          <w:fldChar w:fldCharType="separate"/>
        </w:r>
        <w:r w:rsidR="009369AD">
          <w:rPr>
            <w:noProof/>
            <w:webHidden/>
          </w:rPr>
          <w:t>173</w:t>
        </w:r>
        <w:r w:rsidR="00916B9A">
          <w:rPr>
            <w:noProof/>
            <w:webHidden/>
          </w:rPr>
          <w:fldChar w:fldCharType="end"/>
        </w:r>
      </w:hyperlink>
    </w:p>
    <w:p w14:paraId="7A169F82" w14:textId="3337EC25" w:rsidR="00916B9A" w:rsidRDefault="005D04B4" w:rsidP="009369AD">
      <w:pPr>
        <w:pStyle w:val="TOC3"/>
        <w:rPr>
          <w:rFonts w:asciiTheme="minorHAnsi" w:eastAsiaTheme="minorEastAsia" w:hAnsiTheme="minorHAnsi" w:cstheme="minorBidi"/>
          <w:noProof/>
          <w:sz w:val="22"/>
          <w:szCs w:val="22"/>
          <w:lang w:val="es-CO" w:eastAsia="es-CO"/>
        </w:rPr>
      </w:pPr>
      <w:hyperlink w:anchor="_Toc77082163" w:history="1">
        <w:r w:rsidR="00916B9A" w:rsidRPr="00D14023">
          <w:rPr>
            <w:rStyle w:val="Hyperlink"/>
            <w:noProof/>
          </w:rPr>
          <w:t>4.4.6 Lunasin administration resulted in higher levels of E-cadherin but not of apoptotic markers.</w:t>
        </w:r>
        <w:r w:rsidR="00916B9A">
          <w:rPr>
            <w:noProof/>
            <w:webHidden/>
          </w:rPr>
          <w:tab/>
        </w:r>
        <w:r w:rsidR="00916B9A">
          <w:rPr>
            <w:noProof/>
            <w:webHidden/>
          </w:rPr>
          <w:fldChar w:fldCharType="begin"/>
        </w:r>
        <w:r w:rsidR="00916B9A">
          <w:rPr>
            <w:noProof/>
            <w:webHidden/>
          </w:rPr>
          <w:instrText xml:space="preserve"> PAGEREF _Toc77082163 \h </w:instrText>
        </w:r>
        <w:r w:rsidR="00916B9A">
          <w:rPr>
            <w:noProof/>
            <w:webHidden/>
          </w:rPr>
        </w:r>
        <w:r w:rsidR="00916B9A">
          <w:rPr>
            <w:noProof/>
            <w:webHidden/>
          </w:rPr>
          <w:fldChar w:fldCharType="separate"/>
        </w:r>
        <w:r w:rsidR="009369AD">
          <w:rPr>
            <w:noProof/>
            <w:webHidden/>
          </w:rPr>
          <w:t>174</w:t>
        </w:r>
        <w:r w:rsidR="00916B9A">
          <w:rPr>
            <w:noProof/>
            <w:webHidden/>
          </w:rPr>
          <w:fldChar w:fldCharType="end"/>
        </w:r>
      </w:hyperlink>
    </w:p>
    <w:p w14:paraId="50F22B79" w14:textId="40E2AD94" w:rsidR="00916B9A" w:rsidRDefault="005D04B4" w:rsidP="009369AD">
      <w:pPr>
        <w:pStyle w:val="TOC2"/>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64" w:history="1">
        <w:r w:rsidR="00916B9A" w:rsidRPr="00D14023">
          <w:rPr>
            <w:rStyle w:val="Hyperlink"/>
            <w:noProof/>
          </w:rPr>
          <w:t>4.5 Discussion</w:t>
        </w:r>
        <w:r w:rsidR="00916B9A">
          <w:rPr>
            <w:noProof/>
            <w:webHidden/>
          </w:rPr>
          <w:tab/>
        </w:r>
        <w:r w:rsidR="00916B9A">
          <w:rPr>
            <w:noProof/>
            <w:webHidden/>
          </w:rPr>
          <w:fldChar w:fldCharType="begin"/>
        </w:r>
        <w:r w:rsidR="00916B9A">
          <w:rPr>
            <w:noProof/>
            <w:webHidden/>
          </w:rPr>
          <w:instrText xml:space="preserve"> PAGEREF _Toc77082164 \h </w:instrText>
        </w:r>
        <w:r w:rsidR="00916B9A">
          <w:rPr>
            <w:noProof/>
            <w:webHidden/>
          </w:rPr>
        </w:r>
        <w:r w:rsidR="00916B9A">
          <w:rPr>
            <w:noProof/>
            <w:webHidden/>
          </w:rPr>
          <w:fldChar w:fldCharType="separate"/>
        </w:r>
        <w:r w:rsidR="009369AD">
          <w:rPr>
            <w:noProof/>
            <w:webHidden/>
          </w:rPr>
          <w:t>175</w:t>
        </w:r>
        <w:r w:rsidR="00916B9A">
          <w:rPr>
            <w:noProof/>
            <w:webHidden/>
          </w:rPr>
          <w:fldChar w:fldCharType="end"/>
        </w:r>
      </w:hyperlink>
    </w:p>
    <w:p w14:paraId="757A9480" w14:textId="068C63A7" w:rsidR="00916B9A" w:rsidRDefault="005D04B4" w:rsidP="009369AD">
      <w:pPr>
        <w:pStyle w:val="TOC2"/>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65" w:history="1">
        <w:r w:rsidR="00916B9A" w:rsidRPr="00D14023">
          <w:rPr>
            <w:rStyle w:val="Hyperlink"/>
            <w:noProof/>
          </w:rPr>
          <w:t>References</w:t>
        </w:r>
        <w:r w:rsidR="00916B9A">
          <w:rPr>
            <w:noProof/>
            <w:webHidden/>
          </w:rPr>
          <w:tab/>
        </w:r>
        <w:r w:rsidR="00916B9A">
          <w:rPr>
            <w:noProof/>
            <w:webHidden/>
          </w:rPr>
          <w:fldChar w:fldCharType="begin"/>
        </w:r>
        <w:r w:rsidR="00916B9A">
          <w:rPr>
            <w:noProof/>
            <w:webHidden/>
          </w:rPr>
          <w:instrText xml:space="preserve"> PAGEREF _Toc77082165 \h </w:instrText>
        </w:r>
        <w:r w:rsidR="00916B9A">
          <w:rPr>
            <w:noProof/>
            <w:webHidden/>
          </w:rPr>
        </w:r>
        <w:r w:rsidR="00916B9A">
          <w:rPr>
            <w:noProof/>
            <w:webHidden/>
          </w:rPr>
          <w:fldChar w:fldCharType="separate"/>
        </w:r>
        <w:r w:rsidR="009369AD">
          <w:rPr>
            <w:noProof/>
            <w:webHidden/>
          </w:rPr>
          <w:t>182</w:t>
        </w:r>
        <w:r w:rsidR="00916B9A">
          <w:rPr>
            <w:noProof/>
            <w:webHidden/>
          </w:rPr>
          <w:fldChar w:fldCharType="end"/>
        </w:r>
      </w:hyperlink>
    </w:p>
    <w:p w14:paraId="7A9FE0A4" w14:textId="35AB6186" w:rsidR="00916B9A" w:rsidRDefault="005D04B4" w:rsidP="009369AD">
      <w:pPr>
        <w:pStyle w:val="TOC2"/>
        <w:tabs>
          <w:tab w:val="right" w:leader="dot" w:pos="8630"/>
        </w:tabs>
        <w:spacing w:line="480" w:lineRule="auto"/>
        <w:rPr>
          <w:rStyle w:val="Hyperlink"/>
          <w:noProof/>
        </w:rPr>
      </w:pPr>
      <w:hyperlink w:anchor="_Toc77082166" w:history="1">
        <w:r w:rsidR="00916B9A" w:rsidRPr="00D14023">
          <w:rPr>
            <w:rStyle w:val="Hyperlink"/>
            <w:noProof/>
          </w:rPr>
          <w:t>Appendix</w:t>
        </w:r>
        <w:r w:rsidR="00916B9A">
          <w:rPr>
            <w:noProof/>
            <w:webHidden/>
          </w:rPr>
          <w:tab/>
        </w:r>
        <w:r w:rsidR="00916B9A">
          <w:rPr>
            <w:noProof/>
            <w:webHidden/>
          </w:rPr>
          <w:fldChar w:fldCharType="begin"/>
        </w:r>
        <w:r w:rsidR="00916B9A">
          <w:rPr>
            <w:noProof/>
            <w:webHidden/>
          </w:rPr>
          <w:instrText xml:space="preserve"> PAGEREF _Toc77082166 \h </w:instrText>
        </w:r>
        <w:r w:rsidR="00916B9A">
          <w:rPr>
            <w:noProof/>
            <w:webHidden/>
          </w:rPr>
        </w:r>
        <w:r w:rsidR="00916B9A">
          <w:rPr>
            <w:noProof/>
            <w:webHidden/>
          </w:rPr>
          <w:fldChar w:fldCharType="separate"/>
        </w:r>
        <w:r w:rsidR="009369AD">
          <w:rPr>
            <w:noProof/>
            <w:webHidden/>
          </w:rPr>
          <w:t>191</w:t>
        </w:r>
        <w:r w:rsidR="00916B9A">
          <w:rPr>
            <w:noProof/>
            <w:webHidden/>
          </w:rPr>
          <w:fldChar w:fldCharType="end"/>
        </w:r>
      </w:hyperlink>
    </w:p>
    <w:p w14:paraId="37229806" w14:textId="77777777" w:rsidR="009369AD" w:rsidRPr="009369AD" w:rsidRDefault="009369AD" w:rsidP="009369AD">
      <w:pPr>
        <w:rPr>
          <w:rFonts w:eastAsiaTheme="minorEastAsia"/>
          <w:noProof/>
        </w:rPr>
      </w:pPr>
    </w:p>
    <w:p w14:paraId="6279F461" w14:textId="5F52E49F" w:rsidR="00916B9A" w:rsidRDefault="005D04B4" w:rsidP="009369AD">
      <w:pPr>
        <w:pStyle w:val="TOC1"/>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67" w:history="1">
        <w:r w:rsidR="00916B9A" w:rsidRPr="00D14023">
          <w:rPr>
            <w:rStyle w:val="Hyperlink"/>
            <w:noProof/>
          </w:rPr>
          <w:t>CHAPTER 5. CONCLUSION AND FUTURE DIRECTIONS</w:t>
        </w:r>
        <w:r w:rsidR="00916B9A">
          <w:rPr>
            <w:noProof/>
            <w:webHidden/>
          </w:rPr>
          <w:tab/>
        </w:r>
        <w:r w:rsidR="00916B9A">
          <w:rPr>
            <w:noProof/>
            <w:webHidden/>
          </w:rPr>
          <w:fldChar w:fldCharType="begin"/>
        </w:r>
        <w:r w:rsidR="00916B9A">
          <w:rPr>
            <w:noProof/>
            <w:webHidden/>
          </w:rPr>
          <w:instrText xml:space="preserve"> PAGEREF _Toc77082167 \h </w:instrText>
        </w:r>
        <w:r w:rsidR="00916B9A">
          <w:rPr>
            <w:noProof/>
            <w:webHidden/>
          </w:rPr>
        </w:r>
        <w:r w:rsidR="00916B9A">
          <w:rPr>
            <w:noProof/>
            <w:webHidden/>
          </w:rPr>
          <w:fldChar w:fldCharType="separate"/>
        </w:r>
        <w:r w:rsidR="009369AD">
          <w:rPr>
            <w:noProof/>
            <w:webHidden/>
          </w:rPr>
          <w:t>199</w:t>
        </w:r>
        <w:r w:rsidR="00916B9A">
          <w:rPr>
            <w:noProof/>
            <w:webHidden/>
          </w:rPr>
          <w:fldChar w:fldCharType="end"/>
        </w:r>
      </w:hyperlink>
    </w:p>
    <w:p w14:paraId="7BA1105D" w14:textId="10FAD232" w:rsidR="00916B9A" w:rsidRDefault="005D04B4" w:rsidP="009369AD">
      <w:pPr>
        <w:pStyle w:val="TOC2"/>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68" w:history="1">
        <w:r w:rsidR="00916B9A" w:rsidRPr="00D14023">
          <w:rPr>
            <w:rStyle w:val="Hyperlink"/>
            <w:noProof/>
          </w:rPr>
          <w:t>5.1 Conclusion</w:t>
        </w:r>
        <w:r w:rsidR="00916B9A">
          <w:rPr>
            <w:noProof/>
            <w:webHidden/>
          </w:rPr>
          <w:tab/>
        </w:r>
        <w:r w:rsidR="00916B9A">
          <w:rPr>
            <w:noProof/>
            <w:webHidden/>
          </w:rPr>
          <w:fldChar w:fldCharType="begin"/>
        </w:r>
        <w:r w:rsidR="00916B9A">
          <w:rPr>
            <w:noProof/>
            <w:webHidden/>
          </w:rPr>
          <w:instrText xml:space="preserve"> PAGEREF _Toc77082168 \h </w:instrText>
        </w:r>
        <w:r w:rsidR="00916B9A">
          <w:rPr>
            <w:noProof/>
            <w:webHidden/>
          </w:rPr>
        </w:r>
        <w:r w:rsidR="00916B9A">
          <w:rPr>
            <w:noProof/>
            <w:webHidden/>
          </w:rPr>
          <w:fldChar w:fldCharType="separate"/>
        </w:r>
        <w:r w:rsidR="009369AD">
          <w:rPr>
            <w:noProof/>
            <w:webHidden/>
          </w:rPr>
          <w:t>200</w:t>
        </w:r>
        <w:r w:rsidR="00916B9A">
          <w:rPr>
            <w:noProof/>
            <w:webHidden/>
          </w:rPr>
          <w:fldChar w:fldCharType="end"/>
        </w:r>
      </w:hyperlink>
    </w:p>
    <w:p w14:paraId="6CFDCBE6" w14:textId="22B6DD5D" w:rsidR="00916B9A" w:rsidRDefault="005D04B4" w:rsidP="009369AD">
      <w:pPr>
        <w:pStyle w:val="TOC2"/>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69" w:history="1">
        <w:r w:rsidR="00916B9A" w:rsidRPr="00D14023">
          <w:rPr>
            <w:rStyle w:val="Hyperlink"/>
            <w:noProof/>
          </w:rPr>
          <w:t>5.2 Future directions</w:t>
        </w:r>
        <w:r w:rsidR="00916B9A">
          <w:rPr>
            <w:noProof/>
            <w:webHidden/>
          </w:rPr>
          <w:tab/>
        </w:r>
        <w:r w:rsidR="00916B9A">
          <w:rPr>
            <w:noProof/>
            <w:webHidden/>
          </w:rPr>
          <w:fldChar w:fldCharType="begin"/>
        </w:r>
        <w:r w:rsidR="00916B9A">
          <w:rPr>
            <w:noProof/>
            <w:webHidden/>
          </w:rPr>
          <w:instrText xml:space="preserve"> PAGEREF _Toc77082169 \h </w:instrText>
        </w:r>
        <w:r w:rsidR="00916B9A">
          <w:rPr>
            <w:noProof/>
            <w:webHidden/>
          </w:rPr>
        </w:r>
        <w:r w:rsidR="00916B9A">
          <w:rPr>
            <w:noProof/>
            <w:webHidden/>
          </w:rPr>
          <w:fldChar w:fldCharType="separate"/>
        </w:r>
        <w:r w:rsidR="009369AD">
          <w:rPr>
            <w:noProof/>
            <w:webHidden/>
          </w:rPr>
          <w:t>201</w:t>
        </w:r>
        <w:r w:rsidR="00916B9A">
          <w:rPr>
            <w:noProof/>
            <w:webHidden/>
          </w:rPr>
          <w:fldChar w:fldCharType="end"/>
        </w:r>
      </w:hyperlink>
    </w:p>
    <w:p w14:paraId="5F842A2B" w14:textId="0D8D4533" w:rsidR="00916B9A" w:rsidRDefault="005D04B4" w:rsidP="009369AD">
      <w:pPr>
        <w:pStyle w:val="TOC1"/>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70" w:history="1">
        <w:r w:rsidR="00916B9A" w:rsidRPr="00D14023">
          <w:rPr>
            <w:rStyle w:val="Hyperlink"/>
            <w:noProof/>
          </w:rPr>
          <w:t>VITA</w:t>
        </w:r>
        <w:r w:rsidR="00916B9A">
          <w:rPr>
            <w:noProof/>
            <w:webHidden/>
          </w:rPr>
          <w:tab/>
        </w:r>
        <w:r w:rsidR="00916B9A">
          <w:rPr>
            <w:noProof/>
            <w:webHidden/>
          </w:rPr>
          <w:fldChar w:fldCharType="begin"/>
        </w:r>
        <w:r w:rsidR="00916B9A">
          <w:rPr>
            <w:noProof/>
            <w:webHidden/>
          </w:rPr>
          <w:instrText xml:space="preserve"> PAGEREF _Toc77082170 \h </w:instrText>
        </w:r>
        <w:r w:rsidR="00916B9A">
          <w:rPr>
            <w:noProof/>
            <w:webHidden/>
          </w:rPr>
        </w:r>
        <w:r w:rsidR="00916B9A">
          <w:rPr>
            <w:noProof/>
            <w:webHidden/>
          </w:rPr>
          <w:fldChar w:fldCharType="separate"/>
        </w:r>
        <w:r w:rsidR="009369AD">
          <w:rPr>
            <w:noProof/>
            <w:webHidden/>
          </w:rPr>
          <w:t>203</w:t>
        </w:r>
        <w:r w:rsidR="00916B9A">
          <w:rPr>
            <w:noProof/>
            <w:webHidden/>
          </w:rPr>
          <w:fldChar w:fldCharType="end"/>
        </w:r>
      </w:hyperlink>
    </w:p>
    <w:p w14:paraId="0AF53A42" w14:textId="6C5297F3" w:rsidR="00387656" w:rsidRDefault="00387656" w:rsidP="00756F41">
      <w:pPr>
        <w:spacing w:line="480" w:lineRule="auto"/>
      </w:pPr>
      <w:r>
        <w:rPr>
          <w:b/>
          <w:bCs/>
          <w:noProof/>
        </w:rPr>
        <w:fldChar w:fldCharType="end"/>
      </w:r>
    </w:p>
    <w:p w14:paraId="3729DB43" w14:textId="24623C97" w:rsidR="009369AD" w:rsidRPr="00A833A4" w:rsidRDefault="009C755C" w:rsidP="001311E7">
      <w:pPr>
        <w:spacing w:line="480" w:lineRule="auto"/>
        <w:jc w:val="center"/>
        <w:rPr>
          <w:b/>
        </w:rPr>
      </w:pPr>
      <w:r>
        <w:br w:type="page"/>
      </w:r>
      <w:r w:rsidR="00387656" w:rsidRPr="00A833A4">
        <w:rPr>
          <w:b/>
        </w:rPr>
        <w:lastRenderedPageBreak/>
        <w:t>LIST OF TABLES</w:t>
      </w:r>
    </w:p>
    <w:p w14:paraId="34926D1B" w14:textId="60070C6C" w:rsidR="00916B9A" w:rsidRDefault="00387656"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r w:rsidRPr="008513A1">
        <w:rPr>
          <w:color w:val="FF0000"/>
        </w:rPr>
        <w:fldChar w:fldCharType="begin"/>
      </w:r>
      <w:r w:rsidRPr="008513A1">
        <w:rPr>
          <w:color w:val="FF0000"/>
        </w:rPr>
        <w:instrText xml:space="preserve"> TOC \h \z \c "Table" </w:instrText>
      </w:r>
      <w:r w:rsidRPr="008513A1">
        <w:rPr>
          <w:color w:val="FF0000"/>
        </w:rPr>
        <w:fldChar w:fldCharType="separate"/>
      </w:r>
      <w:hyperlink w:anchor="_Toc77082171" w:history="1">
        <w:r w:rsidR="00916B9A" w:rsidRPr="004C5F77">
          <w:rPr>
            <w:rStyle w:val="Hyperlink"/>
            <w:noProof/>
          </w:rPr>
          <w:t xml:space="preserve">Table 1.1 Summary of reported use of lunasin in </w:t>
        </w:r>
        <w:r w:rsidR="00916B9A" w:rsidRPr="004C5F77">
          <w:rPr>
            <w:rStyle w:val="Hyperlink"/>
            <w:i/>
            <w:noProof/>
          </w:rPr>
          <w:t>in vivo</w:t>
        </w:r>
        <w:r w:rsidR="00916B9A" w:rsidRPr="004C5F77">
          <w:rPr>
            <w:rStyle w:val="Hyperlink"/>
            <w:noProof/>
          </w:rPr>
          <w:t xml:space="preserve"> models of cancer and inflammation</w:t>
        </w:r>
        <w:r w:rsidR="00916B9A">
          <w:rPr>
            <w:noProof/>
            <w:webHidden/>
          </w:rPr>
          <w:tab/>
        </w:r>
        <w:r w:rsidR="00916B9A">
          <w:rPr>
            <w:noProof/>
            <w:webHidden/>
          </w:rPr>
          <w:fldChar w:fldCharType="begin"/>
        </w:r>
        <w:r w:rsidR="00916B9A">
          <w:rPr>
            <w:noProof/>
            <w:webHidden/>
          </w:rPr>
          <w:instrText xml:space="preserve"> PAGEREF _Toc77082171 \h </w:instrText>
        </w:r>
        <w:r w:rsidR="00916B9A">
          <w:rPr>
            <w:noProof/>
            <w:webHidden/>
          </w:rPr>
        </w:r>
        <w:r w:rsidR="00916B9A">
          <w:rPr>
            <w:noProof/>
            <w:webHidden/>
          </w:rPr>
          <w:fldChar w:fldCharType="separate"/>
        </w:r>
        <w:r w:rsidR="009369AD">
          <w:rPr>
            <w:noProof/>
            <w:webHidden/>
          </w:rPr>
          <w:t>54</w:t>
        </w:r>
        <w:r w:rsidR="00916B9A">
          <w:rPr>
            <w:noProof/>
            <w:webHidden/>
          </w:rPr>
          <w:fldChar w:fldCharType="end"/>
        </w:r>
      </w:hyperlink>
    </w:p>
    <w:p w14:paraId="70707D25" w14:textId="55C8A85C"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72" w:history="1">
        <w:r w:rsidR="00916B9A" w:rsidRPr="004C5F77">
          <w:rPr>
            <w:rStyle w:val="Hyperlink"/>
            <w:noProof/>
          </w:rPr>
          <w:t>Table 2.1 Yield of products in tofu preparation at the laboratory scale.</w:t>
        </w:r>
        <w:r w:rsidR="00916B9A">
          <w:rPr>
            <w:noProof/>
            <w:webHidden/>
          </w:rPr>
          <w:tab/>
        </w:r>
        <w:r w:rsidR="00916B9A">
          <w:rPr>
            <w:noProof/>
            <w:webHidden/>
          </w:rPr>
          <w:fldChar w:fldCharType="begin"/>
        </w:r>
        <w:r w:rsidR="00916B9A">
          <w:rPr>
            <w:noProof/>
            <w:webHidden/>
          </w:rPr>
          <w:instrText xml:space="preserve"> PAGEREF _Toc77082172 \h </w:instrText>
        </w:r>
        <w:r w:rsidR="00916B9A">
          <w:rPr>
            <w:noProof/>
            <w:webHidden/>
          </w:rPr>
        </w:r>
        <w:r w:rsidR="00916B9A">
          <w:rPr>
            <w:noProof/>
            <w:webHidden/>
          </w:rPr>
          <w:fldChar w:fldCharType="separate"/>
        </w:r>
        <w:r w:rsidR="009369AD">
          <w:rPr>
            <w:noProof/>
            <w:webHidden/>
          </w:rPr>
          <w:t>91</w:t>
        </w:r>
        <w:r w:rsidR="00916B9A">
          <w:rPr>
            <w:noProof/>
            <w:webHidden/>
          </w:rPr>
          <w:fldChar w:fldCharType="end"/>
        </w:r>
      </w:hyperlink>
    </w:p>
    <w:p w14:paraId="267DFA91" w14:textId="411F1D44"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73" w:history="1">
        <w:r w:rsidR="00916B9A" w:rsidRPr="004C5F77">
          <w:rPr>
            <w:rStyle w:val="Hyperlink"/>
            <w:noProof/>
          </w:rPr>
          <w:t>Table 2.2 Characteristics of calcium and isoelectric precipitates from ethanolic whey.</w:t>
        </w:r>
        <w:r w:rsidR="00916B9A">
          <w:rPr>
            <w:noProof/>
            <w:webHidden/>
          </w:rPr>
          <w:tab/>
        </w:r>
        <w:r w:rsidR="00916B9A">
          <w:rPr>
            <w:noProof/>
            <w:webHidden/>
          </w:rPr>
          <w:fldChar w:fldCharType="begin"/>
        </w:r>
        <w:r w:rsidR="00916B9A">
          <w:rPr>
            <w:noProof/>
            <w:webHidden/>
          </w:rPr>
          <w:instrText xml:space="preserve"> PAGEREF _Toc77082173 \h </w:instrText>
        </w:r>
        <w:r w:rsidR="00916B9A">
          <w:rPr>
            <w:noProof/>
            <w:webHidden/>
          </w:rPr>
        </w:r>
        <w:r w:rsidR="00916B9A">
          <w:rPr>
            <w:noProof/>
            <w:webHidden/>
          </w:rPr>
          <w:fldChar w:fldCharType="separate"/>
        </w:r>
        <w:r w:rsidR="009369AD">
          <w:rPr>
            <w:noProof/>
            <w:webHidden/>
          </w:rPr>
          <w:t>93</w:t>
        </w:r>
        <w:r w:rsidR="00916B9A">
          <w:rPr>
            <w:noProof/>
            <w:webHidden/>
          </w:rPr>
          <w:fldChar w:fldCharType="end"/>
        </w:r>
      </w:hyperlink>
    </w:p>
    <w:p w14:paraId="4A02458C" w14:textId="1C70FA8C"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74" w:history="1">
        <w:r w:rsidR="00916B9A" w:rsidRPr="004C5F77">
          <w:rPr>
            <w:rStyle w:val="Hyperlink"/>
            <w:noProof/>
          </w:rPr>
          <w:t>Table 2.3 MALDI-TOF-MS identification of the 5 kDa lunasin immunoreactive bands in fractions obtained via gel filtration chromatography of ethanolic-isoelectric enriched material from industrially produced tofu whey.</w:t>
        </w:r>
        <w:r w:rsidR="00916B9A">
          <w:rPr>
            <w:noProof/>
            <w:webHidden/>
          </w:rPr>
          <w:tab/>
        </w:r>
        <w:r w:rsidR="00916B9A">
          <w:rPr>
            <w:noProof/>
            <w:webHidden/>
          </w:rPr>
          <w:fldChar w:fldCharType="begin"/>
        </w:r>
        <w:r w:rsidR="00916B9A">
          <w:rPr>
            <w:noProof/>
            <w:webHidden/>
          </w:rPr>
          <w:instrText xml:space="preserve"> PAGEREF _Toc77082174 \h </w:instrText>
        </w:r>
        <w:r w:rsidR="00916B9A">
          <w:rPr>
            <w:noProof/>
            <w:webHidden/>
          </w:rPr>
        </w:r>
        <w:r w:rsidR="00916B9A">
          <w:rPr>
            <w:noProof/>
            <w:webHidden/>
          </w:rPr>
          <w:fldChar w:fldCharType="separate"/>
        </w:r>
        <w:r w:rsidR="009369AD">
          <w:rPr>
            <w:noProof/>
            <w:webHidden/>
          </w:rPr>
          <w:t>101</w:t>
        </w:r>
        <w:r w:rsidR="00916B9A">
          <w:rPr>
            <w:noProof/>
            <w:webHidden/>
          </w:rPr>
          <w:fldChar w:fldCharType="end"/>
        </w:r>
      </w:hyperlink>
    </w:p>
    <w:p w14:paraId="5432E087" w14:textId="3C6CD284"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75" w:history="1">
        <w:r w:rsidR="00916B9A" w:rsidRPr="004C5F77">
          <w:rPr>
            <w:rStyle w:val="Hyperlink"/>
            <w:noProof/>
          </w:rPr>
          <w:t>Table 4.1 Number of mice exhibiting the indicated grade of dysplasia.</w:t>
        </w:r>
        <w:r w:rsidR="00916B9A">
          <w:rPr>
            <w:noProof/>
            <w:webHidden/>
          </w:rPr>
          <w:tab/>
        </w:r>
        <w:r w:rsidR="00916B9A">
          <w:rPr>
            <w:noProof/>
            <w:webHidden/>
          </w:rPr>
          <w:fldChar w:fldCharType="begin"/>
        </w:r>
        <w:r w:rsidR="00916B9A">
          <w:rPr>
            <w:noProof/>
            <w:webHidden/>
          </w:rPr>
          <w:instrText xml:space="preserve"> PAGEREF _Toc77082175 \h </w:instrText>
        </w:r>
        <w:r w:rsidR="00916B9A">
          <w:rPr>
            <w:noProof/>
            <w:webHidden/>
          </w:rPr>
        </w:r>
        <w:r w:rsidR="00916B9A">
          <w:rPr>
            <w:noProof/>
            <w:webHidden/>
          </w:rPr>
          <w:fldChar w:fldCharType="separate"/>
        </w:r>
        <w:r w:rsidR="009369AD">
          <w:rPr>
            <w:noProof/>
            <w:webHidden/>
          </w:rPr>
          <w:t>196</w:t>
        </w:r>
        <w:r w:rsidR="00916B9A">
          <w:rPr>
            <w:noProof/>
            <w:webHidden/>
          </w:rPr>
          <w:fldChar w:fldCharType="end"/>
        </w:r>
      </w:hyperlink>
    </w:p>
    <w:p w14:paraId="2EE0D6F8" w14:textId="3EDC7EA0" w:rsidR="00236E6D" w:rsidRPr="00526151" w:rsidRDefault="00387656" w:rsidP="009369AD">
      <w:pPr>
        <w:spacing w:line="480" w:lineRule="auto"/>
      </w:pPr>
      <w:r w:rsidRPr="008513A1">
        <w:rPr>
          <w:color w:val="FF0000"/>
        </w:rPr>
        <w:fldChar w:fldCharType="end"/>
      </w:r>
    </w:p>
    <w:p w14:paraId="141371C7" w14:textId="41084337" w:rsidR="00916B9A" w:rsidRDefault="0021461A"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r>
        <w:fldChar w:fldCharType="begin"/>
      </w:r>
      <w:r>
        <w:instrText xml:space="preserve"> TOC \h \z \c "Supplementary Table " </w:instrText>
      </w:r>
      <w:r>
        <w:fldChar w:fldCharType="separate"/>
      </w:r>
      <w:hyperlink w:anchor="_Toc77082176" w:history="1">
        <w:r w:rsidR="00916B9A" w:rsidRPr="004113F0">
          <w:rPr>
            <w:rStyle w:val="Hyperlink"/>
            <w:noProof/>
          </w:rPr>
          <w:t>Supplementary Table 2.1 Characteristics of calcium precipitates from okara and tofu whey.</w:t>
        </w:r>
        <w:r w:rsidR="00916B9A">
          <w:rPr>
            <w:noProof/>
            <w:webHidden/>
          </w:rPr>
          <w:tab/>
        </w:r>
        <w:r w:rsidR="00916B9A">
          <w:rPr>
            <w:noProof/>
            <w:webHidden/>
          </w:rPr>
          <w:fldChar w:fldCharType="begin"/>
        </w:r>
        <w:r w:rsidR="00916B9A">
          <w:rPr>
            <w:noProof/>
            <w:webHidden/>
          </w:rPr>
          <w:instrText xml:space="preserve"> PAGEREF _Toc77082176 \h </w:instrText>
        </w:r>
        <w:r w:rsidR="00916B9A">
          <w:rPr>
            <w:noProof/>
            <w:webHidden/>
          </w:rPr>
        </w:r>
        <w:r w:rsidR="00916B9A">
          <w:rPr>
            <w:noProof/>
            <w:webHidden/>
          </w:rPr>
          <w:fldChar w:fldCharType="separate"/>
        </w:r>
        <w:r w:rsidR="009369AD">
          <w:rPr>
            <w:noProof/>
            <w:webHidden/>
          </w:rPr>
          <w:t>103</w:t>
        </w:r>
        <w:r w:rsidR="00916B9A">
          <w:rPr>
            <w:noProof/>
            <w:webHidden/>
          </w:rPr>
          <w:fldChar w:fldCharType="end"/>
        </w:r>
      </w:hyperlink>
    </w:p>
    <w:p w14:paraId="4900AE6B" w14:textId="3A6F71BC"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77" w:history="1">
        <w:r w:rsidR="00916B9A" w:rsidRPr="004113F0">
          <w:rPr>
            <w:rStyle w:val="Hyperlink"/>
            <w:noProof/>
          </w:rPr>
          <w:t>Supplementary Table 2.2 Reference standards for HPLC size exclusion chromatography</w:t>
        </w:r>
        <w:r w:rsidR="00916B9A">
          <w:rPr>
            <w:noProof/>
            <w:webHidden/>
          </w:rPr>
          <w:tab/>
        </w:r>
        <w:r w:rsidR="00916B9A">
          <w:rPr>
            <w:noProof/>
            <w:webHidden/>
          </w:rPr>
          <w:fldChar w:fldCharType="begin"/>
        </w:r>
        <w:r w:rsidR="00916B9A">
          <w:rPr>
            <w:noProof/>
            <w:webHidden/>
          </w:rPr>
          <w:instrText xml:space="preserve"> PAGEREF _Toc77082177 \h </w:instrText>
        </w:r>
        <w:r w:rsidR="00916B9A">
          <w:rPr>
            <w:noProof/>
            <w:webHidden/>
          </w:rPr>
        </w:r>
        <w:r w:rsidR="00916B9A">
          <w:rPr>
            <w:noProof/>
            <w:webHidden/>
          </w:rPr>
          <w:fldChar w:fldCharType="separate"/>
        </w:r>
        <w:r w:rsidR="009369AD">
          <w:rPr>
            <w:noProof/>
            <w:webHidden/>
          </w:rPr>
          <w:t>104</w:t>
        </w:r>
        <w:r w:rsidR="00916B9A">
          <w:rPr>
            <w:noProof/>
            <w:webHidden/>
          </w:rPr>
          <w:fldChar w:fldCharType="end"/>
        </w:r>
      </w:hyperlink>
    </w:p>
    <w:p w14:paraId="3A301185" w14:textId="07C6EC02"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78" w:history="1">
        <w:r w:rsidR="00916B9A" w:rsidRPr="004113F0">
          <w:rPr>
            <w:rStyle w:val="Hyperlink"/>
            <w:noProof/>
          </w:rPr>
          <w:t>Supplementary Table 2.3 Characterization of ethanolic precipitate form tofu whey and commercially available lunasin containing products.</w:t>
        </w:r>
        <w:r w:rsidR="00916B9A">
          <w:rPr>
            <w:noProof/>
            <w:webHidden/>
          </w:rPr>
          <w:tab/>
        </w:r>
        <w:r w:rsidR="00916B9A">
          <w:rPr>
            <w:noProof/>
            <w:webHidden/>
          </w:rPr>
          <w:fldChar w:fldCharType="begin"/>
        </w:r>
        <w:r w:rsidR="00916B9A">
          <w:rPr>
            <w:noProof/>
            <w:webHidden/>
          </w:rPr>
          <w:instrText xml:space="preserve"> PAGEREF _Toc77082178 \h </w:instrText>
        </w:r>
        <w:r w:rsidR="00916B9A">
          <w:rPr>
            <w:noProof/>
            <w:webHidden/>
          </w:rPr>
        </w:r>
        <w:r w:rsidR="00916B9A">
          <w:rPr>
            <w:noProof/>
            <w:webHidden/>
          </w:rPr>
          <w:fldChar w:fldCharType="separate"/>
        </w:r>
        <w:r w:rsidR="009369AD">
          <w:rPr>
            <w:noProof/>
            <w:webHidden/>
          </w:rPr>
          <w:t>106</w:t>
        </w:r>
        <w:r w:rsidR="00916B9A">
          <w:rPr>
            <w:noProof/>
            <w:webHidden/>
          </w:rPr>
          <w:fldChar w:fldCharType="end"/>
        </w:r>
      </w:hyperlink>
    </w:p>
    <w:p w14:paraId="611CDC34" w14:textId="6B4C8520"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79" w:history="1">
        <w:r w:rsidR="00916B9A" w:rsidRPr="004113F0">
          <w:rPr>
            <w:rStyle w:val="Hyperlink"/>
            <w:noProof/>
          </w:rPr>
          <w:t>Supplementary Table 2.4 Characteristics of purified fractions obtained from industrial tofu whey via ethanolic-isoelectric precipitation and gel filtration chromatography. F78 and F 88 correspond to eluates collected at 78- and 88-min retention time.</w:t>
        </w:r>
        <w:r w:rsidR="00916B9A">
          <w:rPr>
            <w:noProof/>
            <w:webHidden/>
          </w:rPr>
          <w:tab/>
        </w:r>
        <w:r w:rsidR="00916B9A">
          <w:rPr>
            <w:noProof/>
            <w:webHidden/>
          </w:rPr>
          <w:fldChar w:fldCharType="begin"/>
        </w:r>
        <w:r w:rsidR="00916B9A">
          <w:rPr>
            <w:noProof/>
            <w:webHidden/>
          </w:rPr>
          <w:instrText xml:space="preserve"> PAGEREF _Toc77082179 \h </w:instrText>
        </w:r>
        <w:r w:rsidR="00916B9A">
          <w:rPr>
            <w:noProof/>
            <w:webHidden/>
          </w:rPr>
        </w:r>
        <w:r w:rsidR="00916B9A">
          <w:rPr>
            <w:noProof/>
            <w:webHidden/>
          </w:rPr>
          <w:fldChar w:fldCharType="separate"/>
        </w:r>
        <w:r w:rsidR="009369AD">
          <w:rPr>
            <w:noProof/>
            <w:webHidden/>
          </w:rPr>
          <w:t>110</w:t>
        </w:r>
        <w:r w:rsidR="00916B9A">
          <w:rPr>
            <w:noProof/>
            <w:webHidden/>
          </w:rPr>
          <w:fldChar w:fldCharType="end"/>
        </w:r>
      </w:hyperlink>
    </w:p>
    <w:p w14:paraId="2EF7FD14" w14:textId="2B389C45" w:rsidR="0085757D" w:rsidRPr="00334400" w:rsidRDefault="0021461A" w:rsidP="009369AD">
      <w:pPr>
        <w:spacing w:line="480" w:lineRule="auto"/>
      </w:pPr>
      <w:r>
        <w:fldChar w:fldCharType="end"/>
      </w:r>
    </w:p>
    <w:p w14:paraId="043F4F35" w14:textId="51E3C5A5" w:rsidR="00904969" w:rsidRPr="00A833A4" w:rsidRDefault="00904969" w:rsidP="00756F41">
      <w:pPr>
        <w:spacing w:line="480" w:lineRule="auto"/>
        <w:jc w:val="center"/>
        <w:rPr>
          <w:b/>
        </w:rPr>
      </w:pPr>
      <w:r w:rsidRPr="00A833A4">
        <w:rPr>
          <w:b/>
        </w:rPr>
        <w:lastRenderedPageBreak/>
        <w:t>LIST OF FIGURES</w:t>
      </w:r>
    </w:p>
    <w:p w14:paraId="223180DB" w14:textId="0A7B6041" w:rsidR="00916B9A" w:rsidRDefault="00387656"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r w:rsidRPr="008513A1">
        <w:rPr>
          <w:color w:val="FF0000"/>
        </w:rPr>
        <w:fldChar w:fldCharType="begin"/>
      </w:r>
      <w:r w:rsidRPr="008513A1">
        <w:rPr>
          <w:color w:val="FF0000"/>
        </w:rPr>
        <w:instrText xml:space="preserve"> TOC \h \z \c "Figure" </w:instrText>
      </w:r>
      <w:r w:rsidRPr="008513A1">
        <w:rPr>
          <w:color w:val="FF0000"/>
        </w:rPr>
        <w:fldChar w:fldCharType="separate"/>
      </w:r>
      <w:hyperlink w:anchor="_Toc77082180" w:history="1">
        <w:r w:rsidR="00916B9A" w:rsidRPr="00DE0EAC">
          <w:rPr>
            <w:rStyle w:val="Hyperlink"/>
            <w:noProof/>
          </w:rPr>
          <w:t>Figure 1.1 Primary sequence of lunasin indicating the functional regions.</w:t>
        </w:r>
        <w:r w:rsidR="00916B9A">
          <w:rPr>
            <w:noProof/>
            <w:webHidden/>
          </w:rPr>
          <w:tab/>
        </w:r>
        <w:r w:rsidR="00916B9A">
          <w:rPr>
            <w:noProof/>
            <w:webHidden/>
          </w:rPr>
          <w:fldChar w:fldCharType="begin"/>
        </w:r>
        <w:r w:rsidR="00916B9A">
          <w:rPr>
            <w:noProof/>
            <w:webHidden/>
          </w:rPr>
          <w:instrText xml:space="preserve"> PAGEREF _Toc77082180 \h </w:instrText>
        </w:r>
        <w:r w:rsidR="00916B9A">
          <w:rPr>
            <w:noProof/>
            <w:webHidden/>
          </w:rPr>
        </w:r>
        <w:r w:rsidR="00916B9A">
          <w:rPr>
            <w:noProof/>
            <w:webHidden/>
          </w:rPr>
          <w:fldChar w:fldCharType="separate"/>
        </w:r>
        <w:r w:rsidR="009369AD">
          <w:rPr>
            <w:noProof/>
            <w:webHidden/>
          </w:rPr>
          <w:t>53</w:t>
        </w:r>
        <w:r w:rsidR="00916B9A">
          <w:rPr>
            <w:noProof/>
            <w:webHidden/>
          </w:rPr>
          <w:fldChar w:fldCharType="end"/>
        </w:r>
      </w:hyperlink>
    </w:p>
    <w:p w14:paraId="602921A8" w14:textId="35CD4746"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81" w:history="1">
        <w:r w:rsidR="00916B9A" w:rsidRPr="00DE0EAC">
          <w:rPr>
            <w:rStyle w:val="Hyperlink"/>
            <w:noProof/>
          </w:rPr>
          <w:t>Figure 2.1 Ethanolic precipitation of high molecular weight proteins.</w:t>
        </w:r>
        <w:r w:rsidR="00916B9A">
          <w:rPr>
            <w:noProof/>
            <w:webHidden/>
          </w:rPr>
          <w:tab/>
        </w:r>
        <w:r w:rsidR="00916B9A">
          <w:rPr>
            <w:noProof/>
            <w:webHidden/>
          </w:rPr>
          <w:fldChar w:fldCharType="begin"/>
        </w:r>
        <w:r w:rsidR="00916B9A">
          <w:rPr>
            <w:noProof/>
            <w:webHidden/>
          </w:rPr>
          <w:instrText xml:space="preserve"> PAGEREF _Toc77082181 \h </w:instrText>
        </w:r>
        <w:r w:rsidR="00916B9A">
          <w:rPr>
            <w:noProof/>
            <w:webHidden/>
          </w:rPr>
        </w:r>
        <w:r w:rsidR="00916B9A">
          <w:rPr>
            <w:noProof/>
            <w:webHidden/>
          </w:rPr>
          <w:fldChar w:fldCharType="separate"/>
        </w:r>
        <w:r w:rsidR="009369AD">
          <w:rPr>
            <w:noProof/>
            <w:webHidden/>
          </w:rPr>
          <w:t>92</w:t>
        </w:r>
        <w:r w:rsidR="00916B9A">
          <w:rPr>
            <w:noProof/>
            <w:webHidden/>
          </w:rPr>
          <w:fldChar w:fldCharType="end"/>
        </w:r>
      </w:hyperlink>
    </w:p>
    <w:p w14:paraId="24FD0A8A" w14:textId="2AFFE62D"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82" w:history="1">
        <w:r w:rsidR="00916B9A" w:rsidRPr="00DE0EAC">
          <w:rPr>
            <w:rStyle w:val="Hyperlink"/>
            <w:noProof/>
          </w:rPr>
          <w:t>Figure 2.2 Precipitation of soluble proteins from ethanolic whey.</w:t>
        </w:r>
        <w:r w:rsidR="00916B9A">
          <w:rPr>
            <w:noProof/>
            <w:webHidden/>
          </w:rPr>
          <w:tab/>
        </w:r>
        <w:r w:rsidR="00916B9A">
          <w:rPr>
            <w:noProof/>
            <w:webHidden/>
          </w:rPr>
          <w:fldChar w:fldCharType="begin"/>
        </w:r>
        <w:r w:rsidR="00916B9A">
          <w:rPr>
            <w:noProof/>
            <w:webHidden/>
          </w:rPr>
          <w:instrText xml:space="preserve"> PAGEREF _Toc77082182 \h </w:instrText>
        </w:r>
        <w:r w:rsidR="00916B9A">
          <w:rPr>
            <w:noProof/>
            <w:webHidden/>
          </w:rPr>
        </w:r>
        <w:r w:rsidR="00916B9A">
          <w:rPr>
            <w:noProof/>
            <w:webHidden/>
          </w:rPr>
          <w:fldChar w:fldCharType="separate"/>
        </w:r>
        <w:r w:rsidR="009369AD">
          <w:rPr>
            <w:noProof/>
            <w:webHidden/>
          </w:rPr>
          <w:t>94</w:t>
        </w:r>
        <w:r w:rsidR="00916B9A">
          <w:rPr>
            <w:noProof/>
            <w:webHidden/>
          </w:rPr>
          <w:fldChar w:fldCharType="end"/>
        </w:r>
      </w:hyperlink>
    </w:p>
    <w:p w14:paraId="1A8A282D" w14:textId="2028F764"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83" w:history="1">
        <w:r w:rsidR="00916B9A" w:rsidRPr="00DE0EAC">
          <w:rPr>
            <w:rStyle w:val="Hyperlink"/>
            <w:noProof/>
          </w:rPr>
          <w:t>Figure 2.3 Adjustment of preparative gel filtration chromatography parameters.</w:t>
        </w:r>
        <w:r w:rsidR="00916B9A">
          <w:rPr>
            <w:noProof/>
            <w:webHidden/>
          </w:rPr>
          <w:tab/>
        </w:r>
        <w:r w:rsidR="00916B9A">
          <w:rPr>
            <w:noProof/>
            <w:webHidden/>
          </w:rPr>
          <w:fldChar w:fldCharType="begin"/>
        </w:r>
        <w:r w:rsidR="00916B9A">
          <w:rPr>
            <w:noProof/>
            <w:webHidden/>
          </w:rPr>
          <w:instrText xml:space="preserve"> PAGEREF _Toc77082183 \h </w:instrText>
        </w:r>
        <w:r w:rsidR="00916B9A">
          <w:rPr>
            <w:noProof/>
            <w:webHidden/>
          </w:rPr>
        </w:r>
        <w:r w:rsidR="00916B9A">
          <w:rPr>
            <w:noProof/>
            <w:webHidden/>
          </w:rPr>
          <w:fldChar w:fldCharType="separate"/>
        </w:r>
        <w:r w:rsidR="009369AD">
          <w:rPr>
            <w:noProof/>
            <w:webHidden/>
          </w:rPr>
          <w:t>96</w:t>
        </w:r>
        <w:r w:rsidR="00916B9A">
          <w:rPr>
            <w:noProof/>
            <w:webHidden/>
          </w:rPr>
          <w:fldChar w:fldCharType="end"/>
        </w:r>
      </w:hyperlink>
    </w:p>
    <w:p w14:paraId="41340A3C" w14:textId="5C3CBE84"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84" w:history="1">
        <w:r w:rsidR="00916B9A" w:rsidRPr="00DE0EAC">
          <w:rPr>
            <w:rStyle w:val="Hyperlink"/>
            <w:noProof/>
          </w:rPr>
          <w:t>Figure 2.4 Isolation of lunasin from industrially produced tofu whey.</w:t>
        </w:r>
        <w:r w:rsidR="00916B9A">
          <w:rPr>
            <w:noProof/>
            <w:webHidden/>
          </w:rPr>
          <w:tab/>
        </w:r>
        <w:r w:rsidR="00916B9A">
          <w:rPr>
            <w:noProof/>
            <w:webHidden/>
          </w:rPr>
          <w:fldChar w:fldCharType="begin"/>
        </w:r>
        <w:r w:rsidR="00916B9A">
          <w:rPr>
            <w:noProof/>
            <w:webHidden/>
          </w:rPr>
          <w:instrText xml:space="preserve"> PAGEREF _Toc77082184 \h </w:instrText>
        </w:r>
        <w:r w:rsidR="00916B9A">
          <w:rPr>
            <w:noProof/>
            <w:webHidden/>
          </w:rPr>
        </w:r>
        <w:r w:rsidR="00916B9A">
          <w:rPr>
            <w:noProof/>
            <w:webHidden/>
          </w:rPr>
          <w:fldChar w:fldCharType="separate"/>
        </w:r>
        <w:r w:rsidR="009369AD">
          <w:rPr>
            <w:noProof/>
            <w:webHidden/>
          </w:rPr>
          <w:t>98</w:t>
        </w:r>
        <w:r w:rsidR="00916B9A">
          <w:rPr>
            <w:noProof/>
            <w:webHidden/>
          </w:rPr>
          <w:fldChar w:fldCharType="end"/>
        </w:r>
      </w:hyperlink>
    </w:p>
    <w:p w14:paraId="04796901" w14:textId="58833322"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85" w:history="1">
        <w:r w:rsidR="00916B9A" w:rsidRPr="00DE0EAC">
          <w:rPr>
            <w:rStyle w:val="Hyperlink"/>
            <w:noProof/>
          </w:rPr>
          <w:t>Figure 2.5 Process for the isolation of lunasin from tofu whey via ethanolic-isoelectric precipitation and gel filtration chromatography.</w:t>
        </w:r>
        <w:r w:rsidR="00916B9A">
          <w:rPr>
            <w:noProof/>
            <w:webHidden/>
          </w:rPr>
          <w:tab/>
        </w:r>
        <w:r w:rsidR="00916B9A">
          <w:rPr>
            <w:noProof/>
            <w:webHidden/>
          </w:rPr>
          <w:fldChar w:fldCharType="begin"/>
        </w:r>
        <w:r w:rsidR="00916B9A">
          <w:rPr>
            <w:noProof/>
            <w:webHidden/>
          </w:rPr>
          <w:instrText xml:space="preserve"> PAGEREF _Toc77082185 \h </w:instrText>
        </w:r>
        <w:r w:rsidR="00916B9A">
          <w:rPr>
            <w:noProof/>
            <w:webHidden/>
          </w:rPr>
        </w:r>
        <w:r w:rsidR="00916B9A">
          <w:rPr>
            <w:noProof/>
            <w:webHidden/>
          </w:rPr>
          <w:fldChar w:fldCharType="separate"/>
        </w:r>
        <w:r w:rsidR="009369AD">
          <w:rPr>
            <w:noProof/>
            <w:webHidden/>
          </w:rPr>
          <w:t>100</w:t>
        </w:r>
        <w:r w:rsidR="00916B9A">
          <w:rPr>
            <w:noProof/>
            <w:webHidden/>
          </w:rPr>
          <w:fldChar w:fldCharType="end"/>
        </w:r>
      </w:hyperlink>
    </w:p>
    <w:p w14:paraId="40BE1099" w14:textId="07622E1C"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86" w:history="1">
        <w:r w:rsidR="00916B9A" w:rsidRPr="00DE0EAC">
          <w:rPr>
            <w:rStyle w:val="Hyperlink"/>
            <w:noProof/>
          </w:rPr>
          <w:t>Figure 3.1 Lunasin attenuates macroscopic markers of disease.</w:t>
        </w:r>
        <w:r w:rsidR="00916B9A">
          <w:rPr>
            <w:noProof/>
            <w:webHidden/>
          </w:rPr>
          <w:tab/>
        </w:r>
        <w:r w:rsidR="00916B9A">
          <w:rPr>
            <w:noProof/>
            <w:webHidden/>
          </w:rPr>
          <w:fldChar w:fldCharType="begin"/>
        </w:r>
        <w:r w:rsidR="00916B9A">
          <w:rPr>
            <w:noProof/>
            <w:webHidden/>
          </w:rPr>
          <w:instrText xml:space="preserve"> PAGEREF _Toc77082186 \h </w:instrText>
        </w:r>
        <w:r w:rsidR="00916B9A">
          <w:rPr>
            <w:noProof/>
            <w:webHidden/>
          </w:rPr>
        </w:r>
        <w:r w:rsidR="00916B9A">
          <w:rPr>
            <w:noProof/>
            <w:webHidden/>
          </w:rPr>
          <w:fldChar w:fldCharType="separate"/>
        </w:r>
        <w:r w:rsidR="009369AD">
          <w:rPr>
            <w:noProof/>
            <w:webHidden/>
          </w:rPr>
          <w:t>149</w:t>
        </w:r>
        <w:r w:rsidR="00916B9A">
          <w:rPr>
            <w:noProof/>
            <w:webHidden/>
          </w:rPr>
          <w:fldChar w:fldCharType="end"/>
        </w:r>
      </w:hyperlink>
    </w:p>
    <w:p w14:paraId="568F9120" w14:textId="0B3F0D65"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87" w:history="1">
        <w:r w:rsidR="00916B9A" w:rsidRPr="00DE0EAC">
          <w:rPr>
            <w:rStyle w:val="Hyperlink"/>
            <w:noProof/>
          </w:rPr>
          <w:t>Figure 3.2 Lunasin decreases intestinal levels of proinflammatory cytokines.</w:t>
        </w:r>
        <w:r w:rsidR="00916B9A">
          <w:rPr>
            <w:noProof/>
            <w:webHidden/>
          </w:rPr>
          <w:tab/>
        </w:r>
        <w:r w:rsidR="00916B9A">
          <w:rPr>
            <w:noProof/>
            <w:webHidden/>
          </w:rPr>
          <w:fldChar w:fldCharType="begin"/>
        </w:r>
        <w:r w:rsidR="00916B9A">
          <w:rPr>
            <w:noProof/>
            <w:webHidden/>
          </w:rPr>
          <w:instrText xml:space="preserve"> PAGEREF _Toc77082187 \h </w:instrText>
        </w:r>
        <w:r w:rsidR="00916B9A">
          <w:rPr>
            <w:noProof/>
            <w:webHidden/>
          </w:rPr>
        </w:r>
        <w:r w:rsidR="00916B9A">
          <w:rPr>
            <w:noProof/>
            <w:webHidden/>
          </w:rPr>
          <w:fldChar w:fldCharType="separate"/>
        </w:r>
        <w:r w:rsidR="009369AD">
          <w:rPr>
            <w:noProof/>
            <w:webHidden/>
          </w:rPr>
          <w:t>151</w:t>
        </w:r>
        <w:r w:rsidR="00916B9A">
          <w:rPr>
            <w:noProof/>
            <w:webHidden/>
          </w:rPr>
          <w:fldChar w:fldCharType="end"/>
        </w:r>
      </w:hyperlink>
    </w:p>
    <w:p w14:paraId="5CBF66C5" w14:textId="2BC8E261"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88" w:history="1">
        <w:r w:rsidR="00916B9A" w:rsidRPr="00DE0EAC">
          <w:rPr>
            <w:rStyle w:val="Hyperlink"/>
            <w:noProof/>
          </w:rPr>
          <w:t>Figure 3.3 Principal component analysis showing the overall effect of lunasin over the characteristic IBD parameters evaluated in vivo.</w:t>
        </w:r>
        <w:r w:rsidR="00916B9A">
          <w:rPr>
            <w:noProof/>
            <w:webHidden/>
          </w:rPr>
          <w:tab/>
        </w:r>
        <w:r w:rsidR="00916B9A">
          <w:rPr>
            <w:noProof/>
            <w:webHidden/>
          </w:rPr>
          <w:fldChar w:fldCharType="begin"/>
        </w:r>
        <w:r w:rsidR="00916B9A">
          <w:rPr>
            <w:noProof/>
            <w:webHidden/>
          </w:rPr>
          <w:instrText xml:space="preserve"> PAGEREF _Toc77082188 \h </w:instrText>
        </w:r>
        <w:r w:rsidR="00916B9A">
          <w:rPr>
            <w:noProof/>
            <w:webHidden/>
          </w:rPr>
        </w:r>
        <w:r w:rsidR="00916B9A">
          <w:rPr>
            <w:noProof/>
            <w:webHidden/>
          </w:rPr>
          <w:fldChar w:fldCharType="separate"/>
        </w:r>
        <w:r w:rsidR="009369AD">
          <w:rPr>
            <w:noProof/>
            <w:webHidden/>
          </w:rPr>
          <w:t>153</w:t>
        </w:r>
        <w:r w:rsidR="00916B9A">
          <w:rPr>
            <w:noProof/>
            <w:webHidden/>
          </w:rPr>
          <w:fldChar w:fldCharType="end"/>
        </w:r>
      </w:hyperlink>
    </w:p>
    <w:p w14:paraId="35D66DDB" w14:textId="4F17DEAA"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89" w:history="1">
        <w:r w:rsidR="00916B9A" w:rsidRPr="00DE0EAC">
          <w:rPr>
            <w:rStyle w:val="Hyperlink"/>
            <w:noProof/>
          </w:rPr>
          <w:t>Figure 3.4 Lunasin abrogates the activation of NLRP3 inflammasome.</w:t>
        </w:r>
        <w:r w:rsidR="00916B9A">
          <w:rPr>
            <w:noProof/>
            <w:webHidden/>
          </w:rPr>
          <w:tab/>
        </w:r>
        <w:r w:rsidR="00916B9A">
          <w:rPr>
            <w:noProof/>
            <w:webHidden/>
          </w:rPr>
          <w:fldChar w:fldCharType="begin"/>
        </w:r>
        <w:r w:rsidR="00916B9A">
          <w:rPr>
            <w:noProof/>
            <w:webHidden/>
          </w:rPr>
          <w:instrText xml:space="preserve"> PAGEREF _Toc77082189 \h </w:instrText>
        </w:r>
        <w:r w:rsidR="00916B9A">
          <w:rPr>
            <w:noProof/>
            <w:webHidden/>
          </w:rPr>
        </w:r>
        <w:r w:rsidR="00916B9A">
          <w:rPr>
            <w:noProof/>
            <w:webHidden/>
          </w:rPr>
          <w:fldChar w:fldCharType="separate"/>
        </w:r>
        <w:r w:rsidR="009369AD">
          <w:rPr>
            <w:noProof/>
            <w:webHidden/>
          </w:rPr>
          <w:t>154</w:t>
        </w:r>
        <w:r w:rsidR="00916B9A">
          <w:rPr>
            <w:noProof/>
            <w:webHidden/>
          </w:rPr>
          <w:fldChar w:fldCharType="end"/>
        </w:r>
      </w:hyperlink>
    </w:p>
    <w:p w14:paraId="7E413FAC" w14:textId="05DF5369"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90" w:history="1">
        <w:r w:rsidR="00916B9A" w:rsidRPr="00DE0EAC">
          <w:rPr>
            <w:rStyle w:val="Hyperlink"/>
            <w:noProof/>
          </w:rPr>
          <w:t>Figure 3.5 Modulation of the NLRP3 inflammasome by lunasin is independent of mitochondrial ROS.</w:t>
        </w:r>
        <w:r w:rsidR="00916B9A">
          <w:rPr>
            <w:noProof/>
            <w:webHidden/>
          </w:rPr>
          <w:tab/>
        </w:r>
        <w:r w:rsidR="00916B9A">
          <w:rPr>
            <w:noProof/>
            <w:webHidden/>
          </w:rPr>
          <w:fldChar w:fldCharType="begin"/>
        </w:r>
        <w:r w:rsidR="00916B9A">
          <w:rPr>
            <w:noProof/>
            <w:webHidden/>
          </w:rPr>
          <w:instrText xml:space="preserve"> PAGEREF _Toc77082190 \h </w:instrText>
        </w:r>
        <w:r w:rsidR="00916B9A">
          <w:rPr>
            <w:noProof/>
            <w:webHidden/>
          </w:rPr>
        </w:r>
        <w:r w:rsidR="00916B9A">
          <w:rPr>
            <w:noProof/>
            <w:webHidden/>
          </w:rPr>
          <w:fldChar w:fldCharType="separate"/>
        </w:r>
        <w:r w:rsidR="009369AD">
          <w:rPr>
            <w:noProof/>
            <w:webHidden/>
          </w:rPr>
          <w:t>155</w:t>
        </w:r>
        <w:r w:rsidR="00916B9A">
          <w:rPr>
            <w:noProof/>
            <w:webHidden/>
          </w:rPr>
          <w:fldChar w:fldCharType="end"/>
        </w:r>
      </w:hyperlink>
    </w:p>
    <w:p w14:paraId="2834B6E0" w14:textId="14DD3718"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91" w:history="1">
        <w:r w:rsidR="00916B9A" w:rsidRPr="00DE0EAC">
          <w:rPr>
            <w:rStyle w:val="Hyperlink"/>
            <w:noProof/>
          </w:rPr>
          <w:t>Figure 3.6 Lunasin reduces extracellular IL-1β during the activation phase but does not affect potassium efflux.</w:t>
        </w:r>
        <w:r w:rsidR="00916B9A">
          <w:rPr>
            <w:noProof/>
            <w:webHidden/>
          </w:rPr>
          <w:tab/>
        </w:r>
        <w:r w:rsidR="00916B9A">
          <w:rPr>
            <w:noProof/>
            <w:webHidden/>
          </w:rPr>
          <w:fldChar w:fldCharType="begin"/>
        </w:r>
        <w:r w:rsidR="00916B9A">
          <w:rPr>
            <w:noProof/>
            <w:webHidden/>
          </w:rPr>
          <w:instrText xml:space="preserve"> PAGEREF _Toc77082191 \h </w:instrText>
        </w:r>
        <w:r w:rsidR="00916B9A">
          <w:rPr>
            <w:noProof/>
            <w:webHidden/>
          </w:rPr>
        </w:r>
        <w:r w:rsidR="00916B9A">
          <w:rPr>
            <w:noProof/>
            <w:webHidden/>
          </w:rPr>
          <w:fldChar w:fldCharType="separate"/>
        </w:r>
        <w:r w:rsidR="009369AD">
          <w:rPr>
            <w:noProof/>
            <w:webHidden/>
          </w:rPr>
          <w:t>156</w:t>
        </w:r>
        <w:r w:rsidR="00916B9A">
          <w:rPr>
            <w:noProof/>
            <w:webHidden/>
          </w:rPr>
          <w:fldChar w:fldCharType="end"/>
        </w:r>
      </w:hyperlink>
    </w:p>
    <w:p w14:paraId="09587FED" w14:textId="1964C5E3"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92" w:history="1">
        <w:r w:rsidR="00916B9A" w:rsidRPr="00DE0EAC">
          <w:rPr>
            <w:rStyle w:val="Hyperlink"/>
            <w:noProof/>
          </w:rPr>
          <w:t>Figure 4.1 Macroscopic markers of the disease.</w:t>
        </w:r>
        <w:r w:rsidR="00916B9A">
          <w:rPr>
            <w:noProof/>
            <w:webHidden/>
          </w:rPr>
          <w:tab/>
        </w:r>
        <w:r w:rsidR="00916B9A">
          <w:rPr>
            <w:noProof/>
            <w:webHidden/>
          </w:rPr>
          <w:fldChar w:fldCharType="begin"/>
        </w:r>
        <w:r w:rsidR="00916B9A">
          <w:rPr>
            <w:noProof/>
            <w:webHidden/>
          </w:rPr>
          <w:instrText xml:space="preserve"> PAGEREF _Toc77082192 \h </w:instrText>
        </w:r>
        <w:r w:rsidR="00916B9A">
          <w:rPr>
            <w:noProof/>
            <w:webHidden/>
          </w:rPr>
        </w:r>
        <w:r w:rsidR="00916B9A">
          <w:rPr>
            <w:noProof/>
            <w:webHidden/>
          </w:rPr>
          <w:fldChar w:fldCharType="separate"/>
        </w:r>
        <w:r w:rsidR="009369AD">
          <w:rPr>
            <w:noProof/>
            <w:webHidden/>
          </w:rPr>
          <w:t>192</w:t>
        </w:r>
        <w:r w:rsidR="00916B9A">
          <w:rPr>
            <w:noProof/>
            <w:webHidden/>
          </w:rPr>
          <w:fldChar w:fldCharType="end"/>
        </w:r>
      </w:hyperlink>
    </w:p>
    <w:p w14:paraId="233064B1" w14:textId="3E41706D"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93" w:history="1">
        <w:r w:rsidR="00916B9A" w:rsidRPr="00DE0EAC">
          <w:rPr>
            <w:rStyle w:val="Hyperlink"/>
            <w:noProof/>
          </w:rPr>
          <w:t>Figure 4.2 Effect of lunasin over spleen and colon.</w:t>
        </w:r>
        <w:r w:rsidR="00916B9A">
          <w:rPr>
            <w:noProof/>
            <w:webHidden/>
          </w:rPr>
          <w:tab/>
        </w:r>
        <w:r w:rsidR="00916B9A">
          <w:rPr>
            <w:noProof/>
            <w:webHidden/>
          </w:rPr>
          <w:fldChar w:fldCharType="begin"/>
        </w:r>
        <w:r w:rsidR="00916B9A">
          <w:rPr>
            <w:noProof/>
            <w:webHidden/>
          </w:rPr>
          <w:instrText xml:space="preserve"> PAGEREF _Toc77082193 \h </w:instrText>
        </w:r>
        <w:r w:rsidR="00916B9A">
          <w:rPr>
            <w:noProof/>
            <w:webHidden/>
          </w:rPr>
        </w:r>
        <w:r w:rsidR="00916B9A">
          <w:rPr>
            <w:noProof/>
            <w:webHidden/>
          </w:rPr>
          <w:fldChar w:fldCharType="separate"/>
        </w:r>
        <w:r w:rsidR="009369AD">
          <w:rPr>
            <w:noProof/>
            <w:webHidden/>
          </w:rPr>
          <w:t>193</w:t>
        </w:r>
        <w:r w:rsidR="00916B9A">
          <w:rPr>
            <w:noProof/>
            <w:webHidden/>
          </w:rPr>
          <w:fldChar w:fldCharType="end"/>
        </w:r>
      </w:hyperlink>
    </w:p>
    <w:p w14:paraId="1293999E" w14:textId="0963ED24"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94" w:history="1">
        <w:r w:rsidR="00916B9A" w:rsidRPr="00DE0EAC">
          <w:rPr>
            <w:rStyle w:val="Hyperlink"/>
            <w:noProof/>
          </w:rPr>
          <w:t>Figure 4.3 Evaluation of histopathological markers of inflammation</w:t>
        </w:r>
        <w:r w:rsidR="00916B9A">
          <w:rPr>
            <w:noProof/>
            <w:webHidden/>
          </w:rPr>
          <w:tab/>
        </w:r>
        <w:r w:rsidR="00916B9A">
          <w:rPr>
            <w:noProof/>
            <w:webHidden/>
          </w:rPr>
          <w:fldChar w:fldCharType="begin"/>
        </w:r>
        <w:r w:rsidR="00916B9A">
          <w:rPr>
            <w:noProof/>
            <w:webHidden/>
          </w:rPr>
          <w:instrText xml:space="preserve"> PAGEREF _Toc77082194 \h </w:instrText>
        </w:r>
        <w:r w:rsidR="00916B9A">
          <w:rPr>
            <w:noProof/>
            <w:webHidden/>
          </w:rPr>
        </w:r>
        <w:r w:rsidR="00916B9A">
          <w:rPr>
            <w:noProof/>
            <w:webHidden/>
          </w:rPr>
          <w:fldChar w:fldCharType="separate"/>
        </w:r>
        <w:r w:rsidR="009369AD">
          <w:rPr>
            <w:noProof/>
            <w:webHidden/>
          </w:rPr>
          <w:t>194</w:t>
        </w:r>
        <w:r w:rsidR="00916B9A">
          <w:rPr>
            <w:noProof/>
            <w:webHidden/>
          </w:rPr>
          <w:fldChar w:fldCharType="end"/>
        </w:r>
      </w:hyperlink>
    </w:p>
    <w:p w14:paraId="43790888" w14:textId="193CE00E"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95" w:history="1">
        <w:r w:rsidR="00916B9A" w:rsidRPr="00DE0EAC">
          <w:rPr>
            <w:rStyle w:val="Hyperlink"/>
            <w:noProof/>
          </w:rPr>
          <w:t>Figure 4.4 Tumor burden and dysplasia.</w:t>
        </w:r>
        <w:r w:rsidR="00916B9A">
          <w:rPr>
            <w:noProof/>
            <w:webHidden/>
          </w:rPr>
          <w:tab/>
        </w:r>
        <w:r w:rsidR="00916B9A">
          <w:rPr>
            <w:noProof/>
            <w:webHidden/>
          </w:rPr>
          <w:fldChar w:fldCharType="begin"/>
        </w:r>
        <w:r w:rsidR="00916B9A">
          <w:rPr>
            <w:noProof/>
            <w:webHidden/>
          </w:rPr>
          <w:instrText xml:space="preserve"> PAGEREF _Toc77082195 \h </w:instrText>
        </w:r>
        <w:r w:rsidR="00916B9A">
          <w:rPr>
            <w:noProof/>
            <w:webHidden/>
          </w:rPr>
        </w:r>
        <w:r w:rsidR="00916B9A">
          <w:rPr>
            <w:noProof/>
            <w:webHidden/>
          </w:rPr>
          <w:fldChar w:fldCharType="separate"/>
        </w:r>
        <w:r w:rsidR="009369AD">
          <w:rPr>
            <w:noProof/>
            <w:webHidden/>
          </w:rPr>
          <w:t>195</w:t>
        </w:r>
        <w:r w:rsidR="00916B9A">
          <w:rPr>
            <w:noProof/>
            <w:webHidden/>
          </w:rPr>
          <w:fldChar w:fldCharType="end"/>
        </w:r>
      </w:hyperlink>
    </w:p>
    <w:p w14:paraId="154923D9" w14:textId="02FF2D1C"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96" w:history="1">
        <w:r w:rsidR="00916B9A" w:rsidRPr="00DE0EAC">
          <w:rPr>
            <w:rStyle w:val="Hyperlink"/>
            <w:noProof/>
          </w:rPr>
          <w:t>Figure 4.5 . Colonic and systemic levels of pro-inflammatory cytokines.</w:t>
        </w:r>
        <w:r w:rsidR="00916B9A">
          <w:rPr>
            <w:noProof/>
            <w:webHidden/>
          </w:rPr>
          <w:tab/>
        </w:r>
        <w:r w:rsidR="00916B9A">
          <w:rPr>
            <w:noProof/>
            <w:webHidden/>
          </w:rPr>
          <w:fldChar w:fldCharType="begin"/>
        </w:r>
        <w:r w:rsidR="00916B9A">
          <w:rPr>
            <w:noProof/>
            <w:webHidden/>
          </w:rPr>
          <w:instrText xml:space="preserve"> PAGEREF _Toc77082196 \h </w:instrText>
        </w:r>
        <w:r w:rsidR="00916B9A">
          <w:rPr>
            <w:noProof/>
            <w:webHidden/>
          </w:rPr>
        </w:r>
        <w:r w:rsidR="00916B9A">
          <w:rPr>
            <w:noProof/>
            <w:webHidden/>
          </w:rPr>
          <w:fldChar w:fldCharType="separate"/>
        </w:r>
        <w:r w:rsidR="009369AD">
          <w:rPr>
            <w:noProof/>
            <w:webHidden/>
          </w:rPr>
          <w:t>197</w:t>
        </w:r>
        <w:r w:rsidR="00916B9A">
          <w:rPr>
            <w:noProof/>
            <w:webHidden/>
          </w:rPr>
          <w:fldChar w:fldCharType="end"/>
        </w:r>
      </w:hyperlink>
    </w:p>
    <w:p w14:paraId="31F0F886" w14:textId="4527A8FA"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97" w:history="1">
        <w:r w:rsidR="00916B9A" w:rsidRPr="00DE0EAC">
          <w:rPr>
            <w:rStyle w:val="Hyperlink"/>
            <w:noProof/>
          </w:rPr>
          <w:t>Figure 4.6 Markers of epithelial integrity and apoptosis.</w:t>
        </w:r>
        <w:r w:rsidR="00916B9A">
          <w:rPr>
            <w:noProof/>
            <w:webHidden/>
          </w:rPr>
          <w:tab/>
        </w:r>
        <w:r w:rsidR="00916B9A">
          <w:rPr>
            <w:noProof/>
            <w:webHidden/>
          </w:rPr>
          <w:fldChar w:fldCharType="begin"/>
        </w:r>
        <w:r w:rsidR="00916B9A">
          <w:rPr>
            <w:noProof/>
            <w:webHidden/>
          </w:rPr>
          <w:instrText xml:space="preserve"> PAGEREF _Toc77082197 \h </w:instrText>
        </w:r>
        <w:r w:rsidR="00916B9A">
          <w:rPr>
            <w:noProof/>
            <w:webHidden/>
          </w:rPr>
        </w:r>
        <w:r w:rsidR="00916B9A">
          <w:rPr>
            <w:noProof/>
            <w:webHidden/>
          </w:rPr>
          <w:fldChar w:fldCharType="separate"/>
        </w:r>
        <w:r w:rsidR="009369AD">
          <w:rPr>
            <w:noProof/>
            <w:webHidden/>
          </w:rPr>
          <w:t>198</w:t>
        </w:r>
        <w:r w:rsidR="00916B9A">
          <w:rPr>
            <w:noProof/>
            <w:webHidden/>
          </w:rPr>
          <w:fldChar w:fldCharType="end"/>
        </w:r>
      </w:hyperlink>
    </w:p>
    <w:p w14:paraId="6FEF07A9" w14:textId="219A6D2C" w:rsidR="00D901F5" w:rsidRDefault="00387656" w:rsidP="009369AD">
      <w:pPr>
        <w:spacing w:line="480" w:lineRule="auto"/>
      </w:pPr>
      <w:r w:rsidRPr="008513A1">
        <w:rPr>
          <w:color w:val="FF0000"/>
        </w:rPr>
        <w:fldChar w:fldCharType="end"/>
      </w:r>
    </w:p>
    <w:p w14:paraId="4A10AD48" w14:textId="6032F4A9" w:rsidR="00916B9A" w:rsidRDefault="0021461A"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r>
        <w:fldChar w:fldCharType="begin"/>
      </w:r>
      <w:r>
        <w:instrText xml:space="preserve"> TOC \h \z \c "Supplementary Figure" </w:instrText>
      </w:r>
      <w:r>
        <w:fldChar w:fldCharType="separate"/>
      </w:r>
      <w:hyperlink w:anchor="_Toc77082198" w:history="1">
        <w:r w:rsidR="00916B9A" w:rsidRPr="006440DC">
          <w:rPr>
            <w:rStyle w:val="Hyperlink"/>
            <w:noProof/>
          </w:rPr>
          <w:t>Supplementary Figure 2.1 Potential anti-inflammatory activity of ethanol precipitate and commercially available lunasin containing products.</w:t>
        </w:r>
        <w:r w:rsidR="00916B9A">
          <w:rPr>
            <w:noProof/>
            <w:webHidden/>
          </w:rPr>
          <w:tab/>
        </w:r>
        <w:r w:rsidR="00916B9A">
          <w:rPr>
            <w:noProof/>
            <w:webHidden/>
          </w:rPr>
          <w:fldChar w:fldCharType="begin"/>
        </w:r>
        <w:r w:rsidR="00916B9A">
          <w:rPr>
            <w:noProof/>
            <w:webHidden/>
          </w:rPr>
          <w:instrText xml:space="preserve"> PAGEREF _Toc77082198 \h </w:instrText>
        </w:r>
        <w:r w:rsidR="00916B9A">
          <w:rPr>
            <w:noProof/>
            <w:webHidden/>
          </w:rPr>
        </w:r>
        <w:r w:rsidR="00916B9A">
          <w:rPr>
            <w:noProof/>
            <w:webHidden/>
          </w:rPr>
          <w:fldChar w:fldCharType="separate"/>
        </w:r>
        <w:r w:rsidR="009369AD">
          <w:rPr>
            <w:noProof/>
            <w:webHidden/>
          </w:rPr>
          <w:t>107</w:t>
        </w:r>
        <w:r w:rsidR="00916B9A">
          <w:rPr>
            <w:noProof/>
            <w:webHidden/>
          </w:rPr>
          <w:fldChar w:fldCharType="end"/>
        </w:r>
      </w:hyperlink>
    </w:p>
    <w:p w14:paraId="7CD46FA8" w14:textId="54D05C14"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199" w:history="1">
        <w:r w:rsidR="00916B9A" w:rsidRPr="006440DC">
          <w:rPr>
            <w:rStyle w:val="Hyperlink"/>
            <w:noProof/>
          </w:rPr>
          <w:t>Supplementary Figure 2.2 Characterization of chromatographic fractions with a significant content of lunasin.</w:t>
        </w:r>
        <w:r w:rsidR="00916B9A">
          <w:rPr>
            <w:noProof/>
            <w:webHidden/>
          </w:rPr>
          <w:tab/>
        </w:r>
        <w:r w:rsidR="00916B9A">
          <w:rPr>
            <w:noProof/>
            <w:webHidden/>
          </w:rPr>
          <w:fldChar w:fldCharType="begin"/>
        </w:r>
        <w:r w:rsidR="00916B9A">
          <w:rPr>
            <w:noProof/>
            <w:webHidden/>
          </w:rPr>
          <w:instrText xml:space="preserve"> PAGEREF _Toc77082199 \h </w:instrText>
        </w:r>
        <w:r w:rsidR="00916B9A">
          <w:rPr>
            <w:noProof/>
            <w:webHidden/>
          </w:rPr>
        </w:r>
        <w:r w:rsidR="00916B9A">
          <w:rPr>
            <w:noProof/>
            <w:webHidden/>
          </w:rPr>
          <w:fldChar w:fldCharType="separate"/>
        </w:r>
        <w:r w:rsidR="009369AD">
          <w:rPr>
            <w:noProof/>
            <w:webHidden/>
          </w:rPr>
          <w:t>109</w:t>
        </w:r>
        <w:r w:rsidR="00916B9A">
          <w:rPr>
            <w:noProof/>
            <w:webHidden/>
          </w:rPr>
          <w:fldChar w:fldCharType="end"/>
        </w:r>
      </w:hyperlink>
    </w:p>
    <w:p w14:paraId="7CCC6B53" w14:textId="5D612261" w:rsidR="00916B9A" w:rsidRDefault="005D04B4" w:rsidP="009369AD">
      <w:pPr>
        <w:pStyle w:val="TableofFigures"/>
        <w:tabs>
          <w:tab w:val="right" w:leader="dot" w:pos="8630"/>
        </w:tabs>
        <w:spacing w:line="480" w:lineRule="auto"/>
        <w:rPr>
          <w:rFonts w:asciiTheme="minorHAnsi" w:eastAsiaTheme="minorEastAsia" w:hAnsiTheme="minorHAnsi" w:cstheme="minorBidi"/>
          <w:noProof/>
          <w:sz w:val="22"/>
          <w:szCs w:val="22"/>
          <w:lang w:val="es-CO" w:eastAsia="es-CO"/>
        </w:rPr>
      </w:pPr>
      <w:hyperlink w:anchor="_Toc77082200" w:history="1">
        <w:r w:rsidR="00916B9A" w:rsidRPr="006440DC">
          <w:rPr>
            <w:rStyle w:val="Hyperlink"/>
            <w:noProof/>
          </w:rPr>
          <w:t>Supplementary Figure 2.3 Corroboration of lunasin identity using antibodies against different fractions of the peptide.</w:t>
        </w:r>
        <w:r w:rsidR="00916B9A">
          <w:rPr>
            <w:noProof/>
            <w:webHidden/>
          </w:rPr>
          <w:tab/>
        </w:r>
        <w:r w:rsidR="00916B9A">
          <w:rPr>
            <w:noProof/>
            <w:webHidden/>
          </w:rPr>
          <w:fldChar w:fldCharType="begin"/>
        </w:r>
        <w:r w:rsidR="00916B9A">
          <w:rPr>
            <w:noProof/>
            <w:webHidden/>
          </w:rPr>
          <w:instrText xml:space="preserve"> PAGEREF _Toc77082200 \h </w:instrText>
        </w:r>
        <w:r w:rsidR="00916B9A">
          <w:rPr>
            <w:noProof/>
            <w:webHidden/>
          </w:rPr>
        </w:r>
        <w:r w:rsidR="00916B9A">
          <w:rPr>
            <w:noProof/>
            <w:webHidden/>
          </w:rPr>
          <w:fldChar w:fldCharType="separate"/>
        </w:r>
        <w:r w:rsidR="009369AD">
          <w:rPr>
            <w:noProof/>
            <w:webHidden/>
          </w:rPr>
          <w:t>111</w:t>
        </w:r>
        <w:r w:rsidR="00916B9A">
          <w:rPr>
            <w:noProof/>
            <w:webHidden/>
          </w:rPr>
          <w:fldChar w:fldCharType="end"/>
        </w:r>
      </w:hyperlink>
    </w:p>
    <w:p w14:paraId="563CAF7B" w14:textId="493E538D" w:rsidR="0021461A" w:rsidRDefault="0021461A" w:rsidP="009369AD">
      <w:pPr>
        <w:spacing w:line="480" w:lineRule="auto"/>
        <w:sectPr w:rsidR="0021461A" w:rsidSect="0012507D">
          <w:headerReference w:type="even" r:id="rId11"/>
          <w:headerReference w:type="default" r:id="rId12"/>
          <w:footerReference w:type="even" r:id="rId13"/>
          <w:footerReference w:type="default" r:id="rId14"/>
          <w:headerReference w:type="first" r:id="rId15"/>
          <w:footerReference w:type="first" r:id="rId16"/>
          <w:pgSz w:w="12240" w:h="15840" w:code="1"/>
          <w:pgMar w:top="1440" w:right="1800" w:bottom="1872" w:left="1800" w:header="720" w:footer="1440" w:gutter="0"/>
          <w:pgNumType w:fmt="lowerRoman" w:start="1"/>
          <w:cols w:space="720"/>
          <w:noEndnote/>
          <w:titlePg/>
        </w:sectPr>
      </w:pPr>
      <w:r>
        <w:fldChar w:fldCharType="end"/>
      </w:r>
    </w:p>
    <w:p w14:paraId="7124F67E" w14:textId="12A08293" w:rsidR="00D901F5" w:rsidRDefault="00D901F5" w:rsidP="003769D4">
      <w:pPr>
        <w:pStyle w:val="Heading1"/>
        <w:numPr>
          <w:ilvl w:val="0"/>
          <w:numId w:val="10"/>
        </w:numPr>
      </w:pPr>
      <w:bookmarkStart w:id="0" w:name="_Toc77082085"/>
      <w:bookmarkStart w:id="1" w:name="_Toc289175825"/>
      <w:r>
        <w:lastRenderedPageBreak/>
        <w:t>INTRODUCTION</w:t>
      </w:r>
      <w:bookmarkEnd w:id="0"/>
    </w:p>
    <w:p w14:paraId="321146CC" w14:textId="77777777" w:rsidR="00D901F5" w:rsidRDefault="00D901F5">
      <w:pPr>
        <w:sectPr w:rsidR="00D901F5" w:rsidSect="00D901F5">
          <w:pgSz w:w="12240" w:h="15840" w:code="1"/>
          <w:pgMar w:top="1440" w:right="1800" w:bottom="1872" w:left="1800" w:header="720" w:footer="1440" w:gutter="0"/>
          <w:pgNumType w:start="1"/>
          <w:cols w:space="720"/>
          <w:vAlign w:val="center"/>
          <w:noEndnote/>
          <w:docGrid w:linePitch="360"/>
        </w:sectPr>
      </w:pPr>
      <w:r>
        <w:br w:type="page"/>
      </w:r>
    </w:p>
    <w:p w14:paraId="5BD5BFDF" w14:textId="77777777" w:rsidR="00943C22" w:rsidRDefault="00943C22" w:rsidP="00DD0AC8">
      <w:pPr>
        <w:pStyle w:val="Heading2"/>
        <w:numPr>
          <w:ilvl w:val="1"/>
          <w:numId w:val="1"/>
        </w:numPr>
        <w:spacing w:line="480" w:lineRule="auto"/>
      </w:pPr>
      <w:bookmarkStart w:id="2" w:name="_Toc77082086"/>
      <w:bookmarkEnd w:id="1"/>
      <w:r w:rsidRPr="00943C22">
        <w:lastRenderedPageBreak/>
        <w:t>Abstract</w:t>
      </w:r>
      <w:bookmarkEnd w:id="2"/>
    </w:p>
    <w:p w14:paraId="463A21B7" w14:textId="1743B9FD" w:rsidR="00943C22" w:rsidRDefault="00943C22" w:rsidP="00DD0AC8">
      <w:pPr>
        <w:spacing w:line="480" w:lineRule="auto"/>
        <w:ind w:firstLine="360"/>
        <w:rPr>
          <w:bCs/>
          <w:color w:val="000000" w:themeColor="text1"/>
        </w:rPr>
      </w:pPr>
      <w:r>
        <w:rPr>
          <w:bCs/>
          <w:color w:val="000000" w:themeColor="text1"/>
        </w:rPr>
        <w:t xml:space="preserve">Inflammatory bowel disease (IBD) is a debilitating health condition that can lead to detrimental and life-threatening consequences. Genetic susceptibility, environmental conditions, a compromised intestinal epithelial barrier, and dysregulation of the intestinal microbiota, are all risk factors that contribute to the impairment of intestinal homeostasis. When this happens, the immune system is triggered, and cytokines come into play to drive the initiation and control progression and maintenance of a state of chronic inflammation in the bowel. Diet has been suggested as one of the main factors contributing to IBD, with bioactive compounds from plant-based foods </w:t>
      </w:r>
      <w:r w:rsidR="008C2042">
        <w:rPr>
          <w:bCs/>
          <w:color w:val="000000" w:themeColor="text1"/>
        </w:rPr>
        <w:t xml:space="preserve">potentially </w:t>
      </w:r>
      <w:r>
        <w:rPr>
          <w:bCs/>
          <w:color w:val="000000" w:themeColor="text1"/>
        </w:rPr>
        <w:t xml:space="preserve">providing a protective effect. The widely recognized bioactive properties of the soybean peptide lunasin, make it a </w:t>
      </w:r>
      <w:r w:rsidR="00573064">
        <w:rPr>
          <w:bCs/>
          <w:color w:val="000000" w:themeColor="text1"/>
        </w:rPr>
        <w:t xml:space="preserve">potential </w:t>
      </w:r>
      <w:r>
        <w:rPr>
          <w:bCs/>
          <w:color w:val="000000" w:themeColor="text1"/>
        </w:rPr>
        <w:t>candidate for the management of inflammation-related diseases. However, lunasin research has been focused on extraintestinal conditions, and to date the knowledge about the interaction of lunasin with the gastrointestinal tract is incipient. Therefore, studying the biological activity of lunasin in the bowel, and particularly in the context of inflammation, is essential to identify its potential utilization for the management of bowel-inflammation related diseases.</w:t>
      </w:r>
    </w:p>
    <w:p w14:paraId="1F1D3BB8" w14:textId="6BFD7BAC" w:rsidR="00DD0AC8" w:rsidRDefault="00DD0AC8" w:rsidP="00DD0AC8">
      <w:pPr>
        <w:spacing w:line="480" w:lineRule="auto"/>
        <w:ind w:firstLine="360"/>
        <w:rPr>
          <w:bCs/>
          <w:color w:val="000000" w:themeColor="text1"/>
        </w:rPr>
      </w:pPr>
    </w:p>
    <w:p w14:paraId="767E6786" w14:textId="77777777" w:rsidR="00DD0AC8" w:rsidRDefault="00DD0AC8" w:rsidP="00DD0AC8">
      <w:pPr>
        <w:spacing w:line="480" w:lineRule="auto"/>
        <w:ind w:firstLine="360"/>
        <w:rPr>
          <w:bCs/>
          <w:color w:val="000000" w:themeColor="text1"/>
        </w:rPr>
      </w:pPr>
    </w:p>
    <w:p w14:paraId="3F2C4EC9" w14:textId="77777777" w:rsidR="00943C22" w:rsidRDefault="00943C22" w:rsidP="00DD0AC8">
      <w:pPr>
        <w:pStyle w:val="Heading2"/>
        <w:numPr>
          <w:ilvl w:val="1"/>
          <w:numId w:val="1"/>
        </w:numPr>
        <w:spacing w:line="480" w:lineRule="auto"/>
      </w:pPr>
      <w:bookmarkStart w:id="3" w:name="_Toc77082087"/>
      <w:r w:rsidRPr="00943C22">
        <w:lastRenderedPageBreak/>
        <w:t>Literature Review</w:t>
      </w:r>
      <w:bookmarkEnd w:id="3"/>
    </w:p>
    <w:p w14:paraId="03B6BA55" w14:textId="748C5A75" w:rsidR="00DD0AC8" w:rsidRDefault="00943C22" w:rsidP="001311E7">
      <w:pPr>
        <w:spacing w:line="480" w:lineRule="auto"/>
        <w:ind w:firstLine="480"/>
      </w:pPr>
      <w:r>
        <w:t>Exposure to potentially harmful elements is inherent to the interaction with the environment around us. Inflammation, when properly regulated and resolved, is one of the most efficient mechanisms of defense that our body has developed to ensure our survival and maintain our integrity. However, when inflammation is subnormal, excessive, or fails to resolve,</w:t>
      </w:r>
      <w:r w:rsidR="00023F48">
        <w:t xml:space="preserve"> it</w:t>
      </w:r>
      <w:r>
        <w:t xml:space="preserve"> becomes harmful to the host and results in negative consequences.  Non-resolved inflammation is currently considered a major driver of diseases and has directly been linked to diverse chronic conditions such as asthma, atherosclerosis, neurodegenerative diseases, rheumatoid arthritis, obesity, IBD, and cancer </w:t>
      </w:r>
      <w:r>
        <w:rPr>
          <w:lang w:val="es-CO"/>
        </w:rPr>
        <w:fldChar w:fldCharType="begin" w:fldLock="1"/>
      </w:r>
      <w:r w:rsidR="006465A0">
        <w:instrText>ADDIN CSL_CITATION {"citationItems":[{"id":"ITEM-1","itemData":{"DOI":"10.1016/j.cell.2010.02.029","ISSN":"00928674","PMID":"20303877","abstract":"Nonresolving inflammation is a major driver of disease. Perpetuation of inflammation is an inherent risk because inflammation can damage tissue and necrosis can provoke inflammation. Nonetheless, multiple mechanisms normally ensure resolution. Cells like macrophages switch phenotypes, secreted molecules like reactive oxygen intermediates switch impact from pro- to anti-inflammatory, and additional mediators of resolution arise, including proteins, lipids, and gasses. Aside from persistence of initiating stimuli, nonresolution may result from deficiencies in these mechanisms when an inflammatory response begins either excessively or subnormally. This greatly complicates the development of anti-inflammatory therapies. The problem calls for conceptual, organizational, and statistical innovations. © 2010 Elsevier Inc.","author":[{"dropping-particle":"","family":"Nathan","given":"Carl","non-dropping-particle":"","parse-names":false,"suffix":""},{"dropping-particle":"","family":"Ding","given":"Aihao","non-dropping-particle":"","parse-names":false,"suffix":""}],"container-title":"Cell","id":"ITEM-1","issue":"6","issued":{"date-parts":[["2010","3","19"]]},"page":"871-882","publisher":"Elsevier B.V.","title":"Nonresolving Inflammation","type":"article","volume":"140"},"uris":["http://www.mendeley.com/documents/?uuid=9feb9c0e-b70a-4934-bf30-668a1e2ebb83"]}],"mendeley":{"formattedCitation":"[1]","plainTextFormattedCitation":"[1]","previouslyFormattedCitation":"[1]"},"properties":{"noteIndex":0},"schema":"https://github.com/citation-style-language/schema/raw/master/csl-citation.json"}</w:instrText>
      </w:r>
      <w:r>
        <w:rPr>
          <w:lang w:val="es-CO"/>
        </w:rPr>
        <w:fldChar w:fldCharType="separate"/>
      </w:r>
      <w:r w:rsidR="00BA0E53" w:rsidRPr="00BA0E53">
        <w:rPr>
          <w:noProof/>
        </w:rPr>
        <w:t>[1]</w:t>
      </w:r>
      <w:r>
        <w:rPr>
          <w:lang w:val="es-CO"/>
        </w:rPr>
        <w:fldChar w:fldCharType="end"/>
      </w:r>
      <w:r>
        <w:t>.</w:t>
      </w:r>
    </w:p>
    <w:p w14:paraId="73D48B39" w14:textId="77777777" w:rsidR="00943C22" w:rsidRPr="00943C22" w:rsidRDefault="00943C22" w:rsidP="001311E7">
      <w:pPr>
        <w:pStyle w:val="Heading3"/>
        <w:spacing w:before="0" w:after="0" w:line="480" w:lineRule="auto"/>
        <w:rPr>
          <w:i w:val="0"/>
        </w:rPr>
      </w:pPr>
      <w:bookmarkStart w:id="4" w:name="_Toc77082088"/>
      <w:r>
        <w:rPr>
          <w:i w:val="0"/>
        </w:rPr>
        <w:t xml:space="preserve">1.2.1 </w:t>
      </w:r>
      <w:r w:rsidR="00394029">
        <w:rPr>
          <w:i w:val="0"/>
        </w:rPr>
        <w:t>The gastrointestinal tract and i</w:t>
      </w:r>
      <w:r w:rsidRPr="00943C22">
        <w:rPr>
          <w:i w:val="0"/>
        </w:rPr>
        <w:t>nflammatory bowel disease</w:t>
      </w:r>
      <w:bookmarkEnd w:id="4"/>
    </w:p>
    <w:p w14:paraId="33A07C9B" w14:textId="7A86DD33" w:rsidR="00943C22" w:rsidRDefault="00943C22" w:rsidP="00DD0AC8">
      <w:pPr>
        <w:spacing w:line="480" w:lineRule="auto"/>
        <w:ind w:firstLine="720"/>
        <w:rPr>
          <w:color w:val="000000" w:themeColor="text1"/>
        </w:rPr>
      </w:pPr>
      <w:r>
        <w:rPr>
          <w:color w:val="000000" w:themeColor="text1"/>
        </w:rPr>
        <w:t>The gastrointestinal tract (GI</w:t>
      </w:r>
      <w:r w:rsidR="00023F48">
        <w:rPr>
          <w:color w:val="000000" w:themeColor="text1"/>
        </w:rPr>
        <w:t>T</w:t>
      </w:r>
      <w:r>
        <w:rPr>
          <w:color w:val="000000" w:themeColor="text1"/>
        </w:rPr>
        <w:t>) is one of the most complex entities in the human body. In the GI</w:t>
      </w:r>
      <w:r w:rsidR="00023F48">
        <w:rPr>
          <w:color w:val="000000" w:themeColor="text1"/>
        </w:rPr>
        <w:t>T</w:t>
      </w:r>
      <w:r>
        <w:rPr>
          <w:color w:val="000000" w:themeColor="text1"/>
        </w:rPr>
        <w:t xml:space="preserve">, the symbiotic relationship between the intestinal epithelium and a wide diversity of commensal microbiota orchestrate the processes required for nutrition, mediating the breakdown of food components, the selective absorption of nutrients, and the exclusion of waste and harmful compounds from the body </w:t>
      </w:r>
      <w:r>
        <w:rPr>
          <w:color w:val="000000" w:themeColor="text1"/>
        </w:rPr>
        <w:fldChar w:fldCharType="begin" w:fldLock="1"/>
      </w:r>
      <w:r w:rsidR="006465A0">
        <w:rPr>
          <w:color w:val="000000" w:themeColor="text1"/>
        </w:rPr>
        <w:instrText>ADDIN CSL_CITATION {"citationItems":[{"id":"ITEM-1","itemData":{"DOI":"10.1093/ecco-jcc/jjaa033","ISBN":"033/5748295","abstract":"These authors made equal contributions. Abstract Crohn's disease [CD] and ulcerative colitis [UC] are the two main forms of inflammatory bowel disease [IBD]. Previous studies reported increased levels of proteolytic activity in stool and tissue samples from IBD patients, whereas the re-establishment of the proteolytic balance abrogates the development of experimental colitis. Furthermore, recent data suggest that IBD occurs in genetically predisposed individuals who develop an abnormal immune response to intestinal microbes once exposed to environmental triggers. In this review, we highlight the role of proteases in IBD pathophysiology, and we showcase how the main cellular pathways associated with IBD influence proteolytic unbalance and how functional proteomics are allowing the unambiguous identification of dysregulated proteases in IBD, paving the way to the development of new protease inhibitors as a new potential treatment.","author":[{"dropping-particle":"","family":"Tapias","given":"Núria Solà","non-dropping-particle":"","parse-names":false,"suffix":""},{"dropping-particle":"","family":"Vergnolle","given":"Nathalie","non-dropping-particle":"","parse-names":false,"suffix":""},{"dropping-particle":"","family":"Denadai-Souza","given":"Alexandre","non-dropping-particle":"","parse-names":false,"suffix":""},{"dropping-particle":"","family":"Barreau","given":"Frédérick","non-dropping-particle":"","parse-names":false,"suffix":""}],"container-title":"Journal of Crohn's and Colitis","id":"ITEM-1","issued":{"date-parts":[["2020"]]},"page":"1-13","title":"The Interplay Between Genetic Risk Factors and Proteolytic Dysregulation in the Pathophysiology of Inflammatory Bowel Disease","type":"article-journal","volume":"2020"},"uris":["http://www.mendeley.com/documents/?uuid=ef393907-c70d-333b-99bd-b34281cadf7f"]}],"mendeley":{"formattedCitation":"[2]","plainTextFormattedCitation":"[2]","previouslyFormattedCitation":"[2]"},"properties":{"noteIndex":0},"schema":"https://github.com/citation-style-language/schema/raw/master/csl-citation.json"}</w:instrText>
      </w:r>
      <w:r>
        <w:rPr>
          <w:color w:val="000000" w:themeColor="text1"/>
        </w:rPr>
        <w:fldChar w:fldCharType="separate"/>
      </w:r>
      <w:r w:rsidR="00BA0E53" w:rsidRPr="00BA0E53">
        <w:rPr>
          <w:noProof/>
          <w:color w:val="000000" w:themeColor="text1"/>
        </w:rPr>
        <w:t>[2]</w:t>
      </w:r>
      <w:r>
        <w:rPr>
          <w:color w:val="000000" w:themeColor="text1"/>
        </w:rPr>
        <w:fldChar w:fldCharType="end"/>
      </w:r>
      <w:r>
        <w:rPr>
          <w:color w:val="000000" w:themeColor="text1"/>
        </w:rPr>
        <w:t>. With about 5 meters in length and  32</w:t>
      </w:r>
      <w:r w:rsidR="00023F48">
        <w:rPr>
          <w:color w:val="000000" w:themeColor="text1"/>
        </w:rPr>
        <w:t xml:space="preserve"> </w:t>
      </w:r>
      <w:r>
        <w:rPr>
          <w:color w:val="000000" w:themeColor="text1"/>
        </w:rPr>
        <w:t>m</w:t>
      </w:r>
      <w:r>
        <w:rPr>
          <w:color w:val="000000" w:themeColor="text1"/>
          <w:vertAlign w:val="superscript"/>
        </w:rPr>
        <w:t>2</w:t>
      </w:r>
      <w:r>
        <w:rPr>
          <w:color w:val="000000" w:themeColor="text1"/>
        </w:rPr>
        <w:t xml:space="preserve"> surface area </w:t>
      </w:r>
      <w:r>
        <w:rPr>
          <w:color w:val="000000" w:themeColor="text1"/>
          <w:lang w:val="es-CO"/>
        </w:rPr>
        <w:fldChar w:fldCharType="begin" w:fldLock="1"/>
      </w:r>
      <w:r w:rsidR="006465A0">
        <w:rPr>
          <w:color w:val="000000" w:themeColor="text1"/>
        </w:rPr>
        <w:instrText xml:space="preserve">ADDIN CSL_CITATION {"citationItems":[{"id":"ITEM-1","itemData":{"DOI":"10.3109/00365521.2014.898326","ISSN":"15027708","PMID":"24694282","abstract":"Background. According to textbooks, the human gut mucosa measures 260-300 m2, that is, in the order of a tennis court. However, the quantitative data are incomplete and sometimes conflicting. Objectives. To review the literature regarding the mucosal surface area of the human digestive tract; to collect morphometric data from the parts of the gut where such data are missing; and to recalculate the mucosal surface area of the intestine in man. Methods. With focus on the intestine, we carried out morphometry by light and electron microscopy on biopsies from healthy adult volunteers or patients with endoscopically normal mucosae. Results. Literature review of intubation or radiological methods indicates an oroanal length of </w:instrText>
      </w:r>
      <w:r w:rsidR="006465A0">
        <w:rPr>
          <w:rFonts w:ascii="Cambria Math" w:hAnsi="Cambria Math" w:cs="Cambria Math"/>
          <w:color w:val="000000" w:themeColor="text1"/>
        </w:rPr>
        <w:instrText>∼</w:instrText>
      </w:r>
      <w:r w:rsidR="006465A0">
        <w:rPr>
          <w:color w:val="000000" w:themeColor="text1"/>
        </w:rPr>
        <w:instrText xml:space="preserve">5 m, two-third of which refers to the small intestine. However, there is a considerable variation between individuals. The inner diameter of the small intestine averages 2.5 cm and that of the large intestine averages 4.8 cm. The mucosa of the small intestine is enlarged </w:instrText>
      </w:r>
      <w:r w:rsidR="006465A0">
        <w:rPr>
          <w:rFonts w:ascii="Cambria Math" w:hAnsi="Cambria Math" w:cs="Cambria Math"/>
          <w:color w:val="000000" w:themeColor="text1"/>
        </w:rPr>
        <w:instrText>∼</w:instrText>
      </w:r>
      <w:r w:rsidR="006465A0">
        <w:rPr>
          <w:color w:val="000000" w:themeColor="text1"/>
        </w:rPr>
        <w:instrText xml:space="preserve">1.6 times by the plicae circulares. Morphometric data obtained by light and electron microscopy of biopsies demonstrate that villi and microvilli together amplify the small intestinal surface area by 60-120 times. Surface amplification due to microvilli in the colon is </w:instrText>
      </w:r>
      <w:r w:rsidR="006465A0">
        <w:rPr>
          <w:rFonts w:ascii="Cambria Math" w:hAnsi="Cambria Math" w:cs="Cambria Math"/>
          <w:color w:val="000000" w:themeColor="text1"/>
        </w:rPr>
        <w:instrText>∼</w:instrText>
      </w:r>
      <w:r w:rsidR="006465A0">
        <w:rPr>
          <w:color w:val="000000" w:themeColor="text1"/>
        </w:rPr>
        <w:instrText xml:space="preserve">6.5 times. The mean total mucosal surface of the digestive tract interior averages </w:instrText>
      </w:r>
      <w:r w:rsidR="006465A0">
        <w:rPr>
          <w:rFonts w:ascii="Cambria Math" w:hAnsi="Cambria Math" w:cs="Cambria Math"/>
          <w:color w:val="000000" w:themeColor="text1"/>
        </w:rPr>
        <w:instrText>∼</w:instrText>
      </w:r>
      <w:r w:rsidR="006465A0">
        <w:rPr>
          <w:color w:val="000000" w:themeColor="text1"/>
        </w:rPr>
        <w:instrText>32 m2, of which about 2 m2 refers to the large intestine. Conclusion. The total area of the human adult gut mucosa is not in the order of tennis lawn, rather is that of half a badminton court. © 2014 Informa Healthcare.","author":[{"dropping-particle":"","family":"Helander","given":"Herbert F.","non-dropping-particle":"","parse-names":false,"suffix":""},{"dropping-particle":"","family":"Fändriks","given":"Lars","non-dropping-particle":"","parse-names":false,"suffix":""}],"container-title":"Scandinavian Journal of Gastroenterology","id":"ITEM-1","issue":"6","issued":{"date-parts":[["2014"]]},"page":"681-689","publisher":"Informa Healthcare","title":"Surface area of the digestive tract-revisited","type":"article-journal","volume":"49"},"uris":["http://www.mendeley.com/documents/?uuid=a0119a49-f22c-38dc-803c-90d34446de19"]}],"mendeley":{"formattedCitation":"[3]","plainTextFormattedCitation":"[3]","previouslyFormattedCitation":"[3]"},"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[3]</w:t>
      </w:r>
      <w:r>
        <w:rPr>
          <w:color w:val="000000" w:themeColor="text1"/>
          <w:lang w:val="es-CO"/>
        </w:rPr>
        <w:fldChar w:fldCharType="end"/>
      </w:r>
      <w:r>
        <w:rPr>
          <w:color w:val="000000" w:themeColor="text1"/>
        </w:rPr>
        <w:t>, the GI</w:t>
      </w:r>
      <w:r w:rsidR="00023F48">
        <w:rPr>
          <w:color w:val="000000" w:themeColor="text1"/>
        </w:rPr>
        <w:t>T</w:t>
      </w:r>
      <w:r>
        <w:rPr>
          <w:color w:val="000000" w:themeColor="text1"/>
        </w:rPr>
        <w:t xml:space="preserve"> provides one of the largest interfaces between our body and the external environment. A thick layer of mucus, secretory immunoglobulins, enzymes, and antimicrobial peptides, among other components, contribute to the physical barrier created by the intestinal epithelium, and in conjunction with the immune system, regulate the safe interaction with the microbiota and the </w:t>
      </w:r>
      <w:r>
        <w:rPr>
          <w:color w:val="000000" w:themeColor="text1"/>
        </w:rPr>
        <w:lastRenderedPageBreak/>
        <w:t xml:space="preserve">components in the luminal content </w:t>
      </w:r>
      <w:r>
        <w:rPr>
          <w:color w:val="000000" w:themeColor="text1"/>
        </w:rPr>
        <w:fldChar w:fldCharType="begin" w:fldLock="1"/>
      </w:r>
      <w:r w:rsidR="006465A0">
        <w:rPr>
          <w:color w:val="000000" w:themeColor="text1"/>
        </w:rPr>
        <w:instrText>ADDIN CSL_CITATION {"citationItems":[{"id":"ITEM-1","itemData":{"DOI":"10.1093/ecco-jcc/jjaa033","ISBN":"033/5748295","abstract":"These authors made equal contributions. Abstract Crohn's disease [CD] and ulcerative colitis [UC] are the two main forms of inflammatory bowel disease [IBD]. Previous studies reported increased levels of proteolytic activity in stool and tissue samples from IBD patients, whereas the re-establishment of the proteolytic balance abrogates the development of experimental colitis. Furthermore, recent data suggest that IBD occurs in genetically predisposed individuals who develop an abnormal immune response to intestinal microbes once exposed to environmental triggers. In this review, we highlight the role of proteases in IBD pathophysiology, and we showcase how the main cellular pathways associated with IBD influence proteolytic unbalance and how functional proteomics are allowing the unambiguous identification of dysregulated proteases in IBD, paving the way to the development of new protease inhibitors as a new potential treatment.","author":[{"dropping-particle":"","family":"Tapias","given":"Núria Solà","non-dropping-particle":"","parse-names":false,"suffix":""},{"dropping-particle":"","family":"Vergnolle","given":"Nathalie","non-dropping-particle":"","parse-names":false,"suffix":""},{"dropping-particle":"","family":"Denadai-Souza","given":"Alexandre","non-dropping-particle":"","parse-names":false,"suffix":""},{"dropping-particle":"","family":"Barreau","given":"Frédérick","non-dropping-particle":"","parse-names":false,"suffix":""}],"container-title":"Journal of Crohn's and Colitis","id":"ITEM-1","issued":{"date-parts":[["2020"]]},"page":"1-13","title":"The Interplay Between Genetic Risk Factors and Proteolytic Dysregulation in the Pathophysiology of Inflammatory Bowel Disease","type":"article-journal","volume":"2020"},"uris":["http://www.mendeley.com/documents/?uuid=ef393907-c70d-333b-99bd-b34281cadf7f"]}],"mendeley":{"formattedCitation":"[2]","plainTextFormattedCitation":"[2]","previouslyFormattedCitation":"[2]"},"properties":{"noteIndex":0},"schema":"https://github.com/citation-style-language/schema/raw/master/csl-citation.json"}</w:instrText>
      </w:r>
      <w:r>
        <w:rPr>
          <w:color w:val="000000" w:themeColor="text1"/>
        </w:rPr>
        <w:fldChar w:fldCharType="separate"/>
      </w:r>
      <w:r w:rsidR="00BA0E53" w:rsidRPr="00BA0E53">
        <w:rPr>
          <w:noProof/>
          <w:color w:val="000000" w:themeColor="text1"/>
        </w:rPr>
        <w:t>[2]</w:t>
      </w:r>
      <w:r>
        <w:rPr>
          <w:color w:val="000000" w:themeColor="text1"/>
        </w:rPr>
        <w:fldChar w:fldCharType="end"/>
      </w:r>
      <w:r>
        <w:rPr>
          <w:color w:val="000000" w:themeColor="text1"/>
        </w:rPr>
        <w:t xml:space="preserve">. While in healthy individuals anti-inflammatory mechanisms prevent spontaneous inflammation and contribute to the resolution of episodes of acute inflammation, facilitating intestinal homeostasis, </w:t>
      </w:r>
      <w:r w:rsidR="00D11D0D">
        <w:rPr>
          <w:color w:val="000000" w:themeColor="text1"/>
        </w:rPr>
        <w:t xml:space="preserve">dietary and environmental </w:t>
      </w:r>
      <w:r>
        <w:rPr>
          <w:color w:val="000000" w:themeColor="text1"/>
        </w:rPr>
        <w:t xml:space="preserve">factors leading to persistent inflammatory stimuli, abnormal immune response, and inappropriate anti-inflammatory regulation, contribute to the initiation and maintenance of non-resolved inflammation </w:t>
      </w:r>
      <w:r>
        <w:rPr>
          <w:color w:val="000000" w:themeColor="text1"/>
          <w:lang w:val="es-CO"/>
        </w:rPr>
        <w:fldChar w:fldCharType="begin" w:fldLock="1"/>
      </w:r>
      <w:r w:rsidR="006465A0">
        <w:rPr>
          <w:color w:val="000000" w:themeColor="text1"/>
        </w:rPr>
        <w:instrText>ADDIN CSL_CITATION {"citationItems":[{"id":"ITEM-1","itemData":{"DOI":"10.1016/j.cell.2010.02.029","ISSN":"00928674","PMID":"20303877","abstract":"Nonresolving inflammation is a major driver of disease. Perpetuation of inflammation is an inherent risk because inflammation can damage tissue and necrosis can provoke inflammation. Nonetheless, multiple mechanisms normally ensure resolution. Cells like macrophages switch phenotypes, secreted molecules like reactive oxygen intermediates switch impact from pro- to anti-inflammatory, and additional mediators of resolution arise, including proteins, lipids, and gasses. Aside from persistence of initiating stimuli, nonresolution may result from deficiencies in these mechanisms when an inflammatory response begins either excessively or subnormally. This greatly complicates the development of anti-inflammatory therapies. The problem calls for conceptual, organizational, and statistical innovations. © 2010 Elsevier Inc.","author":[{"dropping-particle":"","family":"Nathan","given":"Carl","non-dropping-particle":"","parse-names":false,"suffix":""},{"dropping-particle":"","family":"Ding","given":"Aihao","non-dropping-particle":"","parse-names":false,"suffix":""}],"container-title":"Cell","id":"ITEM-1","issue":"6","issued":{"date-parts":[["2010","3","19"]]},"page":"871-882","publisher":"Elsevier B.V.","title":"Nonresolving Inflammation","type":"article","volume":"140"},"uris":["http://www.mendeley.com/documents/?uuid=9feb9c0e-b70a-4934-bf30-668a1e2ebb83"]}],"mendeley":{"formattedCitation":"[1]","plainTextFormattedCitation":"[1]","previouslyFormattedCitation":"[1]"},"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[1]</w:t>
      </w:r>
      <w:r>
        <w:rPr>
          <w:color w:val="000000" w:themeColor="text1"/>
          <w:lang w:val="es-CO"/>
        </w:rPr>
        <w:fldChar w:fldCharType="end"/>
      </w:r>
      <w:r>
        <w:rPr>
          <w:color w:val="000000" w:themeColor="text1"/>
        </w:rPr>
        <w:t>.</w:t>
      </w:r>
    </w:p>
    <w:p w14:paraId="58B65A5E" w14:textId="0408CB53" w:rsidR="00943C22" w:rsidRDefault="00943C22" w:rsidP="00DD0AC8">
      <w:pPr>
        <w:spacing w:line="480" w:lineRule="auto"/>
        <w:ind w:firstLine="720"/>
        <w:rPr>
          <w:color w:val="000000" w:themeColor="text1"/>
        </w:rPr>
      </w:pPr>
      <w:r>
        <w:rPr>
          <w:color w:val="000000" w:themeColor="text1"/>
        </w:rPr>
        <w:t xml:space="preserve">IBD is a debilitating condition of chronic inflammation of the gastrointestinal mucosa </w:t>
      </w:r>
      <w:r>
        <w:rPr>
          <w:color w:val="000000" w:themeColor="text1"/>
        </w:rPr>
        <w:fldChar w:fldCharType="begin" w:fldLock="1"/>
      </w:r>
      <w:r w:rsidR="006465A0">
        <w:rPr>
          <w:color w:val="000000" w:themeColor="text1"/>
        </w:rPr>
        <w:instrText>ADDIN CSL_CITATION {"citationItems":[{"id":"ITEM-1","itemData":{"author":[{"dropping-particle":"","family":"Crohn's and Colitis Foundation of America","given":"","non-dropping-particle":"","parse-names":false,"suffix":""}],"container-title":"The facts about inflammatory bowel diseases","id":"ITEM-1","issued":{"date-parts":[["2014"]]},"page":"1 - 24","title":"Crohn's and Colitis Foundation","type":"webpage"},"uris":["http://www.mendeley.com/documents/?uuid=78db2156-04ee-40a8-bd24-620a51060139"]}],"mendeley":{"formattedCitation":"[4]","plainTextFormattedCitation":"[4]","previouslyFormattedCitation":"[4]"},"properties":{"noteIndex":0},"schema":"https://github.com/citation-style-language/schema/raw/master/csl-citation.json"}</w:instrText>
      </w:r>
      <w:r>
        <w:rPr>
          <w:color w:val="000000" w:themeColor="text1"/>
        </w:rPr>
        <w:fldChar w:fldCharType="separate"/>
      </w:r>
      <w:r w:rsidR="00BA0E53" w:rsidRPr="00BA0E53">
        <w:rPr>
          <w:noProof/>
          <w:color w:val="000000" w:themeColor="text1"/>
        </w:rPr>
        <w:t>[4]</w:t>
      </w:r>
      <w:r>
        <w:rPr>
          <w:color w:val="000000" w:themeColor="text1"/>
        </w:rPr>
        <w:fldChar w:fldCharType="end"/>
      </w:r>
      <w:r>
        <w:rPr>
          <w:color w:val="000000" w:themeColor="text1"/>
        </w:rPr>
        <w:t>, that no</w:t>
      </w:r>
      <w:r w:rsidR="00023F48">
        <w:rPr>
          <w:color w:val="000000" w:themeColor="text1"/>
        </w:rPr>
        <w:t>t</w:t>
      </w:r>
      <w:r>
        <w:rPr>
          <w:color w:val="000000" w:themeColor="text1"/>
        </w:rPr>
        <w:t xml:space="preserve"> only affects the well-being and impairs the quality of life of the patients, but can lead to life-threatening conditions such as bowel perforation, toxic megacolon, and cancer </w:t>
      </w:r>
      <w:r>
        <w:rPr>
          <w:color w:val="000000" w:themeColor="text1"/>
        </w:rPr>
        <w:fldChar w:fldCharType="begin" w:fldLock="1"/>
      </w:r>
      <w:r w:rsidR="006465A0">
        <w:rPr>
          <w:color w:val="000000" w:themeColor="text1"/>
        </w:rPr>
        <w:instrText>ADDIN CSL_CITATION {"citationItems":[{"id":"ITEM-1","itemData":{"DOI":"10.1016/j.semcancer.2019.05.001","ISSN":"10963650","PMID":"31112753","abstract":"Inflammatory bowel diseases (IBDs) are chronic problems of gastrointestinal tract (GIT) with poorly understood aetiology. Patients with any of the two common entities, Crohn's disease (CD) or ulcerative colitis (UD) have significant increased risk of gastrointestinal and extra-intestinal malignancies. Particularly, the colorectal cancer (CRC) and lymphomas are the most frequently associated cancers with IBD. Although the incidence of CRC has declined in the European countries during last 30 years yet the risk among IBD patients remains higher than the healthy people. In the present study, we have described many common factors influencing the onset and advancement of IBD and CRC including the alterations in gut microbiota, changes in the interleukin pathways and tumour necrosis factor. The other common factors are patient age, race, genetics, family history, diet composition, obesity and level of vitamins and minerals in the body. These multiple factors contribute to the higher incidence of CRC among IBD patients.","author":[{"dropping-particle":"","family":"Nadeem","given":"Muhammad Shahid","non-dropping-particle":"","parse-names":false,"suffix":""},{"dropping-particle":"","family":"Kumar","given":"Vikas","non-dropping-particle":"","parse-names":false,"suffix":""},{"dropping-particle":"","family":"Al-Abbasi","given":"Fahad A.","non-dropping-particle":"","parse-names":false,"suffix":""},{"dropping-particle":"","family":"Kamal","given":"Mohammad Amjad","non-dropping-particle":"","parse-names":false,"suffix":""},{"dropping-particle":"","family":"Anwar","given":"Firoz","non-dropping-particle":"","parse-names":false,"suffix":""}],"container-title":"Seminars in Cancer Biology","id":"ITEM-1","issued":{"date-parts":[["2020","8","1"]]},"page":"51-60","publisher":"Academic Press","title":"Risk of colorectal cancer in inflammatory bowel diseases","type":"article","volume":"64"},"uris":["http://www.mendeley.com/documents/?uuid=5e53ad40-2cea-3335-bd09-8383b861f192"]},{"id":"ITEM-2","itemData":{"author":[{"dropping-particle":"","family":"Crohn's and Colitis Foundation of America","given":"","non-dropping-particle":"","parse-names":false,"suffix":""}],"container-title":"The facts about inflammatory bowel diseases","id":"ITEM-2","issued":{"date-parts":[["2014"]]},"page":"1 - 24","title":"Crohn's and Colitis Foundation","type":"webpage"},"uris":["http://www.mendeley.com/documents/?uuid=78db2156-04ee-40a8-bd24-620a51060139"]}],"mendeley":{"formattedCitation":"[4,5]","plainTextFormattedCitation":"[4,5]","previouslyFormattedCitation":"[4,5]"},"properties":{"noteIndex":0},"schema":"https://github.com/citation-style-language/schema/raw/master/csl-citation.json"}</w:instrText>
      </w:r>
      <w:r>
        <w:rPr>
          <w:color w:val="000000" w:themeColor="text1"/>
        </w:rPr>
        <w:fldChar w:fldCharType="separate"/>
      </w:r>
      <w:r w:rsidR="00BA0E53" w:rsidRPr="00BA0E53">
        <w:rPr>
          <w:noProof/>
          <w:color w:val="000000" w:themeColor="text1"/>
        </w:rPr>
        <w:t>[4,5]</w:t>
      </w:r>
      <w:r>
        <w:rPr>
          <w:color w:val="000000" w:themeColor="text1"/>
        </w:rPr>
        <w:fldChar w:fldCharType="end"/>
      </w:r>
      <w:r>
        <w:rPr>
          <w:color w:val="000000" w:themeColor="text1"/>
        </w:rPr>
        <w:t xml:space="preserve">. More than 6.8 million people are estimated to live with IBD worldwide </w:t>
      </w:r>
      <w:r>
        <w:rPr>
          <w:color w:val="000000" w:themeColor="text1"/>
        </w:rPr>
        <w:fldChar w:fldCharType="begin" w:fldLock="1"/>
      </w:r>
      <w:r w:rsidR="006465A0">
        <w:rPr>
          <w:color w:val="000000" w:themeColor="text1"/>
        </w:rPr>
        <w:instrText>ADDIN CSL_CITATION {"citationItems":[{"id":"ITEM-1","itemData":{"DOI":"10.1016/S2468-1253(19)30358-9","ISSN":"24681253","PMID":"31648974","author":[{"dropping-particle":"","family":"Jairath","given":"Vipul","non-dropping-particle":"","parse-names":false,"suffix":""},{"dropping-particle":"","family":"Feagan","given":"Brian G.","non-dropping-particle":"","parse-names":false,"suffix":""}],"container-title":"The Lancet Gastroenterology and Hepatology","id":"ITEM-1","issue":"1","issued":{"date-parts":[["2020","1","1"]]},"page":"2-3","publisher":"Elsevier Ltd","title":"Global burden of inflammatory bowel disease","type":"article","volume":"5"},"uris":["http://www.mendeley.com/documents/?uuid=225ac839-a09f-323e-a1bd-743c3800c0eb"]}],"mendeley":{"formattedCitation":"[6]","plainTextFormattedCitation":"[6]","previouslyFormattedCitation":"[6]"},"properties":{"noteIndex":0},"schema":"https://github.com/citation-style-language/schema/raw/master/csl-citation.json"}</w:instrText>
      </w:r>
      <w:r>
        <w:rPr>
          <w:color w:val="000000" w:themeColor="text1"/>
        </w:rPr>
        <w:fldChar w:fldCharType="separate"/>
      </w:r>
      <w:r w:rsidR="00BA0E53" w:rsidRPr="00BA0E53">
        <w:rPr>
          <w:noProof/>
          <w:color w:val="000000" w:themeColor="text1"/>
        </w:rPr>
        <w:t>[6]</w:t>
      </w:r>
      <w:r>
        <w:rPr>
          <w:color w:val="000000" w:themeColor="text1"/>
        </w:rPr>
        <w:fldChar w:fldCharType="end"/>
      </w:r>
      <w:r>
        <w:rPr>
          <w:color w:val="000000" w:themeColor="text1"/>
        </w:rPr>
        <w:t xml:space="preserve">, and newly industrialized countries in Africa, Asia, and South America show an accelerating incidence as their societies become more westernized </w:t>
      </w:r>
      <w:r>
        <w:rPr>
          <w:color w:val="000000" w:themeColor="text1"/>
        </w:rPr>
        <w:fldChar w:fldCharType="begin" w:fldLock="1"/>
      </w:r>
      <w:r w:rsidR="006465A0">
        <w:rPr>
          <w:color w:val="000000" w:themeColor="text1"/>
        </w:rPr>
        <w:instrText>ADDIN CSL_CITATION {"citationItems":[{"id":"ITEM-1","itemData":{"DOI":"10.1016/S0140-6736(17)32448-0","ISSN":"1474547X","PMID":"29050646","abstract":"Background Inflammatory bowel disease is a global disease in the 21st century. We aimed to assess the changing incidence and prevalence of inflammatory bowel disease around the world. Methods We searched MEDLINE and Embase up to and including Dec 31, 2016, to identify observational, population-based studies reporting the incidence or prevalence of Crohn's disease or ulcerative colitis from 1990 or later. A study was regarded as population-based if it involved all residents within a specific area and the patients were representative of that area. To be included in the systematic review, ulcerative colitis and Crohn's disease needed to be reported separately. Studies that did not report original data and studies that reported only the incidence or prevalence of paediatric-onset inflammatory bowel disease (diagnosis at age &lt;16 years) were excluded. We created choropleth maps for the incidence (119 studies) and prevalence (69 studies) of Crohn's disease and ulcerative colitis. We used temporal trend analyses to report changes as an annual percentage change (APC) with 95% CI. Findings We identified 147 studies that were eligible for final inclusion in the systematic review, including 119 studies of incidence and 69 studies of prevalence. The highest reported prevalence values were in Europe (ulcerative colitis 505 per 100 000 in Norway; Crohn's disease 322 per 100 000 in Germany) and North America (ulcerative colitis 286 per 100 000 in the USA; Crohn's disease 319 per 100 000 in Canada). The prevalence of inflammatory bowel disease exceeded 0·3% in North America, Oceania, and many countries in Europe. Overall, 16 (72·7%) of 22 studies on Crohn's disease and 15 (83·3%) of 18 studies on ulcerative colitis reported stable or decreasing incidence of inflammatory bowel disease in North America and Europe. Since 1990, incidence has been rising in newly industrialised countries in Africa, Asia, and South America, including Brazil (APC for Crohn's disease +11·1% [95% CI 4·8–17·8] and APC for ulcerative colitis +14·9% [10·4–19·6]) and Taiwan (APC for Crohn's disease +4·0% [1·0–7·1] and APC for ulcerative colitis +4·8% [1·8–8·0]). Interpretation At the turn of the 21st century, inflammatory bowel disease has become a global disease with accelerating incidence in newly industrialised countries whose societies have become more westernised. Although incidence is stabilising in western countries, burden remains high as prevalence surpasses 0·3%. These data highlight the n…","author":[{"dropping-particle":"","family":"Ng","given":"Siew C.","non-dropping-particle":"","parse-names":false,"suffix":""},{"dropping-particle":"","family":"Shi","given":"Hai Yun","non-dropping-particle":"","parse-names":false,"suffix":""},{"dropping-particle":"","family":"Hamidi","given":"Nima","non-dropping-particle":"","parse-names":false,"suffix":""},{"dropping-particle":"","family":"Underwood","given":"Fox E.","non-dropping-particle":"","parse-names":false,"suffix":""},{"dropping-particle":"","family":"Tang","given":"Whitney","non-dropping-particle":"","parse-names":false,"suffix":""},{"dropping-particle":"","family":"Benchimol","given":"Eric I.","non-dropping-particle":"","parse-names":false,"suffix":""},{"dropping-particle":"","family":"Panaccione","given":"Remo","non-dropping-particle":"","parse-names":false,"suffix":""},{"dropping-particle":"","family":"Ghosh","given":"Subrata","non-dropping-particle":"","parse-names":false,"suffix":""},{"dropping-particle":"","family":"Wu","given":"Justin C.Y.","non-dropping-particle":"","parse-names":false,"suffix":""},{"dropping-particle":"","family":"Chan","given":"Francis K.L.","non-dropping-particle":"","parse-names":false,"suffix":""},{"dropping-particle":"","family":"Sung","given":"Joseph J.Y.","non-dropping-particle":"","parse-names":false,"suffix":""},{"dropping-particle":"","family":"Kaplan","given":"Gilaad G.","non-dropping-particle":"","parse-names":false,"suffix":""}],"container-title":"The Lancet","id":"ITEM-1","issue":"10114","issued":{"date-parts":[["2017","12","23"]]},"page":"2769-2778","publisher":"Lancet Publishing Group","title":"Worldwide incidence and prevalence of inflammatory bowel disease in the 21st century: a systematic review of population-based studies","type":"article-journal","volume":"390"},"uris":["http://www.mendeley.com/documents/?uuid=b360467c-ff82-39f2-91e4-0600ff5d5767"]}],"mendeley":{"formattedCitation":"[7]","plainTextFormattedCitation":"[7]","previouslyFormattedCitation":"[7]"},"properties":{"noteIndex":0},"schema":"https://github.com/citation-style-language/schema/raw/master/csl-citation.json"}</w:instrText>
      </w:r>
      <w:r>
        <w:rPr>
          <w:color w:val="000000" w:themeColor="text1"/>
        </w:rPr>
        <w:fldChar w:fldCharType="separate"/>
      </w:r>
      <w:r w:rsidR="00BA0E53" w:rsidRPr="00BA0E53">
        <w:rPr>
          <w:noProof/>
          <w:color w:val="000000" w:themeColor="text1"/>
        </w:rPr>
        <w:t>[7]</w:t>
      </w:r>
      <w:r>
        <w:rPr>
          <w:color w:val="000000" w:themeColor="text1"/>
        </w:rPr>
        <w:fldChar w:fldCharType="end"/>
      </w:r>
      <w:r>
        <w:rPr>
          <w:color w:val="000000" w:themeColor="text1"/>
        </w:rPr>
        <w:t>. In the USA, patients with IBD incur over three-fold higher direct costs (around $23</w:t>
      </w:r>
      <w:r w:rsidR="00023F48">
        <w:rPr>
          <w:color w:val="000000" w:themeColor="text1"/>
        </w:rPr>
        <w:t>,000</w:t>
      </w:r>
      <w:r>
        <w:rPr>
          <w:color w:val="000000" w:themeColor="text1"/>
        </w:rPr>
        <w:t xml:space="preserve"> per member per year) than people not affected by IBD due to health care utilization, treatment with specific therapeutics, out-of-pocket expenditures, and workplace productivity losses </w:t>
      </w:r>
      <w:r>
        <w:rPr>
          <w:color w:val="000000" w:themeColor="text1"/>
        </w:rPr>
        <w:fldChar w:fldCharType="begin" w:fldLock="1"/>
      </w:r>
      <w:r w:rsidR="006465A0">
        <w:rPr>
          <w:color w:val="000000" w:themeColor="text1"/>
        </w:rPr>
        <w:instrText>ADDIN CSL_CITATION {"citationItems":[{"id":"ITEM-1","itemData":{"DOI":"10.1093/ibd/izz104","ISSN":"15364844","PMID":"31112238","abstract":"Background: The Crohn's &amp; Colitis Foundation's Cost of Inflammatory Bowel Disease (IBD) Care Initiative seeks to quantify the wide-ranging health care costs affecting patients living with IBD. We aimed to (1) describe the annualized direct and indirect costs of care for patients with Crohn's disease (CD) or ulcerative colitis (UC), (2) determine the longitudinal drivers of these costs, and (3) characterize the cost of care for newly diagnosed patients. Methods: We analyzed the Optum Research Database from the years 2007 to 2016, representing commercially insured and Medicare Advantage-insured patients in the United States. Inclusion for the study was limited to those who had continuous enrollment with medical and pharmacy benefit coverage for at least 24 months (12 months before through 12 months after the index date of diagnosis). The value of patient time spent on health care was calculated as number of workplace hours lost due to health care encounters multiplied by the patients' estimated average wage derived from the Bureau of Labor Statistics. Comparisons between IBD patients and non-IBD patients were analyzed based on demographics, health plan type, and length of follow-up. We used generalized linear models to estimate the association between total annual costs and various patient variables. Results: There were 52,782 IBD patients (29,062 UC; 23,720 CD) included in the analysis (54.1% females). On a per-annual basis, patients with IBD incurred a greater than 3-fold higher direct cost of care compared with non-IBD controls ($22,987 vs $6956 per-member per-year paid claims) and more than twice the out-of-pocket costs ($2213 vs $979 per-year reported costs), with all-cause IBD costs rising after 2013. Patients with IBD also experienced significantly higher costs associated with time spent on health care as compared with controls. The burden of costs was most notable in the first year after initial IBD diagnosis (mean = $26,555). The study identified several key drivers of cost for IBD patients: treatment with specific therapeutics (biologics, opioids, or steroids); ED use; and health care services associated with relapsing disease, anemia, or mental health comorbidity. Conclusion: The costs of care for IBD have increased in the last 5 years and are driven by specific therapeutics and disease features. In addition, compared with non-IBD controls, IBD patients are increasingly incurring higher costs associated with health care utilization, out-of-pock…","author":[{"dropping-particle":"","family":"Park","given":"K. T.","non-dropping-particle":"","parse-names":false,"suffix":""},{"dropping-particle":"","family":"Ehrlich","given":"Orna G.","non-dropping-particle":"","parse-names":false,"suffix":""},{"dropping-particle":"","family":"Allen","given":"John I.","non-dropping-particle":"","parse-names":false,"suffix":""},{"dropping-particle":"","family":"Meadows","given":"Perry","non-dropping-particle":"","parse-names":false,"suffix":""},{"dropping-particle":"","family":"Szigethy","given":"Eva M.","non-dropping-particle":"","parse-names":false,"suffix":""},{"dropping-particle":"","family":"Henrichsen","given":"Kim","non-dropping-particle":"","parse-names":false,"suffix":""},{"dropping-particle":"","family":"Kim","given":"Sandra C.","non-dropping-particle":"","parse-names":false,"suffix":""},{"dropping-particle":"","family":"Lawton","given":"Rachel C.","non-dropping-particle":"","parse-names":false,"suffix":""},{"dropping-particle":"","family":"Murphy","given":"Sean M.","non-dropping-particle":"","parse-names":false,"suffix":""},{"dropping-particle":"","family":"Regueiro","given":"Miguel","non-dropping-particle":"","parse-names":false,"suffix":""},{"dropping-particle":"","family":"Rubin","given":"David T.","non-dropping-particle":"","parse-names":false,"suffix":""},{"dropping-particle":"","family":"Engel-Nitz","given":"Nicole M.","non-dropping-particle":"","parse-names":false,"suffix":""},{"dropping-particle":"","family":"Heller","given":"Caren A.","non-dropping-particle":"","parse-names":false,"suffix":""}],"container-title":"Inflammatory Bowel Diseases","id":"ITEM-1","issue":"1","issued":{"date-parts":[["2020","1","1"]]},"page":"1-10","publisher":"Oxford University Press","title":"The Cost of Inflammatory Bowel Disease: An Initiative from the Crohn's &amp; Colitis Foundation","type":"article-journal","volume":"26"},"uris":["http://www.mendeley.com/documents/?uuid=cc57918a-8079-3cfc-b723-dc4766a8b3bd"]}],"mendeley":{"formattedCitation":"[8]","plainTextFormattedCitation":"[8]","previouslyFormattedCitation":"[8]"},"properties":{"noteIndex":0},"schema":"https://github.com/citation-style-language/schema/raw/master/csl-citation.json"}</w:instrText>
      </w:r>
      <w:r>
        <w:rPr>
          <w:color w:val="000000" w:themeColor="text1"/>
        </w:rPr>
        <w:fldChar w:fldCharType="separate"/>
      </w:r>
      <w:r w:rsidR="00BA0E53" w:rsidRPr="00BA0E53">
        <w:rPr>
          <w:noProof/>
          <w:color w:val="000000" w:themeColor="text1"/>
        </w:rPr>
        <w:t>[8]</w:t>
      </w:r>
      <w:r>
        <w:rPr>
          <w:color w:val="000000" w:themeColor="text1"/>
        </w:rPr>
        <w:fldChar w:fldCharType="end"/>
      </w:r>
      <w:r>
        <w:rPr>
          <w:color w:val="000000" w:themeColor="text1"/>
        </w:rPr>
        <w:t>.</w:t>
      </w:r>
    </w:p>
    <w:p w14:paraId="61171873" w14:textId="337ACBDA" w:rsidR="00943C22" w:rsidRDefault="00943C22" w:rsidP="00DD0AC8">
      <w:pPr>
        <w:spacing w:line="480" w:lineRule="auto"/>
        <w:ind w:firstLine="720"/>
        <w:rPr>
          <w:color w:val="000000" w:themeColor="text1"/>
        </w:rPr>
      </w:pPr>
      <w:r>
        <w:rPr>
          <w:color w:val="000000" w:themeColor="text1"/>
        </w:rPr>
        <w:t xml:space="preserve">Crohn’s disease (CD) and </w:t>
      </w:r>
      <w:r w:rsidR="00023F48">
        <w:rPr>
          <w:color w:val="000000" w:themeColor="text1"/>
        </w:rPr>
        <w:t>u</w:t>
      </w:r>
      <w:r>
        <w:rPr>
          <w:color w:val="000000" w:themeColor="text1"/>
        </w:rPr>
        <w:t>lcerative colitis (UC) are the two major forms of IBD. Although CD is more common in areas between the terminal ileum and the perianal area, it can affect the entire thickness of the bowel in any section of the GI</w:t>
      </w:r>
      <w:r w:rsidR="00023F48">
        <w:rPr>
          <w:color w:val="000000" w:themeColor="text1"/>
        </w:rPr>
        <w:t>T</w:t>
      </w:r>
      <w:r>
        <w:rPr>
          <w:color w:val="000000" w:themeColor="text1"/>
        </w:rPr>
        <w:t xml:space="preserve">, in a characteristic discontinuous pattern in which healthy regions of the intestine are mixed with inflamed areas </w:t>
      </w:r>
      <w:r>
        <w:rPr>
          <w:color w:val="000000" w:themeColor="text1"/>
          <w:lang w:val="es-CO"/>
        </w:rPr>
        <w:fldChar w:fldCharType="begin" w:fldLock="1"/>
      </w:r>
      <w:r w:rsidR="006465A0">
        <w:rPr>
          <w:color w:val="000000" w:themeColor="text1"/>
        </w:rPr>
        <w:instrText>ADDIN CSL_CITATION {"citationItems":[{"id":"ITEM-1","itemData":{"DOI":"10.1155/2019/7247238","ISSN":"2314-8861","PMID":"31886308","abstract":"Inflammatory bowel disease (IBD) is a chronic and life-threating inflammatory disease of gastroenteric tissue characterized by episodes of intestinal inflammation. The pathogenesis of IBD is complex. Recent studies have greatly improved our knowledge of the pathophysiology of IBD, leading to great advances in the treatment as well as diagnosis of IBD. In this review, we have systemically reviewed the pathogenesis of IBD and highlighted recent advances in host genetic factors, gut microbiota, and environmental factors and, especially, in abnormal innate and adaptive immune responses and their interactions, which may hold the keys to identify novel predictive or prognostic biomarkers and develop new therapies.","author":[{"dropping-particle":"","family":"Guan","given":"Qingdong","non-dropping-particle":"","parse-names":false,"suffix":""}],"container-title":"Journal of Immunology Research","id":"ITEM-1","issued":{"date-parts":[["2019","12","1"]]},"page":"1-16","publisher":"Hindawi Limited","title":"A Comprehensive Review and Update on the Pathogenesis of Inflammatory Bowel Disease","type":"article-journal","volume":"2019"},"uris":["http://www.mendeley.com/documents/?uuid=e1bdd519-f3c9-37f2-ba42-b0599ea38f59"]}],"mendeley":{"formattedCitation":"[9]","plainTextFormattedCitation":"[9]","previouslyFormattedCitation":"[9]"},"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[9]</w:t>
      </w:r>
      <w:r>
        <w:rPr>
          <w:color w:val="000000" w:themeColor="text1"/>
          <w:lang w:val="es-CO"/>
        </w:rPr>
        <w:fldChar w:fldCharType="end"/>
      </w:r>
      <w:r>
        <w:rPr>
          <w:color w:val="000000" w:themeColor="text1"/>
        </w:rPr>
        <w:t xml:space="preserve">. In contrast, UC only affects the </w:t>
      </w:r>
      <w:r>
        <w:rPr>
          <w:color w:val="000000" w:themeColor="text1"/>
        </w:rPr>
        <w:lastRenderedPageBreak/>
        <w:t xml:space="preserve">innermost lining of the intestinal wall (the mucosa), begins in the most distal region of the bowel, the rectum, and progresses continuously toward the ascending, transverse and descending colon, being limited to the large intestine </w:t>
      </w:r>
      <w:r>
        <w:rPr>
          <w:color w:val="000000" w:themeColor="text1"/>
          <w:lang w:val="es-CO"/>
        </w:rPr>
        <w:fldChar w:fldCharType="begin" w:fldLock="1"/>
      </w:r>
      <w:r w:rsidR="006465A0">
        <w:rPr>
          <w:color w:val="000000" w:themeColor="text1"/>
        </w:rPr>
        <w:instrText>ADDIN CSL_CITATION {"citationItems":[{"id":"ITEM-1","itemData":{"DOI":"10.1155/2019/7247238","ISSN":"2314-8861","PMID":"31886308","abstract":"Inflammatory bowel disease (IBD) is a chronic and life-threating inflammatory disease of gastroenteric tissue characterized by episodes of intestinal inflammation. The pathogenesis of IBD is complex. Recent studies have greatly improved our knowledge of the pathophysiology of IBD, leading to great advances in the treatment as well as diagnosis of IBD. In this review, we have systemically reviewed the pathogenesis of IBD and highlighted recent advances in host genetic factors, gut microbiota, and environmental factors and, especially, in abnormal innate and adaptive immune responses and their interactions, which may hold the keys to identify novel predictive or prognostic biomarkers and develop new therapies.","author":[{"dropping-particle":"","family":"Guan","given":"Qingdong","non-dropping-particle":"","parse-names":false,"suffix":""}],"container-title":"Journal of Immunology Research","id":"ITEM-1","issued":{"date-parts":[["2019","12","1"]]},"page":"1-16","publisher":"Hindawi Limited","title":"A Comprehensive Review and Update on the Pathogenesis of Inflammatory Bowel Disease","type":"article-journal","volume":"2019"},"uris":["http://www.mendeley.com/documents/?uuid=e1bdd519-f3c9-37f2-ba42-b0599ea38f59"]}],"mendeley":{"formattedCitation":"[9]","plainTextFormattedCitation":"[9]","previouslyFormattedCitation":"[9]"},"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[9]</w:t>
      </w:r>
      <w:r>
        <w:rPr>
          <w:color w:val="000000" w:themeColor="text1"/>
          <w:lang w:val="es-CO"/>
        </w:rPr>
        <w:fldChar w:fldCharType="end"/>
      </w:r>
      <w:r>
        <w:rPr>
          <w:color w:val="000000" w:themeColor="text1"/>
        </w:rPr>
        <w:t>. Symptoms of IBD depend on the localization of the affected area and the level of involvement, but the most common clinical manifestations include diarrhea, rectal bleeding, loss of body</w:t>
      </w:r>
      <w:r w:rsidR="00AE127D">
        <w:rPr>
          <w:color w:val="000000" w:themeColor="text1"/>
        </w:rPr>
        <w:t xml:space="preserve"> </w:t>
      </w:r>
      <w:r>
        <w:rPr>
          <w:color w:val="000000" w:themeColor="text1"/>
        </w:rPr>
        <w:t xml:space="preserve">weight, abdominal pain, appetite changes, nausea, vomiting, and in the most severe cases physiological manifestations associated with bowel obstruction, infection, malnutrition, anemia, among others can occur </w:t>
      </w:r>
      <w:r>
        <w:rPr>
          <w:color w:val="000000" w:themeColor="text1"/>
          <w:lang w:val="es-CO"/>
        </w:rPr>
        <w:fldChar w:fldCharType="begin" w:fldLock="1"/>
      </w:r>
      <w:r w:rsidR="006465A0">
        <w:rPr>
          <w:color w:val="000000" w:themeColor="text1"/>
        </w:rPr>
        <w:instrText>ADDIN CSL_CITATION {"citationItems":[{"id":"ITEM-1","itemData":{"author":[{"dropping-particle":"","family":"Crohn's and Colitis Foundation of America","given":"","non-dropping-particle":"","parse-names":false,"suffix":""}],"container-title":"The facts about inflammatory bowel diseases","id":"ITEM-1","issued":{"date-parts":[["2014"]]},"page":"1 - 24","title":"Crohn's and Colitis Foundation","type":"webpage"},"uris":["http://www.mendeley.com/documents/?uuid=78db2156-04ee-40a8-bd24-620a51060139"]}],"mendeley":{"formattedCitation":"[4]","plainTextFormattedCitation":"[4]","previouslyFormattedCitation":"[4]"},"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[4]</w:t>
      </w:r>
      <w:r>
        <w:rPr>
          <w:color w:val="000000" w:themeColor="text1"/>
          <w:lang w:val="es-CO"/>
        </w:rPr>
        <w:fldChar w:fldCharType="end"/>
      </w:r>
      <w:r>
        <w:rPr>
          <w:color w:val="000000" w:themeColor="text1"/>
        </w:rPr>
        <w:t>. But</w:t>
      </w:r>
      <w:r w:rsidR="00AE127D">
        <w:rPr>
          <w:color w:val="000000" w:themeColor="text1"/>
        </w:rPr>
        <w:t xml:space="preserve"> the</w:t>
      </w:r>
      <w:r>
        <w:rPr>
          <w:color w:val="000000" w:themeColor="text1"/>
        </w:rPr>
        <w:t xml:space="preserve"> effects of inflammation in IBD are not only limited to the gut. Extraintestinal manifestations are commonly observed in 25 to 40% of IBD patients and involve the skin, eyes, skeletal muscle, liver, kidneys, and the metabolic system </w:t>
      </w:r>
      <w:r>
        <w:rPr>
          <w:color w:val="000000" w:themeColor="text1"/>
          <w:lang w:val="es-CO"/>
        </w:rPr>
        <w:fldChar w:fldCharType="begin" w:fldLock="1"/>
      </w:r>
      <w:r w:rsidR="006465A0">
        <w:rPr>
          <w:color w:val="000000" w:themeColor="text1"/>
        </w:rPr>
        <w:instrText>ADDIN CSL_CITATION {"citationItems":[{"id":"ITEM-1","itemData":{"DOI":"10.1016/j.med.2020.06.013","ISSN":"15788822","PMID":"21857821","abstract":"Up to 50% of patients with inflammatory bowel disease (IBD) experience at least one extra-intestinal manifestation (EIM), impairing mainly joints, skin, eyes and biliary tract. EIMs are more common in Crohn's disease (CD) than ulcerative colitis (UC), particularly in colonic CD and perianal Crohn's disease. Most EIMs run in parallel with intestinal disease, with the exception of ankylosing spondylitis, uveitis, pyoderma gangrenosum and primary sclerosing cholangitis. Clinical manifestations depend on EIM type and the intestinal disease activity. Usually, EIMs treatment relies on treatment of underlying bowel inflammation; however specific treatment may be required (when EIM is diagnosed before to IBD, or EIM is independent of IBD activity). EIMs associated with IBD are a complex therapeutic frame, requiring a multidisciplinary approach for both evaluation and choice of the most appropriate treatment.","author":[{"dropping-particle":"","family":"Cerrillo","given":"E.","non-dropping-particle":"","parse-names":false,"suffix":""},{"dropping-particle":"","family":"González","given":"E. Sáez","non-dropping-particle":"","parse-names":false,"suffix":""},{"dropping-particle":"","family":"Bastida","given":"G.","non-dropping-particle":"","parse-names":false,"suffix":""},{"dropping-particle":"","family":"Nos","given":"P.","non-dropping-particle":"","parse-names":false,"suffix":""}],"container-title":"Medicine (Spain)","id":"ITEM-1","issue":"11","issued":{"date-parts":[["2020","5","1"]]},"page":"618-630","publisher":"Ediciones Doyma, S.L.","title":"Extraintestinal manifestations in inflammatory bowel disease","type":"article-journal","volume":"13"},"uris":["http://www.mendeley.com/documents/?uuid=b75a9964-a276-3dd4-8e49-368ede26d4a7"]}],"mendeley":{"formattedCitation":"[10]","plainTextFormattedCitation":"[10]","previouslyFormattedCitation":"[10]"},"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[10]</w:t>
      </w:r>
      <w:r>
        <w:rPr>
          <w:color w:val="000000" w:themeColor="text1"/>
          <w:lang w:val="es-CO"/>
        </w:rPr>
        <w:fldChar w:fldCharType="end"/>
      </w:r>
      <w:r>
        <w:rPr>
          <w:color w:val="000000" w:themeColor="text1"/>
        </w:rPr>
        <w:t xml:space="preserve">. </w:t>
      </w:r>
    </w:p>
    <w:p w14:paraId="211A5DBF" w14:textId="3AD36BCF" w:rsidR="00943C22" w:rsidRDefault="00943C22" w:rsidP="00DD0AC8">
      <w:pPr>
        <w:spacing w:line="480" w:lineRule="auto"/>
        <w:ind w:firstLine="720"/>
        <w:rPr>
          <w:color w:val="000000" w:themeColor="text1"/>
        </w:rPr>
      </w:pPr>
      <w:r>
        <w:rPr>
          <w:color w:val="000000" w:themeColor="text1"/>
        </w:rPr>
        <w:t>Cardiovascular disease and colorectal cancer</w:t>
      </w:r>
      <w:r w:rsidR="00023F48">
        <w:rPr>
          <w:color w:val="000000" w:themeColor="text1"/>
        </w:rPr>
        <w:t xml:space="preserve"> (CRC)</w:t>
      </w:r>
      <w:r>
        <w:rPr>
          <w:color w:val="000000" w:themeColor="text1"/>
        </w:rPr>
        <w:t xml:space="preserve"> account for the most common causes of death among IBD patients </w:t>
      </w:r>
      <w:r>
        <w:rPr>
          <w:color w:val="000000" w:themeColor="text1"/>
        </w:rPr>
        <w:fldChar w:fldCharType="begin" w:fldLock="1"/>
      </w:r>
      <w:r w:rsidR="006465A0">
        <w:rPr>
          <w:color w:val="000000" w:themeColor="text1"/>
        </w:rPr>
        <w:instrText>ADDIN CSL_CITATION {"citationItems":[{"id":"ITEM-1","itemData":{"DOI":"10.1016/j.semcancer.2019.05.001","ISSN":"10963650","PMID":"31112753","abstract":"Inflammatory bowel diseases (IBDs) are chronic problems of gastrointestinal tract (GIT) with poorly understood aetiology. Patients with any of the two common entities, Crohn's disease (CD) or ulcerative colitis (UD) have significant increased risk of gastrointestinal and extra-intestinal malignancies. Particularly, the colorectal cancer (CRC) and lymphomas are the most frequently associated cancers with IBD. Although the incidence of CRC has declined in the European countries during last 30 years yet the risk among IBD patients remains higher than the healthy people. In the present study, we have described many common factors influencing the onset and advancement of IBD and CRC including the alterations in gut microbiota, changes in the interleukin pathways and tumour necrosis factor. The other common factors are patient age, race, genetics, family history, diet composition, obesity and level of vitamins and minerals in the body. These multiple factors contribute to the higher incidence of CRC among IBD patients.","author":[{"dropping-particle":"","family":"Nadeem","given":"Muhammad Shahid","non-dropping-particle":"","parse-names":false,"suffix":""},{"dropping-particle":"","family":"Kumar","given":"Vikas","non-dropping-particle":"","parse-names":false,"suffix":""},{"dropping-particle":"","family":"Al-Abbasi","given":"Fahad A.","non-dropping-particle":"","parse-names":false,"suffix":""},{"dropping-particle":"","family":"Kamal","given":"Mohammad Amjad","non-dropping-particle":"","parse-names":false,"suffix":""},{"dropping-particle":"","family":"Anwar","given":"Firoz","non-dropping-particle":"","parse-names":false,"suffix":""}],"container-title":"Seminars in Cancer Biology","id":"ITEM-1","issued":{"date-parts":[["2020","8","1"]]},"page":"51-60","publisher":"Academic Press","title":"Risk of colorectal cancer in inflammatory bowel diseases","type":"article","volume":"64"},"uris":["http://www.mendeley.com/documents/?uuid=5e53ad40-2cea-3335-bd09-8383b861f192"]}],"mendeley":{"formattedCitation":"[5]","plainTextFormattedCitation":"[5]","previouslyFormattedCitation":"[5]"},"properties":{"noteIndex":0},"schema":"https://github.com/citation-style-language/schema/raw/master/csl-citation.json"}</w:instrText>
      </w:r>
      <w:r>
        <w:rPr>
          <w:color w:val="000000" w:themeColor="text1"/>
        </w:rPr>
        <w:fldChar w:fldCharType="separate"/>
      </w:r>
      <w:r w:rsidR="00BA0E53" w:rsidRPr="00BA0E53">
        <w:rPr>
          <w:noProof/>
          <w:color w:val="000000" w:themeColor="text1"/>
        </w:rPr>
        <w:t>[5]</w:t>
      </w:r>
      <w:r>
        <w:rPr>
          <w:color w:val="000000" w:themeColor="text1"/>
        </w:rPr>
        <w:fldChar w:fldCharType="end"/>
      </w:r>
      <w:r>
        <w:rPr>
          <w:color w:val="000000" w:themeColor="text1"/>
        </w:rPr>
        <w:t xml:space="preserve">. Indeed, increased circulating levels of pro-inflammatory mediators such as TNF-α and nitric oxide, bacterial endotoxins reaching systemic circulation due to disruption of the intestinal barrier, resulting from the inflammatory burden in the bowel, have been associated with arterial stiffening, venous thromboembolism, and atherosclerosis, events that contribute to an increased risk of cardiovascular failure </w:t>
      </w:r>
      <w:r>
        <w:rPr>
          <w:color w:val="000000" w:themeColor="text1"/>
        </w:rPr>
        <w:fldChar w:fldCharType="begin" w:fldLock="1"/>
      </w:r>
      <w:r w:rsidR="006465A0">
        <w:rPr>
          <w:color w:val="000000" w:themeColor="text1"/>
        </w:rPr>
        <w:instrText>ADDIN CSL_CITATION {"citationItems":[{"id":"ITEM-1","itemData":{"DOI":"10.3892/etm.2016.3966","ISSN":"17921015","abstract":"Cardiovascular disease (CVD) can arise because of chronic inflammation and inflammatory bowel disease (IBD) is one such disease where the risk for CVD and eventual heart failure is increased considerably. The incidence of IBD, which refers to both ulcerative colitis and Crohn’s disease, has been on the increase in several countries and is a potential risk factor for CVD. Although IBD can potentially cause venous thromboembolism, its significance in arterial stiffening, atherosclerosis, ischemic heart disease and myocardial infarction is only being realized now and it is currently under debate. However, several studies with large groups of patients have demonstrated the association of IBD with heart disease. It has been suggested that systemic inflammation as observed in IBD patients leads to oxidative stress and elevated levels of inflammatory cytokines such as tumor necrosis factor-α (TNF-α), which lead to phenotypic changes in smooth muscle cells and sets into motion a series of events that culminate in atherosclerosis and CVD. Besides the endogenous factors and cytokines, it has been suggested that due to the compromised intestinal mucosal barrier, endotoxins and bacterial lipopolysaccharides produced by intestinal microflora can enter into circulation and activate inflammatory responses that lead to atherosclerosis. Therapeutic management of IBD-associated heart diseases cannot be achieved with simple anti-inflammatory drugs such as corticosteroids and anti-TNF-α antibodies. Treatment with existing medications for CVDs, aspirin, platelet aggregation inhibitors and statins is found to be acceptable and safe. Nevertheless, further research is needed to assess their efficacy in IBD patients suffering from heart disease.","author":[{"dropping-particle":"","family":"Wu","given":"Ping","non-dropping-particle":"","parse-names":false,"suffix":""},{"dropping-particle":"","family":"Jia","given":"Fangyuan","non-dropping-particle":"","parse-names":false,"suffix":""},{"dropping-particle":"","family":"Zhang","given":"Bao","non-dropping-particle":"","parse-names":false,"suffix":""},{"dropping-particle":"","family":"Zhang","given":"Peiying","non-dropping-particle":"","parse-names":false,"suffix":""}],"container-title":"Experimental and Therapeutic Medicine","id":"ITEM-1","issue":"2","issued":{"date-parts":[["2017","2","1"]]},"page":"395-400","publisher":"Spandidos Publications","title":"Risk of cardiovascular disease in inflammatory bowel disease (review)","type":"article","volume":"13"},"uris":["http://www.mendeley.com/documents/?uuid=3ee26729-5219-3044-8fc8-a95c94df6a2b"]}],"mendeley":{"formattedCitation":"[11]","plainTextFormattedCitation":"[11]","previouslyFormattedCitation":"[11]"},"properties":{"noteIndex":0},"schema":"https://github.com/citation-style-language/schema/raw/master/csl-citation.json"}</w:instrText>
      </w:r>
      <w:r>
        <w:rPr>
          <w:color w:val="000000" w:themeColor="text1"/>
        </w:rPr>
        <w:fldChar w:fldCharType="separate"/>
      </w:r>
      <w:r w:rsidR="00BA0E53" w:rsidRPr="00BA0E53">
        <w:rPr>
          <w:noProof/>
          <w:color w:val="000000" w:themeColor="text1"/>
        </w:rPr>
        <w:t>[11]</w:t>
      </w:r>
      <w:r>
        <w:rPr>
          <w:color w:val="000000" w:themeColor="text1"/>
        </w:rPr>
        <w:fldChar w:fldCharType="end"/>
      </w:r>
      <w:r>
        <w:rPr>
          <w:color w:val="000000" w:themeColor="text1"/>
        </w:rPr>
        <w:t>. The correlation between IBD and cancer has been largely studied. As reviewed by Chang and coworkers, IBD patients are at increased risk of developing intestinal and extra-intestinal malignancies. When compared to the regular population</w:t>
      </w:r>
      <w:r w:rsidR="00023F48">
        <w:rPr>
          <w:color w:val="000000" w:themeColor="text1"/>
        </w:rPr>
        <w:t>:</w:t>
      </w:r>
      <w:r>
        <w:rPr>
          <w:color w:val="000000" w:themeColor="text1"/>
        </w:rPr>
        <w:t xml:space="preserve"> </w:t>
      </w:r>
      <w:r>
        <w:rPr>
          <w:color w:val="000000" w:themeColor="text1"/>
        </w:rPr>
        <w:lastRenderedPageBreak/>
        <w:t xml:space="preserve">patients with extensive UC have a 19 times higher risk of </w:t>
      </w:r>
      <w:r w:rsidR="00023F48">
        <w:rPr>
          <w:color w:val="000000" w:themeColor="text1"/>
        </w:rPr>
        <w:t>CRC</w:t>
      </w:r>
      <w:r>
        <w:rPr>
          <w:color w:val="000000" w:themeColor="text1"/>
        </w:rPr>
        <w:t xml:space="preserve">, and CD patients 20- to 30-fold increased risk of small bowel cancer, while hematological and skin cancers, and </w:t>
      </w:r>
      <w:r w:rsidR="00F92538">
        <w:rPr>
          <w:color w:val="000000" w:themeColor="text1"/>
        </w:rPr>
        <w:t>to</w:t>
      </w:r>
      <w:r>
        <w:rPr>
          <w:color w:val="000000" w:themeColor="text1"/>
        </w:rPr>
        <w:t xml:space="preserve"> a lower exten</w:t>
      </w:r>
      <w:r w:rsidR="00F92538">
        <w:rPr>
          <w:color w:val="000000" w:themeColor="text1"/>
        </w:rPr>
        <w:t>t</w:t>
      </w:r>
      <w:r>
        <w:rPr>
          <w:color w:val="000000" w:themeColor="text1"/>
        </w:rPr>
        <w:t xml:space="preserve"> cervical and urinary cancers a</w:t>
      </w:r>
      <w:r w:rsidR="00D77F56">
        <w:rPr>
          <w:color w:val="000000" w:themeColor="text1"/>
        </w:rPr>
        <w:t>re</w:t>
      </w:r>
      <w:r>
        <w:rPr>
          <w:color w:val="000000" w:themeColor="text1"/>
        </w:rPr>
        <w:t xml:space="preserve"> potential consequences of the immunosuppressive effects of therapeutics for the treatment of IBD </w:t>
      </w:r>
      <w:r>
        <w:rPr>
          <w:color w:val="000000" w:themeColor="text1"/>
        </w:rPr>
        <w:fldChar w:fldCharType="begin" w:fldLock="1"/>
      </w:r>
      <w:r w:rsidR="006465A0">
        <w:rPr>
          <w:color w:val="000000" w:themeColor="text1"/>
        </w:rPr>
        <w:instrText>ADDIN CSL_CITATION {"citationItems":[{"id":"ITEM-1","itemData":{"DOI":"10.1016/j.clcc.2017.06.009","ISBN":"1938-0674 (Electronic) 1533-0028 (Linking)","ISSN":"19380674","PMID":"28712945","abstract":"Inflammatory bowel disease (IBD) with its 2 most common entities, ulcerative colitis and Crohn's disease, causes an increased risk of developing intestinal cancers. In fact, malignancies are the second most common cause of death after cardiovascular diseases in both sexes of patients with IBD. Risk factors for colorectal cancer in IBD correlate with the duration of the disease, extent of disease, the association with primary sclerosing cholangitis, family history, and early age at onset. Patients with IBD also have an increased risk for developing a variety of extraintestinal malignancies. In particular, lymphomas, mostly non-Hodgkin lymphomas and skin cancers, are more frequently observed in IBD patients. Longstanding inflammation and the degree of immunosuppression as a result of IBD treatment appear to be the main driving factors for IBD-related carcinogenesis. This review provides an update on the clinical and pathological features of IBD-related intestinal and extraintestinal malignancies.","author":[{"dropping-particle":"","family":"Chang","given":"Minna","non-dropping-particle":"","parse-names":false,"suffix":""},{"dropping-particle":"","family":"Chang","given":"Liisa","non-dropping-particle":"","parse-names":false,"suffix":""},{"dropping-particle":"","family":"Chang","given":"Hanna M.","non-dropping-particle":"","parse-names":false,"suffix":""},{"dropping-particle":"","family":"Chang","given":"Fuju","non-dropping-particle":"","parse-names":false,"suffix":""}],"container-title":"Clinical Colorectal Cancer","id":"ITEM-1","issue":"1","issued":{"date-parts":[["2018"]]},"page":"e29-e37","publisher":"Elsevier Inc.","title":"Intestinal and Extraintestinal Cancers Associated With Inflammatory Bowel Disease","type":"article-journal","volume":"17"},"uris":["http://www.mendeley.com/documents/?uuid=caa311de-0c15-4d2b-8345-fe68b06bc5ce"]}],"mendeley":{"formattedCitation":"[12]","plainTextFormattedCitation":"[12]","previouslyFormattedCitation":"[12]"},"properties":{"noteIndex":0},"schema":"https://github.com/citation-style-language/schema/raw/master/csl-citation.json"}</w:instrText>
      </w:r>
      <w:r>
        <w:rPr>
          <w:color w:val="000000" w:themeColor="text1"/>
        </w:rPr>
        <w:fldChar w:fldCharType="separate"/>
      </w:r>
      <w:r w:rsidR="00BA0E53" w:rsidRPr="00BA0E53">
        <w:rPr>
          <w:noProof/>
          <w:color w:val="000000" w:themeColor="text1"/>
        </w:rPr>
        <w:t>[12]</w:t>
      </w:r>
      <w:r>
        <w:rPr>
          <w:color w:val="000000" w:themeColor="text1"/>
        </w:rPr>
        <w:fldChar w:fldCharType="end"/>
      </w:r>
      <w:r>
        <w:rPr>
          <w:color w:val="000000" w:themeColor="text1"/>
        </w:rPr>
        <w:t xml:space="preserve">. Although the specific risk of colitis-associated </w:t>
      </w:r>
      <w:r w:rsidR="00023F48">
        <w:rPr>
          <w:color w:val="000000" w:themeColor="text1"/>
        </w:rPr>
        <w:t>CRC</w:t>
      </w:r>
      <w:r>
        <w:rPr>
          <w:color w:val="000000" w:themeColor="text1"/>
        </w:rPr>
        <w:t xml:space="preserve">, the most prevalent type of cancer in IBD, depends on the characteristics of the studied population, it is commonly recognized that young age at the onset of colitis, anatomical </w:t>
      </w:r>
      <w:r w:rsidR="00F92538">
        <w:rPr>
          <w:color w:val="000000" w:themeColor="text1"/>
        </w:rPr>
        <w:t>location</w:t>
      </w:r>
      <w:r>
        <w:rPr>
          <w:color w:val="000000" w:themeColor="text1"/>
        </w:rPr>
        <w:t xml:space="preserve">, long duration of the disease, and family history of </w:t>
      </w:r>
      <w:r w:rsidR="00023F48">
        <w:rPr>
          <w:color w:val="000000" w:themeColor="text1"/>
        </w:rPr>
        <w:t>CRC</w:t>
      </w:r>
      <w:r>
        <w:rPr>
          <w:color w:val="000000" w:themeColor="text1"/>
        </w:rPr>
        <w:t xml:space="preserve"> are the major risk factors </w:t>
      </w:r>
      <w:r>
        <w:rPr>
          <w:color w:val="000000" w:themeColor="text1"/>
        </w:rPr>
        <w:fldChar w:fldCharType="begin" w:fldLock="1"/>
      </w:r>
      <w:r w:rsidR="006465A0">
        <w:rPr>
          <w:color w:val="000000" w:themeColor="text1"/>
        </w:rPr>
        <w:instrText>ADDIN CSL_CITATION {"citationItems":[{"id":"ITEM-1","itemData":{"DOI":"10.3748/wjg.v20.i44.16389","ISSN":"22192840","PMID":"25469007","abstract":"The association between ulcerative colitis (UC) and colorectal cancer (CRC) has been acknowledged. One of the most serious and life threatening consequences of UC is the development of CRC (UC-CRC). UC-CRC patients are younger, more frequently have multiple cancerous lesions, and histologically show mucinous or signet ring cell carcinomas. The risk of CRC begins to increase 8 or 10 years after the diagnosis of UC. Risk factors for CRC with UC patients include young age at diagnosis, longer duration, greater anatomical extent of colonic involvement, the degree of inflammation, family history of CRC, and presence of primary sclerosing cholangitis. CRC on the ground of UC develop from non-dysplastic mucosa to indefinite dysplasia, lowgrade dysplasia, high-grade dysplasia and finally to invasive adenocarcinoma. Colonoscopy surveillance programs are recommended to reduce the risk of CRC and mortality in UC. Genetic alterations might play a role in the development of UC-CRC. 5-aminosalicylates might represent a favorable therapeutic option for chemoprevention of CRC.","author":[{"dropping-particle":"","family":"Yashiro","given":"Masakazu","non-dropping-particle":"","parse-names":false,"suffix":""}],"container-title":"World Journal of Gastroenterology","id":"ITEM-1","issue":"44","issued":{"date-parts":[["2014","11","28"]]},"page":"16389-16397","publisher":"WJG Press","title":"Ulcerative colitis-associated colorectal cancer","type":"article-journal","volume":"20"},"uris":["http://www.mendeley.com/documents/?uuid=0c061a43-8ceb-3524-b275-3524731fdd5b"]}],"mendeley":{"formattedCitation":"[13]","plainTextFormattedCitation":"[13]","previouslyFormattedCitation":"[13]"},"properties":{"noteIndex":0},"schema":"https://github.com/citation-style-language/schema/raw/master/csl-citation.json"}</w:instrText>
      </w:r>
      <w:r>
        <w:rPr>
          <w:color w:val="000000" w:themeColor="text1"/>
        </w:rPr>
        <w:fldChar w:fldCharType="separate"/>
      </w:r>
      <w:r w:rsidR="00BA0E53" w:rsidRPr="00BA0E53">
        <w:rPr>
          <w:noProof/>
          <w:color w:val="000000" w:themeColor="text1"/>
        </w:rPr>
        <w:t>[13]</w:t>
      </w:r>
      <w:r>
        <w:rPr>
          <w:color w:val="000000" w:themeColor="text1"/>
        </w:rPr>
        <w:fldChar w:fldCharType="end"/>
      </w:r>
      <w:r>
        <w:rPr>
          <w:color w:val="000000" w:themeColor="text1"/>
        </w:rPr>
        <w:t xml:space="preserve">. </w:t>
      </w:r>
    </w:p>
    <w:p w14:paraId="75D4FB21" w14:textId="5BDBC05C" w:rsidR="00943C22" w:rsidRDefault="00943C22" w:rsidP="00DD0AC8">
      <w:pPr>
        <w:spacing w:line="480" w:lineRule="auto"/>
        <w:ind w:firstLine="720"/>
        <w:rPr>
          <w:color w:val="000000" w:themeColor="text1"/>
          <w:lang w:val="es-CO"/>
        </w:rPr>
      </w:pPr>
      <w:r>
        <w:rPr>
          <w:color w:val="000000" w:themeColor="text1"/>
        </w:rPr>
        <w:t xml:space="preserve">Management of IBD is personalized based on disease severity, anatomic location, underlying complications, potential adverse effects, and previous response to medication </w:t>
      </w:r>
      <w:r>
        <w:rPr>
          <w:color w:val="000000" w:themeColor="text1"/>
        </w:rPr>
        <w:fldChar w:fldCharType="begin" w:fldLock="1"/>
      </w:r>
      <w:r w:rsidR="006465A0">
        <w:rPr>
          <w:color w:val="000000" w:themeColor="text1"/>
        </w:rPr>
        <w:instrText>ADDIN CSL_CITATION {"citationItems":[{"id":"ITEM-1","itemData":{"author":[{"dropping-particle":"","family":"Crohn's and Colitis Foundation of America","given":"","non-dropping-particle":"","parse-names":false,"suffix":""}],"container-title":"The facts about inflammatory bowel diseases","id":"ITEM-1","issued":{"date-parts":[["2014"]]},"page":"1 - 24","title":"Crohn's and Colitis Foundation","type":"webpage"},"uris":["http://www.mendeley.com/documents/?uuid=78db2156-04ee-40a8-bd24-620a51060139"]},{"id":"ITEM-2","itemData":{"DOI":"10.1016/j.jaut.2015.07.013","ISSN":"10959157","PMID":"26257098","abstract":"The major inflammatory bowel diseases, Crohn's disease and ulcerative colitis, are both debilitating disorders of the gastrointestinal tract, characterized by a dysregulated immune response to unknown environmental triggers. Both disorders have an important and overlapping genetic component, and much progress has been made in the last 20 years at elucidating some of the specific factors contributing to disease pathogenesis. Here we review our growing understanding of the immunogenetics of inflammatory bowel disease, from the twin studies that first implicated a role for the genome in disease susceptibility to the latest genome-wide association studies that have identified hundreds of associated loci. We consider the insight this offers into the biological mechanisms of the inflammatory bowel diseases, such as autophagy, barrier defence and T-cell differentiation signalling. We reflect on these findings in the context of other immune-related disorders, both common and rare. These observations include links both obvious, such as to pediatric colitis, and more surprising, such as to leprosy. As a changing picture of the underlying genetic architecture emerges, we turn to future directions for the study of complex human diseases such as these, including the use of next generation sequencing technologies for the identification of rarer risk alleles, and potential approaches for narrowing down associated loci to casual variants. We consider the implications of this work for translation into clinical practice, for example via early therapeutic hypotheses arising from our improved understanding of the biology of inflammatory bowel disease. Finally, we present potential opportunities to better understand environmental risk factors, such as the human microbiota in the context of immunogenetics.","author":[{"dropping-particle":"","family":"Lange","given":"Katrina M.","non-dropping-particle":"de","parse-names":false,"suffix":""},{"dropping-particle":"","family":"Barrett","given":"Jeffrey C.","non-dropping-particle":"","parse-names":false,"suffix":""}],"container-title":"Journal of Autoimmunity","id":"ITEM-2","issued":{"date-parts":[["2015","11","1"]]},"page":"91-100","publisher":"Academic Press","title":"Understanding inflammatory bowel disease via immunogenetics","type":"article","volume":"64"},"uris":["http://www.mendeley.com/documents/?uuid=c2ceeb07-d982-3eee-a80b-80e5832f1c0a"]}],"mendeley":{"formattedCitation":"[4,14]","plainTextFormattedCitation":"[4,14]","previouslyFormattedCitation":"[4,14]"},"properties":{"noteIndex":0},"schema":"https://github.com/citation-style-language/schema/raw/master/csl-citation.json"}</w:instrText>
      </w:r>
      <w:r>
        <w:rPr>
          <w:color w:val="000000" w:themeColor="text1"/>
        </w:rPr>
        <w:fldChar w:fldCharType="separate"/>
      </w:r>
      <w:r w:rsidR="00BA0E53" w:rsidRPr="00BA0E53">
        <w:rPr>
          <w:noProof/>
          <w:color w:val="000000" w:themeColor="text1"/>
        </w:rPr>
        <w:t>[4,14]</w:t>
      </w:r>
      <w:r>
        <w:rPr>
          <w:color w:val="000000" w:themeColor="text1"/>
        </w:rPr>
        <w:fldChar w:fldCharType="end"/>
      </w:r>
      <w:r>
        <w:rPr>
          <w:color w:val="000000" w:themeColor="text1"/>
        </w:rPr>
        <w:t xml:space="preserve">. Current pharmacological alternatives include short interventions with corticosteroids to induce remission in periods of active flares, and individual or combined therapy with aminosalicylates, immunomodulators, antimetabolites, and biologics to maintain remission, which are regularly accompanied by parenteral nutrition and nutrition supplementation to overcome malnutrition complications </w:t>
      </w:r>
      <w:r>
        <w:rPr>
          <w:color w:val="000000" w:themeColor="text1"/>
        </w:rPr>
        <w:fldChar w:fldCharType="begin" w:fldLock="1"/>
      </w:r>
      <w:r w:rsidR="006465A0">
        <w:rPr>
          <w:color w:val="000000" w:themeColor="text1"/>
        </w:rPr>
        <w:instrText>ADDIN CSL_CITATION {"citationItems":[{"id":"ITEM-1","itemData":{"DOI":"10.1016/j.cppeds.2020.100785","ISSN":"15383199","PMID":"32402535","abstract":"Worldwide incidence of inflammatory bowel disease (IBD) is stable in developed countries, but rising in developing countries. Presenting symptoms of IBD can be highly variable. New imaging modalities, a greater armamentarium of therapeutic options, and a greater understanding of complication risks have changed the diagnosis and management of pediatric inflammatory bowel diseases. Effective teamwork among those who care for pediatric patients with IBD minimizes complications and maximizes desired outcomes.","author":[{"dropping-particle":"","family":"Sandberg","given":"Kelly","non-dropping-particle":"","parse-names":false,"suffix":""},{"dropping-particle":"","family":"Yarger","given":"Elizabeth","non-dropping-particle":"","parse-names":false,"suffix":""},{"dropping-particle":"","family":"Saeed","given":"Shehzad","non-dropping-particle":"","parse-names":false,"suffix":""}],"container-title":"Current Problems in Pediatric and Adolescent Health Care","id":"ITEM-1","issue":"5","issued":{"date-parts":[["2020","5","1"]]},"page":"100785","publisher":"Mosby Inc.","title":"Updates in diagnosis and management of inflammatory bowel disease","type":"article-journal","volume":"50"},"uris":["http://www.mendeley.com/documents/?uuid=80479239-2af5-3ec1-9970-328457862a0b"]}],"mendeley":{"formattedCitation":"[15]","plainTextFormattedCitation":"[15]","previouslyFormattedCitation":"[15]"},"properties":{"noteIndex":0},"schema":"https://github.com/citation-style-language/schema/raw/master/csl-citation.json"}</w:instrText>
      </w:r>
      <w:r>
        <w:rPr>
          <w:color w:val="000000" w:themeColor="text1"/>
        </w:rPr>
        <w:fldChar w:fldCharType="separate"/>
      </w:r>
      <w:r w:rsidR="00BA0E53" w:rsidRPr="00BA0E53">
        <w:rPr>
          <w:noProof/>
          <w:color w:val="000000" w:themeColor="text1"/>
        </w:rPr>
        <w:t>[15]</w:t>
      </w:r>
      <w:r>
        <w:rPr>
          <w:color w:val="000000" w:themeColor="text1"/>
        </w:rPr>
        <w:fldChar w:fldCharType="end"/>
      </w:r>
      <w:r>
        <w:rPr>
          <w:color w:val="000000" w:themeColor="text1"/>
        </w:rPr>
        <w:t xml:space="preserve">. These therapeutics act as immunosuppressants, resulting in an inherently increased risk of opportunistic infections, and have been associated with adverse effects such as peptic ulcers, renal dysfunction, hepatotoxicity, pancreatitis, pulmonary fibrosis, hypertension, and increased risk of </w:t>
      </w:r>
      <w:r w:rsidR="00023F48">
        <w:rPr>
          <w:color w:val="000000" w:themeColor="text1"/>
        </w:rPr>
        <w:t xml:space="preserve">other </w:t>
      </w:r>
      <w:r>
        <w:rPr>
          <w:color w:val="000000" w:themeColor="text1"/>
        </w:rPr>
        <w:t xml:space="preserve">malignancies </w:t>
      </w:r>
      <w:r>
        <w:rPr>
          <w:color w:val="000000" w:themeColor="text1"/>
          <w:lang w:val="es-CO"/>
        </w:rPr>
        <w:fldChar w:fldCharType="begin" w:fldLock="1"/>
      </w:r>
      <w:r w:rsidR="006465A0">
        <w:rPr>
          <w:color w:val="000000" w:themeColor="text1"/>
        </w:rPr>
        <w:instrText>ADDIN CSL_CITATION {"citationItems":[{"id":"ITEM-1","itemData":{"DOI":"10.1016/j.bpg.2009.10.011","ISSN":"15216918","PMID":"20227029","abstract":"Drugs used for treating inflammatory bowel disease are known to have a number of gastrointestinal and liver adverse effects. 5-ASA products are relatively safe and have few adverse events. In contrast sulfasalazine has side effects in 11-40% of treated patients including fatigue, nausea, abdominal pain and diarrhoea. Glucocorticoids can induce or propagate peptic ulcers and upper GI bleeding especially in combination with NSAIDs. Thioguanins may have severe gastrointestinal side effects including gastrointestinal complaints (in up to 12%), hepatotoxicity (up to 4%) and pancreatitis (1%). Nodular regenerative hyperplasia (NRH) is an important potential side effect of thiopurine therapy especially in men with Crohn's disease after ileocecal resection. NRH may ultimately lead to portal hypertension. A major concern of methotrexate therapy in IBD besides myelosuppression and pulmonary fibrosis is hepatotoxicity. 5 mg of folic acid substitution per week potentially decreases gastrointestinal side effects by 80% without interfering with the efficacy of methotrexate. Besides renal dysfunction, tremor, hirsutism, hypertension and gum hyperplasia cyclosporine is known to have a number of gastrointestinal side effects that occur with less frequency such as diarrhoea (up to 8%) nausea and vomiting (up to 10%) and hepatotoxicity in 1-4%. Rare gastrointestinal adverse events are gastritis and peptic ulcers. Paying attention to these potential deleterious side effects is mandatory for physicians treating IBD patients. © 2009 Elsevier Ltd. All rights reserved.","author":[{"dropping-particle":"","family":"Rogler","given":"Gerhard","non-dropping-particle":"","parse-names":false,"suffix":""}],"container-title":"Best Practice and Research: Clinical Gastroenterology","id":"ITEM-1","issue":"2","issued":{"date-parts":[["2010","4","1"]]},"page":"157-165","publisher":"Baillière Tindall","title":"Gastrointestinal and liver adverse effects of drugs used for treating IBD","type":"article-journal","volume":"24"},"uris":["http://www.mendeley.com/documents/?uuid=6b129fa1-22ec-339e-ba5f-157d0970737f"]},{"id":"ITEM-2","itemData":{"DOI":"10.1016/j.bpg.2010.01.002","ISSN":"15216918","PMID":"20227030","abstract":"In the last decade, biologic agents, in particular anti-TNF agents such as infliximab, adalimumab, and certolizumab have substantially extended the therapeutic armamentarium of inflammatory bowel disease (IBD). Additional approaches include biologicals, such as natalizumab, that block leucocyte adhesion; those that target cytokines, such as interleukin-12/23 antibodies; or those that inhibit T-cell signaling, such as interleukin-6 receptor antibodies. However, these drugs have a number of contraindications and side effects, especially when used in combination with classical immunosuppressive agents or corticosteroids. Areas of concern include opportunistic infections, malignancies, and miscellaneous complications such as injection/infusion reactions and autoimmunity and contraindications, such as heart failure and acute infectious diseases. In this review, the indications of biologicals in IBD treatment are briefly reported, and the potential disadvantages of a more active therapeutic approach in IBD are discussed. We have learned in the last decade that anti-TNF-α therapy is an effective and relatively safe treatment option for selected patients that changes the natural course of severe IBD. However, despite these changed therapeutic paradigms and goals in IBD, clinicians should be aware that the powerful immunosuppressive capacity of biologicals necessitates a rigorous long-term safety follow-up. © 2010 Elsevier Ltd. All rights reserved.","author":[{"dropping-particle":"","family":"Stallmach","given":"Andreas","non-dropping-particle":"","parse-names":false,"suffix":""},{"dropping-particle":"","family":"Hagel","given":"Stefan","non-dropping-particle":"","parse-names":false,"suffix":""},{"dropping-particle":"","family":"Bruns","given":"Tony","non-dropping-particle":"","parse-names":false,"suffix":""}],"container-title":"Best Practice and Research: Clinical Gastroenterology","id":"ITEM-2","issue":"2","issued":{"date-parts":[["2010","4","1"]]},"page":"167-182","publisher":"Baillière Tindall","title":"Adverse effects of biologics used for treating IBD","type":"article-journal","volume":"24"},"uris":["http://www.mendeley.com/documents/?uuid=e3be423c-6f32-3889-9ba6-d1feb4b98a17"]}],"mendeley":{"formattedCitation":"[16,17]","plainTextFormattedCitation":"[16,17]","previouslyFormattedCitation":"[16,17]"},"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lang w:val="es-CO"/>
        </w:rPr>
        <w:t>[16,17]</w:t>
      </w:r>
      <w:r>
        <w:rPr>
          <w:color w:val="000000" w:themeColor="text1"/>
          <w:lang w:val="es-CO"/>
        </w:rPr>
        <w:fldChar w:fldCharType="end"/>
      </w:r>
      <w:r>
        <w:rPr>
          <w:color w:val="000000" w:themeColor="text1"/>
          <w:lang w:val="es-CO"/>
        </w:rPr>
        <w:t xml:space="preserve">. </w:t>
      </w:r>
    </w:p>
    <w:p w14:paraId="06B32A1C" w14:textId="45D91F0E" w:rsidR="00943C22" w:rsidRPr="00943C22" w:rsidRDefault="00394029" w:rsidP="001311E7">
      <w:pPr>
        <w:pStyle w:val="Heading3"/>
        <w:spacing w:before="0" w:after="0" w:line="480" w:lineRule="auto"/>
        <w:rPr>
          <w:i w:val="0"/>
        </w:rPr>
      </w:pPr>
      <w:bookmarkStart w:id="5" w:name="_Toc77082089"/>
      <w:r>
        <w:rPr>
          <w:i w:val="0"/>
        </w:rPr>
        <w:lastRenderedPageBreak/>
        <w:t xml:space="preserve">1.2.2 </w:t>
      </w:r>
      <w:r w:rsidR="00943C22" w:rsidRPr="00943C22">
        <w:rPr>
          <w:i w:val="0"/>
        </w:rPr>
        <w:t xml:space="preserve">Risk factors contributing to the pathogenesis of </w:t>
      </w:r>
      <w:bookmarkEnd w:id="5"/>
      <w:r w:rsidR="00916B9A" w:rsidRPr="00943C22">
        <w:rPr>
          <w:i w:val="0"/>
        </w:rPr>
        <w:t>IBD.</w:t>
      </w:r>
    </w:p>
    <w:p w14:paraId="76044577" w14:textId="2B1B2D2F" w:rsidR="002E0B22" w:rsidRDefault="00943C22" w:rsidP="001311E7">
      <w:pPr>
        <w:spacing w:line="480" w:lineRule="auto"/>
        <w:ind w:firstLine="720"/>
        <w:rPr>
          <w:color w:val="000000" w:themeColor="text1"/>
        </w:rPr>
      </w:pPr>
      <w:r>
        <w:rPr>
          <w:color w:val="000000" w:themeColor="text1"/>
        </w:rPr>
        <w:t xml:space="preserve">Although no agreement has been reached about the specific cause of IBD, important signs of progress have been made revealing the interplay between internal and external factors that include genetic susceptibility of the host, environmental triggers, intestinal microbiota, the immune system, and the intestinal epithelial barrier </w:t>
      </w:r>
      <w:r>
        <w:rPr>
          <w:color w:val="000000" w:themeColor="text1"/>
        </w:rPr>
        <w:fldChar w:fldCharType="begin" w:fldLock="1"/>
      </w:r>
      <w:r w:rsidR="006465A0">
        <w:rPr>
          <w:color w:val="000000" w:themeColor="text1"/>
        </w:rPr>
        <w:instrText>ADDIN CSL_CITATION {"citationItems":[{"id":"ITEM-1","itemData":{"DOI":"10.1080/1040841X.2021.1876631","ISSN":"15497828","PMID":"33576711","abstract":"Human gut microbiota contributes to host nutrition and metabolism, sustains intestinal cell proliferation and differentiation, and modulates host immune system. The alterations in their composition lead to severe gut disorders, including inflammatory bowel disease (IBD) or inflammatory bowel syndrome (IBS). IBD including ulcerative colitis (UC) and Crohn’s disease (CD) are gamut of chronic inflammatory disorders of gut, mediated by complex interrelations among genetic, environmental, and internal factors. IBD has debateable aetiology, however in recent years, exploring the central role of a tri-directional relationship between gut microbiota, mucosal immune system, and intestinal epithelium in pathogenesis is getting the most attention. Increasing incidences and early onset explains the exponential rise in IBD burden on health-care systems. Industrialization, hypersensitivity to allergens, lifestyle, hygiene hypothesis, loss of intestinal worms, and gut microbial composition, explains this shifted rise. Hitherto, the interventions modulating gut microbiota composition, microfluidics-based in vitro gastrointestinal models, non-allergic functional foods, nutraceuticals, and faecal microbiota transplantation (FMT) from healthy donors are some of the futuristic approaches for the disease management.","author":[{"dropping-particle":"","family":"Ahlawat","given":"Shruti","non-dropping-particle":"","parse-names":false,"suffix":""},{"dropping-particle":"","family":"Kumar","given":"Pramod","non-dropping-particle":"","parse-names":false,"suffix":""},{"dropping-particle":"","family":"Mohan","given":"Hari","non-dropping-particle":"","parse-names":false,"suffix":""},{"dropping-particle":"","family":"Goyal","given":"Sandeep","non-dropping-particle":"","parse-names":false,"suffix":""},{"dropping-particle":"","family":"Sharma","given":"Krishna Kant","non-dropping-particle":"","parse-names":false,"suffix":""}],"container-title":"Critical Reviews in Microbiology","id":"ITEM-1","issue":"2","issued":{"date-parts":[["2021"]]},"page":"254-273","publisher":"Taylor and Francis Ltd.","title":"Inflammatory bowel disease: tri-directional relationship between microbiota, immune system and intestinal epithelium","type":"article","volume":"47"},"uris":["http://www.mendeley.com/documents/?uuid=c2ffcaf1-bd92-3eb6-bf3c-34c83d553ab2"]}],"mendeley":{"formattedCitation":"[18]","plainTextFormattedCitation":"[18]","previouslyFormattedCitation":"[18]"},"properties":{"noteIndex":0},"schema":"https://github.com/citation-style-language/schema/raw/master/csl-citation.json"}</w:instrText>
      </w:r>
      <w:r>
        <w:rPr>
          <w:color w:val="000000" w:themeColor="text1"/>
        </w:rPr>
        <w:fldChar w:fldCharType="separate"/>
      </w:r>
      <w:r w:rsidR="00BA0E53" w:rsidRPr="00BA0E53">
        <w:rPr>
          <w:noProof/>
          <w:color w:val="000000" w:themeColor="text1"/>
        </w:rPr>
        <w:t>[18]</w:t>
      </w:r>
      <w:r>
        <w:rPr>
          <w:color w:val="000000" w:themeColor="text1"/>
        </w:rPr>
        <w:fldChar w:fldCharType="end"/>
      </w:r>
      <w:r>
        <w:rPr>
          <w:color w:val="000000" w:themeColor="text1"/>
        </w:rPr>
        <w:t xml:space="preserve">. </w:t>
      </w:r>
    </w:p>
    <w:p w14:paraId="1CE9DC05" w14:textId="12E27329" w:rsidR="002E0B22" w:rsidRDefault="002E0B22" w:rsidP="00DD0AC8">
      <w:pPr>
        <w:spacing w:line="480" w:lineRule="auto"/>
        <w:rPr>
          <w:bCs/>
          <w:i/>
        </w:rPr>
      </w:pPr>
      <w:r>
        <w:rPr>
          <w:bCs/>
          <w:i/>
        </w:rPr>
        <w:t xml:space="preserve">1.2.2.1 </w:t>
      </w:r>
      <w:r w:rsidR="00943C22" w:rsidRPr="002E0B22">
        <w:rPr>
          <w:bCs/>
          <w:i/>
        </w:rPr>
        <w:t>Genetic susceptibility</w:t>
      </w:r>
    </w:p>
    <w:p w14:paraId="79D2E795" w14:textId="17FA2787" w:rsidR="002E0B22" w:rsidRDefault="00943C22" w:rsidP="001311E7">
      <w:pPr>
        <w:spacing w:line="480" w:lineRule="auto"/>
        <w:ind w:firstLine="720"/>
        <w:rPr>
          <w:color w:val="000000" w:themeColor="text1"/>
        </w:rPr>
      </w:pPr>
      <w:r>
        <w:rPr>
          <w:color w:val="000000" w:themeColor="text1"/>
        </w:rPr>
        <w:t>As reviewed by De Lange and Barret, 163 susceptibility loci associated with the epithelial barrier (</w:t>
      </w:r>
      <w:r>
        <w:rPr>
          <w:i/>
          <w:iCs/>
          <w:color w:val="000000" w:themeColor="text1"/>
        </w:rPr>
        <w:t>CDH1, ERRF11</w:t>
      </w:r>
      <w:r>
        <w:rPr>
          <w:color w:val="000000" w:themeColor="text1"/>
        </w:rPr>
        <w:t>), innate mucosal defense (</w:t>
      </w:r>
      <w:r>
        <w:rPr>
          <w:i/>
          <w:iCs/>
          <w:color w:val="000000" w:themeColor="text1"/>
        </w:rPr>
        <w:t>CARD9, NOD2</w:t>
      </w:r>
      <w:r>
        <w:rPr>
          <w:color w:val="000000" w:themeColor="text1"/>
        </w:rPr>
        <w:t>), autophagy (</w:t>
      </w:r>
      <w:r>
        <w:rPr>
          <w:i/>
          <w:iCs/>
          <w:color w:val="000000" w:themeColor="text1"/>
        </w:rPr>
        <w:t>CUL2, DAP</w:t>
      </w:r>
      <w:r>
        <w:rPr>
          <w:color w:val="000000" w:themeColor="text1"/>
        </w:rPr>
        <w:t>), apoptosis (</w:t>
      </w:r>
      <w:r>
        <w:rPr>
          <w:i/>
          <w:iCs/>
          <w:color w:val="000000" w:themeColor="text1"/>
        </w:rPr>
        <w:t>MST1, PUS10</w:t>
      </w:r>
      <w:r>
        <w:rPr>
          <w:color w:val="000000" w:themeColor="text1"/>
        </w:rPr>
        <w:t>), activation and regulation of adaptive immune response (</w:t>
      </w:r>
      <w:r>
        <w:rPr>
          <w:i/>
          <w:iCs/>
          <w:color w:val="000000" w:themeColor="text1"/>
        </w:rPr>
        <w:t>JAK2, STAT3, NFKB1, REL</w:t>
      </w:r>
      <w:r>
        <w:rPr>
          <w:color w:val="000000" w:themeColor="text1"/>
        </w:rPr>
        <w:t>), as well as those involved in cytokines production (</w:t>
      </w:r>
      <w:r>
        <w:rPr>
          <w:i/>
          <w:iCs/>
          <w:color w:val="000000" w:themeColor="text1"/>
        </w:rPr>
        <w:t>TNF-</w:t>
      </w:r>
      <w:r>
        <w:rPr>
          <w:i/>
          <w:iCs/>
          <w:color w:val="000000" w:themeColor="text1"/>
          <w:lang w:val="es-CO"/>
        </w:rPr>
        <w:t>α</w:t>
      </w:r>
      <w:r>
        <w:rPr>
          <w:i/>
          <w:iCs/>
          <w:color w:val="000000" w:themeColor="text1"/>
        </w:rPr>
        <w:t>, IL-12</w:t>
      </w:r>
      <w:r>
        <w:rPr>
          <w:color w:val="000000" w:themeColor="text1"/>
        </w:rPr>
        <w:t xml:space="preserve">) and IL-10 signaling, just to name a few, have been identified as directly implicated with the disease. Among the identified genes, 30 variants are specific for CD, 23 for UC, and the remaining 110 were associated with the two phenotypes, indicating a high level of overlap in the biological mechanisms involved  </w:t>
      </w:r>
      <w:r>
        <w:rPr>
          <w:color w:val="000000" w:themeColor="text1"/>
          <w:lang w:val="es-CO"/>
        </w:rPr>
        <w:fldChar w:fldCharType="begin" w:fldLock="1"/>
      </w:r>
      <w:r w:rsidR="006465A0">
        <w:rPr>
          <w:color w:val="000000" w:themeColor="text1"/>
        </w:rPr>
        <w:instrText>ADDIN CSL_CITATION {"citationItems":[{"id":"ITEM-1","itemData":{"DOI":"10.1016/j.jaut.2015.07.013","ISSN":"10959157","PMID":"26257098","abstract":"The major inflammatory bowel diseases, Crohn's disease and ulcerative colitis, are both debilitating disorders of the gastrointestinal tract, characterized by a dysregulated immune response to unknown environmental triggers. Both disorders have an important and overlapping genetic component, and much progress has been made in the last 20 years at elucidating some of the specific factors contributing to disease pathogenesis. Here we review our growing understanding of the immunogenetics of inflammatory bowel disease, from the twin studies that first implicated a role for the genome in disease susceptibility to the latest genome-wide association studies that have identified hundreds of associated loci. We consider the insight this offers into the biological mechanisms of the inflammatory bowel diseases, such as autophagy, barrier defence and T-cell differentiation signalling. We reflect on these findings in the context of other immune-related disorders, both common and rare. These observations include links both obvious, such as to pediatric colitis, and more surprising, such as to leprosy. As a changing picture of the underlying genetic architecture emerges, we turn to future directions for the study of complex human diseases such as these, including the use of next generation sequencing technologies for the identification of rarer risk alleles, and potential approaches for narrowing down associated loci to casual variants. We consider the implications of this work for translation into clinical practice, for example via early therapeutic hypotheses arising from our improved understanding of the biology of inflammatory bowel disease. Finally, we present potential opportunities to better understand environmental risk factors, such as the human microbiota in the context of immunogenetics.","author":[{"dropping-particle":"","family":"Lange","given":"Katrina M.","non-dropping-particle":"de","parse-names":false,"suffix":""},{"dropping-particle":"","family":"Barrett","given":"Jeffrey C.","non-dropping-particle":"","parse-names":false,"suffix":""}],"container-title":"Journal of Autoimmunity","id":"ITEM-1","issued":{"date-parts":[["2015","11","1"]]},"page":"91-100","publisher":"Academic Press","title":"Understanding inflammatory bowel disease via immunogenetics","type":"article","volume":"64"},"uris":["http://www.mendeley.com/documents/?uuid=c2ceeb07-d982-3eee-a80b-80e5832f1c0a"]}],"mendeley":{"formattedCitation":"[14]","plainTextFormattedCitation":"[14]","previouslyFormattedCitation":"[14]"},"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[14]</w:t>
      </w:r>
      <w:r>
        <w:rPr>
          <w:color w:val="000000" w:themeColor="text1"/>
          <w:lang w:val="es-CO"/>
        </w:rPr>
        <w:fldChar w:fldCharType="end"/>
      </w:r>
      <w:r>
        <w:rPr>
          <w:color w:val="000000" w:themeColor="text1"/>
        </w:rPr>
        <w:t xml:space="preserve">. Although common variants can only explain 19% and 26% of the inheritability of UC and CD respectively </w:t>
      </w:r>
      <w:r>
        <w:rPr>
          <w:color w:val="000000" w:themeColor="text1"/>
          <w:lang w:val="es-CO"/>
        </w:rPr>
        <w:fldChar w:fldCharType="begin" w:fldLock="1"/>
      </w:r>
      <w:r w:rsidR="006465A0">
        <w:rPr>
          <w:color w:val="000000" w:themeColor="text1"/>
        </w:rPr>
        <w:instrText>ADDIN CSL_CITATION {"citationItems":[{"id":"ITEM-1","itemData":{"DOI":"10.1093/hmg/ddu174","ISSN":"14602083","PMID":"24728037","abstract":"As custom arrays are cheaper than generic GWAS arrays, larger sample size is achievable for gene discovery. Custom arrays can tag more variants through denser genotyping of SNPs at associated loci, but at the cost of losing genome-wide coverage. Balancing this trade-off is important for maximizing experimental designs. We quantified both the gain in captured SNP-heritability at known candidate regions and the loss due to imperfect genome-wide coverage for inflammatory bowel disease using immunochip (iChip) and imputed GWAS data on 61 251 and 38 550 samples, respectively. For Crohn's disease (CD), the iChip and GWAS data explained 19 and 26% of variation in liability, respectively, and SNPs in the densely genotyped iChip regions explained 13% of the SNP-heritability for both the iChip and GWAS data. For ulcerative colitis (UC), the iChip and GWAS data explained 15 and 19% of variation in liability, respectively, and the dense iChip regions explained 10 and 9% of the SNP-heritability in the iChip and the GWAS data. From bivariate analyses, estimates of the genetic correlation in risk between CD and UC were 0.75 (SE 0.017) and 0.62 (SE 0.042) for the iChip and GWAS data, respectively. We also quantified the SNP-heritability of genomic regions that did or did not contain the previous 163 GWAS hits for CD and UC, and SNP-heritability of the overlapping loci between the densely genotyped iChip regions and the 163 GWAS hits. For both diseases, over different genomic partitioning, the densely genotyped regions on the iChip tagged at least as much variation in liability as in the corresponding regions in the GWAS data, however a certain amount of tagged SNP-heritability in the GWAS datawas lost using the iChip due to the low coverage at unselected regions. These results imply that custom arrays with a GWAS back bone will facilitatemore gene discovery, bothat associated and novel loci. © The Author 2014. Published by Oxford University Press. All rights reserved.","author":[{"dropping-particle":"","family":"Chen","given":"Guo Bo","non-dropping-particle":"","parse-names":false,"suffix":""},{"dropping-particle":"","family":"Lee","given":"Sang Hong","non-dropping-particle":"","parse-names":false,"suffix":""},{"dropping-particle":"","family":"Brion","given":"Marie Jo A.","non-dropping-particle":"","parse-names":false,"suffix":""},{"dropping-particle":"","family":"Montgomery","given":"Grant W.","non-dropping-particle":"","parse-names":false,"suffix":""},{"dropping-particle":"","family":"Wray","given":"Naomi R.","non-dropping-particle":"","parse-names":false,"suffix":""},{"dropping-particle":"","family":"Radford-Smith","given":"Graham L.","non-dropping-particle":"","parse-names":false,"suffix":""},{"dropping-particle":"","family":"Visscher","given":"Peter M.","non-dropping-particle":"","parse-names":false,"suffix":""}],"container-title":"Human Molecular Genetics","id":"ITEM-1","issue":"17","issued":{"date-parts":[["2014"]]},"page":"4710-4720","publisher":"Oxford University Press","title":"Estimation and partitioning of (co)heritability of inflammatory bowel disease from GWAS and immunochip data","type":"article-journal","volume":"23"},"uris":["http://www.mendeley.com/documents/?uuid=85bf937c-a4d1-3ea5-9fc8-fdbceb40cdf6"]}],"mendeley":{"formattedCitation":"[19]","plainTextFormattedCitation":"[19]","previouslyFormattedCitation":"[19]"},"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[19]</w:t>
      </w:r>
      <w:r>
        <w:rPr>
          <w:color w:val="000000" w:themeColor="text1"/>
          <w:lang w:val="es-CO"/>
        </w:rPr>
        <w:fldChar w:fldCharType="end"/>
      </w:r>
      <w:r>
        <w:rPr>
          <w:color w:val="000000" w:themeColor="text1"/>
        </w:rPr>
        <w:t>, the finding of low frequency or rare variants strongly associated with chronic bowel inflammation, such as the X-linked inhibitor of apoptosis (XIAP)</w:t>
      </w:r>
      <w:r w:rsidR="00BD55C9">
        <w:rPr>
          <w:color w:val="000000" w:themeColor="text1"/>
        </w:rPr>
        <w:t xml:space="preserve"> </w:t>
      </w:r>
      <w:r>
        <w:rPr>
          <w:color w:val="000000" w:themeColor="text1"/>
          <w:lang w:val="es-CO"/>
        </w:rPr>
        <w:fldChar w:fldCharType="begin" w:fldLock="1"/>
      </w:r>
      <w:r w:rsidR="006465A0">
        <w:rPr>
          <w:color w:val="000000" w:themeColor="text1"/>
        </w:rPr>
        <w:instrText>ADDIN CSL_CITATION {"citationItems":[{"id":"ITEM-1","itemData":{"DOI":"10.1186/s12887-015-0522-5","ISSN":"14712431","PMID":"26671016","abstract":"Background: Aggressive course and resistance to treatments usually characterize very early onset inflammatory bowel disease (VEO-IBD). Some VEO-IBD cases are due to monogenic immune defects and can benefit from hematopoietic stem cell transplantation (HSCT). Case presentation: We describe a Caucasian male baby who presented in the first months of life macrophage activation syndrome, followed by intractable colitis, recurrent episodes of fever and mild splenomegaly. After several immunological, genetic and clinical investigations, subsequently a therapeutic attempt with colectomy, analysis of VEO-IBD-associated genes, revealed a causative mutation in XIAP. The genetic diagnosis of a primary immune deficiency allowed curing the boy with hematopoietic stem cell transplantation. Conclusion: Our report, together with novel findings from recent literature, should contribute to increase awareness of monogenic immune defects as a cause of VEO-IBD. Comprehensive genetic analysis can allow a prompt diagnosis, resulting in the choice of effective treatments and sparing useless and damaging procedures.","author":[{"dropping-particle":"","family":"Girardelli","given":"Martina","non-dropping-particle":"","parse-names":false,"suffix":""},{"dropping-particle":"","family":"Arrigo","given":"Serena","non-dropping-particle":"","parse-names":false,"suffix":""},{"dropping-particle":"","family":"Barabino","given":"Arrigo","non-dropping-particle":"","parse-names":false,"suffix":""},{"dropping-particle":"","family":"Loganes","given":"Claudia","non-dropping-particle":"","parse-names":false,"suffix":""},{"dropping-particle":"","family":"Morreale","given":"Giuseppe","non-dropping-particle":"","parse-names":false,"suffix":""},{"dropping-particle":"","family":"Crovella","given":"Sergio","non-dropping-particle":"","parse-names":false,"suffix":""},{"dropping-particle":"","family":"Tommasini","given":"Alberto","non-dropping-particle":"","parse-names":false,"suffix":""},{"dropping-particle":"","family":"Bianco","given":"Anna Monica","non-dropping-particle":"","parse-names":false,"suffix":""}],"container-title":"BMC Pediatrics","id":"ITEM-1","issue":"1","issued":{"date-parts":[["2015","12","15"]]},"page":"1-7","publisher":"BioMed Central Ltd.","title":"The diagnostic challenge of very early-onset enterocolitis in an infant with XIAP deficiency","type":"article-journal","volume":"15"},"uris":["http://www.mendeley.com/documents/?uuid=023df8f6-b698-3678-804f-0f33ced11ca2"]}],"mendeley":{"formattedCitation":"[20]","plainTextFormattedCitation":"[20]","previouslyFormattedCitation":"[20]"},"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[20]</w:t>
      </w:r>
      <w:r>
        <w:rPr>
          <w:color w:val="000000" w:themeColor="text1"/>
          <w:lang w:val="es-CO"/>
        </w:rPr>
        <w:fldChar w:fldCharType="end"/>
      </w:r>
      <w:r>
        <w:rPr>
          <w:color w:val="000000" w:themeColor="text1"/>
        </w:rPr>
        <w:t xml:space="preserve">, and the successful reproduction of some features of the disease in genetically modified animal models </w:t>
      </w:r>
      <w:r>
        <w:rPr>
          <w:color w:val="000000" w:themeColor="text1"/>
          <w:lang w:val="es-CO"/>
        </w:rPr>
        <w:fldChar w:fldCharType="begin" w:fldLock="1"/>
      </w:r>
      <w:r w:rsidR="006465A0">
        <w:rPr>
          <w:color w:val="000000" w:themeColor="text1"/>
        </w:rPr>
        <w:instrText>ADDIN CSL_CITATION {"citationItems":[{"id":"ITEM-1","itemData":{"DOI":"10.1016/j.addr.2007.07.003","ISSN":"0169409X","PMID":"17825455","abstract":"Animal models of intestinal inflammation are indispensable for our understanding of the pathogenesis of Crohn disease and Ulcerative colitis, the idiopathic forms of inflammatory bowel disease in humans. The clinical appearance of human IBD is heterogeneous, a fact that is also reflected by the steadily increasing number of mouse strains displaying IBD like intestinal alterations. The analysis of these models together with genetic studies in humans greatly enhanced our insights into immunoregulatory processes in the gut and led to the generally accepted hypothesis that a deregulated immune response against components of the intestinal microbiota is critically involved in IBD pathophysiology. In this article we provide a brief overview of selected mouse models of IBD and discuss their contribution to the current understanding of disease mechanisms that contribute to IBD. © 2007 Elsevier B.V. All rights reserved.","author":[{"dropping-particle":"","family":"Wirtz","given":"Stefan","non-dropping-particle":"","parse-names":false,"suffix":""},{"dropping-particle":"","family":"Neurath","given":"Markus F.","non-dropping-particle":"","parse-names":false,"suffix":""}],"container-title":"Advanced Drug Delivery Reviews","id":"ITEM-1","issue":"11","issued":{"date-parts":[["2007","9","30"]]},"page":"1073-1083","publisher":"Elsevier","title":"Mouse models of inflammatory bowel disease","type":"article","volume":"59"},"uris":["http://www.mendeley.com/documents/?uuid=f82d2a65-98dd-3324-a148-794a4393da6b"]}],"mendeley":{"formattedCitation":"[21]","plainTextFormattedCitation":"[21]","previouslyFormattedCitation":"[21]"},"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[21]</w:t>
      </w:r>
      <w:r>
        <w:rPr>
          <w:color w:val="000000" w:themeColor="text1"/>
          <w:lang w:val="es-CO"/>
        </w:rPr>
        <w:fldChar w:fldCharType="end"/>
      </w:r>
      <w:r>
        <w:rPr>
          <w:color w:val="000000" w:themeColor="text1"/>
        </w:rPr>
        <w:t xml:space="preserve">, keep pointing out genetic susceptibility </w:t>
      </w:r>
      <w:r>
        <w:rPr>
          <w:color w:val="000000" w:themeColor="text1"/>
        </w:rPr>
        <w:lastRenderedPageBreak/>
        <w:t xml:space="preserve">as one of the potential underlying conditions for IBD as they affect the host and the interaction with microbial and environmental factors </w:t>
      </w:r>
      <w:r>
        <w:rPr>
          <w:color w:val="000000" w:themeColor="text1"/>
          <w:lang w:val="es-CO"/>
        </w:rPr>
        <w:fldChar w:fldCharType="begin" w:fldLock="1"/>
      </w:r>
      <w:r w:rsidR="006465A0">
        <w:rPr>
          <w:color w:val="000000" w:themeColor="text1"/>
        </w:rPr>
        <w:instrText>ADDIN CSL_CITATION {"citationItems":[{"id":"ITEM-1","itemData":{"DOI":"10.1038/nature10209","ISSN":"00280836","PMID":"21677747","abstract":"Recent advances have provided substantial insight into the maintenance of mucosal immunity and the pathogenesis of inflammatory bowel disease. Cellular programs responsible for intestinal homeostasis use diverse intracellular and intercellular networks to promote immune tolerance, inflammation or epithelial restitution. Complex interfaces integrate local host and microbial signals to activate appropriate effector programs selectively and even drive plasticity between these programs. In addition, genetic studies and mouse models have emphasized the role of genetic predispositions and how they affect interactions with microbial and environmental factors, leading to pro-colitogenic perturbations of the host-commensal relationship. © 2011 Macmillan Publishers Limited. All rights reserved.","author":[{"dropping-particle":"","family":"Khor","given":"Bernard","non-dropping-particle":"","parse-names":false,"suffix":""},{"dropping-particle":"","family":"Gardet","given":"Agnès","non-dropping-particle":"","parse-names":false,"suffix":""},{"dropping-particle":"","family":"Xavier","given":"Ramnik J.","non-dropping-particle":"","parse-names":false,"suffix":""}],"container-title":"Nature","id":"ITEM-1","issue":"7351","issued":{"date-parts":[["2011","6","16"]]},"page":"307-317","publisher":"Nature Publishing Group","title":"Genetics and pathogenesis of inflammatory bowel disease","type":"article","volume":"474"},"uris":["http://www.mendeley.com/documents/?uuid=6e9f37f3-7a17-3b7a-8dd6-c680d751ae06"]}],"mendeley":{"formattedCitation":"[22]","plainTextFormattedCitation":"[22]","previouslyFormattedCitation":"[22]"},"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[22]</w:t>
      </w:r>
      <w:r>
        <w:rPr>
          <w:color w:val="000000" w:themeColor="text1"/>
          <w:lang w:val="es-CO"/>
        </w:rPr>
        <w:fldChar w:fldCharType="end"/>
      </w:r>
      <w:r>
        <w:rPr>
          <w:color w:val="000000" w:themeColor="text1"/>
        </w:rPr>
        <w:t xml:space="preserve">. </w:t>
      </w:r>
    </w:p>
    <w:p w14:paraId="2B0B281B" w14:textId="77777777" w:rsidR="00943C22" w:rsidRDefault="002E0B22" w:rsidP="00DD0AC8">
      <w:pPr>
        <w:spacing w:line="480" w:lineRule="auto"/>
        <w:rPr>
          <w:bCs/>
          <w:i/>
        </w:rPr>
      </w:pPr>
      <w:r>
        <w:rPr>
          <w:bCs/>
          <w:i/>
        </w:rPr>
        <w:t xml:space="preserve">1.2.2.2 </w:t>
      </w:r>
      <w:r w:rsidR="00943C22" w:rsidRPr="002E0B22">
        <w:rPr>
          <w:bCs/>
          <w:i/>
        </w:rPr>
        <w:t>Dysregulated gut microbiota</w:t>
      </w:r>
    </w:p>
    <w:p w14:paraId="15CC2B4C" w14:textId="68D5CEF6" w:rsidR="002E0B22" w:rsidRDefault="00943C22" w:rsidP="001311E7">
      <w:pPr>
        <w:spacing w:line="480" w:lineRule="auto"/>
        <w:ind w:firstLine="720"/>
        <w:rPr>
          <w:color w:val="000000" w:themeColor="text1"/>
        </w:rPr>
      </w:pPr>
      <w:r>
        <w:rPr>
          <w:color w:val="000000" w:themeColor="text1"/>
        </w:rPr>
        <w:t xml:space="preserve">Microbial cells in the gut exceed about 10 times the number of host cells and can contain between 1000 and 5000 different species, among which firmicutes, bacteroidetes, actinobacteria, and proteobacteria are recognized as predominant </w:t>
      </w:r>
      <w:r>
        <w:rPr>
          <w:color w:val="000000" w:themeColor="text1"/>
          <w:lang w:val="es-CO"/>
        </w:rPr>
        <w:fldChar w:fldCharType="begin" w:fldLock="1"/>
      </w:r>
      <w:r w:rsidR="006465A0">
        <w:rPr>
          <w:color w:val="000000" w:themeColor="text1"/>
        </w:rPr>
        <w:instrText>ADDIN CSL_CITATION {"citationItems":[{"id":"ITEM-1","itemData":{"DOI":"10.1155/2019/7247238","ISSN":"2314-8861","PMID":"31886308","abstract":"Inflammatory bowel disease (IBD) is a chronic and life-threating inflammatory disease of gastroenteric tissue characterized by episodes of intestinal inflammation. The pathogenesis of IBD is complex. Recent studies have greatly improved our knowledge of the pathophysiology of IBD, leading to great advances in the treatment as well as diagnosis of IBD. In this review, we have systemically reviewed the pathogenesis of IBD and highlighted recent advances in host genetic factors, gut microbiota, and environmental factors and, especially, in abnormal innate and adaptive immune responses and their interactions, which may hold the keys to identify novel predictive or prognostic biomarkers and develop new therapies.","author":[{"dropping-particle":"","family":"Guan","given":"Qingdong","non-dropping-particle":"","parse-names":false,"suffix":""}],"container-title":"Journal of Immunology Research","id":"ITEM-1","issued":{"date-parts":[["2019","12","1"]]},"page":"1-16","publisher":"Hindawi Limited","title":"A Comprehensive Review and Update on the Pathogenesis of Inflammatory Bowel Disease","type":"article-journal","volume":"2019"},"uris":["http://www.mendeley.com/documents/?uuid=e1bdd519-f3c9-37f2-ba42-b0599ea38f59"]}],"mendeley":{"formattedCitation":"[9]","plainTextFormattedCitation":"[9]","previouslyFormattedCitation":"[9]"},"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[9]</w:t>
      </w:r>
      <w:r>
        <w:rPr>
          <w:color w:val="000000" w:themeColor="text1"/>
          <w:lang w:val="es-CO"/>
        </w:rPr>
        <w:fldChar w:fldCharType="end"/>
      </w:r>
      <w:r>
        <w:rPr>
          <w:color w:val="000000" w:themeColor="text1"/>
        </w:rPr>
        <w:t xml:space="preserve">. The microbiota is </w:t>
      </w:r>
      <w:r w:rsidR="00F41103">
        <w:rPr>
          <w:color w:val="000000" w:themeColor="text1"/>
        </w:rPr>
        <w:t xml:space="preserve">a </w:t>
      </w:r>
      <w:r>
        <w:rPr>
          <w:color w:val="000000" w:themeColor="text1"/>
        </w:rPr>
        <w:t xml:space="preserve">community that has co-evolved in a homeostatic relationship with the host </w:t>
      </w:r>
      <w:r>
        <w:rPr>
          <w:color w:val="000000" w:themeColor="text1"/>
          <w:lang w:val="es-CO"/>
        </w:rPr>
        <w:fldChar w:fldCharType="begin" w:fldLock="1"/>
      </w:r>
      <w:r w:rsidR="006465A0">
        <w:rPr>
          <w:color w:val="000000" w:themeColor="text1"/>
        </w:rPr>
        <w:instrText>ADDIN CSL_CITATION {"citationItems":[{"id":"ITEM-1","itemData":{"DOI":"10.1038/nature10209","ISSN":"00280836","PMID":"21677747","abstract":"Recent advances have provided substantial insight into the maintenance of mucosal immunity and the pathogenesis of inflammatory bowel disease. Cellular programs responsible for intestinal homeostasis use diverse intracellular and intercellular networks to promote immune tolerance, inflammation or epithelial restitution. Complex interfaces integrate local host and microbial signals to activate appropriate effector programs selectively and even drive plasticity between these programs. In addition, genetic studies and mouse models have emphasized the role of genetic predispositions and how they affect interactions with microbial and environmental factors, leading to pro-colitogenic perturbations of the host-commensal relationship. © 2011 Macmillan Publishers Limited. All rights reserved.","author":[{"dropping-particle":"","family":"Khor","given":"Bernard","non-dropping-particle":"","parse-names":false,"suffix":""},{"dropping-particle":"","family":"Gardet","given":"Agnès","non-dropping-particle":"","parse-names":false,"suffix":""},{"dropping-particle":"","family":"Xavier","given":"Ramnik J.","non-dropping-particle":"","parse-names":false,"suffix":""}],"container-title":"Nature","id":"ITEM-1","issue":"7351","issued":{"date-parts":[["2011","6","16"]]},"page":"307-317","publisher":"Nature Publishing Group","title":"Genetics and pathogenesis of inflammatory bowel disease","type":"article","volume":"474"},"uris":["http://www.mendeley.com/documents/?uuid=6e9f37f3-7a17-3b7a-8dd6-c680d751ae06"]}],"mendeley":{"formattedCitation":"[22]","plainTextFormattedCitation":"[22]","previouslyFormattedCitation":"[22]"},"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[22]</w:t>
      </w:r>
      <w:r>
        <w:rPr>
          <w:color w:val="000000" w:themeColor="text1"/>
          <w:lang w:val="es-CO"/>
        </w:rPr>
        <w:fldChar w:fldCharType="end"/>
      </w:r>
      <w:r>
        <w:rPr>
          <w:color w:val="000000" w:themeColor="text1"/>
        </w:rPr>
        <w:t xml:space="preserve">, and acts as an acquired functional organ that contributes to the metabolism of indigestible nutrients, defense against pathogens, angiogenesis, proliferation, differentiation of epithelial cells, pH, and energy balance, and development and modulation of the mucosal immune system </w:t>
      </w:r>
      <w:r>
        <w:rPr>
          <w:color w:val="000000" w:themeColor="text1"/>
          <w:lang w:val="es-CO"/>
        </w:rPr>
        <w:fldChar w:fldCharType="begin" w:fldLock="1"/>
      </w:r>
      <w:r w:rsidR="006465A0">
        <w:rPr>
          <w:color w:val="000000" w:themeColor="text1"/>
        </w:rPr>
        <w:instrText>ADDIN CSL_CITATION {"citationItems":[{"id":"ITEM-1","itemData":{"DOI":"10.1080/1040841X.2021.1876631","ISSN":"15497828","PMID":"33576711","abstract":"Human gut microbiota contributes to host nutrition and metabolism, sustains intestinal cell proliferation and differentiation, and modulates host immune system. The alterations in their composition lead to severe gut disorders, including inflammatory bowel disease (IBD) or inflammatory bowel syndrome (IBS). IBD including ulcerative colitis (UC) and Crohn’s disease (CD) are gamut of chronic inflammatory disorders of gut, mediated by complex interrelations among genetic, environmental, and internal factors. IBD has debateable aetiology, however in recent years, exploring the central role of a tri-directional relationship between gut microbiota, mucosal immune system, and intestinal epithelium in pathogenesis is getting the most attention. Increasing incidences and early onset explains the exponential rise in IBD burden on health-care systems. Industrialization, hypersensitivity to allergens, lifestyle, hygiene hypothesis, loss of intestinal worms, and gut microbial composition, explains this shifted rise. Hitherto, the interventions modulating gut microbiota composition, microfluidics-based in vitro gastrointestinal models, non-allergic functional foods, nutraceuticals, and faecal microbiota transplantation (FMT) from healthy donors are some of the futuristic approaches for the disease management.","author":[{"dropping-particle":"","family":"Ahlawat","given":"Shruti","non-dropping-particle":"","parse-names":false,"suffix":""},{"dropping-particle":"","family":"Kumar","given":"Pramod","non-dropping-particle":"","parse-names":false,"suffix":""},{"dropping-particle":"","family":"Mohan","given":"Hari","non-dropping-particle":"","parse-names":false,"suffix":""},{"dropping-particle":"","family":"Goyal","given":"Sandeep","non-dropping-particle":"","parse-names":false,"suffix":""},{"dropping-particle":"","family":"Sharma","given":"Krishna Kant","non-dropping-particle":"","parse-names":false,"suffix":""}],"container-title":"Critical Reviews in Microbiology","id":"ITEM-1","issue":"2","issued":{"date-parts":[["2021"]]},"page":"254-273","publisher":"Taylor and Francis Ltd.","title":"Inflammatory bowel disease: tri-directional relationship between microbiota, immune system and intestinal epithelium","type":"article","volume":"47"},"uris":["http://www.mendeley.com/documents/?uuid=c2ffcaf1-bd92-3eb6-bf3c-34c83d553ab2"]}],"mendeley":{"formattedCitation":"[18]","plainTextFormattedCitation":"[18]","previouslyFormattedCitation":"[18]"},"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[18]</w:t>
      </w:r>
      <w:r>
        <w:rPr>
          <w:color w:val="000000" w:themeColor="text1"/>
          <w:lang w:val="es-CO"/>
        </w:rPr>
        <w:fldChar w:fldCharType="end"/>
      </w:r>
      <w:r>
        <w:rPr>
          <w:color w:val="000000" w:themeColor="text1"/>
        </w:rPr>
        <w:t xml:space="preserve">. Although there is no agreement on the definition of </w:t>
      </w:r>
      <w:r w:rsidR="00BD55C9">
        <w:rPr>
          <w:color w:val="000000" w:themeColor="text1"/>
        </w:rPr>
        <w:t xml:space="preserve">a </w:t>
      </w:r>
      <w:r>
        <w:rPr>
          <w:color w:val="000000" w:themeColor="text1"/>
        </w:rPr>
        <w:t>healthy gut microbiota, loss of the homeostatic equilibrium resulting from alterations in the stability, diversity, and dynamics of this community can impact gut health and trigger</w:t>
      </w:r>
      <w:r w:rsidR="00F41103">
        <w:rPr>
          <w:color w:val="000000" w:themeColor="text1"/>
        </w:rPr>
        <w:t>s</w:t>
      </w:r>
      <w:r>
        <w:rPr>
          <w:color w:val="000000" w:themeColor="text1"/>
        </w:rPr>
        <w:t xml:space="preserve"> autoimmune disorders such as IBD </w:t>
      </w:r>
      <w:r>
        <w:rPr>
          <w:color w:val="000000" w:themeColor="text1"/>
          <w:lang w:val="es-CO"/>
        </w:rPr>
        <w:fldChar w:fldCharType="begin" w:fldLock="1"/>
      </w:r>
      <w:r w:rsidR="006465A0">
        <w:rPr>
          <w:color w:val="000000" w:themeColor="text1"/>
        </w:rPr>
        <w:instrText>ADDIN CSL_CITATION {"citationItems":[{"id":"ITEM-1","itemData":{"DOI":"10.1080/1040841X.2021.1876631","ISSN":"15497828","PMID":"33576711","abstract":"Human gut microbiota contributes to host nutrition and metabolism, sustains intestinal cell proliferation and differentiation, and modulates host immune system. The alterations in their composition lead to severe gut disorders, including inflammatory bowel disease (IBD) or inflammatory bowel syndrome (IBS). IBD including ulcerative colitis (UC) and Crohn’s disease (CD) are gamut of chronic inflammatory disorders of gut, mediated by complex interrelations among genetic, environmental, and internal factors. IBD has debateable aetiology, however in recent years, exploring the central role of a tri-directional relationship between gut microbiota, mucosal immune system, and intestinal epithelium in pathogenesis is getting the most attention. Increasing incidences and early onset explains the exponential rise in IBD burden on health-care systems. Industrialization, hypersensitivity to allergens, lifestyle, hygiene hypothesis, loss of intestinal worms, and gut microbial composition, explains this shifted rise. Hitherto, the interventions modulating gut microbiota composition, microfluidics-based in vitro gastrointestinal models, non-allergic functional foods, nutraceuticals, and faecal microbiota transplantation (FMT) from healthy donors are some of the futuristic approaches for the disease management.","author":[{"dropping-particle":"","family":"Ahlawat","given":"Shruti","non-dropping-particle":"","parse-names":false,"suffix":""},{"dropping-particle":"","family":"Kumar","given":"Pramod","non-dropping-particle":"","parse-names":false,"suffix":""},{"dropping-particle":"","family":"Mohan","given":"Hari","non-dropping-particle":"","parse-names":false,"suffix":""},{"dropping-particle":"","family":"Goyal","given":"Sandeep","non-dropping-particle":"","parse-names":false,"suffix":""},{"dropping-particle":"","family":"Sharma","given":"Krishna Kant","non-dropping-particle":"","parse-names":false,"suffix":""}],"container-title":"Critical Reviews in Microbiology","id":"ITEM-1","issue":"2","issued":{"date-parts":[["2021"]]},"page":"254-273","publisher":"Taylor and Francis Ltd.","title":"Inflammatory bowel disease: tri-directional relationship between microbiota, immune system and intestinal epithelium","type":"article","volume":"47"},"uris":["http://www.mendeley.com/documents/?uuid=c2ffcaf1-bd92-3eb6-bf3c-34c83d553ab2"]}],"mendeley":{"formattedCitation":"[18]","plainTextFormattedCitation":"[18]","previouslyFormattedCitation":"[18]"},"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[18]</w:t>
      </w:r>
      <w:r>
        <w:rPr>
          <w:color w:val="000000" w:themeColor="text1"/>
          <w:lang w:val="es-CO"/>
        </w:rPr>
        <w:fldChar w:fldCharType="end"/>
      </w:r>
      <w:r>
        <w:rPr>
          <w:color w:val="000000" w:themeColor="text1"/>
        </w:rPr>
        <w:t xml:space="preserve">. Studies of the intestinal microflora in IBD patients have shown decreases in firmicutes, bifidobacterium, ruminococcaceae, and bacteroides, </w:t>
      </w:r>
      <w:r w:rsidR="002076BA">
        <w:rPr>
          <w:color w:val="000000" w:themeColor="text1"/>
        </w:rPr>
        <w:t xml:space="preserve">with concurrent </w:t>
      </w:r>
      <w:r>
        <w:rPr>
          <w:color w:val="000000" w:themeColor="text1"/>
        </w:rPr>
        <w:t xml:space="preserve">increases in the pathogenic consortium </w:t>
      </w:r>
      <w:r>
        <w:rPr>
          <w:color w:val="000000" w:themeColor="text1"/>
          <w:lang w:val="es-CO"/>
        </w:rPr>
        <w:fldChar w:fldCharType="begin" w:fldLock="1"/>
      </w:r>
      <w:r w:rsidR="006465A0">
        <w:rPr>
          <w:color w:val="000000" w:themeColor="text1"/>
        </w:rPr>
        <w:instrText>ADDIN CSL_CITATION {"citationItems":[{"id":"ITEM-1","itemData":{"DOI":"10.1053/j.gastro.2014.02.009","ISSN":"15280012","PMID":"24560869","abstract":"Studies of the roles of microbial communities in the development of inflammatory bowel disease (IBD) have reached an important milestone. A decade of genome-wide association studies and other genetic analyses have linked IBD with loci that implicate an aberrant immune response to the intestinal microbiota. More recently, profiling studies of the intestinal microbiome have associated the pathogenesis of IBD with characteristic shifts in the composition of the intestinal microbiota, reinforcing the view that IBD results from altered interactions between intestinal microbes and the mucosal immune system. Enhanced technologies can increase our understanding of the interactions between the host and its resident microbiota and their respective roles in IBD from both a large-scale pathway view and at the metabolic level. We review important microbiome studies of patients with IBD and describe what we have learned about the mechanisms of intestinal microbiota dysfunction. We describe the recent progress in microbiome research from exploratory 16S-based studies, reporting associations of specific organisms with a disease, to more recent studies that have taken a more nuanced view, addressing the function of the microbiota by metagenomic and metabolomic methods. Finally, we propose study designs and methodologies for future investigations of the microbiome in patients with inflammatory gut and autoimmune diseases in general. © 2014 by the AGA Institute.","author":[{"dropping-particle":"","family":"Kostic","given":"Aleksandar D.","non-dropping-particle":"","parse-names":false,"suffix":""},{"dropping-particle":"","family":"Xavier","given":"Ramnik J.","non-dropping-particle":"","parse-names":false,"suffix":""},{"dropping-particle":"","family":"Gevers","given":"Dirk","non-dropping-particle":"","parse-names":false,"suffix":""}],"container-title":"Gastroenterology","id":"ITEM-1","issue":"6","issued":{"date-parts":[["2014"]]},"page":"1489-1499","publisher":"W.B. Saunders","title":"The microbiome in inflammatory bowel disease: Current status and the future ahead","type":"article-journal","volume":"146"},"uris":["http://www.mendeley.com/documents/?uuid=7a51e779-0bfd-3016-882b-45cf7dbc360c"]}],"mendeley":{"formattedCitation":"[23]","plainTextFormattedCitation":"[23]","previouslyFormattedCitation":"[23]"},"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[23]</w:t>
      </w:r>
      <w:r>
        <w:rPr>
          <w:color w:val="000000" w:themeColor="text1"/>
          <w:lang w:val="es-CO"/>
        </w:rPr>
        <w:fldChar w:fldCharType="end"/>
      </w:r>
      <w:r>
        <w:rPr>
          <w:color w:val="000000" w:themeColor="text1"/>
        </w:rPr>
        <w:t xml:space="preserve">. Some particular pathogens such as </w:t>
      </w:r>
      <w:r>
        <w:rPr>
          <w:i/>
          <w:iCs/>
          <w:color w:val="000000" w:themeColor="text1"/>
        </w:rPr>
        <w:t>Escherichia coli, Diplostreptococcus, Clostridium difficile, Fusobacterium necroporum, Shigella sp., Helicobacter hepaticus, RNA viruses, Bacteroides vulgatus,</w:t>
      </w:r>
      <w:r>
        <w:rPr>
          <w:color w:val="000000" w:themeColor="text1"/>
        </w:rPr>
        <w:t xml:space="preserve"> and </w:t>
      </w:r>
      <w:r>
        <w:rPr>
          <w:i/>
          <w:iCs/>
          <w:color w:val="000000" w:themeColor="text1"/>
        </w:rPr>
        <w:t>Yersinia sp</w:t>
      </w:r>
      <w:r>
        <w:rPr>
          <w:color w:val="000000" w:themeColor="text1"/>
        </w:rPr>
        <w:t xml:space="preserve">. have been suggested as potentially associated with </w:t>
      </w:r>
      <w:r w:rsidR="00084481">
        <w:rPr>
          <w:color w:val="000000" w:themeColor="text1"/>
        </w:rPr>
        <w:t>UC</w:t>
      </w:r>
      <w:r>
        <w:rPr>
          <w:color w:val="000000" w:themeColor="text1"/>
        </w:rPr>
        <w:t xml:space="preserve"> </w:t>
      </w:r>
      <w:r>
        <w:rPr>
          <w:color w:val="000000" w:themeColor="text1"/>
          <w:lang w:val="es-CO"/>
        </w:rPr>
        <w:fldChar w:fldCharType="begin" w:fldLock="1"/>
      </w:r>
      <w:r w:rsidR="006465A0">
        <w:rPr>
          <w:color w:val="000000" w:themeColor="text1"/>
        </w:rPr>
        <w:instrText>ADDIN CSL_CITATION {"citationItems":[{"id":"ITEM-1","itemData":{"abstract":"Ulcerative colitis (UC), a subcategory of inflammatory bowel disease, afflicts 1-2 million people in the United States, and many more worldwide. Although the exact cause of ulcerative colitis remains undetermined, the condition appears to be related to a combination of genetic and environmental factors. While conventional treatments can be effective in maintaining remission and decreasing the length of active disease periods, the treatments are not without side effects, and a significant number of people suffering from UC fail to respond to even the strongest drugs. This article reviews potential unconventional treatments-transdermal nicotine, heparin, melatonin, DHEA, probiotics, fiber, dietary changes, botanicals, essential fatty acids, and other nutrients-that may be considered in conjunction with conventional approaches or as part of a comprehensive alternative treatment protocol. In addition this review addresses risk factors, pathogenesis, nutrient deficiencies, conventional treatment approaches, and extra-intestinal manifestations of the disease. (Altern Med Rev 2003;8(3):247-283)","author":[{"dropping-particle":"","family":"Head","given":"Kathleen","non-dropping-particle":"","parse-names":false,"suffix":""},{"dropping-particle":"","family":"Jurenka","given":"Julie","non-dropping-particle":"","parse-names":false,"suffix":""}],"container-title":"Alternative Medicine","id":"ITEM-1","issue":"3","issued":{"date-parts":[["2003"]]},"page":"247-283","title":"Inflammatory bowel disease part I: Ulcerative Colitis - pathophysiology and conventional and alternative treatment options","type":"article-journal","volume":"8"},"uris":["http://www.mendeley.com/documents/?uuid=f9cea954-2aa4-35d9-bda1-0a7703efb528"]}],"mendeley":{"formattedCitation":"[24]","plainTextFormattedCitation":"[24]","previouslyFormattedCitation":"[24]"},"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[24]</w:t>
      </w:r>
      <w:r>
        <w:rPr>
          <w:color w:val="000000" w:themeColor="text1"/>
          <w:lang w:val="es-CO"/>
        </w:rPr>
        <w:fldChar w:fldCharType="end"/>
      </w:r>
      <w:r>
        <w:rPr>
          <w:color w:val="000000" w:themeColor="text1"/>
        </w:rPr>
        <w:t xml:space="preserve">. Whether  dysregulated microbiota is a cause of the disease, or a consequence of other </w:t>
      </w:r>
      <w:r>
        <w:rPr>
          <w:color w:val="000000" w:themeColor="text1"/>
        </w:rPr>
        <w:lastRenderedPageBreak/>
        <w:t xml:space="preserve">physiological changes in the gut, and/or of the therapeutics used for management of inflammation, is still a matter of debate </w:t>
      </w:r>
      <w:r>
        <w:rPr>
          <w:color w:val="000000" w:themeColor="text1"/>
          <w:lang w:val="es-CO"/>
        </w:rPr>
        <w:fldChar w:fldCharType="begin" w:fldLock="1"/>
      </w:r>
      <w:r w:rsidR="006465A0">
        <w:rPr>
          <w:color w:val="000000" w:themeColor="text1"/>
        </w:rPr>
        <w:instrText>ADDIN CSL_CITATION {"citationItems":[{"id":"ITEM-1","itemData":{"DOI":"10.1016/j.jaut.2015.07.013","ISSN":"10959157","PMID":"26257098","abstract":"The major inflammatory bowel diseases, Crohn's disease and ulcerative colitis, are both debilitating disorders of the gastrointestinal tract, characterized by a dysregulated immune response to unknown environmental triggers. Both disorders have an important and overlapping genetic component, and much progress has been made in the last 20 years at elucidating some of the specific factors contributing to disease pathogenesis. Here we review our growing understanding of the immunogenetics of inflammatory bowel disease, from the twin studies that first implicated a role for the genome in disease susceptibility to the latest genome-wide association studies that have identified hundreds of associated loci. We consider the insight this offers into the biological mechanisms of the inflammatory bowel diseases, such as autophagy, barrier defence and T-cell differentiation signalling. We reflect on these findings in the context of other immune-related disorders, both common and rare. These observations include links both obvious, such as to pediatric colitis, and more surprising, such as to leprosy. As a changing picture of the underlying genetic architecture emerges, we turn to future directions for the study of complex human diseases such as these, including the use of next generation sequencing technologies for the identification of rarer risk alleles, and potential approaches for narrowing down associated loci to casual variants. We consider the implications of this work for translation into clinical practice, for example via early therapeutic hypotheses arising from our improved understanding of the biology of inflammatory bowel disease. Finally, we present potential opportunities to better understand environmental risk factors, such as the human microbiota in the context of immunogenetics.","author":[{"dropping-particle":"","family":"Lange","given":"Katrina M.","non-dropping-particle":"de","parse-names":false,"suffix":""},{"dropping-particle":"","family":"Barrett","given":"Jeffrey C.","non-dropping-particle":"","parse-names":false,"suffix":""}],"container-title":"Journal of Autoimmunity","id":"ITEM-1","issued":{"date-parts":[["2015","11","1"]]},"page":"91-100","publisher":"Academic Press","title":"Understanding inflammatory bowel disease via immunogenetics","type":"article","volume":"64"},"uris":["http://www.mendeley.com/documents/?uuid=c2ceeb07-d982-3eee-a80b-80e5832f1c0a"]}],"mendeley":{"formattedCitation":"[14]","plainTextFormattedCitation":"[14]","previouslyFormattedCitation":"[14]"},"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[14]</w:t>
      </w:r>
      <w:r>
        <w:rPr>
          <w:color w:val="000000" w:themeColor="text1"/>
          <w:lang w:val="es-CO"/>
        </w:rPr>
        <w:fldChar w:fldCharType="end"/>
      </w:r>
      <w:r>
        <w:rPr>
          <w:color w:val="000000" w:themeColor="text1"/>
        </w:rPr>
        <w:t xml:space="preserve">, but the positive results observed when using probiotics or performing transplantation of fecal microbiota, have created a new potential strategy for the treatment of the disease by pursuing the repopulation of the gut microbial community </w:t>
      </w:r>
      <w:r>
        <w:rPr>
          <w:color w:val="000000" w:themeColor="text1"/>
          <w:lang w:val="es-CO"/>
        </w:rPr>
        <w:fldChar w:fldCharType="begin" w:fldLock="1"/>
      </w:r>
      <w:r w:rsidR="006465A0">
        <w:rPr>
          <w:color w:val="000000" w:themeColor="text1"/>
        </w:rPr>
        <w:instrText>ADDIN CSL_CITATION {"citationItems":[{"id":"ITEM-1","itemData":{"DOI":"10.1053/j.gastro.2014.02.009","ISSN":"15280012","PMID":"24560869","abstract":"Studies of the roles of microbial communities in the development of inflammatory bowel disease (IBD) have reached an important milestone. A decade of genome-wide association studies and other genetic analyses have linked IBD with loci that implicate an aberrant immune response to the intestinal microbiota. More recently, profiling studies of the intestinal microbiome have associated the pathogenesis of IBD with characteristic shifts in the composition of the intestinal microbiota, reinforcing the view that IBD results from altered interactions between intestinal microbes and the mucosal immune system. Enhanced technologies can increase our understanding of the interactions between the host and its resident microbiota and their respective roles in IBD from both a large-scale pathway view and at the metabolic level. We review important microbiome studies of patients with IBD and describe what we have learned about the mechanisms of intestinal microbiota dysfunction. We describe the recent progress in microbiome research from exploratory 16S-based studies, reporting associations of specific organisms with a disease, to more recent studies that have taken a more nuanced view, addressing the function of the microbiota by metagenomic and metabolomic methods. Finally, we propose study designs and methodologies for future investigations of the microbiome in patients with inflammatory gut and autoimmune diseases in general. © 2014 by the AGA Institute.","author":[{"dropping-particle":"","family":"Kostic","given":"Aleksandar D.","non-dropping-particle":"","parse-names":false,"suffix":""},{"dropping-particle":"","family":"Xavier","given":"Ramnik J.","non-dropping-particle":"","parse-names":false,"suffix":""},{"dropping-particle":"","family":"Gevers","given":"Dirk","non-dropping-particle":"","parse-names":false,"suffix":""}],"container-title":"Gastroenterology","id":"ITEM-1","issue":"6","issued":{"date-parts":[["2014"]]},"page":"1489-1499","publisher":"W.B. Saunders","title":"The microbiome in inflammatory bowel disease: Current status and the future ahead","type":"article-journal","volume":"146"},"uris":["http://www.mendeley.com/documents/?uuid=7a51e779-0bfd-3016-882b-45cf7dbc360c"]}],"mendeley":{"formattedCitation":"[23]","plainTextFormattedCitation":"[23]","previouslyFormattedCitation":"[23]"},"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[23]</w:t>
      </w:r>
      <w:r>
        <w:rPr>
          <w:color w:val="000000" w:themeColor="text1"/>
          <w:lang w:val="es-CO"/>
        </w:rPr>
        <w:fldChar w:fldCharType="end"/>
      </w:r>
      <w:r>
        <w:rPr>
          <w:color w:val="000000" w:themeColor="text1"/>
        </w:rPr>
        <w:t xml:space="preserve">.  </w:t>
      </w:r>
    </w:p>
    <w:p w14:paraId="54A5B9E8" w14:textId="330B71B6" w:rsidR="00943C22" w:rsidRDefault="002E0B22" w:rsidP="00DD0AC8">
      <w:pPr>
        <w:spacing w:line="480" w:lineRule="auto"/>
        <w:rPr>
          <w:bCs/>
          <w:i/>
        </w:rPr>
      </w:pPr>
      <w:r>
        <w:rPr>
          <w:bCs/>
          <w:i/>
        </w:rPr>
        <w:t xml:space="preserve">1.2.2.3 </w:t>
      </w:r>
      <w:r w:rsidR="00943C22" w:rsidRPr="002E0B22">
        <w:rPr>
          <w:bCs/>
          <w:i/>
        </w:rPr>
        <w:t xml:space="preserve">Disruption of the </w:t>
      </w:r>
      <w:r w:rsidR="00084481">
        <w:rPr>
          <w:bCs/>
          <w:i/>
        </w:rPr>
        <w:t>i</w:t>
      </w:r>
      <w:r w:rsidR="00943C22" w:rsidRPr="002E0B22">
        <w:rPr>
          <w:bCs/>
          <w:i/>
        </w:rPr>
        <w:t xml:space="preserve">ntestinal epithelial barrier </w:t>
      </w:r>
    </w:p>
    <w:p w14:paraId="3800F45F" w14:textId="43CD1451" w:rsidR="002E0B22" w:rsidRPr="001311E7" w:rsidRDefault="00943C22" w:rsidP="001311E7">
      <w:pPr>
        <w:spacing w:line="480" w:lineRule="auto"/>
        <w:ind w:firstLine="720"/>
        <w:rPr>
          <w:color w:val="000000" w:themeColor="text1"/>
        </w:rPr>
      </w:pPr>
      <w:r>
        <w:rPr>
          <w:color w:val="000000" w:themeColor="text1"/>
        </w:rPr>
        <w:t xml:space="preserve">Intestinal epithelial cells (IECs) and non-epithelial cells constitute the primary physical barrier against microbial cells and components of the luminal content </w:t>
      </w:r>
      <w:r>
        <w:rPr>
          <w:color w:val="000000" w:themeColor="text1"/>
          <w:lang w:val="es-CO"/>
        </w:rPr>
        <w:fldChar w:fldCharType="begin" w:fldLock="1"/>
      </w:r>
      <w:r w:rsidR="006465A0">
        <w:rPr>
          <w:color w:val="000000" w:themeColor="text1"/>
        </w:rPr>
        <w:instrText>ADDIN CSL_CITATION {"citationItems":[{"id":"ITEM-1","itemData":{"DOI":"10.1080/1040841X.2021.1876631","ISSN":"15497828","PMID":"33576711","abstract":"Human gut microbiota contributes to host nutrition and metabolism, sustains intestinal cell proliferation and differentiation, and modulates host immune system. The alterations in their composition lead to severe gut disorders, including inflammatory bowel disease (IBD) or inflammatory bowel syndrome (IBS). IBD including ulcerative colitis (UC) and Crohn’s disease (CD) are gamut of chronic inflammatory disorders of gut, mediated by complex interrelations among genetic, environmental, and internal factors. IBD has debateable aetiology, however in recent years, exploring the central role of a tri-directional relationship between gut microbiota, mucosal immune system, and intestinal epithelium in pathogenesis is getting the most attention. Increasing incidences and early onset explains the exponential rise in IBD burden on health-care systems. Industrialization, hypersensitivity to allergens, lifestyle, hygiene hypothesis, loss of intestinal worms, and gut microbial composition, explains this shifted rise. Hitherto, the interventions modulating gut microbiota composition, microfluidics-based in vitro gastrointestinal models, non-allergic functional foods, nutraceuticals, and faecal microbiota transplantation (FMT) from healthy donors are some of the futuristic approaches for the disease management.","author":[{"dropping-particle":"","family":"Ahlawat","given":"Shruti","non-dropping-particle":"","parse-names":false,"suffix":""},{"dropping-particle":"","family":"Kumar","given":"Pramod","non-dropping-particle":"","parse-names":false,"suffix":""},{"dropping-particle":"","family":"Mohan","given":"Hari","non-dropping-particle":"","parse-names":false,"suffix":""},{"dropping-particle":"","family":"Goyal","given":"Sandeep","non-dropping-particle":"","parse-names":false,"suffix":""},{"dropping-particle":"","family":"Sharma","given":"Krishna Kant","non-dropping-particle":"","parse-names":false,"suffix":""}],"container-title":"Critical Reviews in Microbiology","id":"ITEM-1","issue":"2","issued":{"date-parts":[["2021"]]},"page":"254-273","publisher":"Taylor and Francis Ltd.","title":"Inflammatory bowel disease: tri-directional relationship between microbiota, immune system and intestinal epithelium","type":"article","volume":"47"},"uris":["http://www.mendeley.com/documents/?uuid=c2ffcaf1-bd92-3eb6-bf3c-34c83d553ab2"]}],"mendeley":{"formattedCitation":"[18]","plainTextFormattedCitation":"[18]","previouslyFormattedCitation":"[18]"},"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[18]</w:t>
      </w:r>
      <w:r>
        <w:rPr>
          <w:color w:val="000000" w:themeColor="text1"/>
          <w:lang w:val="es-CO"/>
        </w:rPr>
        <w:fldChar w:fldCharType="end"/>
      </w:r>
      <w:r>
        <w:rPr>
          <w:color w:val="000000" w:themeColor="text1"/>
        </w:rPr>
        <w:t xml:space="preserve">. The adherent and tight junctions between IECs regulate the selective penetration of nutrients, fluids, and microorganisms </w:t>
      </w:r>
      <w:r>
        <w:rPr>
          <w:color w:val="000000" w:themeColor="text1"/>
          <w:lang w:val="es-CO"/>
        </w:rPr>
        <w:fldChar w:fldCharType="begin" w:fldLock="1"/>
      </w:r>
      <w:r w:rsidR="006465A0">
        <w:rPr>
          <w:color w:val="000000" w:themeColor="text1"/>
        </w:rPr>
        <w:instrText>ADDIN CSL_CITATION {"citationItems":[{"id":"ITEM-1","itemData":{"DOI":"10.1155/2019/7247238","ISSN":"2314-8861","PMID":"31886308","abstract":"Inflammatory bowel disease (IBD) is a chronic and life-threating inflammatory disease of gastroenteric tissue characterized by episodes of intestinal inflammation. The pathogenesis of IBD is complex. Recent studies have greatly improved our knowledge of the pathophysiology of IBD, leading to great advances in the treatment as well as diagnosis of IBD. In this review, we have systemically reviewed the pathogenesis of IBD and highlighted recent advances in host genetic factors, gut microbiota, and environmental factors and, especially, in abnormal innate and adaptive immune responses and their interactions, which may hold the keys to identify novel predictive or prognostic biomarkers and develop new therapies.","author":[{"dropping-particle":"","family":"Guan","given":"Qingdong","non-dropping-particle":"","parse-names":false,"suffix":""}],"container-title":"Journal of Immunology Research","id":"ITEM-1","issued":{"date-parts":[["2019","12","1"]]},"page":"1-16","publisher":"Hindawi Limited","title":"A Comprehensive Review and Update on the Pathogenesis of Inflammatory Bowel Disease","type":"article-journal","volume":"2019"},"uris":["http://www.mendeley.com/documents/?uuid=e1bdd519-f3c9-37f2-ba42-b0599ea38f59"]}],"mendeley":{"formattedCitation":"[9]","plainTextFormattedCitation":"[9]","previouslyFormattedCitation":"[9]"},"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[9]</w:t>
      </w:r>
      <w:r>
        <w:rPr>
          <w:color w:val="000000" w:themeColor="text1"/>
          <w:lang w:val="es-CO"/>
        </w:rPr>
        <w:fldChar w:fldCharType="end"/>
      </w:r>
      <w:r>
        <w:rPr>
          <w:color w:val="000000" w:themeColor="text1"/>
        </w:rPr>
        <w:t xml:space="preserve">, and mucins and antibacterial peptides form a mucus coating that confers an additional layer of protection while allowing the exchange of molecules </w:t>
      </w:r>
      <w:r>
        <w:rPr>
          <w:color w:val="000000" w:themeColor="text1"/>
          <w:lang w:val="es-CO"/>
        </w:rPr>
        <w:fldChar w:fldCharType="begin" w:fldLock="1"/>
      </w:r>
      <w:r w:rsidR="006465A0">
        <w:rPr>
          <w:color w:val="000000" w:themeColor="text1"/>
        </w:rPr>
        <w:instrText>ADDIN CSL_CITATION {"citationItems":[{"id":"ITEM-1","itemData":{"DOI":"10.1080/1040841X.2021.1876631","ISSN":"15497828","PMID":"33576711","abstract":"Human gut microbiota contributes to host nutrition and metabolism, sustains intestinal cell proliferation and differentiation, and modulates host immune system. The alterations in their composition lead to severe gut disorders, including inflammatory bowel disease (IBD) or inflammatory bowel syndrome (IBS). IBD including ulcerative colitis (UC) and Crohn’s disease (CD) are gamut of chronic inflammatory disorders of gut, mediated by complex interrelations among genetic, environmental, and internal factors. IBD has debateable aetiology, however in recent years, exploring the central role of a tri-directional relationship between gut microbiota, mucosal immune system, and intestinal epithelium in pathogenesis is getting the most attention. Increasing incidences and early onset explains the exponential rise in IBD burden on health-care systems. Industrialization, hypersensitivity to allergens, lifestyle, hygiene hypothesis, loss of intestinal worms, and gut microbial composition, explains this shifted rise. Hitherto, the interventions modulating gut microbiota composition, microfluidics-based in vitro gastrointestinal models, non-allergic functional foods, nutraceuticals, and faecal microbiota transplantation (FMT) from healthy donors are some of the futuristic approaches for the disease management.","author":[{"dropping-particle":"","family":"Ahlawat","given":"Shruti","non-dropping-particle":"","parse-names":false,"suffix":""},{"dropping-particle":"","family":"Kumar","given":"Pramod","non-dropping-particle":"","parse-names":false,"suffix":""},{"dropping-particle":"","family":"Mohan","given":"Hari","non-dropping-particle":"","parse-names":false,"suffix":""},{"dropping-particle":"","family":"Goyal","given":"Sandeep","non-dropping-particle":"","parse-names":false,"suffix":""},{"dropping-particle":"","family":"Sharma","given":"Krishna Kant","non-dropping-particle":"","parse-names":false,"suffix":""}],"container-title":"Critical Reviews in Microbiology","id":"ITEM-1","issue":"2","issued":{"date-parts":[["2021"]]},"page":"254-273","publisher":"Taylor and Francis Ltd.","title":"Inflammatory bowel disease: tri-directional relationship between microbiota, immune system and intestinal epithelium","type":"article","volume":"47"},"uris":["http://www.mendeley.com/documents/?uuid=c2ffcaf1-bd92-3eb6-bf3c-34c83d553ab2"]}],"mendeley":{"formattedCitation":"[18]","plainTextFormattedCitation":"[18]","previouslyFormattedCitation":"[18]"},"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[18]</w:t>
      </w:r>
      <w:r>
        <w:rPr>
          <w:color w:val="000000" w:themeColor="text1"/>
          <w:lang w:val="es-CO"/>
        </w:rPr>
        <w:fldChar w:fldCharType="end"/>
      </w:r>
      <w:r>
        <w:rPr>
          <w:color w:val="000000" w:themeColor="text1"/>
        </w:rPr>
        <w:t xml:space="preserve">. Impairment of the mucosal barrier leads to an increase in intestinal permeability and facilitates the free passage of microbes and their products across the intestinal membrane, triggering the immune response, which is further exacerbated by mucosal penetration of enteric pathogens and dysbiosis, marking the onset of the disease </w:t>
      </w:r>
      <w:r>
        <w:rPr>
          <w:color w:val="000000" w:themeColor="text1"/>
          <w:lang w:val="es-CO"/>
        </w:rPr>
        <w:fldChar w:fldCharType="begin" w:fldLock="1"/>
      </w:r>
      <w:r w:rsidR="006465A0">
        <w:rPr>
          <w:color w:val="000000" w:themeColor="text1"/>
        </w:rPr>
        <w:instrText>ADDIN CSL_CITATION {"citationItems":[{"id":"ITEM-1","itemData":{"DOI":"10.1080/21688370.2018.1463897","ISSN":"21688370","PMID":"29737913","abstract":"Inflammatory bowel diseases broadly categorized into Crohn's disease (CD) and ulcerative colitis (UC), are chronic inflammatory disorders of the gastrointestinal tract with increasing prevalence worldwide. The etiology of the disease is complex and involves a combination of genetic, environmental, immunological and gut microbial factors. Recurring and bloody diarrhea is the most prevalent and debilitating symptom in IBD. The pathogenesis of IBD-associated diarrhea is multifactorial and is essentially an outcome of mucosal damage caused by persistent inflammation resulting in dysregulated intestinal ion transport, impaired epithelial barrier function and increased accessibility of the pathogens to the intestinal mucosa. Altered expression and/or function of epithelial ion transporters and channels is the principle cause of electrolyte retention and water accumulation in the intestinal lumen leading to diarrhea in IBD. Aberrant barrier function further contributes to diarrhea via leak-flux mechanism. Mucosal penetration of enteric pathogens promotes dysbiosis and exacerbates the underlying immune system further perpetuating IBD associated-tissue damage and diarrhea. Here, we review the mechanisms of impaired ion transport and loss of epithelial barrier function contributing to diarrhea associated with IBD.","author":[{"dropping-particle":"","family":"Anbazhagan","given":"Arivarasu N.","non-dropping-particle":"","parse-names":false,"suffix":""},{"dropping-particle":"","family":"Priyamvada","given":"Shubha","non-dropping-particle":"","parse-names":false,"suffix":""},{"dropping-particle":"","family":"Alrefai","given":"Waddah A.","non-dropping-particle":"","parse-names":false,"suffix":""},{"dropping-particle":"","family":"Dudeja","given":"Pradeep K.","non-dropping-particle":"","parse-names":false,"suffix":""}],"container-title":"Tissue Barriers","id":"ITEM-1","issue":"2","issued":{"date-parts":[["2018","4","3"]]},"publisher":"Taylor and Francis Inc.","title":"Pathophysiology of IBD associated diarrhea","type":"article-journal","volume":"6"},"uris":["http://www.mendeley.com/documents/?uuid=025a38b3-760a-3361-88d0-a6011035f098"]},{"id":"ITEM-2","itemData":{"DOI":"10.1080/1040841X.2021.1876631","ISSN":"15497828","PMID":"33576711","abstract":"Human gut microbiota contributes to host nutrition and metabolism, sustains intestinal cell proliferation and differentiation, and modulates host immune system. The alterations in their composition lead to severe gut disorders, including inflammatory bowel disease (IBD) or inflammatory bowel syndrome (IBS). IBD including ulcerative colitis (UC) and Crohn’s disease (CD) are gamut of chronic inflammatory disorders of gut, mediated by complex interrelations among genetic, environmental, and internal factors. IBD has debateable aetiology, however in recent years, exploring the central role of a tri-directional relationship between gut microbiota, mucosal immune system, and intestinal epithelium in pathogenesis is getting the most attention. Increasing incidences and early onset explains the exponential rise in IBD burden on health-care systems. Industrialization, hypersensitivity to allergens, lifestyle, hygiene hypothesis, loss of intestinal worms, and gut microbial composition, explains this shifted rise. Hitherto, the interventions modulating gut microbiota composition, microfluidics-based in vitro gastrointestinal models, non-allergic functional foods, nutraceuticals, and faecal microbiota transplantation (FMT) from healthy donors are some of the futuristic approaches for the disease management.","author":[{"dropping-particle":"","family":"Ahlawat","given":"Shruti","non-dropping-particle":"","parse-names":false,"suffix":""},{"dropping-particle":"","family":"Kumar","given":"Pramod","non-dropping-particle":"","parse-names":false,"suffix":""},{"dropping-particle":"","family":"Mohan","given":"Hari","non-dropping-particle":"","parse-names":false,"suffix":""},{"dropping-particle":"","family":"Goyal","given":"Sandeep","non-dropping-particle":"","parse-names":false,"suffix":""},{"dropping-particle":"","family":"Sharma","given":"Krishna Kant","non-dropping-particle":"","parse-names":false,"suffix":""}],"container-title":"Critical Reviews in Microbiology","id":"ITEM-2","issue":"2","issued":{"date-parts":[["2021"]]},"page":"254-273","publisher":"Taylor and Francis Ltd.","title":"Inflammatory bowel disease: tri-directional relationship between microbiota, immune system and intestinal epithelium","type":"article","volume":"47"},"uris":["http://www.mendeley.com/documents/?uuid=c2ffcaf1-bd92-3eb6-bf3c-34c83d553ab2"]}],"mendeley":{"formattedCitation":"[18,25]","plainTextFormattedCitation":"[18,25]","previouslyFormattedCitation":"[18,25]"},"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[18,25]</w:t>
      </w:r>
      <w:r>
        <w:rPr>
          <w:color w:val="000000" w:themeColor="text1"/>
          <w:lang w:val="es-CO"/>
        </w:rPr>
        <w:fldChar w:fldCharType="end"/>
      </w:r>
      <w:r>
        <w:rPr>
          <w:color w:val="000000" w:themeColor="text1"/>
        </w:rPr>
        <w:t xml:space="preserve">. Diarrhea, one of the most common clinical manifestations of the disease, is the consequence of inappropriate expression or function of epithelial ion transporters, that lead to electrolyte retention and accumulation of water in the lumen </w:t>
      </w:r>
      <w:r>
        <w:rPr>
          <w:color w:val="000000" w:themeColor="text1"/>
          <w:lang w:val="es-CO"/>
        </w:rPr>
        <w:fldChar w:fldCharType="begin" w:fldLock="1"/>
      </w:r>
      <w:r w:rsidR="006465A0">
        <w:rPr>
          <w:color w:val="000000" w:themeColor="text1"/>
        </w:rPr>
        <w:instrText>ADDIN CSL_CITATION {"citationItems":[{"id":"ITEM-1","itemData":{"DOI":"10.1080/21688370.2018.1463897","ISSN":"21688370","PMID":"29737913","abstract":"Inflammatory bowel diseases broadly categorized into Crohn's disease (CD) and ulcerative colitis (UC), are chronic inflammatory disorders of the gastrointestinal tract with increasing prevalence worldwide. The etiology of the disease is complex and involves a combination of genetic, environmental, immunological and gut microbial factors. Recurring and bloody diarrhea is the most prevalent and debilitating symptom in IBD. The pathogenesis of IBD-associated diarrhea is multifactorial and is essentially an outcome of mucosal damage caused by persistent inflammation resulting in dysregulated intestinal ion transport, impaired epithelial barrier function and increased accessibility of the pathogens to the intestinal mucosa. Altered expression and/or function of epithelial ion transporters and channels is the principle cause of electrolyte retention and water accumulation in the intestinal lumen leading to diarrhea in IBD. Aberrant barrier function further contributes to diarrhea via leak-flux mechanism. Mucosal penetration of enteric pathogens promotes dysbiosis and exacerbates the underlying immune system further perpetuating IBD associated-tissue damage and diarrhea. Here, we review the mechanisms of impaired ion transport and loss of epithelial barrier function contributing to diarrhea associated with IBD.","author":[{"dropping-particle":"","family":"Anbazhagan","given":"Arivarasu N.","non-dropping-particle":"","parse-names":false,"suffix":""},{"dropping-particle":"","family":"Priyamvada","given":"Shubha","non-dropping-particle":"","parse-names":false,"suffix":""},{"dropping-particle":"","family":"Alrefai","given":"Waddah A.","non-dropping-particle":"","parse-names":false,"suffix":""},{"dropping-particle":"","family":"Dudeja","given":"Pradeep K.","non-dropping-particle":"","parse-names":false,"suffix":""}],"container-title":"Tissue Barriers","id":"ITEM-1","issue":"2","issued":{"date-parts":[["2018","4","3"]]},"publisher":"Taylor and Francis Inc.","title":"Pathophysiology of IBD associated diarrhea","type":"article-journal","volume":"6"},"uris":["http://www.mendeley.com/documents/?uuid=025a38b3-760a-3361-88d0-a6011035f098"]}],"mendeley":{"formattedCitation":"[25]","plainTextFormattedCitation":"[25]","previouslyFormattedCitation":"[25]"},"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[25]</w:t>
      </w:r>
      <w:r>
        <w:rPr>
          <w:color w:val="000000" w:themeColor="text1"/>
          <w:lang w:val="es-CO"/>
        </w:rPr>
        <w:fldChar w:fldCharType="end"/>
      </w:r>
      <w:r>
        <w:rPr>
          <w:color w:val="000000" w:themeColor="text1"/>
        </w:rPr>
        <w:t xml:space="preserve">. The truncated function of the gene </w:t>
      </w:r>
      <w:r>
        <w:rPr>
          <w:i/>
          <w:iCs/>
          <w:color w:val="000000" w:themeColor="text1"/>
        </w:rPr>
        <w:t>C</w:t>
      </w:r>
      <w:r w:rsidR="00F84019">
        <w:rPr>
          <w:i/>
          <w:iCs/>
          <w:color w:val="000000" w:themeColor="text1"/>
        </w:rPr>
        <w:t>DH</w:t>
      </w:r>
      <w:r>
        <w:rPr>
          <w:i/>
          <w:iCs/>
          <w:color w:val="000000" w:themeColor="text1"/>
        </w:rPr>
        <w:t>1</w:t>
      </w:r>
      <w:r>
        <w:rPr>
          <w:color w:val="000000" w:themeColor="text1"/>
        </w:rPr>
        <w:t xml:space="preserve">, which encodes for the adherent junction E-cadherin, is one of the IBD susceptibility loci encountered by genetic wide association studies </w:t>
      </w:r>
      <w:r>
        <w:rPr>
          <w:color w:val="000000" w:themeColor="text1"/>
          <w:lang w:val="es-CO"/>
        </w:rPr>
        <w:fldChar w:fldCharType="begin" w:fldLock="1"/>
      </w:r>
      <w:r w:rsidR="006465A0">
        <w:rPr>
          <w:color w:val="000000" w:themeColor="text1"/>
        </w:rPr>
        <w:instrText>ADDIN CSL_CITATION {"citationItems":[{"id":"ITEM-1","itemData":{"DOI":"10.1016/j.jaut.2015.07.013","ISSN":"10959157","PMID":"26257098","abstract":"The major inflammatory bowel diseases, Crohn's disease and ulcerative colitis, are both debilitating disorders of the gastrointestinal tract, characterized by a dysregulated immune response to unknown environmental triggers. Both disorders have an important and overlapping genetic component, and much progress has been made in the last 20 years at elucidating some of the specific factors contributing to disease pathogenesis. Here we review our growing understanding of the immunogenetics of inflammatory bowel disease, from the twin studies that first implicated a role for the genome in disease susceptibility to the latest genome-wide association studies that have identified hundreds of associated loci. We consider the insight this offers into the biological mechanisms of the inflammatory bowel diseases, such as autophagy, barrier defence and T-cell differentiation signalling. We reflect on these findings in the context of other immune-related disorders, both common and rare. These observations include links both obvious, such as to pediatric colitis, and more surprising, such as to leprosy. As a changing picture of the underlying genetic architecture emerges, we turn to future directions for the study of complex human diseases such as these, including the use of next generation sequencing technologies for the identification of rarer risk alleles, and potential approaches for narrowing down associated loci to casual variants. We consider the implications of this work for translation into clinical practice, for example via early therapeutic hypotheses arising from our improved understanding of the biology of inflammatory bowel disease. Finally, we present potential opportunities to better understand environmental risk factors, such as the human microbiota in the context of immunogenetics.","author":[{"dropping-particle":"","family":"Lange","given":"Katrina M.","non-dropping-particle":"de","parse-names":false,"suffix":""},{"dropping-particle":"","family":"Barrett","given":"Jeffrey C.","non-dropping-particle":"","parse-names":false,"suffix":""}],"container-title":"Journal of Autoimmunity","id":"ITEM-1","issued":{"date-parts":[["2015","11","1"]]},"page":"91-100","publisher":"Academic Press","title":"Understanding inflammatory bowel disease via immunogenetics","type":"article","volume":"64"},"uris":["http://www.mendeley.com/documents/?uuid=c2ceeb07-d982-3eee-a80b-80e5832f1c0a"]}],"mendeley":{"formattedCitation":"[14]","plainTextFormattedCitation":"[14]","previouslyFormattedCitation":"[14]"},"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[14]</w:t>
      </w:r>
      <w:r>
        <w:rPr>
          <w:color w:val="000000" w:themeColor="text1"/>
          <w:lang w:val="es-CO"/>
        </w:rPr>
        <w:fldChar w:fldCharType="end"/>
      </w:r>
      <w:r>
        <w:rPr>
          <w:color w:val="000000" w:themeColor="text1"/>
        </w:rPr>
        <w:t xml:space="preserve"> and has been found in intestinal biopsies </w:t>
      </w:r>
      <w:r>
        <w:rPr>
          <w:color w:val="000000" w:themeColor="text1"/>
        </w:rPr>
        <w:lastRenderedPageBreak/>
        <w:t xml:space="preserve">from CD patients, in which the protein presented a cytosolic localization </w:t>
      </w:r>
      <w:r>
        <w:rPr>
          <w:color w:val="000000" w:themeColor="text1"/>
          <w:lang w:val="es-CO"/>
        </w:rPr>
        <w:fldChar w:fldCharType="begin" w:fldLock="1"/>
      </w:r>
      <w:r w:rsidR="006465A0">
        <w:rPr>
          <w:color w:val="000000" w:themeColor="text1"/>
        </w:rPr>
        <w:instrText>ADDIN CSL_CITATION {"citationItems":[{"id":"ITEM-1","itemData":{"DOI":"10.1007/s10620-015-3622-z","ISSN":"15732568","PMID":"25772779","author":[{"dropping-particle":"","family":"Schnoor","given":"Michael","non-dropping-particle":"","parse-names":false,"suffix":""}],"container-title":"Digestive Diseases and Sciences","id":"ITEM-1","issue":"4","issued":{"date-parts":[["2015","4","1"]]},"page":"816-818","publisher":"Springer New York LLC","title":"E-cadherin Is Important for the Maintenance of Intestinal Epithelial Homeostasis Under Basal and Inflammatory Conditions","type":"article","volume":"60"},"uris":["http://www.mendeley.com/documents/?uuid=5a04ac8b-1f0e-34be-8612-8c66ed825db0"]}],"mendeley":{"formattedCitation":"[26]","plainTextFormattedCitation":"[26]","previouslyFormattedCitation":"[26]"},"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[26]</w:t>
      </w:r>
      <w:r>
        <w:rPr>
          <w:color w:val="000000" w:themeColor="text1"/>
          <w:lang w:val="es-CO"/>
        </w:rPr>
        <w:fldChar w:fldCharType="end"/>
      </w:r>
      <w:r w:rsidR="002076BA" w:rsidRPr="00A909CB">
        <w:rPr>
          <w:color w:val="000000" w:themeColor="text1"/>
        </w:rPr>
        <w:t xml:space="preserve">, </w:t>
      </w:r>
      <w:r w:rsidR="002076BA">
        <w:rPr>
          <w:color w:val="000000" w:themeColor="text1"/>
        </w:rPr>
        <w:t>as opposed to the m</w:t>
      </w:r>
      <w:r w:rsidR="00F00D07">
        <w:rPr>
          <w:color w:val="000000" w:themeColor="text1"/>
        </w:rPr>
        <w:t>embranous localization expected in healthy individuals</w:t>
      </w:r>
      <w:r w:rsidR="002076BA">
        <w:rPr>
          <w:color w:val="000000" w:themeColor="text1"/>
        </w:rPr>
        <w:t xml:space="preserve"> </w:t>
      </w:r>
      <w:r>
        <w:rPr>
          <w:color w:val="000000" w:themeColor="text1"/>
        </w:rPr>
        <w:t xml:space="preserve">. Several variables affecting different components of the intestinal epithelial barrier such as goblets cells loss, mucodepletion and mutation in mucin proteins </w:t>
      </w:r>
      <w:r>
        <w:rPr>
          <w:color w:val="000000" w:themeColor="text1"/>
          <w:lang w:val="es-CO"/>
        </w:rPr>
        <w:fldChar w:fldCharType="begin" w:fldLock="1"/>
      </w:r>
      <w:r w:rsidR="006465A0">
        <w:rPr>
          <w:color w:val="000000" w:themeColor="text1"/>
        </w:rPr>
        <w:instrText>ADDIN CSL_CITATION {"citationItems":[{"id":"ITEM-1","itemData":{"DOI":"10.1016/j.cell.2010.01.023","ISSN":"00928674","PMID":"20303876","abstract":"The gut is home to our largest collection of microbes. The ability of the immune system to coevolve with the microbiota during postnatal life allows the host and microbiota to coexist in a mutually beneficial relationship. Failure to achieve or maintain equilibrium between a host and its microbiota has negative consequences for both intestinal and systemic health. In this Review, we consider the many cellular and molecular methods by which inflammatory responses are regulated to maintain intestinal homeostasis and the disease states that can ensue when this balance is lost. © 2010 Elsevier Inc.","author":[{"dropping-particle":"","family":"Garrett","given":"Wendy S.","non-dropping-particle":"","parse-names":false,"suffix":""},{"dropping-particle":"","family":"Gordon","given":"Jeffrey I.","non-dropping-particle":"","parse-names":false,"suffix":""},{"dropping-particle":"","family":"Glimcher","given":"Laurie H.","non-dropping-particle":"","parse-names":false,"suffix":""}],"container-title":"Cell","id":"ITEM-1","issue":"6","issued":{"date-parts":[["2010","3"]]},"page":"859-870","publisher":"NIH Public Access","title":"Homeostasis and Inflammation in the Intestine","type":"article","volume":"140"},"uris":["http://www.mendeley.com/documents/?uuid=2e5cf95f-3055-336a-a80e-ac4bb7bcb666"]}],"mendeley":{"formattedCitation":"[27]","plainTextFormattedCitation":"[27]","previouslyFormattedCitation":"[27]"},"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[27]</w:t>
      </w:r>
      <w:r>
        <w:rPr>
          <w:color w:val="000000" w:themeColor="text1"/>
          <w:lang w:val="es-CO"/>
        </w:rPr>
        <w:fldChar w:fldCharType="end"/>
      </w:r>
      <w:r>
        <w:rPr>
          <w:color w:val="000000" w:themeColor="text1"/>
        </w:rPr>
        <w:t xml:space="preserve">, degradation of E-cadherin by neutrophils elastase </w:t>
      </w:r>
      <w:r w:rsidR="006465A0">
        <w:rPr>
          <w:color w:val="000000" w:themeColor="text1"/>
        </w:rPr>
        <w:t>that</w:t>
      </w:r>
      <w:r>
        <w:rPr>
          <w:color w:val="000000" w:themeColor="text1"/>
        </w:rPr>
        <w:t xml:space="preserve"> contribut</w:t>
      </w:r>
      <w:r w:rsidR="006465A0">
        <w:rPr>
          <w:color w:val="000000" w:themeColor="text1"/>
        </w:rPr>
        <w:t>es</w:t>
      </w:r>
      <w:r>
        <w:rPr>
          <w:color w:val="000000" w:themeColor="text1"/>
        </w:rPr>
        <w:t xml:space="preserve"> to tissue damage </w:t>
      </w:r>
      <w:r>
        <w:rPr>
          <w:color w:val="000000" w:themeColor="text1"/>
          <w:lang w:val="es-CO"/>
        </w:rPr>
        <w:fldChar w:fldCharType="begin" w:fldLock="1"/>
      </w:r>
      <w:r w:rsidR="006465A0">
        <w:rPr>
          <w:color w:val="000000" w:themeColor="text1"/>
        </w:rPr>
        <w:instrText>ADDIN CSL_CITATION {"citationItems":[{"id":"ITEM-1","itemData":{"DOI":"10.3390/ijms20112756","ISSN":"14220067","PMID":"31195621","abstract":"E-cadherin is the core component of epithelial adherens junctions, essential for tissue development, differentiation, and maintenance. It is also fundamental for tissue barrier formation, a critical function of epithelial tissues. The colon or large intestine is lined by an epithelial monolayer that encompasses an E-cadherin-dependent barrier, critical for the homeostasis of the organ. Compromised barriers of the colonic epithelium lead to inflammation, fibrosis, and are commonly observed in colorectal cancer. In addition to its architectural role, E-cadherin is also considered a tumor suppressor in the colon, primarily a result of its opposing function to Wnt signaling, the predominant driver of colon tumorigenesis. Beyond these well-established traditional roles, several studies have portrayed an evolving role of E-cadherin as a signaling epicenter that regulates cell behavior in response to intra- and extra-cellular cues. Intriguingly, these recent findings also reveal tumor-promoting functions of E-cadherin in colon tumorigenesis and new interacting partners, opening future avenues of investigation. In this Review, we focus on these emerging aspects of E-cadherin signaling, and we discuss their implications in colon biology and disease.","author":[{"dropping-particle":"","family":"Daulagala","given":"Amanda C.","non-dropping-particle":"","parse-names":false,"suffix":""},{"dropping-particle":"","family":"Bridges","given":"Mary Catherine","non-dropping-particle":"","parse-names":false,"suffix":""},{"dropping-particle":"","family":"Kourtidis","given":"Antonis","non-dropping-particle":"","parse-names":false,"suffix":""}],"container-title":"International Journal of Molecular Sciences","id":"ITEM-1","issue":"11","issued":{"date-parts":[["2019","6","1"]]},"page":"2756","publisher":"MDPI AG","title":"E-cadherin beyond structure: A signaling hub in colon homeostasis and disease","type":"article","volume":"20"},"uris":["http://www.mendeley.com/documents/?uuid=bc8f23e0-ce74-3438-aa6e-47941f213998"]}],"mendeley":{"formattedCitation":"[28]","plainTextFormattedCitation":"[28]","previouslyFormattedCitation":"[28]"},"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[28]</w:t>
      </w:r>
      <w:r>
        <w:rPr>
          <w:color w:val="000000" w:themeColor="text1"/>
          <w:lang w:val="es-CO"/>
        </w:rPr>
        <w:fldChar w:fldCharType="end"/>
      </w:r>
      <w:r>
        <w:rPr>
          <w:color w:val="000000" w:themeColor="text1"/>
        </w:rPr>
        <w:t xml:space="preserve">, extensive apoptosis of IECs triggered by pro-inflammatory mediators </w:t>
      </w:r>
      <w:r>
        <w:rPr>
          <w:color w:val="000000" w:themeColor="text1"/>
          <w:lang w:val="es-CO"/>
        </w:rPr>
        <w:fldChar w:fldCharType="begin" w:fldLock="1"/>
      </w:r>
      <w:r w:rsidR="006465A0">
        <w:rPr>
          <w:color w:val="000000" w:themeColor="text1"/>
        </w:rPr>
        <w:instrText>ADDIN CSL_CITATION {"citationItems":[{"id":"ITEM-1","itemData":{"DOI":"10.1016/j.ajpath.2012.06.016","ISSN":"00029440","PMID":"22863952","abstract":"Chronic ulcerative colitis (CUC) is characterized by increased intestinal epithelial cell (IEC) apoptosis associated with elevated tumor necrosis factor (TNF), inducible nitric oxide synthase (iNOS), and p53. We previously showed that p53 is increased in crypt IECs in human colitis and is needed for IEC apoptosis in chronic dextran sulfate sodium-colitis. Herein, we examined the roles of TNF and iNOS in regulating p53-induced IEC apoptosis in CUC. The IEC TUNEL staining, caspases 3, 8, and 9, and p53 protein levels, induced by anti-CD3 monoclonal antibody (mAb) activation of T cells, were markedly reduced in TNF receptor 1 and 2 gene knockout mice. Induction of IEC apoptosis correlated with increased p53, which was attenuated in iNOS-/- mice. IEC p53 levels and apoptosis were reduced in IL-10-/- colitic mice treated with neutralizing TNF mAb and the iNOS inhibitor, aminoguanidine, further suggesting that TNF and iNOS are upstream of p53 during colitis-induced IEC apoptosis. IEC apoptosis and p53 levels were assessed in control versus untreated or anti-TNF-treated CUC patients with equivalent levels of inflammation. Data indicated that IEC apoptosis and p53 levels were clearly higher in untreated CUC but markedly reduced in patients treated with anti-TNF mAb. Therefore, TNF-induced iNOS activates a p53-dependent pathway of IEC apoptosis in CUC. The inhibition of IEC apoptosis may be an important mechanism for mucosal healing in anti-TNF-treated CUC patients. © 2012 American Society for Investigative Pathology.","author":[{"dropping-particle":"","family":"Goretsky","given":"Tatiana","non-dropping-particle":"","parse-names":false,"suffix":""},{"dropping-particle":"","family":"Dirisina","given":"Ramanarao","non-dropping-particle":"","parse-names":false,"suffix":""},{"dropping-particle":"","family":"Sinh","given":"Preetika","non-dropping-particle":"","parse-names":false,"suffix":""},{"dropping-particle":"","family":"Mittal","given":"Navdha","non-dropping-particle":"","parse-names":false,"suffix":""},{"dropping-particle":"","family":"Managlia","given":"Elizabeth","non-dropping-particle":"","parse-names":false,"suffix":""},{"dropping-particle":"","family":"Williams","given":"David B.","non-dropping-particle":"","parse-names":false,"suffix":""},{"dropping-particle":"","family":"Posca","given":"Daniela","non-dropping-particle":"","parse-names":false,"suffix":""},{"dropping-particle":"","family":"Ryu","given":"Hyunji","non-dropping-particle":"","parse-names":false,"suffix":""},{"dropping-particle":"","family":"Katzman","given":"Rebecca B.","non-dropping-particle":"","parse-names":false,"suffix":""},{"dropping-particle":"","family":"Barrett","given":"Terrence A.","non-dropping-particle":"","parse-names":false,"suffix":""}],"container-title":"American Journal of Pathology","id":"ITEM-1","issue":"4","issued":{"date-parts":[["2012","10"]]},"page":"1306-1315","publisher":"American Society for Investigative Pathology","title":"P53 mediates TNF-induced epithelial cell apoptosis in IBD","type":"article-journal","volume":"181"},"uris":["http://www.mendeley.com/documents/?uuid=c9681404-36cf-300f-a8b2-d7a3f34ddee6"]}],"mendeley":{"formattedCitation":"[29]","plainTextFormattedCitation":"[29]","previouslyFormattedCitation":"[29]"},"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[29]</w:t>
      </w:r>
      <w:r>
        <w:rPr>
          <w:color w:val="000000" w:themeColor="text1"/>
          <w:lang w:val="es-CO"/>
        </w:rPr>
        <w:fldChar w:fldCharType="end"/>
      </w:r>
      <w:r>
        <w:rPr>
          <w:color w:val="000000" w:themeColor="text1"/>
        </w:rPr>
        <w:t>, altered expression and delocalization of tight junction proteins</w:t>
      </w:r>
      <w:r w:rsidR="00BA0E53">
        <w:rPr>
          <w:color w:val="000000" w:themeColor="text1"/>
        </w:rPr>
        <w:t xml:space="preserve"> </w:t>
      </w:r>
      <w:r>
        <w:rPr>
          <w:color w:val="000000" w:themeColor="text1"/>
          <w:lang w:val="es-CO"/>
        </w:rPr>
        <w:fldChar w:fldCharType="begin" w:fldLock="1"/>
      </w:r>
      <w:r w:rsidR="006465A0">
        <w:rPr>
          <w:color w:val="000000" w:themeColor="text1"/>
        </w:rPr>
        <w:instrText>ADDIN CSL_CITATION {"citationItems":[{"id":"ITEM-1","itemData":{"DOI":"10.1038/mi.2016.128","ISSN":"19353456","PMID":"28120842","abstract":"Inflammatory bowel disease (IBD) is a multifactorial disease. A breach in the mucosal barrier, otherwise known as \"leaky gut,\" is alleged to promote mucosal inflammation by intensifying immune activation. However, interaction between the luminal antigen and mucosal immune system is necessary to maintain mucosal homeostasis. Furthermore, manipulations leading to deregulated gut permeability have resulted in susceptibility in mice to colitis as well as to creating adaptive immunity. These findings implicate a complex but dynamic association between mucosal permeability and immune homeostasis; however, they also emphasize that compromised gut permeability alone may not be sufficient to induce colitis. Emerging evidence further supports the role(s) of proteins associated with the mucosal barrier in epithelial injury and repair: manipulations of associated proteins also modified epithelial differentiation, proliferation, and apoptosis. Taken together, the role of gut permeability and proteins associated in regulating mucosal inflammatory diseases appears to be more complex than previously thought. Herein, we review outcomes from recent mouse models where gut permeability was altered by direct and indirect effects of manipulating mucosal barrier-Associated proteins, to highlight the significance of mucosal permeability and the non-barrier-related roles of these proteins in regulating chronic mucosal inflammatory conditions.","author":[{"dropping-particle":"","family":"Ahmad","given":"R.","non-dropping-particle":"","parse-names":false,"suffix":""},{"dropping-particle":"","family":"Sorrell","given":"M. F.","non-dropping-particle":"","parse-names":false,"suffix":""},{"dropping-particle":"","family":"Batra","given":"S. K.","non-dropping-particle":"","parse-names":false,"suffix":""},{"dropping-particle":"","family":"Dhawan","given":"P.","non-dropping-particle":"","parse-names":false,"suffix":""},{"dropping-particle":"","family":"Singh","given":"A. B.","non-dropping-particle":"","parse-names":false,"suffix":""}],"container-title":"Mucosal Immunology","id":"ITEM-1","issue":"2","issued":{"date-parts":[["2017","3","1"]]},"page":"307-317","publisher":"Nature Publishing Group","title":"Gut permeability and mucosal inflammation: Bad, good or context dependent","type":"article","volume":"10"},"uris":["http://www.mendeley.com/documents/?uuid=ac51edfb-99d2-3e45-aa7c-87823c2c9de5"]}],"mendeley":{"formattedCitation":"[30]","plainTextFormattedCitation":"[30]","previouslyFormattedCitation":"[30]"},"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[30]</w:t>
      </w:r>
      <w:r>
        <w:rPr>
          <w:color w:val="000000" w:themeColor="text1"/>
          <w:lang w:val="es-CO"/>
        </w:rPr>
        <w:fldChar w:fldCharType="end"/>
      </w:r>
      <w:r>
        <w:rPr>
          <w:color w:val="000000" w:themeColor="text1"/>
        </w:rPr>
        <w:t xml:space="preserve">, among others, have been found </w:t>
      </w:r>
      <w:r w:rsidR="002076BA">
        <w:rPr>
          <w:color w:val="000000" w:themeColor="text1"/>
        </w:rPr>
        <w:t xml:space="preserve">to be </w:t>
      </w:r>
      <w:r>
        <w:rPr>
          <w:color w:val="000000" w:themeColor="text1"/>
        </w:rPr>
        <w:t xml:space="preserve">correlated with IBD.  </w:t>
      </w:r>
    </w:p>
    <w:p w14:paraId="17ABB87B" w14:textId="77777777" w:rsidR="00943C22" w:rsidRDefault="002E0B22" w:rsidP="00DD0AC8">
      <w:pPr>
        <w:spacing w:line="480" w:lineRule="auto"/>
        <w:rPr>
          <w:bCs/>
          <w:i/>
        </w:rPr>
      </w:pPr>
      <w:r>
        <w:rPr>
          <w:bCs/>
          <w:i/>
        </w:rPr>
        <w:t xml:space="preserve">1.2.2.4 </w:t>
      </w:r>
      <w:r w:rsidR="00943C22" w:rsidRPr="002E0B22">
        <w:rPr>
          <w:bCs/>
          <w:i/>
        </w:rPr>
        <w:t>Environmental factors</w:t>
      </w:r>
    </w:p>
    <w:p w14:paraId="105B768C" w14:textId="25477535" w:rsidR="00DD0AC8" w:rsidRDefault="00943C22" w:rsidP="001311E7">
      <w:pPr>
        <w:spacing w:line="480" w:lineRule="auto"/>
        <w:ind w:firstLine="720"/>
        <w:rPr>
          <w:color w:val="000000" w:themeColor="text1"/>
        </w:rPr>
      </w:pPr>
      <w:r>
        <w:rPr>
          <w:color w:val="000000" w:themeColor="text1"/>
        </w:rPr>
        <w:t xml:space="preserve">Environmental factors have a direct impact on the gut microbiota and the immune system, and their differential contribution to IBD adds a substantial level of complexity to understanding the disease. Several studies have </w:t>
      </w:r>
      <w:r w:rsidR="00F00D07">
        <w:rPr>
          <w:color w:val="000000" w:themeColor="text1"/>
        </w:rPr>
        <w:t xml:space="preserve">tried </w:t>
      </w:r>
      <w:r>
        <w:rPr>
          <w:color w:val="000000" w:themeColor="text1"/>
        </w:rPr>
        <w:t xml:space="preserve">to identify potential patterns between exposure to environmental conditions and the disease, but results are widely diverse and, in many cases, controversial. According to a recent review by Ananthakrishnan </w:t>
      </w:r>
      <w:r w:rsidRPr="006465A0">
        <w:rPr>
          <w:i/>
          <w:iCs/>
          <w:color w:val="000000" w:themeColor="text1"/>
        </w:rPr>
        <w:t>et al</w:t>
      </w:r>
      <w:r>
        <w:rPr>
          <w:color w:val="000000" w:themeColor="text1"/>
        </w:rPr>
        <w:t>.</w:t>
      </w:r>
      <w:r w:rsidR="00084481">
        <w:rPr>
          <w:color w:val="000000" w:themeColor="text1"/>
        </w:rPr>
        <w:t xml:space="preserve"> </w:t>
      </w:r>
      <w:r w:rsidR="00F84019" w:rsidRPr="00A909CB">
        <w:t>(</w:t>
      </w:r>
      <w:r w:rsidR="00A909CB" w:rsidRPr="00A909CB">
        <w:t>2018</w:t>
      </w:r>
      <w:r w:rsidR="00F84019" w:rsidRPr="00A909CB">
        <w:t xml:space="preserve">) </w:t>
      </w:r>
      <w:r w:rsidRPr="00A909CB">
        <w:t xml:space="preserve">particulate </w:t>
      </w:r>
      <w:r>
        <w:rPr>
          <w:color w:val="000000" w:themeColor="text1"/>
        </w:rPr>
        <w:t>matter and other compounds present in air pollution can trigger the immune system making the disease more common in urban centers</w:t>
      </w:r>
      <w:r w:rsidR="00F00D07">
        <w:rPr>
          <w:color w:val="000000" w:themeColor="text1"/>
        </w:rPr>
        <w:t>. T</w:t>
      </w:r>
      <w:r>
        <w:rPr>
          <w:color w:val="000000" w:themeColor="text1"/>
        </w:rPr>
        <w:t xml:space="preserve">he use of medications can trigger or perpetuate IBD, as antibiotics decrease the diversity of gut microbiota creating dysbiosis, while non-steroidal anti-inflammatory drugs (NSAIDs) are associated with gastric and duodenal </w:t>
      </w:r>
      <w:r w:rsidR="006465A0">
        <w:rPr>
          <w:color w:val="000000" w:themeColor="text1"/>
        </w:rPr>
        <w:t>ulcerations and</w:t>
      </w:r>
      <w:r>
        <w:rPr>
          <w:color w:val="000000" w:themeColor="text1"/>
        </w:rPr>
        <w:t xml:space="preserve"> increased mucosal permeability</w:t>
      </w:r>
      <w:r w:rsidR="006465A0">
        <w:rPr>
          <w:color w:val="000000" w:themeColor="text1"/>
        </w:rPr>
        <w:t xml:space="preserve"> </w:t>
      </w:r>
      <w:r w:rsidR="006465A0">
        <w:rPr>
          <w:color w:val="000000" w:themeColor="text1"/>
        </w:rPr>
        <w:fldChar w:fldCharType="begin" w:fldLock="1"/>
      </w:r>
      <w:r w:rsidR="004F2E64">
        <w:rPr>
          <w:color w:val="000000" w:themeColor="text1"/>
        </w:rPr>
        <w:instrText>ADDIN CSL_CITATION {"citationItems":[{"id":"ITEM-1","itemData":{"DOI":"10.1038/nrgastro.2017.136","author":[{"dropping-particle":"","family":"Ananthakrishnan","given":"Ashwin N","non-dropping-particle":"","parse-names":false,"suffix":""},{"dropping-particle":"","family":"Bernstein","given":"Charles N","non-dropping-particle":"","parse-names":false,"suffix":""},{"dropping-particle":"","family":"Iliopoulos","given":"Dimitrios","non-dropping-particle":"","parse-names":false,"suffix":""},{"dropping-particle":"","family":"Macpherson","given":"Andrew","non-dropping-particle":"","parse-names":false,"suffix":""},{"dropping-particle":"","family":"Neurath","given":"Markus F","non-dropping-particle":"","parse-names":false,"suffix":""},{"dropping-particle":"","family":"Raja Ali","given":"Raja A","non-dropping-particle":"","parse-names":false,"suffix":""},{"dropping-particle":"","family":"Vavricka","given":"Stephan R","non-dropping-particle":"","parse-names":false,"suffix":""},{"dropping-particle":"","family":"Fiocchi","given":"Claudio","non-dropping-particle":"","parse-names":false,"suffix":""}],"container-title":"Nature Reviews Gastroenterology &amp; Hepatology","id":"ITEM-1","issued":{"date-parts":[["2018"]]},"page":"39","title":"Environmental triggers in IBD: a review of progress and evidence","type":"article-journal","volume":"15"},"uris":["http://www.mendeley.com/documents/?uuid=320d6274-3c6b-3dc3-bea2-9c38c5293d12"]}],"mendeley":{"formattedCitation":"[31]","plainTextFormattedCitation":"[31]","previouslyFormattedCitation":"[31]"},"properties":{"noteIndex":0},"schema":"https://github.com/citation-style-language/schema/raw/master/csl-citation.json"}</w:instrText>
      </w:r>
      <w:r w:rsidR="006465A0">
        <w:rPr>
          <w:color w:val="000000" w:themeColor="text1"/>
        </w:rPr>
        <w:fldChar w:fldCharType="separate"/>
      </w:r>
      <w:r w:rsidR="006465A0" w:rsidRPr="006465A0">
        <w:rPr>
          <w:noProof/>
          <w:color w:val="000000" w:themeColor="text1"/>
        </w:rPr>
        <w:t>[31]</w:t>
      </w:r>
      <w:r w:rsidR="006465A0">
        <w:rPr>
          <w:color w:val="000000" w:themeColor="text1"/>
        </w:rPr>
        <w:fldChar w:fldCharType="end"/>
      </w:r>
      <w:r w:rsidR="00084481">
        <w:rPr>
          <w:color w:val="000000" w:themeColor="text1"/>
        </w:rPr>
        <w:t>.</w:t>
      </w:r>
      <w:r>
        <w:rPr>
          <w:color w:val="000000" w:themeColor="text1"/>
        </w:rPr>
        <w:t xml:space="preserve"> Behavioral patterns such as stress, anxiety, depression, impaired sleep, and excessive sanitization contribute to IBD, while smoking has a </w:t>
      </w:r>
      <w:r>
        <w:rPr>
          <w:color w:val="000000" w:themeColor="text1"/>
        </w:rPr>
        <w:lastRenderedPageBreak/>
        <w:t xml:space="preserve">controversial role as it seems to worsen CD by increasing the relapse rate, but appears to be protective in UC, involving effects over the gut microbiota, mucosal membrane integrity, and alteration in endothelial functions mediated by nitric oxide </w:t>
      </w:r>
      <w:r>
        <w:rPr>
          <w:color w:val="000000" w:themeColor="text1"/>
          <w:lang w:val="es-CO"/>
        </w:rPr>
        <w:fldChar w:fldCharType="begin" w:fldLock="1"/>
      </w:r>
      <w:r w:rsidR="006465A0">
        <w:rPr>
          <w:color w:val="000000" w:themeColor="text1"/>
        </w:rPr>
        <w:instrText>ADDIN CSL_CITATION {"citationItems":[{"id":"ITEM-1","itemData":{"DOI":"10.1080/1040841X.2021.1876631","ISSN":"15497828","PMID":"33576711","abstract":"Human gut microbiota contributes to host nutrition and metabolism, sustains intestinal cell proliferation and differentiation, and modulates host immune system. The alterations in their composition lead to severe gut disorders, including inflammatory bowel disease (IBD) or inflammatory bowel syndrome (IBS). IBD including ulcerative colitis (UC) and Crohn’s disease (CD) are gamut of chronic inflammatory disorders of gut, mediated by complex interrelations among genetic, environmental, and internal factors. IBD has debateable aetiology, however in recent years, exploring the central role of a tri-directional relationship between gut microbiota, mucosal immune system, and intestinal epithelium in pathogenesis is getting the most attention. Increasing incidences and early onset explains the exponential rise in IBD burden on health-care systems. Industrialization, hypersensitivity to allergens, lifestyle, hygiene hypothesis, loss of intestinal worms, and gut microbial composition, explains this shifted rise. Hitherto, the interventions modulating gut microbiota composition, microfluidics-based in vitro gastrointestinal models, non-allergic functional foods, nutraceuticals, and faecal microbiota transplantation (FMT) from healthy donors are some of the futuristic approaches for the disease management.","author":[{"dropping-particle":"","family":"Ahlawat","given":"Shruti","non-dropping-particle":"","parse-names":false,"suffix":""},{"dropping-particle":"","family":"Kumar","given":"Pramod","non-dropping-particle":"","parse-names":false,"suffix":""},{"dropping-particle":"","family":"Mohan","given":"Hari","non-dropping-particle":"","parse-names":false,"suffix":""},{"dropping-particle":"","family":"Goyal","given":"Sandeep","non-dropping-particle":"","parse-names":false,"suffix":""},{"dropping-particle":"","family":"Sharma","given":"Krishna Kant","non-dropping-particle":"","parse-names":false,"suffix":""}],"container-title":"Critical Reviews in Microbiology","id":"ITEM-1","issue":"2","issued":{"date-parts":[["2021"]]},"page":"254-273","publisher":"Taylor and Francis Ltd.","title":"Inflammatory bowel disease: tri-directional relationship between microbiota, immune system and intestinal epithelium","type":"article","volume":"47"},"uris":["http://www.mendeley.com/documents/?uuid=c2ffcaf1-bd92-3eb6-bf3c-34c83d553ab2"]}],"mendeley":{"formattedCitation":"[18]","plainTextFormattedCitation":"[18]","previouslyFormattedCitation":"[18]"},"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[18]</w:t>
      </w:r>
      <w:r>
        <w:rPr>
          <w:color w:val="000000" w:themeColor="text1"/>
          <w:lang w:val="es-CO"/>
        </w:rPr>
        <w:fldChar w:fldCharType="end"/>
      </w:r>
      <w:r>
        <w:rPr>
          <w:color w:val="000000" w:themeColor="text1"/>
        </w:rPr>
        <w:t xml:space="preserve">. </w:t>
      </w:r>
    </w:p>
    <w:p w14:paraId="73D85A49" w14:textId="77777777" w:rsidR="00943C22" w:rsidRPr="00394029" w:rsidRDefault="00394029" w:rsidP="001311E7">
      <w:pPr>
        <w:pStyle w:val="Heading3"/>
        <w:spacing w:before="0" w:after="0" w:line="480" w:lineRule="auto"/>
        <w:rPr>
          <w:i w:val="0"/>
        </w:rPr>
      </w:pPr>
      <w:bookmarkStart w:id="6" w:name="_Toc77082090"/>
      <w:r>
        <w:rPr>
          <w:i w:val="0"/>
        </w:rPr>
        <w:t xml:space="preserve">1.2.3 </w:t>
      </w:r>
      <w:r w:rsidR="00943C22" w:rsidRPr="00394029">
        <w:rPr>
          <w:i w:val="0"/>
        </w:rPr>
        <w:t>Dysregulated immune response: the central role of cytokines</w:t>
      </w:r>
      <w:r>
        <w:rPr>
          <w:i w:val="0"/>
        </w:rPr>
        <w:t xml:space="preserve"> in IBD</w:t>
      </w:r>
      <w:bookmarkEnd w:id="6"/>
    </w:p>
    <w:p w14:paraId="06C256EB" w14:textId="091155C3" w:rsidR="00BE263D" w:rsidRDefault="00943C22" w:rsidP="00F84019">
      <w:pPr>
        <w:spacing w:line="480" w:lineRule="auto"/>
        <w:ind w:firstLine="720"/>
        <w:rPr>
          <w:color w:val="000000" w:themeColor="text1"/>
        </w:rPr>
      </w:pPr>
      <w:r>
        <w:rPr>
          <w:color w:val="000000" w:themeColor="text1"/>
        </w:rPr>
        <w:t xml:space="preserve">The intestinal immune response is the outcome of the interaction between the immune cells, gut microbiota, and the intestinal epithelial barrier, shaped by the contribution of environmental and genetic factors </w:t>
      </w:r>
      <w:r>
        <w:rPr>
          <w:color w:val="000000" w:themeColor="text1"/>
          <w:lang w:val="es-CO"/>
        </w:rPr>
        <w:fldChar w:fldCharType="begin" w:fldLock="1"/>
      </w:r>
      <w:r w:rsidR="006465A0">
        <w:rPr>
          <w:color w:val="000000" w:themeColor="text1"/>
        </w:rPr>
        <w:instrText>ADDIN CSL_CITATION {"citationItems":[{"id":"ITEM-1","itemData":{"DOI":"10.1080/1040841X.2021.1876631","ISSN":"15497828","PMID":"33576711","abstract":"Human gut microbiota contributes to host nutrition and metabolism, sustains intestinal cell proliferation and differentiation, and modulates host immune system. The alterations in their composition lead to severe gut disorders, including inflammatory bowel disease (IBD) or inflammatory bowel syndrome (IBS). IBD including ulcerative colitis (UC) and Crohn’s disease (CD) are gamut of chronic inflammatory disorders of gut, mediated by complex interrelations among genetic, environmental, and internal factors. IBD has debateable aetiology, however in recent years, exploring the central role of a tri-directional relationship between gut microbiota, mucosal immune system, and intestinal epithelium in pathogenesis is getting the most attention. Increasing incidences and early onset explains the exponential rise in IBD burden on health-care systems. Industrialization, hypersensitivity to allergens, lifestyle, hygiene hypothesis, loss of intestinal worms, and gut microbial composition, explains this shifted rise. Hitherto, the interventions modulating gut microbiota composition, microfluidics-based in vitro gastrointestinal models, non-allergic functional foods, nutraceuticals, and faecal microbiota transplantation (FMT) from healthy donors are some of the futuristic approaches for the disease management.","author":[{"dropping-particle":"","family":"Ahlawat","given":"Shruti","non-dropping-particle":"","parse-names":false,"suffix":""},{"dropping-particle":"","family":"Kumar","given":"Pramod","non-dropping-particle":"","parse-names":false,"suffix":""},{"dropping-particle":"","family":"Mohan","given":"Hari","non-dropping-particle":"","parse-names":false,"suffix":""},{"dropping-particle":"","family":"Goyal","given":"Sandeep","non-dropping-particle":"","parse-names":false,"suffix":""},{"dropping-particle":"","family":"Sharma","given":"Krishna Kant","non-dropping-particle":"","parse-names":false,"suffix":""}],"container-title":"Critical Reviews in Microbiology","id":"ITEM-1","issue":"2","issued":{"date-parts":[["2021"]]},"page":"254-273","publisher":"Taylor and Francis Ltd.","title":"Inflammatory bowel disease: tri-directional relationship between microbiota, immune system and intestinal epithelium","type":"article","volume":"47"},"uris":["http://www.mendeley.com/documents/?uuid=c2ffcaf1-bd92-3eb6-bf3c-34c83d553ab2"]}],"mendeley":{"formattedCitation":"[18]","plainTextFormattedCitation":"[18]","previouslyFormattedCitation":"[18]"},"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[18]</w:t>
      </w:r>
      <w:r>
        <w:rPr>
          <w:color w:val="000000" w:themeColor="text1"/>
          <w:lang w:val="es-CO"/>
        </w:rPr>
        <w:fldChar w:fldCharType="end"/>
      </w:r>
      <w:r>
        <w:rPr>
          <w:color w:val="000000" w:themeColor="text1"/>
        </w:rPr>
        <w:t xml:space="preserve">. Transgression of the epithelial barrier by microbial antigens activates mucosal immune cells and triggers the release of pro-inflammatory signals, initiating the inflammatory response. In healthy individuals, anti-inflammatory signals and tissue repair mechanisms mediate the resolution of inflammation facilitating the recovery of intestinal homeostasis. However, when the inflammatory response is aberrant, or regulatory mechanisms fail, non-resolved inflammation becomes chronic </w:t>
      </w:r>
      <w:r>
        <w:rPr>
          <w:color w:val="000000" w:themeColor="text1"/>
          <w:lang w:val="es-CO"/>
        </w:rPr>
        <w:fldChar w:fldCharType="begin" w:fldLock="1"/>
      </w:r>
      <w:r w:rsidR="004F2E64">
        <w:rPr>
          <w:color w:val="000000" w:themeColor="text1"/>
        </w:rPr>
        <w:instrText>ADDIN CSL_CITATION {"citationItems":[{"id":"ITEM-1","itemData":{"DOI":"10.1038/nri3661","ISSN":"14741741","PMID":"24751956","abstract":"Cytokines have a crucial role in the pathogenesis of inflammatory bowel diseases (IBDs), such as Crohn's disease and ulcerative colitis, where they control multiple aspects of the inflammatory response. In particular, the imbalance between pro-inflammatory and anti-inflammatory cytokines that occurs in IBD impedes the resolution of inflammation and instead leads to disease perpetuation and tissue destruction. Recent studies suggest the existence of a network of regulatory cytokines that has important implications for disease progression. In this Review, we discuss the role of cytokines produced by innate and adaptive immune cells, as well as their relevance to the future therapy of IBD. © 2014 Macmillan Publishers Limited. All rights reserved.","author":[{"dropping-particle":"","family":"Neurath","given":"Markus F.","non-dropping-particle":"","parse-names":false,"suffix":""}],"container-title":"Nature Reviews Immunology","id":"ITEM-1","issue":"5","issued":{"date-parts":[["2014","4","22"]]},"page":"329-342","publisher":"Nature Publishing Group","title":"Cytokines in inflammatory bowel disease","type":"article","volume":"14"},"uris":["http://www.mendeley.com/documents/?uuid=41dcea7e-db04-4b63-b242-e5af29ee7d4c"]}],"mendeley":{"formattedCitation":"[32]","plainTextFormattedCitation":"[32]","previouslyFormattedCitation":"[32]"},"properties":{"noteIndex":0},"schema":"https://github.com/citation-style-language/schema/raw/master/csl-citation.json"}</w:instrText>
      </w:r>
      <w:r>
        <w:rPr>
          <w:color w:val="000000" w:themeColor="text1"/>
          <w:lang w:val="es-CO"/>
        </w:rPr>
        <w:fldChar w:fldCharType="separate"/>
      </w:r>
      <w:r w:rsidR="006465A0" w:rsidRPr="006465A0">
        <w:rPr>
          <w:noProof/>
          <w:color w:val="000000" w:themeColor="text1"/>
        </w:rPr>
        <w:t>[32]</w:t>
      </w:r>
      <w:r>
        <w:rPr>
          <w:color w:val="000000" w:themeColor="text1"/>
          <w:lang w:val="es-CO"/>
        </w:rPr>
        <w:fldChar w:fldCharType="end"/>
      </w:r>
      <w:r w:rsidR="00555875">
        <w:rPr>
          <w:color w:val="000000" w:themeColor="text1"/>
        </w:rPr>
        <w:t>.</w:t>
      </w:r>
      <w:r>
        <w:rPr>
          <w:color w:val="000000" w:themeColor="text1"/>
        </w:rPr>
        <w:t xml:space="preserve"> </w:t>
      </w:r>
      <w:r w:rsidR="00555875">
        <w:rPr>
          <w:color w:val="000000" w:themeColor="text1"/>
        </w:rPr>
        <w:t xml:space="preserve">This </w:t>
      </w:r>
      <w:r>
        <w:rPr>
          <w:color w:val="000000" w:themeColor="text1"/>
        </w:rPr>
        <w:t>result</w:t>
      </w:r>
      <w:r w:rsidR="00555875">
        <w:rPr>
          <w:color w:val="000000" w:themeColor="text1"/>
        </w:rPr>
        <w:t>s</w:t>
      </w:r>
      <w:r>
        <w:rPr>
          <w:color w:val="000000" w:themeColor="text1"/>
        </w:rPr>
        <w:t xml:space="preserve"> in a large number of T cells, B cells, macrophages, neutrophils, and dendritic cells infiltrating the lamina propria, producing high levels of pro-inflammatory cytokines and generating tissue damage </w:t>
      </w:r>
      <w:r>
        <w:rPr>
          <w:color w:val="000000" w:themeColor="text1"/>
          <w:lang w:val="es-CO"/>
        </w:rPr>
        <w:fldChar w:fldCharType="begin" w:fldLock="1"/>
      </w:r>
      <w:r w:rsidR="006465A0">
        <w:rPr>
          <w:color w:val="000000" w:themeColor="text1"/>
        </w:rPr>
        <w:instrText>ADDIN CSL_CITATION {"citationItems":[{"id":"ITEM-1","itemData":{"DOI":"10.1155/2019/7247238","ISSN":"2314-8861","PMID":"31886308","abstract":"Inflammatory bowel disease (IBD) is a chronic and life-threating inflammatory disease of gastroenteric tissue characterized by episodes of intestinal inflammation. The pathogenesis of IBD is complex. Recent studies have greatly improved our knowledge of the pathophysiology of IBD, leading to great advances in the treatment as well as diagnosis of IBD. In this review, we have systemically reviewed the pathogenesis of IBD and highlighted recent advances in host genetic factors, gut microbiota, and environmental factors and, especially, in abnormal innate and adaptive immune responses and their interactions, which may hold the keys to identify novel predictive or prognostic biomarkers and develop new therapies.","author":[{"dropping-particle":"","family":"Guan","given":"Qingdong","non-dropping-particle":"","parse-names":false,"suffix":""}],"container-title":"Journal of Immunology Research","id":"ITEM-1","issued":{"date-parts":[["2019","12","1"]]},"page":"1-16","publisher":"Hindawi Limited","title":"A Comprehensive Review and Update on the Pathogenesis of Inflammatory Bowel Disease","type":"article-journal","volume":"2019"},"uris":["http://www.mendeley.com/documents/?uuid=e1bdd519-f3c9-37f2-ba42-b0599ea38f59"]}],"mendeley":{"formattedCitation":"[9]","plainTextFormattedCitation":"[9]","previouslyFormattedCitation":"[9]"},"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[9]</w:t>
      </w:r>
      <w:r>
        <w:rPr>
          <w:color w:val="000000" w:themeColor="text1"/>
          <w:lang w:val="es-CO"/>
        </w:rPr>
        <w:fldChar w:fldCharType="end"/>
      </w:r>
      <w:r>
        <w:rPr>
          <w:color w:val="000000" w:themeColor="text1"/>
        </w:rPr>
        <w:t xml:space="preserve">. </w:t>
      </w:r>
    </w:p>
    <w:p w14:paraId="0B17167D" w14:textId="33D5026F" w:rsidR="002E0B22" w:rsidRPr="001311E7" w:rsidRDefault="00943C22" w:rsidP="001311E7">
      <w:pPr>
        <w:spacing w:line="480" w:lineRule="auto"/>
        <w:ind w:firstLine="720"/>
        <w:rPr>
          <w:rFonts w:ascii="Times New Roman" w:hAnsi="Times New Roman" w:cs="Times New Roman"/>
          <w:color w:val="000000" w:themeColor="text1"/>
        </w:rPr>
      </w:pPr>
      <w:r>
        <w:rPr>
          <w:color w:val="000000" w:themeColor="text1"/>
        </w:rPr>
        <w:t xml:space="preserve">Cytokines have a central role in the pathogenesis and development of IBD as they: i) govern the initiation, evolution, and resolution of the inflammatory response, ii) drive intestinal inflammation and associated symptoms, iii) regulate systemic effects that contribute to extra-intestinal manifestations, and iv) are involved in the progression of destructive forms of the disease such as the </w:t>
      </w:r>
      <w:r>
        <w:rPr>
          <w:color w:val="000000" w:themeColor="text1"/>
        </w:rPr>
        <w:lastRenderedPageBreak/>
        <w:t xml:space="preserve">development of colitis-associated </w:t>
      </w:r>
      <w:r w:rsidR="00555875">
        <w:rPr>
          <w:color w:val="000000" w:themeColor="text1"/>
        </w:rPr>
        <w:t>CRC</w:t>
      </w:r>
      <w:r>
        <w:rPr>
          <w:color w:val="000000" w:themeColor="text1"/>
        </w:rPr>
        <w:t xml:space="preserve"> </w:t>
      </w:r>
      <w:r>
        <w:rPr>
          <w:color w:val="000000" w:themeColor="text1"/>
          <w:lang w:val="es-CO"/>
        </w:rPr>
        <w:fldChar w:fldCharType="begin" w:fldLock="1"/>
      </w:r>
      <w:r w:rsidR="004F2E64">
        <w:rPr>
          <w:color w:val="000000" w:themeColor="text1"/>
        </w:rPr>
        <w:instrText>ADDIN CSL_CITATION {"citationItems":[{"id":"ITEM-1","itemData":{"DOI":"10.1038/nri3661","ISSN":"14741741","PMID":"24751956","abstract":"Cytokines have a crucial role in the pathogenesis of inflammatory bowel diseases (IBDs), such as Crohn's disease and ulcerative colitis, where they control multiple aspects of the inflammatory response. In particular, the imbalance between pro-inflammatory and anti-inflammatory cytokines that occurs in IBD impedes the resolution of inflammation and instead leads to disease perpetuation and tissue destruction. Recent studies suggest the existence of a network of regulatory cytokines that has important implications for disease progression. In this Review, we discuss the role of cytokines produced by innate and adaptive immune cells, as well as their relevance to the future therapy of IBD. © 2014 Macmillan Publishers Limited. All rights reserved.","author":[{"dropping-particle":"","family":"Neurath","given":"Markus F.","non-dropping-particle":"","parse-names":false,"suffix":""}],"container-title":"Nature Reviews Immunology","id":"ITEM-1","issue":"5","issued":{"date-parts":[["2014","4","22"]]},"page":"329-342","publisher":"Nature Publishing Group","title":"Cytokines in inflammatory bowel disease","type":"article","volume":"14"},"uris":["http://www.mendeley.com/documents/?uuid=41dcea7e-db04-4b63-b242-e5af29ee7d4c"]}],"mendeley":{"formattedCitation":"[32]","plainTextFormattedCitation":"[32]","previouslyFormattedCitation":"[32]"},"properties":{"noteIndex":0},"schema":"https://github.com/citation-style-language/schema/raw/master/csl-citation.json"}</w:instrText>
      </w:r>
      <w:r>
        <w:rPr>
          <w:color w:val="000000" w:themeColor="text1"/>
          <w:lang w:val="es-CO"/>
        </w:rPr>
        <w:fldChar w:fldCharType="separate"/>
      </w:r>
      <w:r w:rsidR="006465A0" w:rsidRPr="006465A0">
        <w:rPr>
          <w:noProof/>
          <w:color w:val="000000" w:themeColor="text1"/>
        </w:rPr>
        <w:t>[32]</w:t>
      </w:r>
      <w:r>
        <w:rPr>
          <w:color w:val="000000" w:themeColor="text1"/>
          <w:lang w:val="es-CO"/>
        </w:rPr>
        <w:fldChar w:fldCharType="end"/>
      </w:r>
      <w:r>
        <w:rPr>
          <w:color w:val="000000" w:themeColor="text1"/>
        </w:rPr>
        <w:t xml:space="preserve">. </w:t>
      </w:r>
      <w:r w:rsidR="00347720">
        <w:rPr>
          <w:color w:val="000000" w:themeColor="text1"/>
        </w:rPr>
        <w:t xml:space="preserve">Depending on the nature of the trigger, </w:t>
      </w:r>
      <w:r w:rsidR="0005458F">
        <w:rPr>
          <w:color w:val="000000" w:themeColor="text1"/>
        </w:rPr>
        <w:t>T helper cells (Th) help to polarize the response</w:t>
      </w:r>
      <w:r w:rsidR="00347720">
        <w:rPr>
          <w:color w:val="000000" w:themeColor="text1"/>
        </w:rPr>
        <w:t xml:space="preserve"> of other immune cells</w:t>
      </w:r>
      <w:r w:rsidR="0005458F">
        <w:rPr>
          <w:color w:val="000000" w:themeColor="text1"/>
        </w:rPr>
        <w:t xml:space="preserve">. </w:t>
      </w:r>
      <w:r>
        <w:rPr>
          <w:color w:val="000000" w:themeColor="text1"/>
        </w:rPr>
        <w:t>CD and UC differ in the subset of Th</w:t>
      </w:r>
      <w:r w:rsidR="00347720">
        <w:rPr>
          <w:color w:val="000000" w:themeColor="text1"/>
        </w:rPr>
        <w:t xml:space="preserve"> cells</w:t>
      </w:r>
      <w:r>
        <w:rPr>
          <w:color w:val="000000" w:themeColor="text1"/>
        </w:rPr>
        <w:t xml:space="preserve"> involved in the inflammatory response. CD is characterized by a </w:t>
      </w:r>
      <w:r w:rsidR="00347720">
        <w:rPr>
          <w:color w:val="000000" w:themeColor="text1"/>
        </w:rPr>
        <w:t xml:space="preserve">more inflammatory </w:t>
      </w:r>
      <w:r>
        <w:rPr>
          <w:color w:val="000000" w:themeColor="text1"/>
        </w:rPr>
        <w:t xml:space="preserve">Th1/Th17 response in which </w:t>
      </w:r>
      <w:r w:rsidR="00555875">
        <w:rPr>
          <w:color w:val="000000" w:themeColor="text1"/>
        </w:rPr>
        <w:t>IFN</w:t>
      </w:r>
      <w:r>
        <w:rPr>
          <w:color w:val="000000" w:themeColor="text1"/>
        </w:rPr>
        <w:t>-</w:t>
      </w:r>
      <w:r>
        <w:rPr>
          <w:rFonts w:ascii="Times New Roman" w:hAnsi="Times New Roman" w:cs="Times New Roman"/>
          <w:color w:val="000000" w:themeColor="text1"/>
          <w:lang w:val="es-CO"/>
        </w:rPr>
        <w:t>γ</w:t>
      </w:r>
      <w:r>
        <w:rPr>
          <w:color w:val="000000" w:themeColor="text1"/>
        </w:rPr>
        <w:t xml:space="preserve">, IL-17, IL-21, and IL-22 are the main cytokines produced, while UC is characterized by a Th2-like response that involves IL-13, IL-5, and the expansion of natural killer T cells </w:t>
      </w:r>
      <w:r>
        <w:rPr>
          <w:color w:val="000000" w:themeColor="text1"/>
          <w:lang w:val="es-CO"/>
        </w:rPr>
        <w:fldChar w:fldCharType="begin" w:fldLock="1"/>
      </w:r>
      <w:r w:rsidR="004F2E64">
        <w:rPr>
          <w:color w:val="000000" w:themeColor="text1"/>
        </w:rPr>
        <w:instrText>ADDIN CSL_CITATION {"citationItems":[{"id":"ITEM-1","itemData":{"DOI":"10.1053/j.gastro.2011.02.016","ISSN":"00165085","abstract":"The cytokine responses characterizing the inflammatory bowel diseases are the key pathophysiologic elements that govern the initiation, evolution, and, ultimately, the resolution of these forms of inflammation. Studies during the last 2 decades now provide a detailed (but not yet complete) picture of the nature of these responses. The first tier of cytokine responses are governed by the T-cell differentiation patterns dominating the disease. In Crohn's disease, the major cytokines arise from T-helper cell (Th) 1 and Th17 CD4+ T-cell differentiation and consist of interferon-γ and interleukin (IL)-17/IL-22 generated by these types of differentiation. The relative importance of these cytokines to Crohn's inflammation is still unclear, although evidence is mounting that interferon-γ is primus inter pare (first among equals). In contrast, in ulcerative colitis, a Th2-like differentiation process is paramount, which results in expansion of natural killer T cells producing IL-13 (and perhaps IL-5). These disease-specific cytokine patterns give rise to a second tier of cytokines that span the Th1/Th17Th2 divide and act as upstream facilitators and downstream mediators of inflammation. These cytokines include the well-known tumor necrosis factorα, IL-1β, IL-6 triumphirate, as well as a more recently studied cytokine known as TL1A (tumor necrosis factorlike ligand). In this review, we will explore this cytokine landscape with the view of providing an understanding of how recent and future anticytokine therapies actually function. © 2011 AGA Institute.","author":[{"dropping-particle":"","family":"Strober","given":"Warren","non-dropping-particle":"","parse-names":false,"suffix":""},{"dropping-particle":"","family":"Fuss","given":"Ivan J.","non-dropping-particle":"","parse-names":false,"suffix":""}],"container-title":"Gastroenterology","id":"ITEM-1","issue":"6","issued":{"date-parts":[["2011","5","1"]]},"page":"1756-1767.e1","publisher":"W.B. Saunders","title":"Proinflammatory cytokines in the pathogenesis of inflammatory bowel diseases","type":"article-journal","volume":"140"},"uris":["http://www.mendeley.com/documents/?uuid=0736bd38-7f13-3cfb-ba9b-44ad1675b6a8"]}],"mendeley":{"formattedCitation":"[33]","plainTextFormattedCitation":"[33]","previouslyFormattedCitation":"[33]"},"properties":{"noteIndex":0},"schema":"https://github.com/citation-style-language/schema/raw/master/csl-citation.json"}</w:instrText>
      </w:r>
      <w:r>
        <w:rPr>
          <w:color w:val="000000" w:themeColor="text1"/>
          <w:lang w:val="es-CO"/>
        </w:rPr>
        <w:fldChar w:fldCharType="separate"/>
      </w:r>
      <w:r w:rsidR="006465A0" w:rsidRPr="006465A0">
        <w:rPr>
          <w:noProof/>
          <w:color w:val="000000" w:themeColor="text1"/>
        </w:rPr>
        <w:t>[33]</w:t>
      </w:r>
      <w:r>
        <w:rPr>
          <w:color w:val="000000" w:themeColor="text1"/>
          <w:lang w:val="es-CO"/>
        </w:rPr>
        <w:fldChar w:fldCharType="end"/>
      </w:r>
      <w:r>
        <w:rPr>
          <w:color w:val="000000" w:themeColor="text1"/>
        </w:rPr>
        <w:t>. These cytokines to different extent mediate pro-inflammatory functions such as the neutrophils recruitment, release of matrix metalloproteinases, and the upregulation of TNF</w:t>
      </w:r>
      <w:r w:rsidR="00347720">
        <w:rPr>
          <w:color w:val="000000" w:themeColor="text1"/>
        </w:rPr>
        <w:t>-α</w:t>
      </w:r>
      <w:r>
        <w:rPr>
          <w:color w:val="000000" w:themeColor="text1"/>
        </w:rPr>
        <w:t>, IL-1</w:t>
      </w:r>
      <w:r>
        <w:rPr>
          <w:color w:val="000000" w:themeColor="text1"/>
          <w:lang w:val="es-CO"/>
        </w:rPr>
        <w:t>β</w:t>
      </w:r>
      <w:r>
        <w:rPr>
          <w:color w:val="000000" w:themeColor="text1"/>
        </w:rPr>
        <w:t>, IL-6, and IL-8, however, results of clinical trials using antibodies against IFN-</w:t>
      </w:r>
      <w:r>
        <w:rPr>
          <w:color w:val="000000" w:themeColor="text1"/>
          <w:lang w:val="es-CO"/>
        </w:rPr>
        <w:t>γ</w:t>
      </w:r>
      <w:r>
        <w:rPr>
          <w:color w:val="000000" w:themeColor="text1"/>
        </w:rPr>
        <w:t xml:space="preserve"> </w:t>
      </w:r>
      <w:r>
        <w:rPr>
          <w:color w:val="000000" w:themeColor="text1"/>
          <w:lang w:val="es-CO"/>
        </w:rPr>
        <w:fldChar w:fldCharType="begin" w:fldLock="1"/>
      </w:r>
      <w:r w:rsidR="004F2E64">
        <w:rPr>
          <w:color w:val="000000" w:themeColor="text1"/>
        </w:rPr>
        <w:instrText>ADDIN CSL_CITATION {"citationItems":[{"id":"ITEM-1","itemData":{"DOI":"10.1136/gut.2005.079434","ISSN":"00175749","abstract":"Introduction: This study was designed to evaluate the safety of fontolizumab, a humanised anti-interferon γ antibody, in patients with moderate to severe Crohn's disease (CD). Patients and methods: Forty five patients with a CD activity index (CDAI) of 250-450 were randomised in a double blind, placebo controlled, dose escalating fashion to receive single doses of fontolizumab (0.1, 1.0, and 4.0 mg/kg) or placebo. By day 29, patients with clinical response were re-randomised to receive three additional doses of one half their initial fontolizumab dose or placebo at four weekly intervals. Primary objectives were safety and tolerability. Secondary outcomes included assessments of immunogenicity, clinical activity, and potential pharmacodynamic surrogates. Results: Treatment was generally well tolerated. There were slightly more reports of chills, flu-like syndrome, asthenia, nausea, and vomiting in the 1.0 mg and 4.0 mg/kg fontolizumab cohorts. Two serious adverse events rated as worsening of CD occurred under fontolizumab. Antibodies to fontolizumab were confirmed in one patient. No differences in clinical activity parameters were noted between any of the active treatment groups and placebo, with the placebo group having a particularly favourable outcome (60% response and 40% remission). By day 29, a more enhanced decrease in median Crohn's disease endoscopic index of severity (p = 0.02) and serum C reactive protein (p&lt;0.001) was observed in the 4.0 mg/kg (n = 14) fontolizumab cohort compared with placebo (n = 10). Pharmacodynamic effects were observed by immunohistochemistry. Conclusions: Fontolizumab was well tolerated with minimal immunogenicity at doses of up to 4.0 mg/kg in patients with CD. A biological activity of fontolizumab is suggested.","author":[{"dropping-particle":"","family":"Reinisch","given":"W.","non-dropping-particle":"","parse-names":false,"suffix":""},{"dropping-particle":"","family":"Hommes","given":"D. W.","non-dropping-particle":"","parse-names":false,"suffix":""},{"dropping-particle":"","family":"Assche","given":"G.","non-dropping-particle":"Van","parse-names":false,"suffix":""},{"dropping-particle":"","family":"Colombel","given":"J. F.","non-dropping-particle":"","parse-names":false,"suffix":""},{"dropping-particle":"","family":"Gendre","given":"J. P.","non-dropping-particle":"","parse-names":false,"suffix":""},{"dropping-particle":"","family":"Oldenburg","given":"B.","non-dropping-particle":"","parse-names":false,"suffix":""},{"dropping-particle":"","family":"Teml","given":"A.","non-dropping-particle":"","parse-names":false,"suffix":""},{"dropping-particle":"","family":"Geboes","given":"K.","non-dropping-particle":"","parse-names":false,"suffix":""},{"dropping-particle":"","family":"Ding","given":"H.","non-dropping-particle":"","parse-names":false,"suffix":""},{"dropping-particle":"","family":"Zhang","given":"L.","non-dropping-particle":"","parse-names":false,"suffix":""},{"dropping-particle":"","family":"Tang","given":"M.","non-dropping-particle":"","parse-names":false,"suffix":""},{"dropping-particle":"","family":"Cheng","given":"M.","non-dropping-particle":"","parse-names":false,"suffix":""},{"dropping-particle":"","family":"Deventer","given":"S. J.H.","non-dropping-particle":"Van","parse-names":false,"suffix":""},{"dropping-particle":"","family":"Rutgeerts","given":"P.","non-dropping-particle":"","parse-names":false,"suffix":""},{"dropping-particle":"","family":"Pearce","given":"T.","non-dropping-particle":"","parse-names":false,"suffix":""}],"container-title":"Gut","id":"ITEM-1","issue":"8","issued":{"date-parts":[["2006"]]},"page":"1138-1144","publisher":"BMJ Publishing Group","title":"A dose escalating, placebo controlled, double blind, single dose and multidose, safety and tolerability study of fontolizumab, a humanised anti-interferon γ antibody, in patients with moderate to severe Crohn's disease","type":"article-journal","volume":"55"},"uris":["http://www.mendeley.com/documents/?uuid=76cfde36-da25-34a1-9f12-75f4d285bba3"]}],"mendeley":{"formattedCitation":"[34]","plainTextFormattedCitation":"[34]","previouslyFormattedCitation":"[34]"},"properties":{"noteIndex":0},"schema":"https://github.com/citation-style-language/schema/raw/master/csl-citation.json"}</w:instrText>
      </w:r>
      <w:r>
        <w:rPr>
          <w:color w:val="000000" w:themeColor="text1"/>
          <w:lang w:val="es-CO"/>
        </w:rPr>
        <w:fldChar w:fldCharType="separate"/>
      </w:r>
      <w:r w:rsidR="006465A0" w:rsidRPr="006465A0">
        <w:rPr>
          <w:noProof/>
          <w:color w:val="000000" w:themeColor="text1"/>
          <w:lang w:val="es-CO"/>
        </w:rPr>
        <w:t>[34]</w:t>
      </w:r>
      <w:r>
        <w:rPr>
          <w:color w:val="000000" w:themeColor="text1"/>
          <w:lang w:val="es-CO"/>
        </w:rPr>
        <w:fldChar w:fldCharType="end"/>
      </w:r>
      <w:r>
        <w:rPr>
          <w:color w:val="000000" w:themeColor="text1"/>
          <w:lang w:val="es-CO"/>
        </w:rPr>
        <w:t xml:space="preserve">, IL-17A </w:t>
      </w:r>
      <w:r>
        <w:rPr>
          <w:color w:val="000000" w:themeColor="text1"/>
          <w:lang w:val="es-CO"/>
        </w:rPr>
        <w:fldChar w:fldCharType="begin" w:fldLock="1"/>
      </w:r>
      <w:r w:rsidR="004F2E64">
        <w:rPr>
          <w:color w:val="000000" w:themeColor="text1"/>
          <w:lang w:val="es-CO"/>
        </w:rPr>
        <w:instrText>ADDIN CSL_CITATION {"citationItems":[{"id":"ITEM-1","itemData":{"DOI":"10.1136/gutjnl-2011-301668","ISSN":"00175749","PMID":"22595313","abstract":"Objective: The authors tested whether the anti-interleukin (IL)-17A monoclonal antibody secukinumab was safe and effective for the treatment of active Crohn's disease. Design: In a double-blind, randomised, placebocontrolled proof-of-concept study, 59 patients with moderate to severe Crohn's disease (Crohn's Disease Activity Index (CDAI) ≥220 to ≤450) were assigned in a 2:1 ratio to 2x10 mg/kg intravenous secukinumab or placebo. The primary end point, addressed by Bayesian statistics augmented with historical placebo information, was the probability that secukinumab reduces the CDAI by ≥50 points more than placebo at week 6. Ancillary analyses explored associations of 35 candidate genetic polymorphisms and faecal calprotectin response. Results 59 patients (39 secukinumab, 20 placebo, mean baseline CDAI 307 and 301, respectively) were recruited. 18/59 (31%) patients discontinued prematurely (12/39 (31%) secukinumab, 6/20 (30%) placebo), 10/59 (17%) due to insufficient therapeutic effect (8/39 (21%) secukinumab, 2/20 (10%) placebo). Fourteen serious adverse events occurred in 10 patients (seven secukinumab, three placebo); 20 infections, including four local fungal infections, were seen on secukinumab versus none on placebo. Primary end point analysis estimated &lt;0.1% probability (ΔCDAI (SD) =33.9 (19.7), 95% credible interval -4.9 to 72.9) that secukinumab reduces CDAI by ≥50 points more than placebo. Secondary area under the curve analysis (weeks 4-10) showed a significant difference (mean ΔDCDAI=49; 95% CI (2 to 96), p=0.043) in favour of placebo. Post hoc subgroup analysis showed that unfavourable responses on secukinumab were driven by patients with elevated inflammatory markers (CRP≥10 mg/l and/or faecal calprotectin≥200 ng/ml; mean ΔDCDAI=62; 95% CI (-1 to 125), p=0.054 in favour of placebo). Absence of the minor allele of tumour necrosis factor-like ligand 1A was strongly associated with lack of response measured by baseline-adjusted changes in calprotectin at week 6 (p=0.00035 Bonferroni-corrected). Conclusions Blockade of IL-17A was ineffective and higher rates of adverse events were noted compared with placebo. Clinical trial registration This trial was registered at ClinicalTrial.gov with the number NCT01009281.","author":[{"dropping-particle":"","family":"Hueber","given":"Wolfgang","non-dropping-particle":"","parse-names":false,"suffix":""},{"dropping-particle":"","family":"Sands","given":"Bruce E.","non-dropping-particle":"","parse-names":false,"suffix":""},{"dropping-particle":"","family":"Lewitzky","given":"Steve","non-dropping-particle":"","parse-names":false,"suffix":""},{"dropping-particle":"","family":"Vandemeulebroecke","given":"Marc","non-dropping-particle":"","parse-names":false,"suffix":""},{"dropping-particle":"","family":"Reinisch","given":"Walter","non-dropping-particle":"","parse-names":false,"suffix":""},{"dropping-particle":"","family":"Higgins","given":"Peter D.R.","non-dropping-particle":"","parse-names":false,"suffix":""},{"dropping-particle":"","family":"Wehkamp","given":"Jan","non-dropping-particle":"","parse-names":false,"suffix":""},{"dropping-particle":"","family":"Feagan","given":"Brian G.","non-dropping-particle":"","parse-names":false,"suffix":""},{"dropping-particle":"","family":"Yao","given":"Michael D.","non-dropping-particle":"","parse-names":false,"suffix":""},{"dropping-particle":"","family":"Karczewski","given":"Marek","non-dropping-particle":"","parse-names":false,"suffix":""},{"dropping-particle":"","family":"Karczewski","given":"Jacek","non-dropping-particle":"","parse-names":false,"suffix":""},{"dropping-particle":"","family":"Pezous","given":"Nicole","non-dropping-particle":"","parse-names":false,"suffix":""},{"dropping-particle":"","family":"Bek","given":"Stephan","non-dropping-particle":"","parse-names":false,"suffix":""},{"dropping-particle":"","family":"Bruin","given":"Gerard","non-dropping-particle":"","parse-names":false,"suffix":""},{"dropping-particle":"","family":"Mellgard","given":"Bjoern","non-dropping-particle":"","parse-names":false,"suffix":""},{"dropping-particle":"","family":"Berger","given":"Claudia","non-dropping-particle":"","parse-names":false,"suffix":""},{"dropping-particle":"","family":"Londei","given":"Marco","non-dropping-particle":"","parse-names":false,"suffix":""},{"dropping-particle":"","family":"Bertolino","given":"Arthur P.","non-dropping-particle":"","parse-names":false,"suffix":""},{"dropping-particle":"","family":"Tougas","given":"Gervais","non-dropping-particle":"","parse-names":false,"suffix":""},{"dropping-particle":"","family":"Travis","given":"Simon P.L.","non-dropping-particle":"","parse-names":false,"suffix":""}],"container-title":"Gut","id":"ITEM-1","issue":"12","issued":{"date-parts":[["2012","12"]]},"page":"1693-1700","publisher":"Gut","title":"Secukinumab, a human anti-IL-17A monoclonal antibody, for moderate to severe Crohn's disease: Unexpected results of a randomised, double-blindplacebo- controlled trial","type":"article-journal","volume":"61"},"uris":["http://www.mendeley.com/documents/?uuid=6bef081a-e192-3470-bbbf-30f45c1bfdbf"]}],"mendeley":{"formattedCitation":"[35]","plainTextFormattedCitation":"[35]","previouslyFormattedCitation":"[35]"},"properties":{"noteIndex":0},"schema":"https://github.com/citation-style-language/schema/raw/master/csl-citation.json"}</w:instrText>
      </w:r>
      <w:r>
        <w:rPr>
          <w:color w:val="000000" w:themeColor="text1"/>
          <w:lang w:val="es-CO"/>
        </w:rPr>
        <w:fldChar w:fldCharType="separate"/>
      </w:r>
      <w:r w:rsidR="006465A0" w:rsidRPr="006465A0">
        <w:rPr>
          <w:noProof/>
          <w:color w:val="000000" w:themeColor="text1"/>
          <w:lang w:val="es-CO"/>
        </w:rPr>
        <w:t>[35]</w:t>
      </w:r>
      <w:r>
        <w:rPr>
          <w:color w:val="000000" w:themeColor="text1"/>
          <w:lang w:val="es-CO"/>
        </w:rPr>
        <w:fldChar w:fldCharType="end"/>
      </w:r>
      <w:r>
        <w:rPr>
          <w:color w:val="000000" w:themeColor="text1"/>
          <w:lang w:val="es-CO"/>
        </w:rPr>
        <w:t xml:space="preserve">, and IL-13 </w:t>
      </w:r>
      <w:r>
        <w:rPr>
          <w:color w:val="000000" w:themeColor="text1"/>
          <w:lang w:val="es-CO"/>
        </w:rPr>
        <w:fldChar w:fldCharType="begin" w:fldLock="1"/>
      </w:r>
      <w:r w:rsidR="004F2E64">
        <w:rPr>
          <w:color w:val="000000" w:themeColor="text1"/>
          <w:lang w:val="es-CO"/>
        </w:rPr>
        <w:instrText>ADDIN CSL_CITATION {"citationItems":[{"id":"ITEM-1","itemData":{"DOI":"10.1136/gutjnl-2014-308004","ISSN":"14683288","PMID":"25304132","abstract":"Objective Interleukin-13 (IL-13) has been implicated as a key driver of UC. This trial evaluates the efficacy and safety of tralokinumab, an IL-13-neutralising antibody, as add-on therapy in adults with moderate-tosevere UC despite standard treatments. Design Non-hospitalised adults with UC (total Mayo score ≥6) were randomised to receive tralokinumab 300 mg or placebo subcutaneously every 2 weeks for 12 weeks. The primary end point was the rate of clinical response at week 8. Secondary efficacy end points included clinical remission and mucosal healing rates at week 8 and changes in total Mayo score, total modified Riley score, partial Mayo score and disease activity markers. Results Clinical response rate was 38% (21/56) for tralokinumab vs 33% (18/55) for placebo ( p=0.406). Clinical remission rate was 18% (10/56) vs 6% (3/55) (p=0.033) and mucosal healing rate was 32% (18/56) vs 20% (11/55) ( p=0.104) for tralokinumab vs placebo. Changes to week 8 in total Mayo score and total modified Riley score were similar for tralokinumab and placebo (least-squares mean difference between groups: -0.49 (p=0.394) and 0.25 ( p=0.449), respectively). Partial Mayo score at week 4 was lower with tralokinumab than placebo (least-squares mean difference between groups: -0.90 (p=0.041)). No consistent patterns were observed for disease activity markers. Tralokinumab had an acceptable safety profile. Conclusions Add-on therapy with tralokinumab did not significantly improve clinical response. However, the higher clinical remission rate with tralokinumab than placebo suggests that tralokinumab may benefit some patients with UC. Tralokinumab was well tolerated.","author":[{"dropping-particle":"","family":"Danese","given":"Silvio","non-dropping-particle":"","parse-names":false,"suffix":""},{"dropping-particle":"","family":"Rudziński","given":"Janusz","non-dropping-particle":"","parse-names":false,"suffix":""},{"dropping-particle":"","family":"Brandt","given":"Wolfgang","non-dropping-particle":"","parse-names":false,"suffix":""},{"dropping-particle":"","family":"Dupas","given":"Jean Louis","non-dropping-particle":"","parse-names":false,"suffix":""},{"dropping-particle":"","family":"Peyrin-Biroulet","given":"Laurent","non-dropping-particle":"","parse-names":false,"suffix":""},{"dropping-particle":"","family":"Bouhnik","given":"Yoram","non-dropping-particle":"","pa</w:instrText>
      </w:r>
      <w:r w:rsidR="004F2E64" w:rsidRPr="004F2E64">
        <w:rPr>
          <w:color w:val="000000" w:themeColor="text1"/>
        </w:rPr>
        <w:instrText>rse-names":false,"suffix":""},{"dropping-particle":"","family":"Kleczkowski","given":"Dariusz","non-dropping-particle":"","parse-names":false,"suffix":""},{"dropping-particle":"","family":"Uebel","given":"Peter","non-dropping-particle":"","parse-names":false,"suffix":""},{"dropping-particle":"","family":"Lukas","given":"Milan","non-dropping-particle":"","parse-names":false,"suffix":""},{"dropping-particle":"","family":"Knutsson","given":"Mikael","non-dropping-particle":"","parse-names":false,"suffix":""},{"dropping-particle":"","family":"Erlandsson","given":"Fredrik","non-dropping-particle":"","parse-names":false,"suffix":""},{"dropping-particle":"","family":"Hansen","given":"Mark Berner","non-dropping-particle":"","parse-names":false,"suffix":""},{"dropping-particle":"","family":"Keshav","given":"Satish","non-dropping-particle":"","parse-names":false,"suffix":""}],"container-title":"Gut","id":"ITEM-1","issue":"2","issued":{"date-parts":[["2015","1","1"]]},"page":"243-249","publisher":"BMJ Publishing Group","title":"Tralokinumab for moderate-to-severe UC: A randomised, double-blind, placebo-controlled, phase IIa study","type":"article-journal","volume":"64"},"uris":["http://www.mendeley.com/documents/?uuid=5cfd40ba-79fc-3564-b1cd-aaf3ff6099b4"]}],"mendeley":{"formattedCitation":"[36]","plainTextFormattedCitation":"[36]","previouslyFormattedCitation":"[36]"},"properties":{"noteIndex":0},"schema":"https://github.com/citation-style-language/schema/raw/master/csl-citation.json"}</w:instrText>
      </w:r>
      <w:r>
        <w:rPr>
          <w:color w:val="000000" w:themeColor="text1"/>
          <w:lang w:val="es-CO"/>
        </w:rPr>
        <w:fldChar w:fldCharType="separate"/>
      </w:r>
      <w:r w:rsidR="006465A0" w:rsidRPr="006465A0">
        <w:rPr>
          <w:noProof/>
          <w:color w:val="000000" w:themeColor="text1"/>
        </w:rPr>
        <w:t>[36]</w:t>
      </w:r>
      <w:r>
        <w:rPr>
          <w:color w:val="000000" w:themeColor="text1"/>
          <w:lang w:val="es-CO"/>
        </w:rPr>
        <w:fldChar w:fldCharType="end"/>
      </w:r>
      <w:r w:rsidRPr="00546943">
        <w:rPr>
          <w:color w:val="000000" w:themeColor="text1"/>
        </w:rPr>
        <w:t xml:space="preserve">, have been disappointing </w:t>
      </w:r>
      <w:r>
        <w:rPr>
          <w:color w:val="000000" w:themeColor="text1"/>
          <w:lang w:val="es-CO"/>
        </w:rPr>
        <w:fldChar w:fldCharType="begin" w:fldLock="1"/>
      </w:r>
      <w:r w:rsidR="004F2E64">
        <w:rPr>
          <w:color w:val="000000" w:themeColor="text1"/>
        </w:rPr>
        <w:instrText>ADDIN CSL_CITATION {"citationItems":[{"id":"ITEM-1","itemData":{"DOI":"10.1038/nri3661","ISSN":"14741741","PMID":"24751956","abstract":"Cytokines have a crucial role in the pathogenesis of inflammatory bowel diseases (IBDs), such as Crohn's disease and ulcerative colitis, where they control multiple aspects of the inflammatory response. In particular, the imbalance between pro-inflammatory and anti-inflammatory cytokines that occurs in IBD impedes the resolution of inflammation and instead leads to disease perpetuation and tissue destruction. Recent studies suggest the existence of a network of regulatory cytokines that has important implications for disease progression. In this Review, we discuss the role of cytokines produced by innate and adaptive immune cells, as well as their relevance to the future therapy of IBD. © 2014 Macmillan Publishers Limited. All rights reserved.","author":[{"dropping-particle":"","family":"Neurath","given":"Markus F.","non-dropping-particle":"","parse-names":false,"suffix":""}],"container-title":"Nature Reviews Immunology","id":"ITEM-1","issue":"5","issued":{"date-parts":[["2014","4","22"]]},"page":"329-342","publisher":"Nature Publishing Group","title":"Cytokines in inflammatory bowel disease","type":"article","volume":"14"},"uris":["http://www.mendeley.com/documents/?uuid=41dcea7e-db04-4b63-b242-e5af29ee7d4c"]}],"mendeley":{"formattedCitation":"[32]","plainTextFormattedCitation":"[32]","previouslyFormattedCitation":"[32]"},"properties":{"noteIndex":0},"schema":"https://github.com/citation-style-language/schema/raw/master/csl-citation.json"}</w:instrText>
      </w:r>
      <w:r>
        <w:rPr>
          <w:color w:val="000000" w:themeColor="text1"/>
          <w:lang w:val="es-CO"/>
        </w:rPr>
        <w:fldChar w:fldCharType="separate"/>
      </w:r>
      <w:r w:rsidR="006465A0" w:rsidRPr="006465A0">
        <w:rPr>
          <w:noProof/>
          <w:color w:val="000000" w:themeColor="text1"/>
        </w:rPr>
        <w:t>[32]</w:t>
      </w:r>
      <w:r>
        <w:rPr>
          <w:color w:val="000000" w:themeColor="text1"/>
          <w:lang w:val="es-CO"/>
        </w:rPr>
        <w:fldChar w:fldCharType="end"/>
      </w:r>
      <w:r w:rsidRPr="00546943">
        <w:rPr>
          <w:color w:val="000000" w:themeColor="text1"/>
        </w:rPr>
        <w:t>.</w:t>
      </w:r>
      <w:r w:rsidRPr="00546943">
        <w:rPr>
          <w:rFonts w:ascii="Times New Roman" w:hAnsi="Times New Roman" w:cs="Times New Roman"/>
          <w:color w:val="000000" w:themeColor="text1"/>
        </w:rPr>
        <w:t xml:space="preserve"> </w:t>
      </w:r>
    </w:p>
    <w:p w14:paraId="0FC6797A" w14:textId="77777777" w:rsidR="00943C22" w:rsidRDefault="002E0B22" w:rsidP="00DD0AC8">
      <w:pPr>
        <w:spacing w:line="480" w:lineRule="auto"/>
        <w:rPr>
          <w:bCs/>
          <w:i/>
        </w:rPr>
      </w:pPr>
      <w:r>
        <w:rPr>
          <w:bCs/>
          <w:i/>
        </w:rPr>
        <w:t xml:space="preserve">1.2.3.1 </w:t>
      </w:r>
      <w:r w:rsidR="00943C22" w:rsidRPr="002E0B22">
        <w:rPr>
          <w:bCs/>
          <w:i/>
        </w:rPr>
        <w:t>Crucial pro-inflammatory cytokines</w:t>
      </w:r>
    </w:p>
    <w:p w14:paraId="41961FBC" w14:textId="593F8E83" w:rsidR="00943C22" w:rsidRDefault="00943C22" w:rsidP="00DD0AC8">
      <w:pPr>
        <w:spacing w:line="480" w:lineRule="auto"/>
        <w:ind w:firstLine="360"/>
        <w:rPr>
          <w:color w:val="000000" w:themeColor="text1"/>
          <w:lang w:val="es-CO"/>
        </w:rPr>
      </w:pPr>
      <w:r>
        <w:rPr>
          <w:color w:val="000000" w:themeColor="text1"/>
        </w:rPr>
        <w:t>The pro-inflammatory cytokines TNF-</w:t>
      </w:r>
      <w:r>
        <w:rPr>
          <w:color w:val="000000" w:themeColor="text1"/>
          <w:lang w:val="es-CO"/>
        </w:rPr>
        <w:t>α</w:t>
      </w:r>
      <w:r>
        <w:rPr>
          <w:color w:val="000000" w:themeColor="text1"/>
        </w:rPr>
        <w:t>, IL-1</w:t>
      </w:r>
      <w:r>
        <w:rPr>
          <w:color w:val="000000" w:themeColor="text1"/>
          <w:lang w:val="es-CO"/>
        </w:rPr>
        <w:t>β</w:t>
      </w:r>
      <w:r>
        <w:rPr>
          <w:color w:val="000000" w:themeColor="text1"/>
        </w:rPr>
        <w:t>, and IL-6 are produced in large amounts by dendritic cells and macrophages, activate the pro-inflammatory pathway NF-</w:t>
      </w:r>
      <w:r>
        <w:rPr>
          <w:color w:val="000000" w:themeColor="text1"/>
          <w:lang w:val="es-CO"/>
        </w:rPr>
        <w:t>κ</w:t>
      </w:r>
      <w:r>
        <w:rPr>
          <w:color w:val="000000" w:themeColor="text1"/>
        </w:rPr>
        <w:t>B</w:t>
      </w:r>
      <w:r w:rsidR="00555875">
        <w:rPr>
          <w:color w:val="000000" w:themeColor="text1"/>
        </w:rPr>
        <w:t>,</w:t>
      </w:r>
      <w:r>
        <w:rPr>
          <w:color w:val="000000" w:themeColor="text1"/>
        </w:rPr>
        <w:t xml:space="preserve"> and participate in upstream and downstream events associated with both forms of the disease </w:t>
      </w:r>
      <w:r>
        <w:rPr>
          <w:color w:val="000000" w:themeColor="text1"/>
          <w:lang w:val="es-CO"/>
        </w:rPr>
        <w:fldChar w:fldCharType="begin" w:fldLock="1"/>
      </w:r>
      <w:r w:rsidR="004F2E64">
        <w:rPr>
          <w:color w:val="000000" w:themeColor="text1"/>
        </w:rPr>
        <w:instrText>ADDIN CSL_CITATION {"citationItems":[{"id":"ITEM-1","itemData":{"DOI":"10.1053/j.gastro.2011.02.016","ISSN":"00165085","abstract":"The cytokine responses characterizing the inflammatory bowel diseases are the key pathophysiologic elements that govern the initiation, evolution, and, ultimately, the resolution of these forms of inflammation. Studies during the last 2 decades now provide a detailed (but not yet complete) picture of the nature of these responses. The first tier of cytokine responses are governed by the T-cell differentiation patterns dominating the disease. In Crohn's disease, the major cytokines arise from T-helper cell (Th) 1 and Th17 CD4+ T-cell differentiation and consist of interferon-γ and interleukin (IL)-17/IL-22 generated by these types of differentiation. The relative importance of these cytokines to Crohn's inflammation is still unclear, although evidence is mounting that interferon-γ is primus inter pare (first among equals). In contrast, in ulcerative colitis, a Th2-like differentiation process is paramount, which results in expansion of natural killer T cells producing IL-13 (and perhaps IL-5). These disease-specific cytokine patterns give rise to a second tier of cytokines that span the Th1/Th17Th2 divide and act as upstream facilitators and downstream mediators of inflammation. These cytokines include the well-known tumor necrosis factorα, IL-1β, IL-6 triumphirate, as well as a more recently studied cytokine known as TL1A (tumor necrosis factorlike ligand). In this review, we will explore this cytokine landscape with the view of providing an understanding of how recent and future anticytokine therapies actually function. © 2011 AGA Institute.","author":[{"dropping-particle":"","family":"Strober","given":"Warren","non-dropping-particle":"","parse-names":false,"suffix":""},{"dropping-particle":"","family":"Fuss","given":"Ivan J.","non-dropping-particle":"","parse-names":false,"suffix":""}],"container-title":"Gastroenterology","id":"ITEM-1","issue":"6","issued":{"date-parts":[["2011","5","1"]]},"page":"1756-1767.e1","publisher":"W.B. Saunders","title":"Proinflammatory cytokines in the pathogenesis of inflammatory bowel diseases","type":"article-journal","volume":"140"},"uris":["http://www.mendeley.com/documents/?uuid=0736bd38-7f13-3cfb-ba9b-44ad1675b6a8"]}],"mendeley":{"formattedCitation":"[33]","plainTextFormattedCitation":"[33]","previouslyFormattedCitation":"[33]"},"properties":{"noteIndex":0},"schema":"https://github.com/citation-style-language/schema/raw/master/csl-citation.json"}</w:instrText>
      </w:r>
      <w:r>
        <w:rPr>
          <w:color w:val="000000" w:themeColor="text1"/>
          <w:lang w:val="es-CO"/>
        </w:rPr>
        <w:fldChar w:fldCharType="separate"/>
      </w:r>
      <w:r w:rsidR="006465A0" w:rsidRPr="006465A0">
        <w:rPr>
          <w:noProof/>
          <w:color w:val="000000" w:themeColor="text1"/>
        </w:rPr>
        <w:t>[33]</w:t>
      </w:r>
      <w:r>
        <w:rPr>
          <w:color w:val="000000" w:themeColor="text1"/>
          <w:lang w:val="es-CO"/>
        </w:rPr>
        <w:fldChar w:fldCharType="end"/>
      </w:r>
      <w:r>
        <w:rPr>
          <w:color w:val="000000" w:themeColor="text1"/>
        </w:rPr>
        <w:t xml:space="preserve">. </w:t>
      </w:r>
      <w:r>
        <w:t xml:space="preserve">They induce the secretion of chemokines, which recruit leukocytes by activating integrin receptors, then maintaining a constant supply of infiltrating immune cells in the site of inflammation </w:t>
      </w:r>
      <w:r>
        <w:rPr>
          <w:lang w:val="es-CO"/>
        </w:rPr>
        <w:fldChar w:fldCharType="begin" w:fldLock="1"/>
      </w:r>
      <w:r w:rsidR="004F2E64">
        <w:instrText>ADDIN CSL_CITATION {"citationItems":[{"id":"ITEM-1","itemData":{"DOI":"10.1007/PL00000223","ISSN":"10233830","PMID":"11713901","abstract":"Objective and design: This study aimed to determine if mucosal expression of the chemokines IL-8, RANTES and MCP-1 and the pro-inflammatory cytokines TNFα and IL-6 are elevated in patients with inflammatory bowel disease. Materials and subjects: Intestinal mucosa samples were obtained at the time of surgical resection, n = 16 from each of the following groups: normal/control, CD and UC. Methods: An homogenate was prepared of each tissue sample and cytokines measured by ELISA. Results: IL-8 was significantly increased in both disease groups compared to controls Similarly, RANTES levels were also significantly increased. MCP-1 levels were increased in both disease groups, this increase was statistically significant in the UC group only. TNFα and IL-6 were significantly increased in the CD group only. Conclusions: Chemokines, together with key cytokines that promote their release are elevated in mucosal tissues from patients with IBD. It is likely that these chemokines play an important role in the perpetuation of tissue destructive inflammatory processes.","author":[{"dropping-particle":"","family":"McCormack","given":"G.","non-dropping-particle":"","parse-names":false,"suffix":""},{"dropping-particle":"","family":"Moriarty","given":"D.","non-dropping-particle":"","parse-names":false,"suffix":""},{"dropping-particle":"","family":"O'Donoghue","given":"D. P.","non-dropping-particle":"","parse-names":false,"suffix":""},{"dropping-particle":"","family":"McCormick","given":"P. A.","non-dropping-particle":"","parse-names":false,"suffix":""},{"dropping-particle":"","family":"Sheahan","given":"K.","non-dropping-particle":"","parse-names":false,"suffix":""},{"dropping-particle":"","family":"Baird","given":"A. W.","non-dropping-particle":"","parse-names":false,"suffix":""}],"container-title":"Inflammation Research","id":"ITEM-1","issue":"10","issued":{"date-parts":[["2001"]]},"page":"491-495","publisher":"Birkhauser Verlag Basel","title":"Tissue cytokine and chemokine expression in inflammatory bowel disease","type":"article-journal","volume":"50"},"uris":["http://www.mendeley.com/documents/?uuid=2b60008e-e83f-3021-a4f0-36466d31f637"]}],"mendeley":{"formattedCitation":"[37]","plainTextFormattedCitation":"[37]","previouslyFormattedCitation":"[37]"},"properties":{"noteIndex":0},"schema":"https://github.com/citation-style-language/schema/raw/master/csl-citation.json"}</w:instrText>
      </w:r>
      <w:r>
        <w:rPr>
          <w:lang w:val="es-CO"/>
        </w:rPr>
        <w:fldChar w:fldCharType="separate"/>
      </w:r>
      <w:r w:rsidR="006465A0" w:rsidRPr="006465A0">
        <w:rPr>
          <w:noProof/>
        </w:rPr>
        <w:t>[37]</w:t>
      </w:r>
      <w:r>
        <w:rPr>
          <w:lang w:val="es-CO"/>
        </w:rPr>
        <w:fldChar w:fldCharType="end"/>
      </w:r>
      <w:r>
        <w:t xml:space="preserve">. </w:t>
      </w:r>
      <w:r>
        <w:rPr>
          <w:color w:val="000000" w:themeColor="text1"/>
        </w:rPr>
        <w:t xml:space="preserve">These cytokines are not only considered the most important markers of inflammation </w:t>
      </w:r>
      <w:r>
        <w:rPr>
          <w:color w:val="000000" w:themeColor="text1"/>
          <w:lang w:val="es-CO"/>
        </w:rPr>
        <w:fldChar w:fldCharType="begin" w:fldLock="1"/>
      </w:r>
      <w:r w:rsidR="006465A0">
        <w:rPr>
          <w:color w:val="000000" w:themeColor="text1"/>
        </w:rPr>
        <w:instrText>ADDIN CSL_CITATION {"citationItems":[{"id":"ITEM-1","itemData":{"DOI":"10.1080/1040841X.2021.1876631","ISSN":"15497828","PMID":"33576711","abstract":"Human gut microbiota contributes to host nutrition and metabolism, sustains intestinal cell proliferation and differentiation, and modulates host immune system. The alterations in their composition lead to severe gut disorders, including inflammatory bowel disease (IBD) or inflammatory bowel syndrome (IBS). IBD including ulcerative colitis (UC) and Crohn’s disease (CD) are gamut of chronic inflammatory disorders of gut, mediated by complex interrelations among genetic, environmental, and internal factors. IBD has debateable aetiology, however in recent years, exploring the central role of a tri-directional relationship between gut microbiota, mucosal immune system, and intestinal epithelium in pathogenesis is getting the most attention. Increasing incidences and early onset explains the exponential rise in IBD burden on health-care systems. Industrialization, hypersensitivity to allergens, lifestyle, hygiene hypothesis, loss of intestinal worms, and gut microbial composition, explains this shifted rise. Hitherto, the interventions modulating gut microbiota composition, microfluidics-based in vitro gastrointestinal models, non-allergic functional foods, nutraceuticals, and faecal microbiota transplantation (FMT) from healthy donors are some of the futuristic approaches for the disease management.","author":[{"dropping-particle":"","family":"Ahlawat","given":"Shruti","non-dropping-particle":"","parse-names":false,"suffix":""},{"dropping-particle":"","family":"Kumar","given":"Pramod","non-dropping-particle":"","parse-names":false,"suffix":""},{"dropping-particle":"","family":"Mohan","given":"Hari","non-dropping-particle":"","parse-names":false,"suffix":""},{"dropping-particle":"","family":"Goyal","given":"Sandeep","non-dropping-particle":"","parse-names":false,"suffix":""},{"dropping-particle":"","family":"Sharma","given":"Krishna Kant","non-dropping-particle":"","parse-names":false,"suffix":""}],"container-title":"Critical Reviews in Microbiology","id":"ITEM-1","issue":"2","issued":{"date-parts":[["2021"]]},"page":"254-273","publisher":"Taylor and Francis Ltd.","title":"Inflammatory bowel disease: tri-directional relationship between microbiota, immune system and intestinal epithelium","type":"article","volume":"47"},"uris":["http://www.mendeley.com/documents/?uuid=c2ffcaf1-bd92-3eb6-bf3c-34c83d553ab2"]}],"mendeley":{"formattedCitation":"[18]","plainTextFormattedCitation":"[18]","previouslyFormattedCitation":"[18]"},"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[18]</w:t>
      </w:r>
      <w:r>
        <w:rPr>
          <w:color w:val="000000" w:themeColor="text1"/>
          <w:lang w:val="es-CO"/>
        </w:rPr>
        <w:fldChar w:fldCharType="end"/>
      </w:r>
      <w:r>
        <w:rPr>
          <w:color w:val="000000" w:themeColor="text1"/>
        </w:rPr>
        <w:t xml:space="preserve">, but also crucial players in the development of inflammation-related cancer </w:t>
      </w:r>
      <w:r>
        <w:rPr>
          <w:color w:val="000000" w:themeColor="text1"/>
          <w:lang w:val="es-CO"/>
        </w:rPr>
        <w:fldChar w:fldCharType="begin" w:fldLock="1"/>
      </w:r>
      <w:r w:rsidR="004F2E64">
        <w:rPr>
          <w:color w:val="000000" w:themeColor="text1"/>
        </w:rPr>
        <w:instrText>ADDIN CSL_CITATION {"citationItems":[{"id":"ITEM-1","itemData":{"DOI":"10.1097/MIB.0000000000000236","ISSN":"15364844","abstract":"Inflammatory bowel diseases (IBDs) are debilitating conditions that result in intestinal damage due to chronic inflammation. In addition, the perpetual state of inflammation predisposes individuals to the development of colitis-associated cancer. Because of the immense immune cell infiltration into colon, cytokines produced by immune cells are major players in the initiation and progression of IBD and colitis-associated cancer. In this review, we will explore the functions of many key cytokines and their roles in IBD and colitis-associated cancer, as well as their influences on the immune system and stromal cells. Finally, we will briefly discuss current therapies and current clinical trials targeting cytokines in IBD.","author":[{"dropping-particle":"","family":"Francescone","given":"Ralph","non-dropping-particle":"","parse-names":false,"suffix":""},{"dropping-particle":"","family":"Hou","given":"Vivianty","non-dropping-particle":"","parse-names":false,"suffix":""},{"dropping-particle":"","family":"Grivennikov","given":"Sergei I.","non-dropping-particle":"","parse-names":false,"suffix":""}],"container-title":"Inflammatory Bowel Diseases","id":"ITEM-1","issue":"2","issued":{"date-parts":[["2015","2","1"]]},"page":"409-418","publisher":"Lippincott Williams and Wilkins","title":"Cytokines, IBD, and colitis-associated cancer","type":"article","volume":"21"},"uris":["http://www.mendeley.com/documents/?uuid=149e20a6-4d82-39b7-9cef-dccae9218407"]},{"id":"ITEM-2","itemData":{"DOI":"10.1016/j.cyto.2008.07.014","ISSN":"10434666","PMID":"18701317","abstract":"Inflammatory conditions in some tissues increase the risk of cancer. Cytokines and chemokines are components of an intensive dialog promoting angiogenesis, metastasis, subversion of adaptive immunity and changing response to hormones and to chemotherapeutic agents. Cytokines involved in cancer-related inflammation represent a target for innovative diagnostic and therapeutic strategies, and a future challenge for scientists and clinicians. © 2008 Elsevier Ltd. All rights reserved.","author":[{"dropping-particle":"","family":"Germano","given":"Giovanni","non-dropping-particle":"","parse-names":false,"suffix":""},{"dropping-particle":"","family":"Allavena","given":"Paola","non-dropping-particle":"","parse-names":false,"suffix":""},{"dropping-particle":"","family":"Mantovani","given":"Alberto","non-dropping-particle":"","parse-names":false,"suffix":""}],"container-title":"Cytokine","id":"ITEM-2","issue":"3","issued":{"date-parts":[["2008","9","1"]]},"page":"374-379","publisher":"Academic Press","title":"Cytokines as a key component of cancer-related inflammation","type":"article","volume":"43"},"uris":["http://www.mendeley.com/documents/?uuid=66e2c31d-b728-3df7-b766-168f058849ef"]}],"mendeley":{"formattedCitation":"[38,39]","plainTextFormattedCitation":"[38,39]","previouslyFormattedCitation":"[38,39]"},"properties":{"noteIndex":0},"schema":"https://github.com/citation-style-language/schema/raw/master/csl-citation.json"}</w:instrText>
      </w:r>
      <w:r>
        <w:rPr>
          <w:color w:val="000000" w:themeColor="text1"/>
          <w:lang w:val="es-CO"/>
        </w:rPr>
        <w:fldChar w:fldCharType="separate"/>
      </w:r>
      <w:r w:rsidR="006465A0" w:rsidRPr="006465A0">
        <w:rPr>
          <w:noProof/>
          <w:color w:val="000000" w:themeColor="text1"/>
        </w:rPr>
        <w:t>[38,39]</w:t>
      </w:r>
      <w:r>
        <w:rPr>
          <w:color w:val="000000" w:themeColor="text1"/>
          <w:lang w:val="es-CO"/>
        </w:rPr>
        <w:fldChar w:fldCharType="end"/>
      </w:r>
      <w:r w:rsidR="00BE263D">
        <w:rPr>
          <w:color w:val="000000" w:themeColor="text1"/>
          <w:lang w:val="es-CO"/>
        </w:rPr>
        <w:t>.</w:t>
      </w:r>
    </w:p>
    <w:p w14:paraId="068FDF04" w14:textId="77777777" w:rsidR="00943C22" w:rsidRPr="00943C22" w:rsidRDefault="00943C22" w:rsidP="00DD0AC8">
      <w:pPr>
        <w:pStyle w:val="ListParagraph"/>
        <w:numPr>
          <w:ilvl w:val="0"/>
          <w:numId w:val="2"/>
        </w:numPr>
        <w:spacing w:line="480" w:lineRule="auto"/>
        <w:rPr>
          <w:rFonts w:ascii="Arial" w:hAnsi="Arial" w:cs="Arial"/>
          <w:color w:val="000000" w:themeColor="text1"/>
          <w:sz w:val="24"/>
          <w:szCs w:val="24"/>
        </w:rPr>
      </w:pPr>
      <w:r w:rsidRPr="00943C22">
        <w:rPr>
          <w:rFonts w:ascii="Arial" w:hAnsi="Arial" w:cs="Arial"/>
          <w:color w:val="000000" w:themeColor="text1"/>
          <w:sz w:val="24"/>
          <w:szCs w:val="24"/>
        </w:rPr>
        <w:t>IL-1 family</w:t>
      </w:r>
    </w:p>
    <w:p w14:paraId="2A39345D" w14:textId="7CFB42AD" w:rsidR="007419C4" w:rsidRDefault="00943C22" w:rsidP="00916B9A">
      <w:pPr>
        <w:spacing w:line="480" w:lineRule="auto"/>
        <w:ind w:firstLine="360"/>
        <w:rPr>
          <w:color w:val="000000" w:themeColor="text1"/>
        </w:rPr>
      </w:pPr>
      <w:r w:rsidRPr="00943C22">
        <w:rPr>
          <w:color w:val="000000" w:themeColor="text1"/>
        </w:rPr>
        <w:lastRenderedPageBreak/>
        <w:t>IL-1</w:t>
      </w:r>
      <w:r>
        <w:rPr>
          <w:color w:val="000000" w:themeColor="text1"/>
          <w:lang w:val="es-CO"/>
        </w:rPr>
        <w:t>β</w:t>
      </w:r>
      <w:r w:rsidRPr="00943C22">
        <w:rPr>
          <w:color w:val="000000" w:themeColor="text1"/>
        </w:rPr>
        <w:t xml:space="preserve"> and IL-18 belong to the IL-1 family and are produced as inactive zymogens that require the cleavage and activation by the IL-1 converting enzyme caspase-1 mediated by the inflammasomes, to act as pro-inflammatory signals </w:t>
      </w:r>
      <w:r>
        <w:rPr>
          <w:color w:val="000000" w:themeColor="text1"/>
          <w:lang w:val="es-CO"/>
        </w:rPr>
        <w:fldChar w:fldCharType="begin" w:fldLock="1"/>
      </w:r>
      <w:r w:rsidR="004F2E64">
        <w:rPr>
          <w:color w:val="000000" w:themeColor="text1"/>
        </w:rPr>
        <w:instrText>ADDIN CSL_CITATION {"citationItems":[{"id":"ITEM-1","itemData":{"DOI":"10.1155/2020/4063562","ISSN":"19420994","PMID":"32148650","abstract":"Almost all human diseases are strongly associated with inflammation, and a deep understanding of the exact mechanism is helpful for treatment. The NLRP3 inflammasome composed of the NLRP3 protein, procaspase-1, and ASC plays a vital role in regulating inflammation. In this review, NLRP3 regulation and activation, its proinflammatory role in inflammatory diseases, interactions with autophagy, and targeted therapeutic approaches in inflammatory diseases will be summarized.","author":[{"dropping-particle":"","family":"Wang","given":"Zheng","non-dropping-particle":"","parse-names":false,"suffix":""},{"dropping-particle":"","family":"Zhang","given":"Simei","non-dropping-particle":"","parse-names":false,"suffix":""},{"dropping-particle":"","family":"Xiao","given":"Ying","non-dropping-particle":"","parse-names":false,"suffix":""},{"dropping-particle":"","family":"Zhang","given":"Wunai","non-dropping-particle":"","parse-names":false,"suffix":""},{"dropping-particle":"","family":"Wu","given":"Shuai","non-dropping-particle":"","parse-names":false,"suffix":""},{"dropping-particle":"","family":"Qin","given":"Tao","non-dropping-particle":"","parse-names":false,"suffix":""},{"dropping-particle":"","family":"Yue","given":"Yangyang","non-dropping-particle":"","parse-names":false,"suffix":""},{"dropping-particle":"","family":"Qian","given":"Weikun","non-dropping-particle":"","parse-names":false,"suffix":""},{"dropping-particle":"","family":"Li","given":"L.","non-dropping-particle":"","parse-names":false,"suffix":""}],"container-title":"Oxidative Medicine and Cellular Longevity","id":"ITEM-1","issued":{"date-parts":[["2020"]]},"publisher":"Hindawi Limited","title":"NLRP3 Inflammasome and Inflammatory Diseases","type":"article","volume":"2020"},"uris":["http://www.mendeley.com/documents/?uuid=51ed4001-d57c-3a4c-8e83-8bf3e66fb0f8"]}],"mendeley":{"formattedCitation":"[40]","plainTextFormattedCitation":"[40]","previouslyFormattedCitation":"[40]"},"properties":{"noteIndex":0},"schema":"https://github.com/citation-style-language/schema/raw/master/csl-citation.json"}</w:instrText>
      </w:r>
      <w:r>
        <w:rPr>
          <w:color w:val="000000" w:themeColor="text1"/>
          <w:lang w:val="es-CO"/>
        </w:rPr>
        <w:fldChar w:fldCharType="separate"/>
      </w:r>
      <w:r w:rsidR="006465A0" w:rsidRPr="006465A0">
        <w:rPr>
          <w:noProof/>
          <w:color w:val="000000" w:themeColor="text1"/>
        </w:rPr>
        <w:t>[40]</w:t>
      </w:r>
      <w:r>
        <w:rPr>
          <w:color w:val="000000" w:themeColor="text1"/>
          <w:lang w:val="es-CO"/>
        </w:rPr>
        <w:fldChar w:fldCharType="end"/>
      </w:r>
      <w:r>
        <w:rPr>
          <w:color w:val="000000" w:themeColor="text1"/>
        </w:rPr>
        <w:t>. IL-1</w:t>
      </w:r>
      <w:r>
        <w:rPr>
          <w:color w:val="000000" w:themeColor="text1"/>
          <w:lang w:val="es-CO"/>
        </w:rPr>
        <w:t>β</w:t>
      </w:r>
      <w:r>
        <w:rPr>
          <w:color w:val="000000" w:themeColor="text1"/>
        </w:rPr>
        <w:t xml:space="preserve"> promotes innate immune pathology by boosting the recruitment of neutrophils and the activation of innate lymphoid cells, while IL-1 receptor signaling in T cells is involved in the early accumulation and survival of pathogenic CD4+ T cells in the colon </w:t>
      </w:r>
      <w:r>
        <w:rPr>
          <w:color w:val="000000" w:themeColor="text1"/>
          <w:lang w:val="es-CO"/>
        </w:rPr>
        <w:fldChar w:fldCharType="begin" w:fldLock="1"/>
      </w:r>
      <w:r w:rsidR="004F2E64">
        <w:rPr>
          <w:color w:val="000000" w:themeColor="text1"/>
        </w:rPr>
        <w:instrText>ADDIN CSL_CITATION {"citationItems":[{"id":"ITEM-1","itemData":{"DOI":"10.1038/nri3661","ISSN":"14741741","PMID":"24751956","abstract":"Cytokines have a crucial role in the pathogenesis of inflammatory bowel diseases (IBDs), such as Crohn's disease and ulcerative colitis, where they control multiple aspects of the inflammatory response. In particular, the imbalance between pro-inflammatory and anti-inflammatory cytokines that occurs in IBD impedes the resolution of inflammation and instead leads to disease perpetuation and tissue destruction. Recent studies suggest the existence of a network of regulatory cytokines that has important implications for disease progression. In this Review, we discuss the role of cytokines produced by innate and adaptive immune cells, as well as their relevance to the future therapy of IBD. © 2014 Macmillan Publishers Limited. All rights reserved.","author":[{"dropping-particle":"","family":"Neurath","given":"Markus F.","non-dropping-particle":"","parse-names":false,"suffix":""}],"container-title":"Nature Reviews Immunology","id":"ITEM-1","issue":"5","issued":{"date-parts":[["2014","4","22"]]},"page":"329-342","publisher":"Nature Publishing Group","title":"Cytokines in inflammatory bowel disease","type":"article","volume":"14"},"uris":["http://www.mendeley.com/documents/?uuid=41dcea7e-db04-4b63-b242-e5af29ee7d4c"]}],"mendeley":{"formattedCitation":"[32]","plainTextFormattedCitation":"[32]","previouslyFormattedCitation":"[32]"},"properties":{"noteIndex":0},"schema":"https://github.com/citation-style-language/schema/raw/master/csl-citation.json"}</w:instrText>
      </w:r>
      <w:r>
        <w:rPr>
          <w:color w:val="000000" w:themeColor="text1"/>
          <w:lang w:val="es-CO"/>
        </w:rPr>
        <w:fldChar w:fldCharType="separate"/>
      </w:r>
      <w:r w:rsidR="006465A0" w:rsidRPr="006465A0">
        <w:rPr>
          <w:noProof/>
          <w:color w:val="000000" w:themeColor="text1"/>
        </w:rPr>
        <w:t>[32]</w:t>
      </w:r>
      <w:r>
        <w:rPr>
          <w:color w:val="000000" w:themeColor="text1"/>
          <w:lang w:val="es-CO"/>
        </w:rPr>
        <w:fldChar w:fldCharType="end"/>
      </w:r>
      <w:r>
        <w:rPr>
          <w:color w:val="000000" w:themeColor="text1"/>
        </w:rPr>
        <w:t xml:space="preserve">. Inhibition of the NLRP3 inflammasome and blockade of caspase-1 has shown beneficial effects in several murine models of colitis </w:t>
      </w:r>
      <w:r>
        <w:rPr>
          <w:color w:val="000000" w:themeColor="text1"/>
          <w:lang w:val="es-CO"/>
        </w:rPr>
        <w:fldChar w:fldCharType="begin" w:fldLock="1"/>
      </w:r>
      <w:r w:rsidR="004F2E64">
        <w:rPr>
          <w:color w:val="000000" w:themeColor="text1"/>
        </w:rPr>
        <w:instrText>ADDIN CSL_CITATION {"citationItems":[{"id":"ITEM-1","itemData":{"DOI":"10.1073/pnas.231473998","ISSN":"00278424","PMID":"11606779","abstract":"IL-1β-converting enzyme (ICE; caspase-1) is the intracellular protease that cleaves the precursors of IL-1Β and IL-18 into active cytokines. In the present study, the effect of ICE deficiency was evaluated during experimental colitis in mice. In acute dextran sulfate sodium-induced colitis, ICE-deficient (ICE KO) mice exhibited a greater than 50% decrease of the clinical scores weight loss, diarrhea, rectal bleeding, and colon length, whereas daily treatment with IL-1 receptor antagonist revealed a modest reduction in colitis severity. To further characterize the function of ICE and its role in intestinal inflammation, chronic colitis was induced over a 30-day time period. During this chronic time course, ICE KO mice exhibited a near complete protection, as reflected by significantly reduced clinical scores and almost absent histological signs of colitis. Consistently, colon shortening occurred only in dextran sulfate sodium-exposed wild-type mice but not in ICE KO mice. Protection was accompanied by reduced spontaneous release of the proinflammatory cytokines IL-18, IL-1Β, and IFN-γ from total colon cultures. In addition, flow cytometric analysis of isolated mesenteric lymph node cells revealed evidence of reduced cell activation in ICE KO mice as evaluated by surface expression of CD3 CD69 and CD4 CD25. We conclude that inhibition of ICE represents a novel anti-inflammatory strategy for intestinal inflammation.","author":[{"dropping-particle":"","family":"Siegmund","given":"Britta","non-dropping-particle":"","parse-names":false,"suffix":""},{"dropping-particle":"","family":"Lehr","given":"Hans Anton","non-dropping-particle":"","parse-names":false,"suffix":""},{"dropping-particle":"","family":"Fantuzzi","given":"Giamila","non-dropping-particle":"","parse-names":false,"suffix":""},{"dropping-particle":"","family":"Dinarello","given":"Charles A.","non-dropping-particle":"","parse-names":false,"suffix":""}],"container-title":"Proceedings of the National Academy of Sciences of the United States of America","id":"ITEM-1","issue":"23","issued":{"date-parts":[["2001","11","6"]]},"page":"13249-13254","publisher":"National Academy of Sciences","title":"IL-1β-converting enzyme (caspase-1) in intestinal inflammation","type":"article-journal","volume":"98"},"uris":["http://www.mendeley.com/documents/?uuid=d395ca1c-1b3f-371b-9236-264bf5ea7046"]},{"id":"ITEM-2","itemData":{"DOI":"10.1016/j.biopha.2021.111442","ISSN":"19506007","abstract":"The incidence and prevalence of inflammatory bowel disease (IBD) are increasing worldwide. Current approved medication for IBD treatment in the clinic mainly includes corticosteroids and neutralization antibodies to pro-inflammatory cytokines. However, drug resistance and severe side effect hinder long-term efficacy of these agents. The NOD-like receptor family pyrin domain containing protein 3 (NLRP3) is exclusively expressed in several inflammatory and autoimmune diseases. Excessive expression, aberrant activation, polymorphism, and gain-of-function mutation of the NLRP3 inflammasome contribute to IBD pathogenesis. In this article, we summarize the regulatory factors to NLRP3, and review recently developed NLRP3 inhibitors and their preclinical and clinical applications in treating inflammatory and autoimmune diseases. We present our views on the therapeutic potential of NLRP3 inhibitors as emerging therapeutic avenue for IBD.","author":[{"dropping-particle":"","family":"Chen","given":"Qiu Ling","non-dropping-particle":"","parse-names":false,"suffix":""},{"dropping-particle":"","family":"Yin","given":"Hao Ran","non-dropping-particle":"","parse-names":false,"suffix":""},{"dropping-particle":"","family":"He","given":"Qing Yu","non-dropping-particle":"","parse-names":false,"suffix":""},{"dropping-particle":"","family":"Wang","given":"Ying","non-dropping-particle":"","parse-names":false,"suffix":""}],"container-title":"Biomedicine and Pharmacotherapy","id":"ITEM-2","issued":{"date-parts":[["2021","6","1"]]},"page":"111442","publisher":"Elsevier Masson s.r.l.","title":"Targeting the NLRP3 inflammasome as new therapeutic avenue for inflammatory bowel disease","type":"article-journal","volume":"138"},"uris":["http://www.mendeley.com/documents/?uuid=5bb4f601-53b5-3b3d-ba6d-62fbfb081c80"]}],"mendeley":{"formattedCitation":"[41,42]","plainTextFormattedCitation":"[41,42]","previouslyFormattedCitation":"[41,42]"},"properties":{"noteIndex":0},"schema":"https://github.com/citation-style-language/schema/raw/master/csl-citation.json"}</w:instrText>
      </w:r>
      <w:r>
        <w:rPr>
          <w:color w:val="000000" w:themeColor="text1"/>
          <w:lang w:val="es-CO"/>
        </w:rPr>
        <w:fldChar w:fldCharType="separate"/>
      </w:r>
      <w:r w:rsidR="006465A0" w:rsidRPr="006465A0">
        <w:rPr>
          <w:noProof/>
          <w:color w:val="000000" w:themeColor="text1"/>
        </w:rPr>
        <w:t>[41,42]</w:t>
      </w:r>
      <w:r>
        <w:rPr>
          <w:color w:val="000000" w:themeColor="text1"/>
          <w:lang w:val="es-CO"/>
        </w:rPr>
        <w:fldChar w:fldCharType="end"/>
      </w:r>
      <w:r>
        <w:rPr>
          <w:color w:val="000000" w:themeColor="text1"/>
        </w:rPr>
        <w:t>.</w:t>
      </w:r>
    </w:p>
    <w:p w14:paraId="6F9AA41B" w14:textId="77777777" w:rsidR="00943C22" w:rsidRPr="007419C4" w:rsidRDefault="00943C22" w:rsidP="00DD0AC8">
      <w:pPr>
        <w:pStyle w:val="ListParagraph"/>
        <w:numPr>
          <w:ilvl w:val="0"/>
          <w:numId w:val="2"/>
        </w:numPr>
        <w:spacing w:line="480" w:lineRule="auto"/>
        <w:rPr>
          <w:rFonts w:ascii="Arial" w:hAnsi="Arial" w:cs="Arial"/>
          <w:color w:val="000000" w:themeColor="text1"/>
          <w:sz w:val="24"/>
          <w:szCs w:val="24"/>
        </w:rPr>
      </w:pPr>
      <w:r w:rsidRPr="007419C4">
        <w:rPr>
          <w:rFonts w:ascii="Arial" w:hAnsi="Arial" w:cs="Arial"/>
          <w:color w:val="000000" w:themeColor="text1"/>
          <w:sz w:val="24"/>
          <w:szCs w:val="24"/>
        </w:rPr>
        <w:t>IL-6</w:t>
      </w:r>
    </w:p>
    <w:p w14:paraId="1A969539" w14:textId="75B58CAC" w:rsidR="00943C22" w:rsidRDefault="00943C22" w:rsidP="00DD0AC8">
      <w:pPr>
        <w:spacing w:line="480" w:lineRule="auto"/>
        <w:ind w:firstLine="360"/>
        <w:rPr>
          <w:color w:val="000000" w:themeColor="text1"/>
        </w:rPr>
      </w:pPr>
      <w:r>
        <w:rPr>
          <w:color w:val="000000" w:themeColor="text1"/>
        </w:rPr>
        <w:t>IL-6 act</w:t>
      </w:r>
      <w:r w:rsidR="00555875">
        <w:rPr>
          <w:color w:val="000000" w:themeColor="text1"/>
        </w:rPr>
        <w:t>s</w:t>
      </w:r>
      <w:r>
        <w:rPr>
          <w:color w:val="000000" w:themeColor="text1"/>
        </w:rPr>
        <w:t xml:space="preserve"> as a pro-inflammatory signal by activating multiple target cells such as antigen</w:t>
      </w:r>
      <w:r w:rsidR="00555875">
        <w:rPr>
          <w:color w:val="000000" w:themeColor="text1"/>
        </w:rPr>
        <w:t xml:space="preserve"> </w:t>
      </w:r>
      <w:r>
        <w:rPr>
          <w:color w:val="000000" w:themeColor="text1"/>
        </w:rPr>
        <w:t xml:space="preserve">presenting cells and T </w:t>
      </w:r>
      <w:r w:rsidR="000D2524">
        <w:rPr>
          <w:color w:val="000000" w:themeColor="text1"/>
        </w:rPr>
        <w:t>cells and</w:t>
      </w:r>
      <w:r>
        <w:rPr>
          <w:color w:val="000000" w:themeColor="text1"/>
        </w:rPr>
        <w:t xml:space="preserve"> inhibiting the apoptosis of </w:t>
      </w:r>
      <w:r w:rsidR="00555875">
        <w:rPr>
          <w:color w:val="000000" w:themeColor="text1"/>
        </w:rPr>
        <w:t>T-cells.</w:t>
      </w:r>
      <w:r>
        <w:rPr>
          <w:color w:val="000000" w:themeColor="text1"/>
        </w:rPr>
        <w:t xml:space="preserve"> </w:t>
      </w:r>
      <w:r w:rsidR="00555875">
        <w:rPr>
          <w:color w:val="000000" w:themeColor="text1"/>
        </w:rPr>
        <w:t>A</w:t>
      </w:r>
      <w:r>
        <w:rPr>
          <w:color w:val="000000" w:themeColor="text1"/>
        </w:rPr>
        <w:t xml:space="preserve">lthough response in a subset of CD patients has been observed by the blockade of IL-6 signaling, its clinical application requires careful attention as IL-6 also has important homeostatic functions by promoting the proliferation and expansion of IECs </w:t>
      </w:r>
      <w:r>
        <w:rPr>
          <w:color w:val="000000" w:themeColor="text1"/>
          <w:lang w:val="es-CO"/>
        </w:rPr>
        <w:fldChar w:fldCharType="begin" w:fldLock="1"/>
      </w:r>
      <w:r w:rsidR="004F2E64">
        <w:rPr>
          <w:color w:val="000000" w:themeColor="text1"/>
        </w:rPr>
        <w:instrText>ADDIN CSL_CITATION {"citationItems":[{"id":"ITEM-1","itemData":{"DOI":"10.1038/nri3661","ISSN":"14741741","PMID":"24751956","abstract":"Cytokines have a crucial role in the pathogenesis of inflammatory bowel diseases (IBDs), such as Crohn's disease and ulcerative colitis, where they control multiple aspects of the inflammatory response. In particular, the imbalance between pro-inflammatory and anti-inflammatory cytokines that occurs in IBD impedes the resolution of inflammation and instead leads to disease perpetuation and tissue destruction. Recent studies suggest the existence of a network of regulatory cytokines that has important implications for disease progression. In this Review, we discuss the role of cytokines produced by innate and adaptive immune cells, as well as their relevance to the future therapy of IBD. © 2014 Macmillan Publishers Limited. All rights reserved.","author":[{"dropping-particle":"","family":"Neurath","given":"Markus F.","non-dropping-particle":"","parse-names":false,"suffix":""}],"container-title":"Nature Reviews Immunology","id":"ITEM-1","issue":"5","issued":{"date-parts":[["2014","4","22"]]},"page":"329-342","publisher":"Nature Publishing Group","title":"Cytokines in inflammatory bowel disease","type":"article","volume":"14"},"uris":["http://www.mendeley.com/documents/?uuid=41dcea7e-db04-4b63-b242-e5af29ee7d4c"]}],"mendeley":{"formattedCitation":"[32]","plainTextFormattedCitation":"[32]","previouslyFormattedCitation":"[32]"},"properties":{"noteIndex":0},"schema":"https://github.com/citation-style-language/schema/raw/master/csl-citation.json"}</w:instrText>
      </w:r>
      <w:r>
        <w:rPr>
          <w:color w:val="000000" w:themeColor="text1"/>
          <w:lang w:val="es-CO"/>
        </w:rPr>
        <w:fldChar w:fldCharType="separate"/>
      </w:r>
      <w:r w:rsidR="006465A0" w:rsidRPr="006465A0">
        <w:rPr>
          <w:noProof/>
          <w:color w:val="000000" w:themeColor="text1"/>
        </w:rPr>
        <w:t>[32]</w:t>
      </w:r>
      <w:r>
        <w:rPr>
          <w:color w:val="000000" w:themeColor="text1"/>
          <w:lang w:val="es-CO"/>
        </w:rPr>
        <w:fldChar w:fldCharType="end"/>
      </w:r>
      <w:r>
        <w:rPr>
          <w:color w:val="000000" w:themeColor="text1"/>
        </w:rPr>
        <w:t xml:space="preserve">.  </w:t>
      </w:r>
    </w:p>
    <w:p w14:paraId="53DEB5D8" w14:textId="77777777" w:rsidR="00943C22" w:rsidRPr="007419C4" w:rsidRDefault="00943C22" w:rsidP="00DD0AC8">
      <w:pPr>
        <w:pStyle w:val="ListParagraph"/>
        <w:numPr>
          <w:ilvl w:val="0"/>
          <w:numId w:val="2"/>
        </w:numPr>
        <w:spacing w:line="480" w:lineRule="auto"/>
        <w:rPr>
          <w:rFonts w:ascii="Arial" w:hAnsi="Arial" w:cs="Arial"/>
          <w:color w:val="000000" w:themeColor="text1"/>
          <w:sz w:val="24"/>
          <w:szCs w:val="24"/>
        </w:rPr>
      </w:pPr>
      <w:r w:rsidRPr="007419C4">
        <w:rPr>
          <w:rFonts w:ascii="Arial" w:hAnsi="Arial" w:cs="Arial"/>
          <w:color w:val="000000" w:themeColor="text1"/>
          <w:sz w:val="24"/>
          <w:szCs w:val="24"/>
        </w:rPr>
        <w:t>TNF-α</w:t>
      </w:r>
    </w:p>
    <w:p w14:paraId="5D0C3CF1" w14:textId="0D1E3E61" w:rsidR="00DD0AC8" w:rsidRPr="00394029" w:rsidRDefault="00943C22" w:rsidP="001311E7">
      <w:pPr>
        <w:spacing w:line="480" w:lineRule="auto"/>
        <w:ind w:firstLine="360"/>
        <w:rPr>
          <w:color w:val="000000" w:themeColor="text1"/>
        </w:rPr>
      </w:pPr>
      <w:r>
        <w:rPr>
          <w:color w:val="000000" w:themeColor="text1"/>
        </w:rPr>
        <w:t>TNF-</w:t>
      </w:r>
      <w:r>
        <w:rPr>
          <w:color w:val="000000" w:themeColor="text1"/>
          <w:lang w:val="es-CO"/>
        </w:rPr>
        <w:t>α</w:t>
      </w:r>
      <w:r>
        <w:rPr>
          <w:color w:val="000000" w:themeColor="text1"/>
        </w:rPr>
        <w:t xml:space="preserve"> is the most important cytokine mediating intestinal inflammation </w:t>
      </w:r>
      <w:r>
        <w:rPr>
          <w:color w:val="000000" w:themeColor="text1"/>
          <w:lang w:val="es-CO"/>
        </w:rPr>
        <w:fldChar w:fldCharType="begin" w:fldLock="1"/>
      </w:r>
      <w:r w:rsidR="004F2E64">
        <w:rPr>
          <w:color w:val="000000" w:themeColor="text1"/>
        </w:rPr>
        <w:instrText>ADDIN CSL_CITATION {"citationItems":[{"id":"ITEM-1","itemData":{"DOI":"10.5009/gnl14226","ISSN":"20051212","PMID":"25547087","abstract":"Conventional medical treatment for ulcerative colitis can have limited efficacy or severe adverse reactions requiring additional treatment or colectomy. Hence, different biological agents that target specific immunological pathways are being investigated for treating ulcerative colitis. Anti-tumor necrosis factor (TNF) agents were the first biologics to be used for treating inflammatory bowel disease. For example, infliximab and adalimumab, which are anti-TNF agents, are being used for treating ulcerative colitis. Recently, golimumab, another anti-TNF agent, and vedolizumab, an anti-adhesion therapy, have been approved for ulcerative colitis by the U.S. Food and Drug Administration. In addition, new medications such as tofacitinib, a Janus kinase inhibitor, and etrolizumab, another anti-adhesion therapy, are emerging as therapeutic agents. Therefore, there is a need for further studies to select appropriate patient groups for these biologics and to improve the outcomes of ulcerative colitis treatment through appropriate medical usage.","author":[{"dropping-particle":"","family":"Park","given":"Sung Chul","non-dropping-particle":"","parse-names":false,"suffix":""},{"dropping-particle":"","family":"Jeen","given":"Yoon Tae","non-dropping-particle":"","parse-names":false,"suffix":""}],"container-title":"Gut and Liver","id":"ITEM-1","issue":"1","issued":{"date-parts":[["2015","1","1"]]},"page":"18-27","publisher":"Joe Bok Chung","title":"Current and emerging biologics for ulcerative colitis","type":"article-journal","volume":"9"},"uris":["http://www.mendeley.com/documents/?uuid=589f18cb-7563-3a38-b2ae-c527ed8a901a"]}],"mendeley":{"formattedCitation":"[43]","plainTextFormattedCitation":"[43]","previouslyFormattedCitation":"[43]"},"properties":{"noteIndex":0},"schema":"https://github.com/citation-style-language/schema/raw/master/csl-citation.json"}</w:instrText>
      </w:r>
      <w:r>
        <w:rPr>
          <w:color w:val="000000" w:themeColor="text1"/>
          <w:lang w:val="es-CO"/>
        </w:rPr>
        <w:fldChar w:fldCharType="separate"/>
      </w:r>
      <w:r w:rsidR="006465A0" w:rsidRPr="006465A0">
        <w:rPr>
          <w:noProof/>
          <w:color w:val="000000" w:themeColor="text1"/>
        </w:rPr>
        <w:t>[43]</w:t>
      </w:r>
      <w:r>
        <w:rPr>
          <w:color w:val="000000" w:themeColor="text1"/>
          <w:lang w:val="es-CO"/>
        </w:rPr>
        <w:fldChar w:fldCharType="end"/>
      </w:r>
      <w:r>
        <w:rPr>
          <w:color w:val="000000" w:themeColor="text1"/>
        </w:rPr>
        <w:t>. In addition to innate immune cells, adipocytes, fibroblast and T cells from patients with IBD produce considerable amounts of TNF-</w:t>
      </w:r>
      <w:r>
        <w:rPr>
          <w:color w:val="000000" w:themeColor="text1"/>
          <w:lang w:val="es-CO"/>
        </w:rPr>
        <w:t>α</w:t>
      </w:r>
      <w:r>
        <w:rPr>
          <w:color w:val="000000" w:themeColor="text1"/>
        </w:rPr>
        <w:t xml:space="preserve"> </w:t>
      </w:r>
      <w:r>
        <w:rPr>
          <w:color w:val="000000" w:themeColor="text1"/>
          <w:lang w:val="es-CO"/>
        </w:rPr>
        <w:fldChar w:fldCharType="begin" w:fldLock="1"/>
      </w:r>
      <w:r w:rsidR="004F2E64">
        <w:rPr>
          <w:color w:val="000000" w:themeColor="text1"/>
        </w:rPr>
        <w:instrText>ADDIN CSL_CITATION {"citationItems":[{"id":"ITEM-1","itemData":{"DOI":"10.1038/nri3661","ISSN":"14741741","PMID":"24751956","abstract":"Cytokines have a crucial role in the pathogenesis of inflammatory bowel diseases (IBDs), such as Crohn's disease and ulcerative colitis, where they control multiple aspects of the inflammatory response. In particular, the imbalance between pro-inflammatory and anti-inflammatory cytokines that occurs in IBD impedes the resolution of inflammation and instead leads to disease perpetuation and tissue destruction. Recent studies suggest the existence of a network of regulatory cytokines that has important implications for disease progression. In this Review, we discuss the role of cytokines produced by innate and adaptive immune cells, as well as their relevance to the future therapy of IBD. © 2014 Macmillan Publishers Limited. All rights reserved.","author":[{"dropping-particle":"","family":"Neurath","given":"Markus F.","non-dropping-particle":"","parse-names":false,"suffix":""}],"container-title":"Nature Reviews Immunology","id":"ITEM-1","issue":"5","issued":{"date-parts":[["2014","4","22"]]},"page":"329-342","publisher":"Nature Publishing Group","title":"Cytokines in inflammatory bowel disease","type":"article","volume":"14"},"uris":["http://www.mendeley.com/documents/?uuid=41dcea7e-db04-4b63-b242-e5af29ee7d4c"]}],"mendeley":{"formattedCitation":"[32]","plainTextFormattedCitation":"[32]","previouslyFormattedCitation":"[32]"},"properties":{"noteIndex":0},"schema":"https://github.com/citation-style-language/schema/raw/master/csl-citation.json"}</w:instrText>
      </w:r>
      <w:r>
        <w:rPr>
          <w:color w:val="000000" w:themeColor="text1"/>
          <w:lang w:val="es-CO"/>
        </w:rPr>
        <w:fldChar w:fldCharType="separate"/>
      </w:r>
      <w:r w:rsidR="006465A0" w:rsidRPr="006465A0">
        <w:rPr>
          <w:noProof/>
          <w:color w:val="000000" w:themeColor="text1"/>
        </w:rPr>
        <w:t>[32]</w:t>
      </w:r>
      <w:r>
        <w:rPr>
          <w:color w:val="000000" w:themeColor="text1"/>
          <w:lang w:val="es-CO"/>
        </w:rPr>
        <w:fldChar w:fldCharType="end"/>
      </w:r>
      <w:r>
        <w:rPr>
          <w:color w:val="000000" w:themeColor="text1"/>
        </w:rPr>
        <w:t>. The pleiotropic effect of this cytokine involves the activation of macrophages and T cells which results in increased production of IL-1</w:t>
      </w:r>
      <w:r>
        <w:rPr>
          <w:color w:val="000000" w:themeColor="text1"/>
          <w:lang w:val="es-CO"/>
        </w:rPr>
        <w:t>β</w:t>
      </w:r>
      <w:r>
        <w:rPr>
          <w:color w:val="000000" w:themeColor="text1"/>
        </w:rPr>
        <w:t xml:space="preserve"> and IL-6, induction of apoptosis in IECs, and the </w:t>
      </w:r>
      <w:r>
        <w:rPr>
          <w:color w:val="000000" w:themeColor="text1"/>
        </w:rPr>
        <w:lastRenderedPageBreak/>
        <w:t>production of matrix metalloproteinases, aggravating epithelial erosions, ulcers</w:t>
      </w:r>
      <w:r w:rsidR="00555875">
        <w:rPr>
          <w:color w:val="000000" w:themeColor="text1"/>
        </w:rPr>
        <w:t>,</w:t>
      </w:r>
      <w:r>
        <w:rPr>
          <w:color w:val="000000" w:themeColor="text1"/>
        </w:rPr>
        <w:t xml:space="preserve"> and having a detrimental effect on the intestinal epithelial barrier, promotion of angiogenesis</w:t>
      </w:r>
      <w:r w:rsidR="00555875">
        <w:rPr>
          <w:color w:val="000000" w:themeColor="text1"/>
        </w:rPr>
        <w:t>,</w:t>
      </w:r>
      <w:r>
        <w:rPr>
          <w:color w:val="000000" w:themeColor="text1"/>
        </w:rPr>
        <w:t xml:space="preserve"> and pro-coagulant factors </w:t>
      </w:r>
      <w:r>
        <w:rPr>
          <w:color w:val="000000" w:themeColor="text1"/>
          <w:lang w:val="es-CO"/>
        </w:rPr>
        <w:fldChar w:fldCharType="begin" w:fldLock="1"/>
      </w:r>
      <w:r w:rsidR="004F2E64">
        <w:rPr>
          <w:color w:val="000000" w:themeColor="text1"/>
        </w:rPr>
        <w:instrText>ADDIN CSL_CITATION {"citationItems":[{"id":"ITEM-1","itemData":{"DOI":"10.3748/wjg.14.4280","ISSN":"10079327","PMID":"18666314","abstract":"Inflammatory bowel disease (IBD), which includes Crohn's disease (CD) and ulcerative colitis (UC), represents a group of chronic disorders characterized by inflammation of the gastrointestinal tract, typically with a relapsing and remitting clinical course. Mucosal macrophages play an important role in the mucosal immune system, and an increase in the number of newly recruited monocytes and activated macrophages has been noted in the inflamed gut of patients with IBD. Activated macrophages are thought to be major contributors to the production of inflammatory cytokines in the gut, and imbalance of cytokines is contributing to the pathogenesis of IBD. The intestinal inflammation in IBD is controlled by a complex interplay of innate and adaptive immune mechanisms. Cytokines play a key role in IBD that determine T cell differentiation of Th1, Th2, T regulatory and newly described Th17 cells. Cytokines levels in time and space orchestrate the development, recurrence and exacerbation of the inflammatory process in IBD. Therefore, several cytokine therapies have been developed and tested for the treatment of IBD patients. © 2008 The WJG Press. All rights reserved.","author":[{"dropping-particle":"","family":"Sanchez-Muñoz","given":"Fausto","non-dropping-particle":"","parse-names":false,"suffix":""},{"dropping-particle":"","family":"Dominguez-Lopez","given":"Aaron","non-dropping-particle":"","parse-names":false,"suffix":""},{"dropping-particle":"","family":"Yamamoto-Furusho","given":"Jesus K.","non-dropping-particle":"","parse-names":false,"suffix":""}],"container-title":"World Journal of Gastroenterology","id":"ITEM-1","issue":"27","issued":{"date-parts":[["2008","7","21"]]},"page":"4280-4288","publisher":"Baishideng Publishing Group Inc","title":"Role of cytokines in inflammatory bowel disease","type":"article","volume":"14"},"uris":["http://www.mendeley.com/documents/?uuid=6351940b-5020-369a-a060-6f93ce687bef"]},{"id":"ITEM-2","itemData":{"DOI":"10.1038/nri3661","ISSN":"14741741","PMID":"24751956","abstract":"Cytokines have a crucial role in the pathogenesis of inflammatory bowel diseases (IBDs), such as Crohn's disease and ulcerative colitis, where they control multiple aspects of the inflammatory response. In particular, the imbalance between pro-inflammatory and anti-inflammatory cytokines that occurs in IBD impedes the resolution of inflammation and instead leads to disease perpetuation and tissue destruction. Recent studies suggest the existence of a network of regulatory cytokines that has important implications for disease progression. In this Review, we discuss the role of cytokines produced by innate and adaptive immune cells, as well as their relevance to the future therapy of IBD. © 2014 Macmillan Publishers Limited. All rights reserved.","author":[{"dropping-particle":"","family":"Neurath","given":"Markus F.","non-dropping-particle":"","parse-names":false,"suffix":""}],"container-title":"Nature Reviews Immunology","id":"ITEM-2","issue":"5","issued":{"date-parts":[["2014","4","22"]]},"page":"329-342","publisher":"Nature Publishing Group","title":"Cytokines in inflammatory bowel disease","type":"article","volume":"14"},"uris":["http://www.mendeley.com/documents/?uuid=41dcea7e-db04-4b63-b242-e5af29ee7d4c"]}],"mendeley":{"formattedCitation":"[32,44]","plainTextFormattedCitation":"[32,44]","previouslyFormattedCitation":"[32,44]"},"properties":{"noteIndex":0},"schema":"https://github.com/citation-style-language/schema/raw/master/csl-citation.json"}</w:instrText>
      </w:r>
      <w:r>
        <w:rPr>
          <w:color w:val="000000" w:themeColor="text1"/>
          <w:lang w:val="es-CO"/>
        </w:rPr>
        <w:fldChar w:fldCharType="separate"/>
      </w:r>
      <w:r w:rsidR="006465A0" w:rsidRPr="006465A0">
        <w:rPr>
          <w:noProof/>
          <w:color w:val="000000" w:themeColor="text1"/>
        </w:rPr>
        <w:t>[32,44]</w:t>
      </w:r>
      <w:r>
        <w:rPr>
          <w:color w:val="000000" w:themeColor="text1"/>
          <w:lang w:val="es-CO"/>
        </w:rPr>
        <w:fldChar w:fldCharType="end"/>
      </w:r>
      <w:r>
        <w:rPr>
          <w:color w:val="000000" w:themeColor="text1"/>
        </w:rPr>
        <w:t>. The positive clinical improvement and macroscopic healing observed upon TNF-</w:t>
      </w:r>
      <w:r>
        <w:rPr>
          <w:color w:val="000000" w:themeColor="text1"/>
          <w:lang w:val="es-CO"/>
        </w:rPr>
        <w:t>α</w:t>
      </w:r>
      <w:r>
        <w:rPr>
          <w:color w:val="000000" w:themeColor="text1"/>
        </w:rPr>
        <w:t xml:space="preserve"> blockade by specific antibodies, points out the crucial role of this cytokine in IBD and makes anti-TNF-</w:t>
      </w:r>
      <w:r>
        <w:rPr>
          <w:color w:val="000000" w:themeColor="text1"/>
          <w:lang w:val="es-CO"/>
        </w:rPr>
        <w:t>α</w:t>
      </w:r>
      <w:r>
        <w:rPr>
          <w:color w:val="000000" w:themeColor="text1"/>
        </w:rPr>
        <w:t xml:space="preserve"> biologics a cornerstone in the treatment of IBD </w:t>
      </w:r>
      <w:r>
        <w:rPr>
          <w:color w:val="000000" w:themeColor="text1"/>
          <w:lang w:val="es-CO"/>
        </w:rPr>
        <w:fldChar w:fldCharType="begin" w:fldLock="1"/>
      </w:r>
      <w:r w:rsidR="004F2E64">
        <w:rPr>
          <w:color w:val="000000" w:themeColor="text1"/>
        </w:rPr>
        <w:instrText>ADDIN CSL_CITATION {"citationItems":[{"id":"ITEM-1","itemData":{"DOI":"10.1053/j.gastro.2004.02.070","ISSN":"00165085","PMID":"15168370","abstract":"Infliximab, the chimeric monoclonal immunoglobulin (Ig)G1 antibody to tumor necrosis factor (TNF) has changed our therapy of Crohn's disease. Infliximab is indicated in refractory luminal and fistulizing Crohn's disease. In patients with luminal disease, a single intravenous (IV) dose of 5 mg/kg is efficacious; in fistulizing disease, an IV loading therapy of 5 mg/kg at weeks 0, 2, and 6 is advocated. Because the majority of patients will relapse if not re-treated, a long-term strategy is necessary. The optimal long-term approach is systematic retreatment with 5 mg/kg every 8 weeks. Episodic therapy on relapse also is possible but is less efficacious and frequently is associated with problems resulting from the formation of antibodies to infliximab (ATI). If treatment is episodic, maintenance therapy with immunosuppression (azathioprine [AZA]/6-mercaptopurine [6-MP] or methotrexate) is mandatory. Trial data suggest that systematic maintenance with 8 weekly doses of infliximab decreases the rate of complications, hospitalizations, and surgeries. These effects probably are achieved thanks to thorough healing of the bowel. Infliximab also is indicated in treating corticosteroid-dependent Crohn's disease and extraintestinal manifestations of Crohn's disease. There are no data yet that support its use as first-line therapy. The data in ulcerative colitis (UC) are conflicting and we should await the results of 2 large controlled trials (ACT1 and ACT2) to position infliximab in the treatment of UC. Other anti-TNF strategies have been less effective than infliximab in the treatment of IBD until now. The results with thalidomide are promising but much more research into small molecules inhibiting TNF and other proinflammatory cytokines is necessary. Safety problems with antibody treatment mainly concern immunogenicity leading to infusion reactions, loss of response, and serum sickness-like delayed infusion reactions. The rate of opportunistic infections is increased mainly in patients treated concomitantly with immunosuppression. Other adverse events associated with anti-TNF strategies are demyelinating disease and worsening of congestive heart failure. Malignancy rates in patients treated with anti-TNF strategies do not seem to be increased.","author":[{"dropping-particle":"","family":"Rutgeerts","given":"Paul","non-dropping-particle":"","parse-names":false,"suffix":""},{"dropping-particle":"","family":"Assche","given":"Gert","non-dropping-particle":"Van","parse-names":false,"suffix":""},{"dropping-particle":"","family":"Vermeire","given":"Séverine","non-dropping-particle":"","parse-names":false,"suffix":""}],"container-title":"Gastroenterology","id":"ITEM-1","issue":"6","issued":{"date-parts":[["2004","5","1"]]},"page":"1593-1610","publisher":"W.B. Saunders","title":"Optimizing Anti-TNF treatment in inflammatory bowel disease","type":"article-journal","volume":"126"},"uris":["http://www.mendeley.com/documents/?uuid=46de5558-afd9-36c4-b5c1-fd85b260ced6"]}],"mendeley":{"formattedCitation":"[45]","plainTextFormattedCitation":"[45]","previouslyFormattedCitation":"[45]"},"properties":{"noteIndex":0},"schema":"https://github.com/citation-style-language/schema/raw/master/csl-citation.json"}</w:instrText>
      </w:r>
      <w:r>
        <w:rPr>
          <w:color w:val="000000" w:themeColor="text1"/>
          <w:lang w:val="es-CO"/>
        </w:rPr>
        <w:fldChar w:fldCharType="separate"/>
      </w:r>
      <w:r w:rsidR="006465A0" w:rsidRPr="006465A0">
        <w:rPr>
          <w:noProof/>
          <w:color w:val="000000" w:themeColor="text1"/>
        </w:rPr>
        <w:t>[45]</w:t>
      </w:r>
      <w:r>
        <w:rPr>
          <w:color w:val="000000" w:themeColor="text1"/>
          <w:lang w:val="es-CO"/>
        </w:rPr>
        <w:fldChar w:fldCharType="end"/>
      </w:r>
      <w:r w:rsidRPr="00394029">
        <w:rPr>
          <w:color w:val="000000" w:themeColor="text1"/>
        </w:rPr>
        <w:t xml:space="preserve">. </w:t>
      </w:r>
    </w:p>
    <w:p w14:paraId="02615138" w14:textId="77777777" w:rsidR="00943C22" w:rsidRPr="00394029" w:rsidRDefault="00394029" w:rsidP="001311E7">
      <w:pPr>
        <w:pStyle w:val="Heading3"/>
        <w:spacing w:before="0" w:after="0" w:line="480" w:lineRule="auto"/>
        <w:rPr>
          <w:i w:val="0"/>
        </w:rPr>
      </w:pPr>
      <w:bookmarkStart w:id="7" w:name="_Toc77082091"/>
      <w:r>
        <w:rPr>
          <w:i w:val="0"/>
        </w:rPr>
        <w:t xml:space="preserve">1.2.4 </w:t>
      </w:r>
      <w:r w:rsidR="00943C22" w:rsidRPr="00394029">
        <w:rPr>
          <w:i w:val="0"/>
        </w:rPr>
        <w:t>The potential role of diet in IBD</w:t>
      </w:r>
      <w:bookmarkEnd w:id="7"/>
    </w:p>
    <w:p w14:paraId="38D44535" w14:textId="1DBAF6F9" w:rsidR="00943C22" w:rsidRDefault="00943C22" w:rsidP="00DD0AC8">
      <w:pPr>
        <w:spacing w:line="480" w:lineRule="auto"/>
        <w:ind w:firstLine="720"/>
        <w:rPr>
          <w:color w:val="000000" w:themeColor="text1"/>
        </w:rPr>
      </w:pPr>
      <w:r>
        <w:rPr>
          <w:color w:val="000000" w:themeColor="text1"/>
        </w:rPr>
        <w:t xml:space="preserve">Diet is considered one of the most important factors impacting gut health and it is potentially one of the main environmental factors involved in IBD, as it greatly affects gut microbiota and the mucosal immune system. Evidence suggests an inverse association between being breastfed </w:t>
      </w:r>
      <w:r w:rsidR="00347720">
        <w:rPr>
          <w:color w:val="000000" w:themeColor="text1"/>
        </w:rPr>
        <w:t xml:space="preserve">as an infant </w:t>
      </w:r>
      <w:r>
        <w:rPr>
          <w:color w:val="000000" w:themeColor="text1"/>
        </w:rPr>
        <w:t>and the incidence of CD and UC</w:t>
      </w:r>
      <w:r w:rsidR="00347720">
        <w:rPr>
          <w:color w:val="000000" w:themeColor="text1"/>
        </w:rPr>
        <w:t xml:space="preserve"> as an adult</w:t>
      </w:r>
      <w:r>
        <w:rPr>
          <w:color w:val="000000" w:themeColor="text1"/>
        </w:rPr>
        <w:t xml:space="preserve"> </w:t>
      </w:r>
      <w:r>
        <w:rPr>
          <w:color w:val="000000" w:themeColor="text1"/>
          <w:lang w:val="es-CO"/>
        </w:rPr>
        <w:fldChar w:fldCharType="begin" w:fldLock="1"/>
      </w:r>
      <w:r w:rsidR="004F2E64">
        <w:rPr>
          <w:color w:val="000000" w:themeColor="text1"/>
        </w:rPr>
        <w:instrText>ADDIN CSL_CITATION {"citationItems":[{"id":"ITEM-1","itemData":{"DOI":"10.1111/apt.14291","ISSN":"13652036","PMID":"28892171","abstract":"Background: Breastfeeding is a modifiable factor that may influence development of inflammatory bowel diseases. However, literature on this has been inconsistent and not accounted for heterogeneity in populations and exposure. Aim: To conduct a meta-analysis to examine the association between breastfeeding in infancy and risk of Crohn's disease (CD) and ulcerative colitis (UC). Methods: A systematic search of Medline/PubMed and Embase was performed for full text, English-language literature through November 2016. Studies were included if they described breastfeeding in infancy in patients with CD or UC, and healthy controls. Data were pooled using a random effects model for analysis. Results: A total of 35 studies were included in the final analysis, comprising 7536 individuals with CD, 7353 with UC and 330 222 controls. Ever being breastfed was associated with a lower risk of CD (OR 0.71, 95% CI 0.59-0.85) and UC (OR 0.78, 95% CI 0.67-0.91). While this inverse association was observed in all ethnicity groups, the magnitude of protection was significantly greater among Asians (OR 0.31, 95% CI 0.20-0.48) compared to Caucasians (OR 0.78, 95% CI 0.66-0.93; P =.0001) in CD. Breastfeeding duration showed a dose-dependent association, with strongest decrease in risk when breastfed for at least 12 months for CD (OR 0.20, 95% CI 0.08-0.50) and UC (OR 0.21, 95% CI 0.10-0.43) as compared to 3 or 6 months. Conclusion: Breastfeeding in infancy protects against the development of CD and ulcerative colitis.","author":[{"dropping-particle":"","family":"Xu","given":"L.","non-dropping-particle":"","parse-names":false,"suffix":""},{"dropping-particle":"","family":"Lochhead","given":"P.","non-dropping-particle":"","parse-names":false,"suffix":""},{"dropping-particle":"","family":"Ko","given":"Y.","non-dropping-particle":"","parse-names":false,"suffix":""},{"dropping-particle":"","family":"Claggett","given":"B.","non-dropping-particle":"","parse-names":false,"suffix":""},{"dropping-particle":"","family":"Leong","given":"R. W.","non-dropping-particle":"","parse-names":false,"suffix":""},{"dropping-particle":"","family":"Ananthakrishnan","given":"A. N.","non-dropping-particle":"","parse-names":false,"suffix":""}],"container-title":"Alimentary Pharmacology and Therapeutics","id":"ITEM-1","issue":"9","issued":{"date-parts":[["2017","11","1"]]},"page":"780-789","publisher":"Blackwell Publishing Ltd","title":"Systematic review with meta-analysis: breastfeeding and the risk of Crohn's disease and ulcerative colitis","type":"article","volume":"46"},"uris":["http://www.mendeley.com/documents/?uuid=ab3501ce-efa6-3ab6-b0d5-e5cd15ec5db6"]}],"mendeley":{"formattedCitation":"[46]","plainTextFormattedCitation":"[46]","previouslyFormattedCitation":"[46]"},"properties":{"noteIndex":0},"schema":"https://github.com/citation-style-language/schema/raw/master/csl-citation.json"}</w:instrText>
      </w:r>
      <w:r>
        <w:rPr>
          <w:color w:val="000000" w:themeColor="text1"/>
          <w:lang w:val="es-CO"/>
        </w:rPr>
        <w:fldChar w:fldCharType="separate"/>
      </w:r>
      <w:r w:rsidR="006465A0" w:rsidRPr="006465A0">
        <w:rPr>
          <w:noProof/>
          <w:color w:val="000000" w:themeColor="text1"/>
        </w:rPr>
        <w:t>[46]</w:t>
      </w:r>
      <w:r>
        <w:rPr>
          <w:color w:val="000000" w:themeColor="text1"/>
          <w:lang w:val="es-CO"/>
        </w:rPr>
        <w:fldChar w:fldCharType="end"/>
      </w:r>
      <w:r>
        <w:rPr>
          <w:color w:val="000000" w:themeColor="text1"/>
        </w:rPr>
        <w:t xml:space="preserve">. Breastfeeding has a strong and durable effect on the composition of the microbial community of the infant, exerts a protective effect by facilitating the transference of antimicrobial components, and contributes to the development of tolerance to dietary and microbial antigens </w:t>
      </w:r>
      <w:r>
        <w:rPr>
          <w:color w:val="000000" w:themeColor="text1"/>
          <w:lang w:val="es-CO"/>
        </w:rPr>
        <w:fldChar w:fldCharType="begin" w:fldLock="1"/>
      </w:r>
      <w:r w:rsidR="004F2E64">
        <w:rPr>
          <w:color w:val="000000" w:themeColor="text1"/>
        </w:rPr>
        <w:instrText>ADDIN CSL_CITATION {"citationItems":[{"id":"ITEM-1","itemData":{"DOI":"10.1038/nrgastro.2017.136","author":[{"dropping-particle":"","family":"Ananthakrishnan","given":"Ashwin N","non-dropping-particle":"","parse-names":false,"suffix":""},{"dropping-particle":"","family":"Bernstein","given":"Charles N","non-dropping-particle":"","parse-names":false,"suffix":""},{"dropping-particle":"","family":"Iliopoulos","given":"Dimitrios","non-dropping-particle":"","parse-names":false,"suffix":""},{"dropping-particle":"","family":"Macpherson","given":"Andrew","non-dropping-particle":"","parse-names":false,"suffix":""},{"dropping-particle":"","family":"Neurath","given":"Markus F","non-dropping-particle":"","parse-names":false,"suffix":""},{"dropping-particle":"","family":"Raja Ali","given":"Raja A","non-dropping-particle":"","parse-names":false,"suffix":""},{"dropping-particle":"","family":"Vavricka","given":"Stephan R","non-dropping-particle":"","parse-names":false,"suffix":""},{"dropping-particle":"","family":"Fiocchi","given":"Claudio","non-dropping-particle":"","parse-names":false,"suffix":""}],"container-title":"Nature Reviews Gastroenterology &amp; Hepatology","id":"ITEM-1","issued":{"date-parts":[["2018"]]},"page":"39","title":"Environmental triggers in IBD: a review of progress and evidence","type":"article-journal","volume":"15"},"uris":["http://www.mendeley.com/documents/?uuid=320d6274-3c6b-3dc3-bea2-9c38c5293d12"]}],"mendeley":{"formattedCitation":"[31]","plainTextFormattedCitation":"[31]","previouslyFormattedCitation":"[31]"},"properties":{"noteIndex":0},"schema":"https://github.com/citation-style-language/schema/raw/master/csl-citation.json"}</w:instrText>
      </w:r>
      <w:r>
        <w:rPr>
          <w:color w:val="000000" w:themeColor="text1"/>
          <w:lang w:val="es-CO"/>
        </w:rPr>
        <w:fldChar w:fldCharType="separate"/>
      </w:r>
      <w:r w:rsidR="006465A0" w:rsidRPr="006465A0">
        <w:rPr>
          <w:noProof/>
          <w:color w:val="000000" w:themeColor="text1"/>
        </w:rPr>
        <w:t>[31]</w:t>
      </w:r>
      <w:r>
        <w:rPr>
          <w:color w:val="000000" w:themeColor="text1"/>
          <w:lang w:val="es-CO"/>
        </w:rPr>
        <w:fldChar w:fldCharType="end"/>
      </w:r>
      <w:r>
        <w:rPr>
          <w:color w:val="000000" w:themeColor="text1"/>
        </w:rPr>
        <w:t>. Short-term consumption of diets composed entirely of plant or animal products rapidly altered microbial communities, mirroring the characteristic differences between carnivorous and herbivorous</w:t>
      </w:r>
      <w:r w:rsidR="00994F49">
        <w:rPr>
          <w:color w:val="000000" w:themeColor="text1"/>
        </w:rPr>
        <w:t xml:space="preserve"> diets</w:t>
      </w:r>
      <w:r>
        <w:rPr>
          <w:color w:val="000000" w:themeColor="text1"/>
        </w:rPr>
        <w:t xml:space="preserve">, particularly in microbial functions associated with carbohydrates and protein fermentation </w:t>
      </w:r>
      <w:r>
        <w:rPr>
          <w:color w:val="000000" w:themeColor="text1"/>
          <w:lang w:val="es-CO"/>
        </w:rPr>
        <w:fldChar w:fldCharType="begin" w:fldLock="1"/>
      </w:r>
      <w:r w:rsidR="006465A0">
        <w:rPr>
          <w:color w:val="000000" w:themeColor="text1"/>
        </w:rPr>
        <w:instrText>ADDIN CSL_CITATION {"citationItems":[{"id":"ITEM-1","itemData":{"DOI":"10.1038/nature12820","ISSN":"00280836","PMID":"24336217","abstract":"Long-term dietary intake influences the structure and activity of the trillions of microorganisms residing in the human gut, but it remains unclear how rapidly and reproducibly the human gut microbiome responds to short-term macronutrient change. Here we show that the short-term consumption of diets composed entirely of animal or plant products alters microbial community structure and overwhelms inter-individual differences in microbial gene expression. The animal-based diet increased the abundance of bile-tolerant microorganisms (Alistipes, Bilophila and Bacteroides) and decreased the levels of Firmicutes that metabolize dietary plant polysaccharides (Roseburia, Eubacterium rectale and Ruminococcus bromii). Microbial activity mirrored differences between herbivorous and carnivorous mammals, reflecting trade-offs between carbohydrate and protein fermentation. Foodborne microbes from both diets transiently colonized the gut, including bacteria, fungi and even viruses. Finally, increases in the abundance and activity of Bilophila wadsworthia on the animal-based diet support a link between dietary fat, bile acids and the outgrowth of microorganisms capable of triggering inflammatory bowel disease. In concert, these results demonstrate that the gut microbiome can rapidly respond to altered diet, potentially facilitating the diversity of human dietary lifestyles. © 2014 Macmillan Publishers Limited. All rights reserved.","author":[{"dropping-particle":"","family":"David","given":"Lawrence A.","non-dropping-particle":"","parse-names":false,"suffix":""},{"dropping-particle":"","family":"Maurice","given":"Corinne F.","non-dropping-particle":"","parse-names":false,"suffix":""},{"dropping-particle":"","family":"Carmody","given":"Rachel N.","non-dropping-particle":"","parse-names":false,"suffix":""},{"dropping-particle":"","family":"Gootenberg","given":"David B.","non-dropping-particle":"","parse-names":false,"suffix":""},{"dropping-particle":"","family":"Button","given":"Julie E.","non-dropping-particle":"","parse-names":false,"suffix":""},{"dropping-particle":"","family":"Wolfe","given":"Benjamin E.","non-dropping-particle":"","parse-names":false,"suffix":""},{"dropping-particle":"V.","family":"Ling","given":"Alisha","non-dropping-particle":"","parse-names":false,"suffix":""},{"dropping-particle":"","family":"Devlin","given":"A. Sloan","non-dropping-particle":"","parse-names":false,"suffix":""},{"dropping-particle":"","family":"Varma","given":"Yug","non-dropping-particle":"","parse-names":false,"suffix":""},{"dropping-particle":"","family":"Fischbach","given":"Michael A.","non-dropping-particle":"","parse-names":false,"suffix":""},{"dropping-particle":"","family":"Biddinger","given":"Sudha B.","non-dropping-particle":"","parse-names":false,"suffix":""},{"dropping-particle":"","family":"Dutton","given":"Rachel J.","non-dropping-particle":"","parse-names":false,"suffix":""},{"dropping-particle":"","family":"Turnbaugh","given":"Peter J.","non-dropping-particle":"","parse-names":false,"suffix":""}],"container-title":"Nature","id":"ITEM-1","issue":"7484","issued":{"date-parts":[["2014"]]},"page":"559-563","publisher":"Nature","title":"Diet rapidly and reproducibly alters the human gut microbiome","type":"article-journal","volume":"505"},"uris":["http://www.mendeley.com/documents/?uuid=2c4cb294-cb5e-3389-93ec-47dccdf6b950"]}],"mendeley":{"formattedCitation":"[47]","plainTextFormattedCitation":"[47]","previouslyFormattedCitation":"[47]"},"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[47]</w:t>
      </w:r>
      <w:r>
        <w:rPr>
          <w:color w:val="000000" w:themeColor="text1"/>
          <w:lang w:val="es-CO"/>
        </w:rPr>
        <w:fldChar w:fldCharType="end"/>
      </w:r>
      <w:r>
        <w:rPr>
          <w:color w:val="000000" w:themeColor="text1"/>
        </w:rPr>
        <w:t xml:space="preserve">. Mice fed  a diet high in saturated milk-derived fat, imitating a “western diet”, not only exhibited a microbial community with an increased proportion of Bacteroidetes and decreased in Firmicutes, but promoted the bloom of a minor pathobiont </w:t>
      </w:r>
      <w:r>
        <w:rPr>
          <w:color w:val="000000" w:themeColor="text1"/>
        </w:rPr>
        <w:lastRenderedPageBreak/>
        <w:t>component of the gut microbiota (</w:t>
      </w:r>
      <w:r>
        <w:rPr>
          <w:i/>
          <w:iCs/>
          <w:color w:val="000000" w:themeColor="text1"/>
        </w:rPr>
        <w:t>Bilophila wadsworthia</w:t>
      </w:r>
      <w:r>
        <w:rPr>
          <w:color w:val="000000" w:themeColor="text1"/>
        </w:rPr>
        <w:t>), which promoted a Th1-mediated immune response and the development of colitis in IL-10 deficient mice</w:t>
      </w:r>
      <w:r w:rsidR="00A649F0">
        <w:rPr>
          <w:color w:val="000000" w:themeColor="text1"/>
        </w:rPr>
        <w:t xml:space="preserve"> (IL-10</w:t>
      </w:r>
      <w:r w:rsidR="00A649F0">
        <w:rPr>
          <w:color w:val="000000" w:themeColor="text1"/>
          <w:vertAlign w:val="superscript"/>
        </w:rPr>
        <w:t>-/-</w:t>
      </w:r>
      <w:r w:rsidR="00A649F0">
        <w:rPr>
          <w:color w:val="000000" w:themeColor="text1"/>
        </w:rPr>
        <w:t>)</w:t>
      </w:r>
      <w:r>
        <w:rPr>
          <w:color w:val="000000" w:themeColor="text1"/>
        </w:rPr>
        <w:t xml:space="preserve"> </w:t>
      </w:r>
      <w:r>
        <w:rPr>
          <w:color w:val="000000" w:themeColor="text1"/>
          <w:lang w:val="es-CO"/>
        </w:rPr>
        <w:fldChar w:fldCharType="begin" w:fldLock="1"/>
      </w:r>
      <w:r w:rsidR="006465A0">
        <w:rPr>
          <w:color w:val="000000" w:themeColor="text1"/>
        </w:rPr>
        <w:instrText>ADDIN CSL_CITATION {"citationItems":[{"id":"ITEM-1","itemData":{"DOI":"10.1159/000371687","ISSN":"14219875","PMID":"26045269","abstract":"The composite human gut microbiomes of Western populations have changed over the past century, brought on by new environmental triggers that often have a negative impact on human health. Diets high in saturated fats and refined sugars and low in fiber are leading candidates for these events and for triggering the increased prevalence of immune-mediated diseases like inflammatory bowel disease (IBD). Our studies have shown that consumption of a 'Western' diet high in saturated (milk-derived) fat (MF) or n-6 polyunsaturated (safflower oil) fat have similar effects on the structure of the colonic microbiome of wild-type and IL- 10-/- mice, characterized by increased Bacteroidetes and decreased Firmicutes. However, the MF diet uniquely promotes the expansion of an immunogenic sulfite-reducing pathobiont, Bilophila wadsworthia, a member of the Deltaproteobacteria and minor component of the gut microbiome. This bacterial bloom results from a MF diet-induced shift in hepatic conjugation of bile acids, from glycocholic to taurocholic (TC) acid, which is important for solubilizing the more hydrophobic MF diet. However, it is also responsible for delivery of taurine-derived sulfur to the distal bowel, promoting the assemblage of bile-tolerant microbes such as B. wadsworthia. The bloom of this species promotes a Th1-mediated immune response and the development of colitis in IL-10-/- mice. A similar bloom of B. wadsworthia is seen when IL-10-/- mice are fed a low-fat diet supplemented with TC. B. wadsworthia colonization of monoassociated germ-free IL-10-/- mice was dependent on the host consuming either a high-saturated MF diet or the gavage with TC. Together, these data provide a plausible explanation for the link between diseases such as IBD and dietary-mediated selection of gut microbial pathobionts in genetically susceptible hosts. With this knowledge, it may be possible to mitigate the bloom of these types of pathobionts by modifying the conjugation states of bile acids.","author":[{"dropping-particle":"","family":"Devkota","given":"Suzanne","non-dropping-particle":"","parse-names":false,"suffix":""},{"dropping-particle":"","family":"Chang","given":"Eugene B.","non-dropping-particle":"","parse-names":false,"suffix":""}],"container-title":"Digestive Diseases","id":"ITEM-1","issue":"3","issued":{"date-parts":[["2015","6","9"]]},"page":"351-356","publisher":"S. Karger AG","title":"Interactions between diet, bile acid metabolism, gut microbiota, and inflammatory bowel diseases","type":"paper-conference","volume":"33"},"uris":["http://www.mendeley.com/documents/?uuid=e31b16cd-77de-3288-877c-c93cbf2570d4"]}],"mendeley":{"formattedCitation":"[48]","plainTextFormattedCitation":"[48]","previouslyFormattedCitation":"[48]"},"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[48]</w:t>
      </w:r>
      <w:r>
        <w:rPr>
          <w:color w:val="000000" w:themeColor="text1"/>
          <w:lang w:val="es-CO"/>
        </w:rPr>
        <w:fldChar w:fldCharType="end"/>
      </w:r>
      <w:r>
        <w:rPr>
          <w:color w:val="000000" w:themeColor="text1"/>
        </w:rPr>
        <w:t xml:space="preserve">. Low fruit and vegetable intake, and high consumption of total protein, fat, and refined sugar are more common among IBD patients </w:t>
      </w:r>
      <w:r>
        <w:rPr>
          <w:color w:val="000000" w:themeColor="text1"/>
          <w:lang w:val="es-CO"/>
        </w:rPr>
        <w:fldChar w:fldCharType="begin" w:fldLock="1"/>
      </w:r>
      <w:r w:rsidR="006465A0">
        <w:rPr>
          <w:color w:val="000000" w:themeColor="text1"/>
        </w:rPr>
        <w:instrText>ADDIN CSL_CITATION {"citationItems":[{"id":"ITEM-1","itemData":{"DOI":"10.1080/1040841X.2021.1876631","ISSN":"15497828","PMID":"33576711","abstract":"Human gut microbiota contributes to host nutrition and metabolism, sustains intestinal cell proliferation and differentiation, and modulates host immune system. The alterations in their composition lead to severe gut disorders, including inflammatory bowel disease (IBD) or inflammatory bowel syndrome (IBS). IBD including ulcerative colitis (UC) and Crohn’s disease (CD) are gamut of chronic inflammatory disorders of gut, mediated by complex interrelations among genetic, environmental, and internal factors. IBD has debateable aetiology, however in recent years, exploring the central role of a tri-directional relationship between gut microbiota, mucosal immune system, and intestinal epithelium in pathogenesis is getting the most attention. Increasing incidences and early onset explains the exponential rise in IBD burden on health-care systems. Industrialization, hypersensitivity to allergens, lifestyle, hygiene hypothesis, loss of intestinal worms, and gut microbial composition, explains this shifted rise. Hitherto, the interventions modulating gut microbiota composition, microfluidics-based in vitro gastrointestinal models, non-allergic functional foods, nutraceuticals, and faecal microbiota transplantation (FMT) from healthy donors are some of the futuristic approaches for the disease management.","author":[{"dropping-particle":"","family":"Ahlawat","given":"Shruti","non-dropping-particle":"","parse-names":false,"suffix":""},{"dropping-particle":"","family":"Kumar","given":"Pramod","non-dropping-particle":"","parse-names":false,"suffix":""},{"dropping-particle":"","family":"Mohan","given":"Hari","non-dropping-particle":"","parse-names":false,"suffix":""},{"dropping-particle":"","family":"Goyal","given":"Sandeep","non-dropping-particle":"","parse-names":false,"suffix":""},{"dropping-particle":"","family":"Sharma","given":"Krishna Kant","non-dropping-particle":"","parse-names":false,"suffix":""}],"container-title":"Critical Reviews in Microbiology","id":"ITEM-1","issue":"2","issued":{"date-parts":[["2021"]]},"page":"254-273","publisher":"Taylor and Francis Ltd.","title":"Inflammatory bowel disease: tri-directional relationship between microbiota, immune system and intestinal epithelium","type":"article","volume":"47"},"uris":["http://www.mendeley.com/documents/?uuid=c2ffcaf1-bd92-3eb6-bf3c-34c83d553ab2"]},{"id":"ITEM-2","itemData":{"abstract":"Ulcerative colitis (UC), a subcategory of inflammatory bowel disease, afflicts 1-2 million people in the United States, and many more worldwide. Although the exact cause of ulcerative colitis remains undetermined, the condition appears to be related to a combination of genetic and environmental factors. While conventional treatments can be effective in maintaining remission and decreasing the length of active disease periods, the treatments are not without side effects, and a significant number of people suffering from UC fail to respond to even the strongest drugs. This article reviews potential unconventional treatments-transdermal nicotine, heparin, melatonin, DHEA, probiotics, fiber, dietary changes, botanicals, essential fatty acids, and other nutrients-that may be considered in conjunction with conventional approaches or as part of a comprehensive alternative treatment protocol. In addition this review addresses risk factors, pathogenesis, nutrient deficiencies, conventional treatment approaches, and extra-intestinal manifestations of the disease. (Altern Med Rev 2003;8(3):247-283)","author":[{"dropping-particle":"","family":"Head","given":"Kathleen","non-dropping-particle":"","parse-names":false,"suffix":""},{"dropping-particle":"","family":"Jurenka","given":"Julie","non-dropping-particle":"","parse-names":false,"suffix":""}],"container-title":"Alternative Medicine","id":"ITEM-2","issue":"3","issued":{"date-parts":[["2003"]]},"page":"247-283","title":"Inflammatory bowel disease part I: Ulcerative Colitis - pathophysiology and conventional and alternative treatment options","type":"article-journal","volume":"8"},"uris":["http://www.mendeley.com/documents/?uuid=f9cea954-2aa4-35d9-bda1-0a7703efb528"]}],"mendeley":{"formattedCitation":"[18,24]","plainTextFormattedCitation":"[18,24]","previouslyFormattedCitation":"[18,24]"},"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[18,24]</w:t>
      </w:r>
      <w:r>
        <w:rPr>
          <w:color w:val="000000" w:themeColor="text1"/>
          <w:lang w:val="es-CO"/>
        </w:rPr>
        <w:fldChar w:fldCharType="end"/>
      </w:r>
      <w:r>
        <w:rPr>
          <w:color w:val="000000" w:themeColor="text1"/>
        </w:rPr>
        <w:t xml:space="preserve">. </w:t>
      </w:r>
    </w:p>
    <w:p w14:paraId="5613D0A5" w14:textId="28A1714B" w:rsidR="00943C22" w:rsidRDefault="00943C22" w:rsidP="00DD0AC8">
      <w:pPr>
        <w:spacing w:line="480" w:lineRule="auto"/>
        <w:ind w:firstLine="720"/>
        <w:rPr>
          <w:color w:val="000000" w:themeColor="text1"/>
        </w:rPr>
      </w:pPr>
      <w:r>
        <w:rPr>
          <w:color w:val="000000" w:themeColor="text1"/>
        </w:rPr>
        <w:t xml:space="preserve">Epidemiological studies demonstrate a higher prevalence of IBD in developed nations, and an accelerated growing incidence in developing countries acquiring a westernized culture </w:t>
      </w:r>
      <w:r>
        <w:rPr>
          <w:color w:val="000000" w:themeColor="text1"/>
          <w:lang w:val="es-CO"/>
        </w:rPr>
        <w:fldChar w:fldCharType="begin" w:fldLock="1"/>
      </w:r>
      <w:r w:rsidR="006465A0">
        <w:rPr>
          <w:color w:val="000000" w:themeColor="text1"/>
        </w:rPr>
        <w:instrText>ADDIN CSL_CITATION {"citationItems":[{"id":"ITEM-1","itemData":{"DOI":"10.1016/S0140-6736(17)32448-0","ISSN":"1474547X","PMID":"29050646","abstract":"Background Inflammatory bowel disease is a global disease in the 21st century. We aimed to assess the changing incidence and prevalence of inflammatory bowel disease around the world. Methods We searched MEDLINE and Embase up to and including Dec 31, 2016, to identify observational, population-based studies reporting the incidence or prevalence of Crohn's disease or ulcerative colitis from 1990 or later. A study was regarded as population-based if it involved all residents within a specific area and the patients were representative of that area. To be included in the systematic review, ulcerative colitis and Crohn's disease needed to be reported separately. Studies that did not report original data and studies that reported only the incidence or prevalence of paediatric-onset inflammatory bowel disease (diagnosis at age &lt;16 years) were excluded. We created choropleth maps for the incidence (119 studies) and prevalence (69 studies) of Crohn's disease and ulcerative colitis. We used temporal trend analyses to report changes as an annual percentage change (APC) with 95% CI. Findings We identified 147 studies that were eligible for final inclusion in the systematic review, including 119 studies of incidence and 69 studies of prevalence. The highest reported prevalence values were in Europe (ulcerative colitis 505 per 100 000 in Norway; Crohn's disease 322 per 100 000 in Germany) and North America (ulcerative colitis 286 per 100 000 in the USA; Crohn's disease 319 per 100 000 in Canada). The prevalence of inflammatory bowel disease exceeded 0·3% in North America, Oceania, and many countries in Europe. Overall, 16 (72·7%) of 22 studies on Crohn's disease and 15 (83·3%) of 18 studies on ulcerative colitis reported stable or decreasing incidence of inflammatory bowel disease in North America and Europe. Since 1990, incidence has been rising in newly industrialised countries in Africa, Asia, and South America, including Brazil (APC for Crohn's disease +11·1% [95% CI 4·8–17·8] and APC for ulcerative colitis +14·9% [10·4–19·6]) and Taiwan (APC for Crohn's disease +4·0% [1·0–7·1] and APC for ulcerative colitis +4·8% [1·8–8·0]). Interpretation At the turn of the 21st century, inflammatory bowel disease has become a global disease with accelerating incidence in newly industrialised countries whose societies have become more westernised. Although incidence is stabilising in western countries, burden remains high as prevalence surpasses 0·3%. These data highlight the n…","author":[{"dropping-particle":"","family":"Ng","given":"Siew C.","non-dropping-particle":"","parse-names":false,"suffix":""},{"dropping-particle":"","family":"Shi","given":"Hai Yun","non-dropping-particle":"","parse-names":false,"suffix":""},{"dropping-particle":"","family":"Hamidi","given":"Nima","non-dropping-particle":"","parse-names":false,"suffix":""},{"dropping-particle":"","family":"Underwood","given":"Fox E.","non-dropping-particle":"","parse-names":false,"suffix":""},{"dropping-particle":"","family":"Tang","given":"Whitney","non-dropping-particle":"","parse-names":false,"suffix":""},{"dropping-particle":"","family":"Benchimol","given":"Eric I.","non-dropping-particle":"","parse-names":false,"suffix":""},{"dropping-particle":"","family":"Panaccione","given":"Remo","non-dropping-particle":"","parse-names":false,"suffix":""},{"dropping-particle":"","family":"Ghosh","given":"Subrata","non-dropping-particle":"","parse-names":false,"suffix":""},{"dropping-particle":"","family":"Wu","given":"Justin C.Y.","non-dropping-particle":"","parse-names":false,"suffix":""},{"dropping-particle":"","family":"Chan","given":"Francis K.L.","non-dropping-particle":"","parse-names":false,"suffix":""},{"dropping-particle":"","family":"Sung","given":"Joseph J.Y.","non-dropping-particle":"","parse-names":false,"suffix":""},{"dropping-particle":"","family":"Kaplan","given":"Gilaad G.","non-dropping-particle":"","parse-names":false,"suffix":""}],"container-title":"The Lancet","id":"ITEM-1","issue":"10114","issued":{"date-parts":[["2017","12","23"]]},"page":"2769-2778","publisher":"Lancet Publishing Group","title":"Worldwide incidence and prevalence of inflammatory bowel disease in the 21st century: a systematic review of population-based studies","type":"article-journal","volume":"390"},"uris":["http://www.mendeley.com/documents/?uuid=b360467c-ff82-39f2-91e4-0600ff5d5767"]}],"mendeley":{"formattedCitation":"[7]","plainTextFormattedCitation":"[7]","previouslyFormattedCitation":"[7]"},"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[7]</w:t>
      </w:r>
      <w:r>
        <w:rPr>
          <w:color w:val="000000" w:themeColor="text1"/>
          <w:lang w:val="es-CO"/>
        </w:rPr>
        <w:fldChar w:fldCharType="end"/>
      </w:r>
      <w:r>
        <w:rPr>
          <w:color w:val="000000" w:themeColor="text1"/>
        </w:rPr>
        <w:t xml:space="preserve">. Western diet is high in fat and refined carbohydrates, low in fiber and plant polysaccharides, and incorporates a large proportion of animal-derived foods as a source of protein, while in contrast, the Asian diet is mainly plant-based, with soybean serving as one of the main ingredients </w:t>
      </w:r>
      <w:r>
        <w:rPr>
          <w:color w:val="000000" w:themeColor="text1"/>
          <w:lang w:val="es-CO"/>
        </w:rPr>
        <w:fldChar w:fldCharType="begin" w:fldLock="1"/>
      </w:r>
      <w:r w:rsidR="006465A0">
        <w:rPr>
          <w:color w:val="000000" w:themeColor="text1"/>
        </w:rPr>
        <w:instrText>ADDIN CSL_CITATION {"citationItems":[{"id":"ITEM-1","itemData":{"DOI":"10.1016/j.humic.2018.01.001","ISSN":"24522317","abstract":"The gut microbiota is an ecosystem including all bacterial species that permanently colonize the gastro intestinal tract and a large number of other microorganisms from the environment. These millions of microorganisms may be unbalanced by a number of external and internal factors. The aim of this review is to summarize recent findings on animal and human studies on the effect of dietary and geographical provenance on gut microbiota-composition. It includes results on the influence of dietary products, type of diet (e.g. vegetarian and omnivorous subgroups), and geographic areas, as well as differences between populations within the same area. In animal models, most results showed contradictory effects on modulation of the intestinal microbiota within the same phylum, while in human studies, dietary products, such as fat, are often reported as being associated with an increase in Bacteroidetes and Actinobacteria species and a decrease in those in the Firmicutes and Proteobacteria phylum. The results of different studies showed that the omnivorous group has a higher diversity of bacteria compared to vegetarians. Gut microbiota composition differs widely between different areas and between different ethnic groups within the same area. However, a higher diversity of bacteria species was encountered in the African population. The conclusions highlight that gut microbiota composition differs according to diet and eating habits which are closely correlated to geographical location suggesting therefore, the need for more in-depth research, looking at ethnic diversity and eating habits.","author":[{"dropping-particle":"","family":"Senghor","given":"Bruno","non-dropping-particle":"","parse-names":false,"suffix":""},{"dropping-particle":"","family":"Sokhna","given":"Cheikh","non-dropping-particle":"","parse-names":false,"suffix":""},{"dropping-particle":"","family":"Ruimy","given":"Raymond","non-dropping-particle":"","parse-names":false,"suffix":""},{"dropping-particle":"","family":"Lagier","given":"Jean Christophe","non-dropping-particle":"","parse-names":false,"suffix":""}],"container-title":"Human Microbiome Journal","id":"ITEM-1","issued":{"date-parts":[["2018","4","1"]]},"page":"1-9","publisher":"Elsevier Ltd","title":"Gut microbiota diversity according to dietary habits and geographical provenance","type":"article","volume":"7-8"},"uris":["http://www.mendeley.com/documents/?uuid=83405ad6-19be-33c5-8de3-f4f8a438e8a5"]}],"mendeley":{"formattedCitation":"[49]","plainTextFormattedCitation":"[49]","previouslyFormattedCitation":"[49]"},"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[49]</w:t>
      </w:r>
      <w:r>
        <w:rPr>
          <w:color w:val="000000" w:themeColor="text1"/>
          <w:lang w:val="es-CO"/>
        </w:rPr>
        <w:fldChar w:fldCharType="end"/>
      </w:r>
      <w:r>
        <w:rPr>
          <w:color w:val="000000" w:themeColor="text1"/>
        </w:rPr>
        <w:t xml:space="preserve">. Soybean and soy-derived compounds such as saponins, phytosterols, phosphatidylcholine, lectin, isoflavones, proteins, and peptides have received increasing attention over the last decades due to the plethora of bioactive properties that have been identified </w:t>
      </w:r>
      <w:r>
        <w:rPr>
          <w:color w:val="000000" w:themeColor="text1"/>
          <w:lang w:val="es-CO"/>
        </w:rPr>
        <w:fldChar w:fldCharType="begin" w:fldLock="1"/>
      </w:r>
      <w:r w:rsidR="006465A0">
        <w:rPr>
          <w:color w:val="000000" w:themeColor="text1"/>
        </w:rPr>
        <w:instrText>ADDIN CSL_CITATION {"citationItems":[{"id":"ITEM-1","itemData":{"DOI":"10.3390/nu10010043","ISSN":"20726643","PMID":"29304010","abstract":"Soy is a basic food ingredient of traditional Asian cuisine used for thousands of years. In Western countries, soybeans have been introduced about a hundred years ago and recently they are mainly used for surrogate foods production. Soy and soy foods are common nutritional solutions for vegetarians, due to their high protein content and versatility in the production of meat analogues and milk substitutes. However, there are some doubts about the potential effects on health, such as the effectiveness on cardiovascular risk reduction or, conversely, on the possible disruption of thyroid function and sexual hormones. The soy components that have stimulated the most research interest are isoflavones, which are polyphenols with estrogenic properties highly contained in soybeans. In this review, we discuss the characteristics of soy and soy foods, focusing on their nutrient content, including phytoestrogens and other bioactive substances that are noteworthy for vegetarians, the largest soy consumers in the Western countries. The safety of use will also be discussed, given the growing trend in adoption of vegetarian styles and the new soy-based foods availability.","author":[{"dropping-particle":"","family":"Rizzo","given":"Gianluca","non-dropping-particle":"","parse-names":false,"suffix":""},{"dropping-particle":"","family":"Baroni","given":"Luciana","non-dropping-particle":"","parse-names":false,"suffix":""}],"container-title":"Nutrients","id":"ITEM-1","issue":"1","issued":{"date-parts":[["2018","1","5"]]},"page":"43","publisher":"MDPI AG","title":"Soy, soy foods and their role in vegetarian diets","type":"article","volume":"10"},"uris":["http://www.mendeley.com/documents/?uuid=174260ce-ce72-3cd7-a81f-3361f16cb13b"]}],"mendeley":{"formattedCitation":"[50]","plainTextFormattedCitation":"[50]","previouslyFormattedCitation":"[50]"},"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[50]</w:t>
      </w:r>
      <w:r>
        <w:rPr>
          <w:color w:val="000000" w:themeColor="text1"/>
          <w:lang w:val="es-CO"/>
        </w:rPr>
        <w:fldChar w:fldCharType="end"/>
      </w:r>
      <w:r>
        <w:rPr>
          <w:color w:val="000000" w:themeColor="text1"/>
        </w:rPr>
        <w:t xml:space="preserve">, particularly after the FDA authorized a health claim about the reduction of coronary diseases linked to a soy protein consumption of 25 g per day </w:t>
      </w:r>
      <w:r>
        <w:rPr>
          <w:color w:val="000000" w:themeColor="text1"/>
          <w:lang w:val="es-CO"/>
        </w:rPr>
        <w:fldChar w:fldCharType="begin" w:fldLock="1"/>
      </w:r>
      <w:r w:rsidR="006465A0">
        <w:rPr>
          <w:color w:val="000000" w:themeColor="text1"/>
        </w:rPr>
        <w:instrText>ADDIN CSL_CITATION {"citationItems":[{"id":"ITEM-1","itemData":{"DOI":"10.3390/nu10010043","ISSN":"20726643","PMID":"29304010","abstract":"Soy is a basic food ingredient of traditional Asian cuisine used for thousands of years. In Western countries, soybeans have been introduced about a hundred years ago and recently they are mainly used for surrogate foods production. Soy and soy foods are common nutritional solutions for vegetarians, due to their high protein content and versatility in the production of meat analogues and milk substitutes. However, there are some doubts about the potential effects on health, such as the effectiveness on cardiovascular risk reduction or, conversely, on the possible disruption of thyroid function and sexual hormones. The soy components that have stimulated the most research interest are isoflavones, which are polyphenols with estrogenic properties highly contained in soybeans. In this review, we discuss the characteristics of soy and soy foods, focusing on their nutrient content, including phytoestrogens and other bioactive substances that are noteworthy for vegetarians, the largest soy consumers in the Western countries. The safety of use will also be discussed, given the growing trend in adoption of vegetarian styles and the new soy-based foods availability.","author":[{"dropping-particle":"","family":"Rizzo","given":"Gianluca","non-dropping-particle":"","parse-names":false,"suffix":""},{"dropping-particle":"","family":"Baroni","given":"Luciana","non-dropping-particle":"","parse-names":false,"suffix":""}],"container-title":"Nutrients","id":"ITEM-1","issue":"1","issued":{"date-parts":[["2018","1","5"]]},"page":"43","publisher":"MDPI AG","title":"Soy, soy foods and their role in vegetarian diets","type":"article","volume":"10"},"uris":["http://www.mendeley.com/documents/?uuid=174260ce-ce72-3cd7-a81f-3361f16cb13b"]}],"mendeley":{"formattedCitation":"[50]","plainTextFormattedCitation":"[50]","previouslyFormattedCitation":"[50]"},"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[50]</w:t>
      </w:r>
      <w:r>
        <w:rPr>
          <w:color w:val="000000" w:themeColor="text1"/>
          <w:lang w:val="es-CO"/>
        </w:rPr>
        <w:fldChar w:fldCharType="end"/>
      </w:r>
      <w:r>
        <w:rPr>
          <w:color w:val="000000" w:themeColor="text1"/>
        </w:rPr>
        <w:t xml:space="preserve">. A recent study revealed that replacement of animal protein by soy-pea protein in an “American diet” reduced the severity of experimental IBD in animal models, and had a better impact than replacing refined carbohydrates with polysaccharides, or changing the polyunsaturated fatty acids ratio </w:t>
      </w:r>
      <w:r>
        <w:rPr>
          <w:color w:val="000000" w:themeColor="text1"/>
          <w:lang w:val="es-CO"/>
        </w:rPr>
        <w:fldChar w:fldCharType="begin" w:fldLock="1"/>
      </w:r>
      <w:r w:rsidR="006465A0">
        <w:rPr>
          <w:color w:val="000000" w:themeColor="text1"/>
        </w:rPr>
        <w:instrText xml:space="preserve">ADDIN CSL_CITATION {"citationItems":[{"id":"ITEM-1","itemData":{"DOI":"10.1093/jn/nxaa386","ISSN":"15416100","PMID":"33484150","abstract":"BACKGROUND: The current nutritional composition of the \"American diet\" (AD; also known as Western diet) has been linked to the increasing incidence of chronic diseases, including inflammatory bowel disease (IBD), namely Crohn disease (CD). OBJECTIVES: This study investigated which of the 3 major macronutrients (protein, fat, carbohydrates) in the AD has the greatest impact on preventing chronic inflammation in experimental IBD mouse models. METHODS: We compared 5 rodent diets designed to mirror the 2011-2012 \"What We Eat in America\" NHANES. Each diet had 1 macronutrient dietary source replaced. The formulated diets were AD, AD-soy-pea (animal protein replaced by soy + pea protein), AD-CHO (\"refined carbohydrate\" by polysaccharides), AD-fat [redistribution of the ω-6:ω-3 (n-6:n-3) PUFA ratio; </w:instrText>
      </w:r>
      <w:r w:rsidR="006465A0">
        <w:rPr>
          <w:rFonts w:ascii="Cambria Math" w:hAnsi="Cambria Math" w:cs="Cambria Math"/>
          <w:color w:val="000000" w:themeColor="text1"/>
        </w:rPr>
        <w:instrText>∼</w:instrText>
      </w:r>
      <w:r w:rsidR="006465A0">
        <w:rPr>
          <w:color w:val="000000" w:themeColor="text1"/>
        </w:rPr>
        <w:instrText>10:1 to 1:1], and AD-mix (all 3 \"healthier\" macronutrients combined). In 3 separate experiments, 8-wk-old germ-free SAMP1/YitFC mice (SAMP) colonized with human gut microbiota (\"hGF-SAMP\") from CD or healthy donors were fed an AD, an AD-\"modified,\" or laboratory rodent diet for 24 wk. Two subsequent dextran sodium sulfate-colitis experiments in hGF-SAMP (12-wk-old) and specific-pathogen-free (SPF) C57BL/6 (20-wk-old) mice, and a 6-wk feeding trial in 24-wk-old SPF SAMP were performed. Intestinal inflammation, gut metagenomics, and MS profiles were assessed. RESULTS: The AD-soy-pea diet resulted in lower histology scores [mean ± SD (56.1% ± 20.7% reduction)] in all feeding trials and IBD mouse models than did other diets (P &lt; 0.05). Compared with the AD, the AD-soy-pea correlated with increased abundance in Lactobacillaceae and Leuconostraceae (1.5-4.7 log2 and 3.0-5.1 log2 difference, respectively), glutamine (6.5 ± 0.8 compared with 3.9 ± 0.3 ng/μg stool, P = 0.0005) and butyric acid (4:0; 3.3 ± 0.5 compared with 2.54 ± 0.4 ng/μg stool, P = 0.006) concentrations, and decreased linoleic acid (18:2n-6; 5.4 ± 0.4 compared with 8.6 ± 0.3 ng/μL plasma, P = 0.01). CONCLUSIONS: Replacement of animal protein in an AD by plant-based sources reduced the severity of experimental IBD in all mouse models studied, suggesting that similar, feasible adjustments to the daily human diet could help control/prevent IBD in humans.","author":[{"dropping-particle":"","family":"Raffner Basson","given":"Abigail","non-dropping-particle":"","parse-names":false,"suffix":""},{"dropping-particle":"","family":"Gomez-Nguyen","given":"Adrian","non-dropping-particle":"","parse-names":false,"suffix":""},{"dropping-particle":"","family":"LaSalla","given":"Alexandria","non-dropping-particle":"","parse-names":false,"suffix":""},{"dropping-particle":"","family":"Buttó","given":"Ludovica","non-dropping-particle":"","parse-names":false,"suffix":""},{"dropping-particle":"","family":"Kulpins","given":"Danielle","non-dropping-particle":"","parse-names":false,"suffix":""},{"dropping-particle":"","family":"Warner","given":"Alexandra","non-dropping-particle":"","parse-names":false,"suffix":""},{"dropping-particle":"","family":"Martino","given":"Luca","non-dropping-particle":"Di","parse-names":false,"suffix":""},{"dropping-particle":"","family":"Ponzani","given":"Gina","non-dropping-particle":"","parse-names":false,"suffix":""},{"dropping-particle":"","family":"Osme","given":"Abdullah","non-dropping-particle":"","parse-names":false,"suffix":""},{"dropping-particle":"","family":"Rodriguez-Palacios","given":"Alexander","non-dropping-particle":"","parse-names":false,"suffix":""},{"dropping-particle":"","family":"Cominelli","given":"Fabio","non-dropping-particle":"","parse-names":false,"suffix":""}],"container-title":"The Journal of nutrition","id":"ITEM-1","issue":"3","issued":{"date-parts":[["2021","3","11"]]},"page":"579-590","publisher":"NLM (Medline)","title":"Replacing Animal Protein with Soy-Pea Protein in an \"American Diet\" Controls Murine Crohn Disease-Like Ileitis Regardless of Firmicutes: Bacteroidetes Ratio","type":"article-journal","volume":"151"},"uris":["http://www.mendeley.com/documents/?uuid=12138eef-595c-3d25-9a9f-c1b9ddf8be0c"]}],"mendeley":{"formattedCitation":"[51]","plainTextFormattedCitation":"[51]","previouslyFormattedCitation":"[51]"},"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[51]</w:t>
      </w:r>
      <w:r>
        <w:rPr>
          <w:color w:val="000000" w:themeColor="text1"/>
          <w:lang w:val="es-CO"/>
        </w:rPr>
        <w:fldChar w:fldCharType="end"/>
      </w:r>
      <w:r>
        <w:rPr>
          <w:color w:val="000000" w:themeColor="text1"/>
        </w:rPr>
        <w:t xml:space="preserve">. In similar approaches, reviewed by Juritsch and Moreau, animal models of IBD have shown improvement in histological changes and pro-inflammatory markers when using soy protein concentrates, or </w:t>
      </w:r>
      <w:r>
        <w:rPr>
          <w:color w:val="000000" w:themeColor="text1"/>
        </w:rPr>
        <w:lastRenderedPageBreak/>
        <w:t xml:space="preserve">soy as the only source of protein in the diet </w:t>
      </w:r>
      <w:r>
        <w:rPr>
          <w:color w:val="000000" w:themeColor="text1"/>
          <w:lang w:val="es-CO"/>
        </w:rPr>
        <w:fldChar w:fldCharType="begin" w:fldLock="1"/>
      </w:r>
      <w:r w:rsidR="006465A0">
        <w:rPr>
          <w:color w:val="000000" w:themeColor="text1"/>
        </w:rPr>
        <w:instrText>ADDIN CSL_CITATION {"citationItems":[{"id":"ITEM-1","itemData":{"DOI":"10.1093/nutrit/nuy021","ISSN":"17534887","PMID":"29800381","abstract":"Inflammatory bowel disease (IBD) is a chronic, inflammatory condition of the gastrointestinal tract. Patients with IBD present with debilitating symptoms that alter the quality of life and can develop into severe complications requiring surgery. Epidemiological evidence indicates Westernized societies have an elevated IBD burden when compared with Asian societies. Considering the stark contrast between the typical Western and Eastern dietary patterns, it is postulated that differences in food and lifestyle contribute to lower IBD incidence in Asian countries. Soybeans (Glycine max), which are consumed in high quantities and as various preparations in Eastern societies, contain a wealth of natural, biologically active compounds that include isoflavones, bioactive peptides, protease inhibitors, and phytosterols, among many others. These compounds have been shown to improve human health, and preclinical evidence suggests they have potential to improve the prognosis of IBD. This review summarizes the current state of evidence regarding the effects and the mechanisms of action of these soybean-derived bioactive compounds in experimental models of IBD.","author":[{"dropping-particle":"","family":"Juritsch","given":"Anthony F.","non-dropping-particle":"","parse-names":false,"suffix":""},{"dropping-particle":"","family":"Moreau","given":"Regis","non-dropping-particle":"","parse-names":false,"suffix":""}],"container-title":"Nutrition Reviews","id":"ITEM-1","issue":"8","issued":{"date-parts":[["2018","8","1"]]},"page":"618-638","publisher":"Oxford University Press","title":"Role of soybean-derived bioactive compounds in inflammatory bowel disease","type":"article-journal","volume":"76"},"uris":["http://www.mendeley.com/documents/?uuid=8e531aa5-9494-3209-9126-7552f94aa67d"]}],"mendeley":{"formattedCitation":"[52]","plainTextFormattedCitation":"[52]","previouslyFormattedCitation":"[52]"},"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[52]</w:t>
      </w:r>
      <w:r>
        <w:rPr>
          <w:color w:val="000000" w:themeColor="text1"/>
          <w:lang w:val="es-CO"/>
        </w:rPr>
        <w:fldChar w:fldCharType="end"/>
      </w:r>
      <w:r>
        <w:rPr>
          <w:color w:val="000000" w:themeColor="text1"/>
        </w:rPr>
        <w:t xml:space="preserve">. However, the incorporation of soybeans, soy-product, or soy protein in the diet needs careful consideration, as certain subsets of the population may suffer from an adverse reaction to soy components. For instance, soy is one of the triggers that contribute to food protein-induced enterocolitis syndrome, a non-IgE mediated food allergic disorder in infants </w:t>
      </w:r>
      <w:r>
        <w:rPr>
          <w:color w:val="000000" w:themeColor="text1"/>
        </w:rPr>
        <w:fldChar w:fldCharType="begin" w:fldLock="1"/>
      </w:r>
      <w:r w:rsidR="006465A0">
        <w:rPr>
          <w:color w:val="000000" w:themeColor="text1"/>
        </w:rPr>
        <w:instrText>ADDIN CSL_CITATION {"citationItems":[{"id":"ITEM-1","itemData":{"DOI":"10.1111/pai.13448","ISSN":"13993038","PMID":"33411386","abstract":"Background: Food protein-induced enterocolitis syndrome (FPIES) is a non–IgE-mediated food allergic disorder with a well-characterized phenotype, but limited understanding of factors associated with food cross-reactivity, severity and tolerance. Methods: A retrospective cohort study spanning 20 years on children with acute FPIES from a single paediatric tertiary centre in New South Wales, Australia, focusing on identifying food trigger co-associations and factors associated with reaction severity, multiple trigger FPIES and/or tolerance was performed. Results: A total of 168 individuals with 329 recorded FPIES episodes between 1997 and 2017 were included. 49% were male. The median age at first reaction was 5 months, and median age at diagnosis was 9 months. 73% experienced at least one severe FPIES reaction. Rice (45%), cow's milk (30%) and soya (13%) were the most common triggers. Rice or cow's milk FPIES was strongly associated with increased odds of having multiple trigger FPIES. The odds of having multiple food FPIES and severe reactions were slightly decreased with vaginal delivery. No factors were associated with increased risk of severe reactions. Infants with rice and grains FPIES outgrew their reactions at an earlier age, compared to those with fish FPIES. Conclusions: Rice remains the most common trigger in Australia with co-associations between rice/oats and cow's milk/soya observed. This suggests that taxonomically related foods may share similar protein structure and trigger similar mechanisms of antigen recognition. Vaginal delivery may have a mild protective effect on the development of multiple FPIES and severe reactions. No other features from birth or infant-feeding history influenced outcomes in FPIES.","author":[{"dropping-particle":"","family":"Lee","given":"Eric","non-dropping-particle":"","parse-names":false,"suffix":""},{"dropping-particle":"","family":"Barnes","given":"Elizabeth H.","non-dropping-particle":"","parse-names":false,"suffix":""},{"dropping-particle":"","family":"Mehr","given":"Sam","non-dropping-particle":"","parse-names":false,"suffix":""},{"dropping-particle":"","family":"Campbell","given":"Dianne E.","non-dropping-particle":"","parse-names":false,"suffix":""}],"container-title":"Pediatric Allergy and Immunology","id":"ITEM-1","issue":"4","issued":{"date-parts":[["2021","5","1"]]},"page":"742-749","publisher":"Blackwell Publishing Ltd","title":"An exploration of factors associated with food protein-induced enterocolitis syndrome: Birth, infant feeding and food triggers","type":"article-journal","volume":"32"},"uris":["http://www.mendeley.com/documents/?uuid=9022cbee-3e4f-3a2a-9360-c718b36b803e"]}],"mendeley":{"formattedCitation":"[53]","plainTextFormattedCitation":"[53]","previouslyFormattedCitation":"[53]"},"properties":{"noteIndex":0},"schema":"https://github.com/citation-style-language/schema/raw/master/csl-citation.json"}</w:instrText>
      </w:r>
      <w:r>
        <w:rPr>
          <w:color w:val="000000" w:themeColor="text1"/>
        </w:rPr>
        <w:fldChar w:fldCharType="separate"/>
      </w:r>
      <w:r w:rsidR="00BA0E53" w:rsidRPr="00BA0E53">
        <w:rPr>
          <w:noProof/>
          <w:color w:val="000000" w:themeColor="text1"/>
        </w:rPr>
        <w:t>[53]</w:t>
      </w:r>
      <w:r>
        <w:rPr>
          <w:color w:val="000000" w:themeColor="text1"/>
        </w:rPr>
        <w:fldChar w:fldCharType="end"/>
      </w:r>
      <w:r>
        <w:rPr>
          <w:color w:val="000000" w:themeColor="text1"/>
        </w:rPr>
        <w:t xml:space="preserve">. Soybean is officially recognized as one of the foods that account for most serious allergic reactions in the United States </w:t>
      </w:r>
      <w:r>
        <w:rPr>
          <w:color w:val="000000" w:themeColor="text1"/>
        </w:rPr>
        <w:fldChar w:fldCharType="begin" w:fldLock="1"/>
      </w:r>
      <w:r w:rsidR="006465A0">
        <w:rPr>
          <w:color w:val="000000" w:themeColor="text1"/>
        </w:rPr>
        <w:instrText>ADDIN CSL_CITATION {"citationItems":[{"id":"ITEM-1","itemData":{"URL":"https://www.fda.gov/food/food-allergensgluten-free-guidance-documents-regulatory-information/food-allergen-labeling-and-consumer-protection-act-2004-falcpa","accessed":{"date-parts":[["2021","6","11"]]},"author":[{"dropping-particle":"","family":"U.S. Food &amp; Drug Administration","given":"","non-dropping-particle":"","parse-names":false,"suffix":""}],"container-title":"Food Allergens/Gluten-Free Guidance Documents &amp; Regulatory Information","id":"ITEM-1","issued":{"date-parts":[["2004"]]},"title":"Food Allergen Labeling and Consumer Protection Act of 2004 (FALCPA)","type":"webpage"},"uris":["http://www.mendeley.com/documents/?uuid=27d79880-3a6f-3e5d-bfd0-cfa149218aa7"]},{"id":"ITEM-2","itemData":{"URL":"https://www.cdc.gov/healthyschools/foodallergies/","accessed":{"date-parts":[["2021","6","11"]]},"author":[{"dropping-particle":"","family":"Centers for Disease Control and Prevention","given":"","non-dropping-particle":"","parse-names":false,"suffix":""}],"container-title":"Division of Population Health, National Center for Chronic Disease Prevention and Health Promotion","id":"ITEM-2","issued":{"date-parts":[["2020"]]},"title":"Food Allergies","type":"webpage"},"uris":["http://www.mendeley.com/documents/?uuid=3d711918-4e81-3776-ab90-69e2913f04c5"]}],"mendeley":{"formattedCitation":"[54,55]","plainTextFormattedCitation":"[54,55]","previouslyFormattedCitation":"[54,55]"},"properties":{"noteIndex":0},"schema":"https://github.com/citation-style-language/schema/raw/master/csl-citation.json"}</w:instrText>
      </w:r>
      <w:r>
        <w:rPr>
          <w:color w:val="000000" w:themeColor="text1"/>
        </w:rPr>
        <w:fldChar w:fldCharType="separate"/>
      </w:r>
      <w:r w:rsidR="00BA0E53" w:rsidRPr="00BA0E53">
        <w:rPr>
          <w:noProof/>
          <w:color w:val="000000" w:themeColor="text1"/>
        </w:rPr>
        <w:t>[54,55]</w:t>
      </w:r>
      <w:r>
        <w:rPr>
          <w:color w:val="000000" w:themeColor="text1"/>
        </w:rPr>
        <w:fldChar w:fldCharType="end"/>
      </w:r>
      <w:r>
        <w:rPr>
          <w:color w:val="000000" w:themeColor="text1"/>
        </w:rPr>
        <w:t xml:space="preserve">, with at least 16 IgE-binding proteins, including glycinin, β-conglycinin, and Kunitz trypsin inhibitor, that could be involved in clinical allergy </w:t>
      </w:r>
      <w:r>
        <w:rPr>
          <w:color w:val="000000" w:themeColor="text1"/>
        </w:rPr>
        <w:fldChar w:fldCharType="begin" w:fldLock="1"/>
      </w:r>
      <w:r w:rsidR="006465A0">
        <w:rPr>
          <w:color w:val="000000" w:themeColor="text1"/>
        </w:rPr>
        <w:instrText>ADDIN CSL_CITATION {"citationItems":[{"id":"ITEM-1","itemData":{"DOI":"10.1093/jn/134.5.1213s","ISSN":"00223166","PMID":"15113974","abstract":"Food allergy is a relatively rare and sometimes violent reaction of the immune system to food proteins. The first report characterizing soy allergy appeared in 1934. The Food and Agriculture Organization of the United Nations includes soy in its list of the 8 most significant food allergens. At least 16 potential soy protein allergens have been identified but their relative clinical significance is unknown. Conversely, soy has a long history of successful use in managing cow's milk allergies in infants. To better predict the utility of soy proteins for controlling food allergy, it is important to understand the relative allergenic reactivity of soy compared with other major food proteins. This can be studied using clinical data, animal models, and biochemical approaches; all show diminished reactivity for soy. Clinical studies using in vitro methods and blinded food challenges have generated substantial information. Study populations include high-risk asymptomatic infants and patients with atopic symptoms, positive food challenges, and specific milk allergies. Generally, these studies show lower allergic reactivity for soy proteins vs. other food allergens. Comparisons of food allergen dose-response relationships for triggering allergic symptoms also demonstrate a higher protein concentration threshold for soy (</w:instrText>
      </w:r>
      <w:r w:rsidR="006465A0">
        <w:rPr>
          <w:rFonts w:ascii="Cambria Math" w:hAnsi="Cambria Math" w:cs="Cambria Math"/>
          <w:color w:val="000000" w:themeColor="text1"/>
        </w:rPr>
        <w:instrText>∼</w:instrText>
      </w:r>
      <w:r w:rsidR="006465A0">
        <w:rPr>
          <w:color w:val="000000" w:themeColor="text1"/>
        </w:rPr>
        <w:instrText>100 times), indicating lower allergenic reactivity. Extensive investigations of soy immunological reactivity have also been carried out using animal models. Consistent with clinical results, all of these data show substantially diminished immunological reactivity for soy proteins. Biochemical and immunochemical analyses indicate no striking differences between soy and other food proteins that would explain these unexpected differences in allergenic reactivity.","author":[{"dropping-particle":"","family":"Cordle","given":"Christopher T.","non-dropping-particle":"","parse-names":false,"suffix":""}],"container-title":"Journal of Nutrition","id":"ITEM-1","issue":"5","issued":{"date-parts":[["2004","5","1"]]},"page":"1213-1219","publisher":"American Institute of Nutrition","title":"Soy Protein Allergy: Incidence and Relative Severity","type":"paper-conference","volume":"134"},"uris":["http://www.mendeley.com/documents/?uuid=10eba010-8b27-3e44-8d2c-1cf9b58eeaab"]}],"mendeley":{"formattedCitation":"[56]","plainTextFormattedCitation":"[56]","previouslyFormattedCitation":"[56]"},"properties":{"noteIndex":0},"schema":"https://github.com/citation-style-language/schema/raw/master/csl-citation.json"}</w:instrText>
      </w:r>
      <w:r>
        <w:rPr>
          <w:color w:val="000000" w:themeColor="text1"/>
        </w:rPr>
        <w:fldChar w:fldCharType="separate"/>
      </w:r>
      <w:r w:rsidR="00BA0E53" w:rsidRPr="00BA0E53">
        <w:rPr>
          <w:noProof/>
          <w:color w:val="000000" w:themeColor="text1"/>
        </w:rPr>
        <w:t>[56]</w:t>
      </w:r>
      <w:r>
        <w:rPr>
          <w:color w:val="000000" w:themeColor="text1"/>
        </w:rPr>
        <w:fldChar w:fldCharType="end"/>
      </w:r>
      <w:r>
        <w:rPr>
          <w:color w:val="000000" w:themeColor="text1"/>
        </w:rPr>
        <w:t xml:space="preserve">. Therefore, the study and utilization of individual soy components could be </w:t>
      </w:r>
      <w:r w:rsidR="00994F49">
        <w:rPr>
          <w:color w:val="000000" w:themeColor="text1"/>
        </w:rPr>
        <w:t>a more ideal</w:t>
      </w:r>
      <w:r>
        <w:rPr>
          <w:color w:val="000000" w:themeColor="text1"/>
        </w:rPr>
        <w:t xml:space="preserve"> approach to take advantage of those with potential beneficial biological activity over IBD. </w:t>
      </w:r>
    </w:p>
    <w:p w14:paraId="1B57066D" w14:textId="2B27C7A4" w:rsidR="00DD0AC8" w:rsidRDefault="006041AB" w:rsidP="001311E7">
      <w:pPr>
        <w:spacing w:line="480" w:lineRule="auto"/>
        <w:ind w:firstLine="720"/>
        <w:rPr>
          <w:color w:val="000000" w:themeColor="text1"/>
        </w:rPr>
      </w:pPr>
      <w:r w:rsidRPr="00A909CB">
        <w:rPr>
          <w:color w:val="000000" w:themeColor="text1"/>
        </w:rPr>
        <w:t>The utilization of non-protein compounds naturally present in plant materials in the context of IBD has also been widely explored and reviewed. Anthocyanins, flavan-3-ols (green tea polyphenols), soy isoflavones (genistein, daidzein, and equol), proanthocyanidins (oligonol, cocoa and apple extracts), flavanones (hesperidin and naringenin), flavonones (quercetin, rutin, kaemferol, and myricitrin), stilbenes (resveratrol, piceatannol), curcuminoids, and hydrox</w:t>
      </w:r>
      <w:r w:rsidR="00636295">
        <w:rPr>
          <w:color w:val="000000" w:themeColor="text1"/>
        </w:rPr>
        <w:t>y</w:t>
      </w:r>
      <w:r w:rsidRPr="00A909CB">
        <w:rPr>
          <w:color w:val="000000" w:themeColor="text1"/>
        </w:rPr>
        <w:t xml:space="preserve">cinamic acids, among other plant derived components have been tested in animal models of IBD but with controversial results, as in some cases their administration can induce improved outcomes, while in others lead to worsening of symptoms or particular markers of the disease depending on the dose, mode of administration, nature of the compound (crude extract, purified , enriched food </w:t>
      </w:r>
      <w:r w:rsidRPr="00A909CB">
        <w:rPr>
          <w:color w:val="000000" w:themeColor="text1"/>
        </w:rPr>
        <w:lastRenderedPageBreak/>
        <w:t>matrix, whole food), and the particular mechanism used to induce bowel inflammation in the animal model</w:t>
      </w:r>
      <w:r>
        <w:rPr>
          <w:color w:val="000000" w:themeColor="text1"/>
        </w:rPr>
        <w:t xml:space="preserve"> [117, 118]</w:t>
      </w:r>
      <w:r w:rsidRPr="00A909CB">
        <w:rPr>
          <w:color w:val="000000" w:themeColor="text1"/>
        </w:rPr>
        <w:t>.</w:t>
      </w:r>
    </w:p>
    <w:p w14:paraId="51381BEA" w14:textId="77777777" w:rsidR="00943C22" w:rsidRPr="002E0B22" w:rsidRDefault="002E0B22" w:rsidP="001311E7">
      <w:pPr>
        <w:pStyle w:val="Heading3"/>
        <w:spacing w:before="0" w:after="0" w:line="480" w:lineRule="auto"/>
        <w:rPr>
          <w:i w:val="0"/>
        </w:rPr>
      </w:pPr>
      <w:bookmarkStart w:id="8" w:name="_Toc77082092"/>
      <w:r>
        <w:rPr>
          <w:i w:val="0"/>
        </w:rPr>
        <w:t xml:space="preserve">1.2.5 </w:t>
      </w:r>
      <w:r w:rsidR="00943C22" w:rsidRPr="002E0B22">
        <w:rPr>
          <w:i w:val="0"/>
        </w:rPr>
        <w:t>Lunasin, a soybean peptide with potential activity against IBD</w:t>
      </w:r>
      <w:bookmarkEnd w:id="8"/>
    </w:p>
    <w:p w14:paraId="6CA9DE62" w14:textId="79EFB5DE" w:rsidR="00943C22" w:rsidRDefault="00943C22" w:rsidP="00DD0AC8">
      <w:pPr>
        <w:spacing w:line="480" w:lineRule="auto"/>
        <w:ind w:firstLine="720"/>
        <w:rPr>
          <w:color w:val="000000" w:themeColor="text1"/>
        </w:rPr>
      </w:pPr>
      <w:r>
        <w:rPr>
          <w:color w:val="000000" w:themeColor="text1"/>
        </w:rPr>
        <w:t xml:space="preserve">Lunasin is a soybean peptide that for the past 20 years has been extensively investigated due to its high potential activity against diverse chronic disorders as a result of its antioxidant, anti-inflammatory, and anticancer properties </w:t>
      </w:r>
      <w:r>
        <w:rPr>
          <w:color w:val="000000" w:themeColor="text1"/>
          <w:lang w:val="es-CO"/>
        </w:rPr>
        <w:fldChar w:fldCharType="begin" w:fldLock="1"/>
      </w:r>
      <w:r w:rsidR="006465A0">
        <w:rPr>
          <w:color w:val="000000" w:themeColor="text1"/>
        </w:rPr>
        <w:instrText>ADDIN CSL_CITATION {"citationItems":[{"id":"ITEM-1","itemData":{"DOI":"10.1016/j.foodres.2018.12.029","ISSN":"18737145","abstract":"Non-communicable diseases have become the medical challenge of the 21st century because of their high incidence and mortality rates. Accumulating evidence has suggested that the modulation of diet and other lifestyle habits is the best strategy for the prevention of these diseases. An increasing number of dietary compounds have been found to exert health promoting benefits beyond their nutritional effects. Among them, lunasin is considered one of the most studied bioactive peptides. Since its discovery in soybean twenty years ago, many researchers around the world have focused their studies on demonstrating the chemopreventive and chemotherapeutic activity of lunasin. Moreover, in the last years, promising protective effects of this peptide against hypercholesterolemia, obesity, metabolic syndrome and associated cardiovascular disorders, and inflammatory and immune-regulated diseases have been described. This review summarizes recent remarkable advances on the use of peptide lunasin as a potential functional ingredient to provide health benefits. Moreover, novel aspects related to the influence of lunasin's digestion and bioavailability, the mechanisms of action proposed to explain the underlying biological properties, and the incorporation of this peptide into nutritional supplements are critically discussed.","author":[{"dropping-particle":"","family":"Fernández-Tomé","given":"Samuel","non-dropping-particle":"","parse-names":false,"suffix":""},{"dropping-particle":"","family":"Hernández-Ledesma","given":"Blanca","non-dropping-particle":"","parse-names":false,"suffix":""}],"container-title":"Food Research International","id":"ITEM-1","issued":{"date-parts":[["2019"]]},"page":"71-78","publisher":"Elsevier Ltd","title":"Current state of art after twenty years of the discovery of bioactive peptide lunasin","type":"article","volume":"116"},"uris":["http://www.mendeley.com/documents/?uuid=28a91601-fb3a-3c60-91ff-6497604da759"]}],"mendeley":{"formattedCitation":"[57]","plainTextFormattedCitation":"[57]","previouslyFormattedCitation":"[57]"},"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[57]</w:t>
      </w:r>
      <w:r>
        <w:rPr>
          <w:color w:val="000000" w:themeColor="text1"/>
          <w:lang w:val="es-CO"/>
        </w:rPr>
        <w:fldChar w:fldCharType="end"/>
      </w:r>
      <w:r>
        <w:rPr>
          <w:color w:val="000000" w:themeColor="text1"/>
        </w:rPr>
        <w:t xml:space="preserve">. The observed biological activity in mammalian cell lines and animal models, has raised the interest </w:t>
      </w:r>
      <w:r w:rsidR="00166AA2">
        <w:rPr>
          <w:color w:val="000000" w:themeColor="text1"/>
        </w:rPr>
        <w:t>on</w:t>
      </w:r>
      <w:r>
        <w:rPr>
          <w:color w:val="000000" w:themeColor="text1"/>
        </w:rPr>
        <w:t xml:space="preserve"> its amino</w:t>
      </w:r>
      <w:r w:rsidR="00166AA2">
        <w:rPr>
          <w:color w:val="000000" w:themeColor="text1"/>
        </w:rPr>
        <w:t xml:space="preserve"> </w:t>
      </w:r>
      <w:r>
        <w:rPr>
          <w:color w:val="000000" w:themeColor="text1"/>
        </w:rPr>
        <w:t xml:space="preserve">acids sequence, its mode of action, and the potential presence of the peptide in other plant sources. </w:t>
      </w:r>
    </w:p>
    <w:p w14:paraId="6A96A74F" w14:textId="45F016D6" w:rsidR="00943C22" w:rsidRPr="00425921" w:rsidRDefault="00943C22" w:rsidP="00DD0AC8">
      <w:pPr>
        <w:spacing w:line="480" w:lineRule="auto"/>
        <w:ind w:firstLine="720"/>
        <w:rPr>
          <w:color w:val="000000" w:themeColor="text1"/>
        </w:rPr>
      </w:pPr>
      <w:r>
        <w:rPr>
          <w:color w:val="000000" w:themeColor="text1"/>
        </w:rPr>
        <w:t>Although initial studies characterized lunasin as a 43 amino</w:t>
      </w:r>
      <w:r w:rsidR="00166AA2">
        <w:rPr>
          <w:color w:val="000000" w:themeColor="text1"/>
        </w:rPr>
        <w:t xml:space="preserve"> </w:t>
      </w:r>
      <w:r>
        <w:rPr>
          <w:color w:val="000000" w:themeColor="text1"/>
        </w:rPr>
        <w:t>acids peptide with an expected mass of 5025.23 Da, recent investigations have reported an additional asparagine residue at the C-terminal, conferring a final structure of 44 amino</w:t>
      </w:r>
      <w:r w:rsidR="00166AA2">
        <w:rPr>
          <w:color w:val="000000" w:themeColor="text1"/>
        </w:rPr>
        <w:t xml:space="preserve"> </w:t>
      </w:r>
      <w:r>
        <w:rPr>
          <w:color w:val="000000" w:themeColor="text1"/>
        </w:rPr>
        <w:t xml:space="preserve">acids with a mass of 5139.25 Da </w:t>
      </w:r>
      <w:r>
        <w:rPr>
          <w:color w:val="000000" w:themeColor="text1"/>
          <w:lang w:val="es-CO"/>
        </w:rPr>
        <w:fldChar w:fldCharType="begin" w:fldLock="1"/>
      </w:r>
      <w:r w:rsidR="006465A0">
        <w:rPr>
          <w:color w:val="000000" w:themeColor="text1"/>
        </w:rPr>
        <w:instrText>ADDIN CSL_CITATION {"citationItems":[{"id":"ITEM-1","itemData":{"DOI":"10.1371/journal.pone.0035409","ISSN":"1932-6203","abstract":"Lunasin is a peptide derived from the soybean 2S albumin seed protein that has both anticancer and anti-inflammatory activities. Large-scale animal studies and human clinical trials to determine the efficacy of lunasin in vivo have been hampered by the cost of synthetic lunasin and the lack of a method for obtaining gram quantities of highly purified lunasin from plant sources. The goal of this study was to develop a large-scale method to generate highly purified lunasin from defatted soy flour. A scalable method was developed that utilizes the sequential application of anion-exchange chromatography, ultrafiltration, and reversed-phase chromatography. This method generates lunasin preparations of &gt;99% purity with a yield of 442 mg/kg defatted soy flour. Mass spectrometry of the purified lunasin revealed that the peptide is 44 amino acids in length and represents the original published sequence of lunasin with an additional C-terminal asparagine residue. Histone-binding assays demonstrated that the biological activity of the purified lunasin was similar to that of synthetic lunasin. This study provides a robust method for purifying commercial-scale quantities of biologically-active lunasin and clearly identifies the predominant form of lunasin in soy flour. This method will greatly facilitate the development of lunasin as a potential nutraceutical or therapeutic anticancer agent. © 2012 Seber et al.","author":[{"dropping-particle":"","family":"Seber","given":"Lauren E.","non-dropping-particle":"","parse-names":false,"suffix":""},{"dropping-particle":"","family":"Barnett","given":"Brian W.","non-dropping-particle":"","parse-names":false,"suffix":""},{"dropping-particle":"","family":"McConnell","given":"Elizabeth J.","non-dropping-particle":"","parse-names":false,"suffix":""},{"dropping-particle":"","family":"Hume","given":"Steven D.","non-dropping-particle":"","parse-names":false,"suffix":""},{"dropping-particle":"","family":"Cai","given":"Jian","non-dropping-particle":"","parse-names":false,"suffix":""},{"dropping-particle":"","family":"Boles","given":"Kati","non-dropping-particle":"","parse-names":false,"suffix":""},{"dropping-particle":"","family":"Davis","given":"Keith R.","non-dropping-particle":"","parse-names":false,"suffix":""}],"container-title":"PLoS ONE","editor":[{"dropping-particle":"","family":"Antopolsky","given":"Maxim","non-dropping-particle":"","parse-names":false,"suffix":""}],"id":"ITEM-1","issue":"4","issued":{"date-parts":[["2012","4","13"]]},"page":"e35409","publisher":"Public Library of Science","title":"Scalable Purification and Characterization of the Anticancer Lunasin Peptide from Soybean","type":"article-journal","volume":"7"},"uris":["http://www.mendeley.com/documents/?uuid=84033bd8-ad6d-3db1-b722-b75d1f034b12"]}],"mendeley":{"formattedCitation":"[58]","plainTextFormattedCitation":"[58]","previouslyFormattedCitation":"[58]"},"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[58]</w:t>
      </w:r>
      <w:r>
        <w:rPr>
          <w:color w:val="000000" w:themeColor="text1"/>
          <w:lang w:val="es-CO"/>
        </w:rPr>
        <w:fldChar w:fldCharType="end"/>
      </w:r>
      <w:r>
        <w:rPr>
          <w:color w:val="000000" w:themeColor="text1"/>
        </w:rPr>
        <w:t>. The structure of lunasin contains three well characterized regions that have been associated with its biological activity (Figure 1.1): a polyaspartic acid tail that interacts with core histones H3 and H4 and affects their acetylation, a cell adhesion domain</w:t>
      </w:r>
      <w:r w:rsidR="00166AA2">
        <w:rPr>
          <w:color w:val="000000" w:themeColor="text1"/>
        </w:rPr>
        <w:t xml:space="preserve"> composed of arginine-glycine-aspartic ac</w:t>
      </w:r>
      <w:r w:rsidR="00546943">
        <w:rPr>
          <w:color w:val="000000" w:themeColor="text1"/>
        </w:rPr>
        <w:t>i</w:t>
      </w:r>
      <w:r w:rsidR="00166AA2">
        <w:rPr>
          <w:color w:val="000000" w:themeColor="text1"/>
        </w:rPr>
        <w:t>d</w:t>
      </w:r>
      <w:r>
        <w:rPr>
          <w:color w:val="000000" w:themeColor="text1"/>
        </w:rPr>
        <w:t xml:space="preserve"> that mediates integrin signaling and cellular internalization, and a chromatin binding region that contributes to the immunomodulatory function </w:t>
      </w:r>
      <w:r>
        <w:rPr>
          <w:color w:val="000000" w:themeColor="text1"/>
          <w:lang w:val="es-CO"/>
        </w:rPr>
        <w:fldChar w:fldCharType="begin" w:fldLock="1"/>
      </w:r>
      <w:r w:rsidR="006465A0">
        <w:rPr>
          <w:color w:val="000000" w:themeColor="text1"/>
        </w:rPr>
        <w:instrText>ADDIN CSL_CITATION {"citationItems":[{"id":"ITEM-1","itemData":{"DOI":"10.1016/j.coph.2018.04.006","ISSN":"14714973","PMID":"29679803","abstract":"The health benefits of soy consumption have long been recognized. An important potential benefit is the linkage of soy consumption with reduced cancer risk. One emerging factor that may confer the anticancer effects of soy is the peptide lunasin. Lunasin has both chemopreventive and therapeutic activities against a variety of carcinogens and cancer types. A novel feature of lunasin is that it contains multiple functional domains that can modulate gene expression through effects on histone acetylation and integrin signaling. Recent studies suggest that lunasin effects on integrin signaling in cancer stem cells reduce expression of stemness factors with a concomitant reduction in metastatic potential. Here, we highlight recent studies of the potential use of lunasin as an anticancer agent and its mode of action.","author":[{"dropping-particle":"","family":"Vuyyuri","given":"Saleha B.","non-dropping-particle":"","parse-names":false,"suffix":""},{"dropping-particle":"","family":"Shidal","given":"Chris","non-dropping-particle":"","parse-names":false,"suffix":""},{"dropping-particle":"","family":"Davis","given":"Keith R.","non-dropping-particle":"","parse-names":false,"suffix":""}],"container-title":"Current Opinion in Pharmacology","id":"ITEM-1","issued":{"date-parts":[["2018","8","1"]]},"page":"27-33","publisher":"Elsevier Ltd","title":"Development of the plant-derived peptide lunasin as an anticancer agent","type":"article-journal","volume":"41"},"uris":["http://www.mendeley.com/documents/?uuid=2b299980-0978-40b3-acd5-3c7df9dd371d"]}],"mendeley":{"formattedCitation":"[59]","plainTextFormattedCitation":"[59]","previouslyFormattedCitation":"[59]"},"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[59]</w:t>
      </w:r>
      <w:r>
        <w:rPr>
          <w:color w:val="000000" w:themeColor="text1"/>
          <w:lang w:val="es-CO"/>
        </w:rPr>
        <w:fldChar w:fldCharType="end"/>
      </w:r>
      <w:r>
        <w:rPr>
          <w:color w:val="000000" w:themeColor="text1"/>
        </w:rPr>
        <w:t xml:space="preserve">. It was recently suggested that </w:t>
      </w:r>
      <w:r w:rsidR="008472A4">
        <w:rPr>
          <w:color w:val="000000" w:themeColor="text1"/>
        </w:rPr>
        <w:t>a fourth</w:t>
      </w:r>
      <w:r>
        <w:rPr>
          <w:color w:val="000000" w:themeColor="text1"/>
        </w:rPr>
        <w:t xml:space="preserve"> region </w:t>
      </w:r>
      <w:r>
        <w:rPr>
          <w:color w:val="000000" w:themeColor="text1"/>
          <w:vertAlign w:val="superscript"/>
        </w:rPr>
        <w:t>11</w:t>
      </w:r>
      <w:r>
        <w:rPr>
          <w:color w:val="000000" w:themeColor="text1"/>
        </w:rPr>
        <w:t>RKQLQGVN</w:t>
      </w:r>
      <w:r>
        <w:rPr>
          <w:color w:val="000000" w:themeColor="text1"/>
          <w:vertAlign w:val="superscript"/>
        </w:rPr>
        <w:t>18</w:t>
      </w:r>
      <w:r>
        <w:rPr>
          <w:color w:val="000000" w:themeColor="text1"/>
        </w:rPr>
        <w:t xml:space="preserve"> can be involved in transepithelial transport across the intestinal wall via the paracellular route </w:t>
      </w:r>
      <w:r>
        <w:rPr>
          <w:color w:val="000000" w:themeColor="text1"/>
          <w:lang w:val="es-CO"/>
        </w:rPr>
        <w:fldChar w:fldCharType="begin" w:fldLock="1"/>
      </w:r>
      <w:r w:rsidR="006465A0">
        <w:rPr>
          <w:color w:val="000000" w:themeColor="text1"/>
        </w:rPr>
        <w:instrText>ADDIN CSL_CITATION {"citationItems":[{"id":"ITEM-1","itemData":{"DOI":"10.1016/j.jfca.2017.01.011","ISSN":"08891575","abstract":"Lunasin is a soybean peptide with demonstrated chemopreventive properties. Upon its oral intake, studies dealing with the effect of the digestive process on lunasin's properties are crucial. The present study describes, for the first time, the behavior of lunasin and fragments derived from its digestion in the Caco-2 cell monolayer. The sequences SKWQHQQDSC and KIQGRGDDDDDDDDD showed a notable resistance against the epithelial brush-border peptidases, although some fragments were generated as cellular hydrolysis products. Lunasin and RKQLQGVN were absorbed intact across the intestinal epithelium. The tight junction disruptor cytochalasin D increased their transport, suggesting that the paracellular passive diffusion was the main mechanism involved. The study on the cancer cells viability showed that lunasin and SKWQHQQDSC exerted the highest effects on colorectal cancer HT-29 cells. The stability assay suggested that the cell line type was determinant in the behavior of lunasin added to the culture medium, and therefore in the anti-proliferative activity of released fragments.","author":[{"dropping-particle":"","family":"Fernández-Tomé","given":"Samuel","non-dropping-particle":"","parse-names":false,"suffix":""},{"dropping-particle":"","family":"Sanchón","given":"Javier","non-dropping-particle":"","parse-names":false,"suffix":""},{"dropping-particle":"","family":"Recio","given":"Isidra","non-dropping-particle":"","parse-names":false,"suffix":""},{"dropping-particle":"","family":"Hernández-Ledesma","given":"Blanca","non-dropping-particle":"","parse-names":false,"suffix":""}],"container-title":"Journal of Food Composition and Analysis","id":"ITEM-1","issued":{"date-parts":[["2018","5","1"]]},"page":"101-110","publisher":"Academic Press Inc.","title":"Transepithelial transport of lunasin and derived peptides: Inhibitory effects on the gastrointestinal cancer cells viability","type":"article-journal","volume":"68"},"uris":["http://www.mendeley.com/documents/?uuid=dbbc09eb-45f9-3b74-a2a3-365294cfefba"]}],"mendeley":{"formattedCitation":"[60]","plainTextFormattedCitation":"[60]","previouslyFormattedCitation":"[60]"},"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[60]</w:t>
      </w:r>
      <w:r>
        <w:rPr>
          <w:color w:val="000000" w:themeColor="text1"/>
          <w:lang w:val="es-CO"/>
        </w:rPr>
        <w:fldChar w:fldCharType="end"/>
      </w:r>
      <w:r w:rsidRPr="00425921">
        <w:rPr>
          <w:color w:val="000000" w:themeColor="text1"/>
        </w:rPr>
        <w:t xml:space="preserve">.   </w:t>
      </w:r>
    </w:p>
    <w:p w14:paraId="11989BCE" w14:textId="749E3D97" w:rsidR="00964A31" w:rsidRDefault="00943C22" w:rsidP="00DD0AC8">
      <w:pPr>
        <w:spacing w:line="480" w:lineRule="auto"/>
        <w:ind w:firstLine="720"/>
      </w:pPr>
      <w:r>
        <w:rPr>
          <w:color w:val="000000" w:themeColor="text1"/>
        </w:rPr>
        <w:lastRenderedPageBreak/>
        <w:t xml:space="preserve">In soybeans, lunasin is encoded within the 2S albumin </w:t>
      </w:r>
      <w:r>
        <w:rPr>
          <w:i/>
          <w:iCs/>
          <w:color w:val="000000" w:themeColor="text1"/>
        </w:rPr>
        <w:t>GM2S-1</w:t>
      </w:r>
      <w:r>
        <w:rPr>
          <w:color w:val="000000" w:themeColor="text1"/>
        </w:rPr>
        <w:t xml:space="preserve"> gene </w:t>
      </w:r>
      <w:r>
        <w:rPr>
          <w:color w:val="000000" w:themeColor="text1"/>
          <w:lang w:val="es-CO"/>
        </w:rPr>
        <w:fldChar w:fldCharType="begin" w:fldLock="1"/>
      </w:r>
      <w:r w:rsidR="006465A0">
        <w:rPr>
          <w:color w:val="000000" w:themeColor="text1"/>
        </w:rPr>
        <w:instrText>ADDIN CSL_CITATION {"citationItems":[{"id":"ITEM-1","itemData":{"DOI":"10.1002/jsfa.8719","ISSN":"10970010","PMID":"28990666","abstract":"Chronic diseases have become the medical challenge of the 21st century because of their high incidence and mortality rates. Modulation of diet and lifestyle habits is considered as the best strategy for the prevention of these disorders. Health promoting benefits beyond their nutritional effects have been described for multiple dietary compounds. Among these compounds, the peptide lunasin is considered as one of the most promising. Naturally present in soybean, lunasin has been extensively studied in the last two decades because of its potential against chronic diseases such as cancer, cardiovascular and immunological disorders. The purpose of this article is to summarise the evidence on the presence of lunasin in soybean and derived foods, and its bioavailability once it is orally ingested. The protective and therapeutic effects of this peptide against cancer, oxidative stress, inflammation, and high cholesterol levels as well as the molecular mechanisms of action involved in these effects are also described in this review. © 2017 Society of Chemical Industry.","author":[{"dropping-particle":"","family":"Hsieh","given":"Chia Chien","non-dropping-particle":"","parse-names":false,"suffix":""},{"dropping-particle":"","family":"Martínez-Villaluenga","given":"Cristina","non-dropping-particle":"","parse-names":false,"suffix":""},{"dropping-particle":"","family":"Lumen","given":"Ben O.","non-dropping-particle":"de","parse-names":false,"suffix":""},{"dropping-particle":"","family":"Hernández-Ledesma","given":"Blanca","non-dropping-particle":"","parse-names":false,"suffix":""}],"container-title":"Journal of the Science of Food and Agriculture","id":"ITEM-1","issue":"6","issued":{"date-parts":[["2018"]]},"page":"2070-2079","title":"Updating the research on the chemopreventive and therapeutic role of the peptide lunasin","type":"article-journal","volume":"98"},"uris":["http://www.mendeley.com/documents/?uuid=43cbf670-6d8c-4843-bcf8-2b316f46d901"]}],"mendeley":{"formattedCitation":"[61]","plainTextFormattedCitation":"[61]","previouslyFormattedCitation":"[61]"},"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[61]</w:t>
      </w:r>
      <w:r>
        <w:rPr>
          <w:color w:val="000000" w:themeColor="text1"/>
          <w:lang w:val="es-CO"/>
        </w:rPr>
        <w:fldChar w:fldCharType="end"/>
      </w:r>
      <w:r>
        <w:rPr>
          <w:color w:val="000000" w:themeColor="text1"/>
        </w:rPr>
        <w:t xml:space="preserve"> and has been found in concentrations ranging from 0.1 to 1.33 g/100g flour in ancestral lines and modern cultivars </w:t>
      </w:r>
      <w:r>
        <w:rPr>
          <w:color w:val="000000" w:themeColor="text1"/>
          <w:lang w:val="es-CO"/>
        </w:rPr>
        <w:fldChar w:fldCharType="begin" w:fldLock="1"/>
      </w:r>
      <w:r w:rsidR="006465A0">
        <w:rPr>
          <w:color w:val="000000" w:themeColor="text1"/>
        </w:rPr>
        <w:instrText>ADDIN CSL_CITATION {"citationItems":[{"id":"ITEM-1","itemData":{"DOI":"10.1021/jf0496752","ISSN":"00218561","abstract":"Lunasin is a unique and novel cancer preventive peptide originally isolated from soy. Information on lunasin concentration of soybean cultivars and commercial soy proteins would be useful in developing lunasin-enriched cultivars and soy products. We report the development of an enzyme-linked immunosorbent assay (ELISA) method to identify lunasin and quantify the variations in concentration in 144 selected, diverse soybean accessions from the U.S. Department of Agriculture Soybean Germplasm Collection, several commercially available soy protein fractions and isoflavone-enriched products. With synthetic lunasin and monoclonal antibody, ELISA shows a linear concentration range of 24-72 ng/mL, good reproducibility, a detection limit of 8 ng/mL, and a recovery of 90% on spiked soy samples. Lunasin concentrations in the tested materials range from 0.10 to 1.33 g/100 g flour. Differences that exceeded 100% have been observed among accessions of similar maturity that were grown in the same environment, indicating that genetic differences in soybeans exist for lunasin. The mean of 23 major ancestral lines of U.S. cultivars is similar to the mean of 16 modern cultivars selected to represent the current diversity of the crop, but the highest values were found within the ancestral and exotic accessions. Soy protein concentrate, isolate, and hydrolyzate contain 2.81 +/- 0.30, 3.75 +/- 0.43, and 4.43 +/- 0.59 g lunasin/100 g flour, respectively, while soy flour and soy flakes contain 1.24 +/- 0.22 g lunasin/100 g flour. Isoflavone-enriched products contain very little or no lunasin. The relative mass (M(r)) of lunasin in the samples is 5.45 +/- 0.25 kDa. The wide range of lunasin concentrations within the Glycine max species indicates that the levels of this important bioactive peptide can be genetically manipulated. Furthermore, soy isolates and hydrolyzed soy proteins contain the highest concentrations of lunasin.","author":[{"dropping-particle":"","family":"Mejia","given":"Elvira Gonzalez","non-dropping-particle":"De","parse-names":false,"suffix":""},{"dropping-particle":"","family":"Vásconez","given":"Miguel","non-dropping-particle":"","parse-names":false,"suffix":""},{"dropping-particle":"","family":"Lumen","given":"Ben O.","non-dropping-particle":"De","parse-names":false,"suffix":""},{"dropping-particle":"","family":"Nelson","given":"Randall","non-dropping-particle":"","parse-names":false,"suffix":""}],"container-title":"Journal of Agricultural and Food Chemistry","id":"ITEM-1","issue":"19","issued":{"date-parts":[["2004"]]},"page":"5882-5887","title":"Lunasin concentration in different soybean genotypes, commercial soy protein, and isoflavone products","type":"article-journal","volume":"52"},"uris":["http://www.mendeley.com/documents/?uuid=eb429459-baca-4d15-a019-64f4208c301c"]}],"mendeley":{"formattedCitation":"[62]","plainTextFormattedCitation":"[62]","previouslyFormattedCitation":"[62]"},"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[62]</w:t>
      </w:r>
      <w:r>
        <w:rPr>
          <w:color w:val="000000" w:themeColor="text1"/>
          <w:lang w:val="es-CO"/>
        </w:rPr>
        <w:fldChar w:fldCharType="end"/>
      </w:r>
      <w:r>
        <w:rPr>
          <w:color w:val="000000" w:themeColor="text1"/>
        </w:rPr>
        <w:t>. Evaluation of commercially available soybean derived products via immunoassays suggests that lunasin remains present in soy flakes, soy protein isolates, concentrates and hydrolysates, tofu, soymilk, and soymilk based products at levels ranging between</w:t>
      </w:r>
      <w:r w:rsidRPr="001B36B2">
        <w:rPr>
          <w:color w:val="000000" w:themeColor="text1"/>
        </w:rPr>
        <w:t xml:space="preserve"> </w:t>
      </w:r>
      <w:r w:rsidRPr="00634C45">
        <w:rPr>
          <w:color w:val="000000" w:themeColor="text1"/>
        </w:rPr>
        <w:t>µ</w:t>
      </w:r>
      <w:r w:rsidRPr="001B36B2">
        <w:rPr>
          <w:color w:val="000000" w:themeColor="text1"/>
        </w:rPr>
        <w:t>g</w:t>
      </w:r>
      <w:r>
        <w:rPr>
          <w:color w:val="000000" w:themeColor="text1"/>
        </w:rPr>
        <w:t xml:space="preserve"> to mg/100g </w:t>
      </w:r>
      <w:r w:rsidR="001B36B2">
        <w:rPr>
          <w:color w:val="000000" w:themeColor="text1"/>
          <w:lang w:val="es-CO"/>
        </w:rPr>
        <w:fldChar w:fldCharType="begin" w:fldLock="1"/>
      </w:r>
      <w:r w:rsidR="006465A0">
        <w:rPr>
          <w:color w:val="000000" w:themeColor="text1"/>
        </w:rPr>
        <w:instrText>ADDIN CSL_CITATION {"citationItems":[{"id":"ITEM-1","itemData":{"DOI":"10.1111/j.1750-3841.2012.02676.x","ISSN":"00221147","abstract":"Lunasin is a bioactive peptide present in soybean. It is important to quantify lunasin concentration in soy products to assess its potential impact as functional food. The objectives of this study were to analyze lunasin in commercial soymilk products and implement an efficient method to isolate and purify it from defatted soybean flour. Defatted soybean flour was suspended in water, and the extract was loaded in a pre-equilibrated diethylaminoethyl column and bound proteins eluted using a step gradient of salt. Most lunasin was eluted from the column at 0.2 to 0.4M NaCl as quantified by immunoassays and purified using ultracentrifugation and ultrafiltration techniques. Lunasin purity was ≥90% and a standard curve was used to quantify its concentration in soymilk products. Concentration of lunasin in soy products, including organic soymilk, soy protein shakes, and soy infant formulas, ranged from 1.78 to 9.26 mg lunasin/100 g product. The concentration per serving ranged from 1.59 ± 0.01 to 22.23 ± 0.74 mg lunasin with variability depending on brand and size per serving. Steam-ground-cooked soy had the highest concentration of lunasin (22.23 ± 0.74 mg/serving), similar to some commercial products. Ground-cooked soymilk contained roughly half the concentration of lunasin (14.39 ± 1.4 mg/serving). Soy infant formulas that used soy protein isolate revealed lower concentrations of lunasin (P &lt; 0.05). It was concluded that all soymilk products analyzed contained lunasin, and a more efficient method to isolate lunasin with higher purity was developed. © 2012 Institute of Food Technologists®.","author":[{"dropping-particle":"","family":"Cavazos","given":"Ariel","non-dropping-particle":"","parse-names":false,"suffix":""},{"dropping-particle":"","family":"Morales","given":"Elsy","non-dropping-particle":"","parse-names":false,"suffix":""},{"dropping-particle":"","family":"Dia","given":"Vermont P.","non-dropping-particle":"","parse-names":false,"suffix":""},{"dropping-particle":"","family":"Mejia","given":"Elvira Gonzalez","non-dropping-particle":"De","parse-names":false,"suffix":""}],"container-title":"Journal of Food Science","id":"ITEM-1","issue":"5","issued":{"date-parts":[["2012","5"]]},"publisher":"J Food Sci","title":"Analysis of Lunasin in Commercial and Pilot Plant Produced Soybean Products and an Improved Method of Lunasin Purification","type":"article-journal","volume":"77"},"uris":["http://www.mendeley.com/documents/?uuid=21e0da8d-70ee-39a9-85d8-cc1826808c96"]},{"id":"ITEM-2","itemData":{"DOI":"10.1021/jf0496752","ISSN":"00218561","abstract":"Lunasin is a unique and novel cancer preventive peptide originally isolated from soy. Information on lunasin concentration of soybean cultivars and commercial soy proteins would be useful in developing lunasin-enriched cultivars and soy products. We report the development of an enzyme-linked immunosorbent assay (ELISA) method to identify lunasin and quantify the variations in concentration in 144 selected, diverse soybean accessions from the U.S. Department of Agriculture Soybean Germplasm Collection, several commercially available soy protein fractions and isoflavone-enriched products. With synthetic lunasin and monoclonal antibody, ELISA shows a linear concentration range of 24-72 ng/mL, good reproducibility, a detection limit of 8 ng/mL, and a recovery of 90% on spiked soy samples. Lunasin concentrations in the tested materials range from 0.10 to 1.33 g/100 g flour. Differences that exceeded 100% have been observed among accessions of similar maturity that were grown in the same environment, indicating that genetic differences in soybeans exist for lunasin. The mean of 23 major ancestral lines of U.S. cultivars is similar to the mean of 16 modern cultivars selected to represent the current diversity of the crop, but the highest values were found within the ancestral and exotic accessions. Soy protein concentrate, isolate, and hydrolyzate contain 2.81 +/- 0.30, 3.75 +/- 0.43, and 4.43 +/- 0.59 g lunasin/100 g flour, respectively, while soy flour and soy flakes contain 1.24 +/- 0.22 g lunasin/100 g flour. Isoflavone-enriched products contain very little or no lunasin. The relative mass (M(r)) of lunasin in the samples is 5.45 +/- 0.25 kDa. The wide range of lunasin concentrations within the Glycine max species indicates that the levels of this important bioactive peptide can be genetically manipulated. Furthermore, soy isolates and hydrolyzed soy proteins contain the highest concentrations of lunasin.","author":[{"dropping-particle":"","family":"Mejia","given":"Elvira Gonzalez","non-dropping-particle":"De","parse-names":false,"suffix":""},{"dropping-particle":"","family":"Vásconez","given":"Miguel","non-dropping-particle":"","parse-names":false,"suffix":""},{"dropping-particle":"","family":"Lumen","given":"Ben O.","non-dropping-particle":"De","parse-names":false,"suffix":""},{"dropping-particle":"","family":"Nelson","given":"Randall","non-dropping-particle":"","parse-names":false,"suffix":""}],"container-title":"Journal of Agricultural and Food Chemistry","id":"ITEM-2","issue":"19","issued":{"date-parts":[["2004"]]},"page":"5882-5887","title":"Lunasin concentration in different soybean genotypes, commercial soy protein, and isoflavone products","type":"article-journal","volume":"52"},"uris":["http://www.mendeley.com/documents/?uuid=eb429459-baca-4d15-a019-64f4208c301c"]}],"mendeley":{"formattedCitation":"[62,63]","plainTextFormattedCitation":"[62,63]","previouslyFormattedCitation":"[62,63]"},"properties":{"noteIndex":0},"schema":"https://github.com/citation-style-language/schema/raw/master/csl-citation.json"}</w:instrText>
      </w:r>
      <w:r w:rsidR="001B36B2">
        <w:rPr>
          <w:color w:val="000000" w:themeColor="text1"/>
          <w:lang w:val="es-CO"/>
        </w:rPr>
        <w:fldChar w:fldCharType="separate"/>
      </w:r>
      <w:r w:rsidR="00BA0E53" w:rsidRPr="00BA0E53">
        <w:rPr>
          <w:noProof/>
          <w:color w:val="000000" w:themeColor="text1"/>
        </w:rPr>
        <w:t>[62,63]</w:t>
      </w:r>
      <w:r w:rsidR="001B36B2">
        <w:rPr>
          <w:color w:val="000000" w:themeColor="text1"/>
          <w:lang w:val="es-CO"/>
        </w:rPr>
        <w:fldChar w:fldCharType="end"/>
      </w:r>
      <w:r>
        <w:rPr>
          <w:color w:val="000000" w:themeColor="text1"/>
        </w:rPr>
        <w:t xml:space="preserve">. Several studies have reported the presence of lunasin in different sources such as rye </w:t>
      </w:r>
      <w:r>
        <w:rPr>
          <w:color w:val="000000" w:themeColor="text1"/>
          <w:lang w:val="es-CO"/>
        </w:rPr>
        <w:fldChar w:fldCharType="begin" w:fldLock="1"/>
      </w:r>
      <w:r w:rsidR="006465A0">
        <w:rPr>
          <w:color w:val="000000" w:themeColor="text1"/>
        </w:rPr>
        <w:instrText>ADDIN CSL_CITATION {"citationItems":[{"id":"ITEM-1","itemData":{"DOI":"10.1080/01635580902850082","ISSN":"0163-5581","abstract":"Lunasin is a unique 43-amino acid peptide that has been shown to be chemopreventive in mammalian cells and in a skin cancer mouse model against oncogenes and chemical carcinogens. In search for new sources of lunasin and to better understand the role of cereals in cancer prevention, we report here the properties of lunasin from rye. The stability and bioavailability were measured by in vitro digestibility assay using pepsin and pancreatin and feeding rats with lunasin-enriched rye (LER). Inhibition of histone acetyl transferase (HAT) and nuclear localization in mammalian cells were used to measure lunasin bioactivity. Lunasin is present in 15 out of 21 cultivars of rye analyzed. Lunasin present in rye crude protein preparation is stable to pepsin and pancreatin in in vitro digestion. The liver, kidney, and blood of rats fed LER show the presence of lunasin in Western blot. Lunasin extracted from these tissues inhibits the activities of HATs, confirming that the peptide is intact and bioactive. Lunasin purified from rye internalizes in the nuclei of mouse fibroblast cells. We conclude that lunasin in rye is bioavailable and bioactive and that consumption of rye may play an important role of cancer prevention in rye-consuming populations.","author":[{"dropping-particle":"","family":"Jeong","given":"Hyung Jin","non-dropping-particle":"","parse-names":false,"suffix":""},{"dropping-particle":"","family":"Lee","given":"Jeong Rak","non-dropping-particle":"","parse-names":false,"suffix":""},{"dropping-particle":"","family":"Jeong","given":"Jin Boo","non-dropping-particle":"","parse-names":false,"suffix":""},{"dropping-particle":"","family":"Park","given":"Jae Ho","non-dropping-particle":"","parse-names":false,"suffix":""},{"dropping-particle":"","family":"Cheong","given":"Young-keun","non-dropping-particle":"","parse-names":false,"suffix":""},{"dropping-particle":"","family":"Lumen","given":"Ben O.","non-dropping-particle":"de","parse-names":false,"suffix":""}],"container-title":"Nutrition and Cancer","id":"ITEM-1","issue":"5","issued":{"date-parts":[["2009","9","23"]]},"page":"680-686","publisher":" Taylor &amp; Francis Group ","title":"The Cancer Preventive Seed Peptide Lunasin From Rye Is Bioavailable and Bioactive","type":"article-journal","volume":"61"},"uris":["http://www.mendeley.com/documents/?uuid=20d3602d-a4b2-3074-bf3a-9cf3a627089f"]}],"mendeley":{"formattedCitation":"[64]","plainTextFormattedCitation":"[64]","previouslyFormattedCitation":"[64]"},"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lang w:val="es-CO"/>
        </w:rPr>
        <w:t>[64]</w:t>
      </w:r>
      <w:r>
        <w:rPr>
          <w:color w:val="000000" w:themeColor="text1"/>
          <w:lang w:val="es-CO"/>
        </w:rPr>
        <w:fldChar w:fldCharType="end"/>
      </w:r>
      <w:r>
        <w:rPr>
          <w:color w:val="000000" w:themeColor="text1"/>
          <w:lang w:val="es-CO"/>
        </w:rPr>
        <w:t xml:space="preserve">, </w:t>
      </w:r>
      <w:r>
        <w:rPr>
          <w:lang w:val="es-CO"/>
        </w:rPr>
        <w:t xml:space="preserve">oats </w:t>
      </w:r>
      <w:r>
        <w:rPr>
          <w:lang w:val="es-CO"/>
        </w:rPr>
        <w:fldChar w:fldCharType="begin" w:fldLock="1"/>
      </w:r>
      <w:r w:rsidR="006465A0">
        <w:rPr>
          <w:lang w:val="es-CO"/>
        </w:rPr>
        <w:instrText>ADDIN CSL_CITATION {"citationItems":[{"id":"ITEM-1","itemData":{"DOI":"10.1016/j.jcs.2012.12.008","ISSN":"07335210","abstract":"We report the first discovery of lunasin in oats (Avena sativa L). Lunasin is a novel cancer preventive, anti-inflammatory and cholesterol-reducing peptide originally isolated from soy and later found in cereals (barley, rye, wheat, triticale). Lunasin was detected in oats using LC-MS/MS analysis. The chromatograms and mass spectra of lunasin isolated from five oat genotypes were compared with those of the synthetic lunasin peptide. We measured the lunasin content in harvests of two years and found that all tested oat genotypes contained the lunasin peptide. However, we observed genotype-related fluctuations in the lunasin content. Notably, the middle early oat variety 'Ivory' contained the highest and the most stable lunasin level at 0.197 ± 0.01 mg per g of grain in year 2010 and 0.195 ± 0.009 mg per g of grain in 2011. We also characterized the selected oat genotypes by measuring the contents of protein, β-glucans, fat, starch and moisture in the grains. However, we did not find correlation between lunasin and protein, and β-glucan content. Lunasin isolated from oat showed similar to the synthetic lunasin antioxidant effects. The detection of lunasin complements a list of bioactive compounds present in oats and strengthens recommendations to use oat products. © 2013 Elsevier Ltd.","author":[{"dropping-particle":"","family":"Nakurte","given":"Ilva","non-dropping-particle":"","parse-names":false,"suffix":""},{"dropping-particle":"","family":"Kirhnere","given":"Inga","non-dropping-particle":"","parse-names":false,"suffix":""},{"dropping-particle":"","family":"Namniece","given":"Jana","non-dropping-particle":"","parse-names":false,"suffix":""},{"dropping-particle":"","family":"Saleniece","given":"Kristine","non-dropping-particle":"","parse-names":false,"suffix":""},{"dropping-particle":"","family":"Krigere","given":"Liga","non-dropping-particle":"","parse-names":false,"suffix":""},{"dropping-particle":"","family":"Mekss","given":"Peteris","non-dropping-particle":"","parse-names":false,"suffix":""},{"dropping-particle":"","family":"Vicupe","given":"Zaiga","non-dropping-particle":"","parse-names":false,"suffix":""},{"dropping-particle":"","family":"Bleidere","given":"Mara","non-dropping-particle":"","parse-names":false,"suffix":""},{"dropping-particle":"","family":"Legzdina","given":"Linda","non-dropping-particle":"","parse-names":false,"suffix":""},{"dropping-particle":"","family":"Muceniece","given":"Ruta","non-dropping-particle":"","parse-names":false,"suffix":""}],"container-title":"Journal of Cereal Science","id":"ITEM-1","issue":"3","issued":{"date-parts":[["2013","5","1"]]},"page":"319-324","publisher":"Academic Press","title":"Detection of the lunasin peptide in oats (Avena sativa L)","type":"article-journal","volume":"57"},"uris":["http://www.mendeley.com/documents/?uuid=1ea0ae7e-2458-3f92-86ab-415dbd2f3de1"]}],"mendeley":{"formattedCitation":"[65]","plainTextFormattedCitation":"[65]","previouslyFormattedCitation":"[65]"},"properties":{"noteIndex":0},"schema":"https://github.com/citation-style-language/schema/raw/master/csl-citation.json"}</w:instrText>
      </w:r>
      <w:r>
        <w:rPr>
          <w:lang w:val="es-CO"/>
        </w:rPr>
        <w:fldChar w:fldCharType="separate"/>
      </w:r>
      <w:r w:rsidR="00BA0E53" w:rsidRPr="00BA0E53">
        <w:rPr>
          <w:noProof/>
          <w:lang w:val="es-CO"/>
        </w:rPr>
        <w:t>[65]</w:t>
      </w:r>
      <w:r>
        <w:rPr>
          <w:lang w:val="es-CO"/>
        </w:rPr>
        <w:fldChar w:fldCharType="end"/>
      </w:r>
      <w:r>
        <w:rPr>
          <w:lang w:val="es-CO"/>
        </w:rPr>
        <w:t xml:space="preserve">, triticale </w:t>
      </w:r>
      <w:r>
        <w:rPr>
          <w:lang w:val="es-CO"/>
        </w:rPr>
        <w:fldChar w:fldCharType="begin" w:fldLock="1"/>
      </w:r>
      <w:r w:rsidR="006465A0">
        <w:rPr>
          <w:lang w:val="es-CO"/>
        </w:rPr>
        <w:instrText>ADDIN CSL_CITATION {"citationItems":[{"id":"ITEM-1","itemData":{"DOI":"10.5114/bta.2017.70800","ISSN":"08607796","abstract":"The presented study demonstrates the influence of lunasin, a bioactive peptide isolated from seeds of winter triticale, on the proliferation of neoplastic cells. In order to conduct investigations, 2S fraction low-molecular-weight albumin proteins were extracted. SDS-PAGE electrophoresis separation of extracts indicated the presence of a 5 kDa peptide in the crude extract, which corresponded to the weight of lunasin. The next stage of protein purification involved ion-exchange column chromatography in an FPLC system on DEAE Sepharose Fast Flow. The separation of biomolecules by means of 2D electrophoresis confirmed that a peptide with an isoelectric point was present in the area, with a pH of about 5.5 and molecular mass of about 5 kDa. The presence of lunasin in the purified samples was confirmed by Western blot. The lunasin peptide affected the proliferation of cervical cancer (HeLa) and ovarian cancer (SK-OV-3) cell lines. The average decrease in the HeLa cell proliferation rate was 17%. The SK-OV-3 cell line was more susceptible to inhibition by the protein fraction containing lunasin than HeLa cells, with an average decrease in the proliferation rate of 48%.","author":[{"dropping-particle":"","family":"Galbas","given":"Mariola E.","non-dropping-particle":"","parse-names":false,"suffix":""},{"dropping-particle":"","family":"Porzucek","given":"Filip","non-dropping-particle":"","parse-names":false,"suffix":""},{"dropping-particle":"","family":"Selwet","given":"Marek","non-dropping-particle":"","parse-names":false,"suffix":""},{"dropping-particle":"","family":"Nowak","given":"Agnieszka","non-dropping-particle":"","parse-names":false,"suffix":""},{"dropping-particle":"","family":"Slomski","given":"Ryszard","non-dropping-particle":"","parse-names":false,"suffix":""}],"container-title":"Biotechnologia","id":"ITEM-1","issue":"3","issued":{"date-parts":[["2017"]]},"page":"219-224","title":"Lunasin – a bioactive peptide from triticale (X triticosecale wittmack) seeds, inhibits proliferation of cancer HeLa and SK-OV-3 cells","type":"article-journal","volume":"98"},"uris":["http://www.mendeley.com/documents/?uuid=4e292712-ebe6-478a-ae98-3ff0a02f4b1e"]}],"mendeley":{"formattedCitation":"[66]","plainTextFormattedCitation":"[66]","previouslyFormattedCitation":"[66]"},"properties":{"noteIndex":0},"schema":"https://github.com/citation-style-language/schema/raw/master/csl-citation.json"}</w:instrText>
      </w:r>
      <w:r>
        <w:rPr>
          <w:lang w:val="es-CO"/>
        </w:rPr>
        <w:fldChar w:fldCharType="separate"/>
      </w:r>
      <w:r w:rsidR="00BA0E53" w:rsidRPr="00BA0E53">
        <w:rPr>
          <w:noProof/>
          <w:lang w:val="es-CO"/>
        </w:rPr>
        <w:t>[66]</w:t>
      </w:r>
      <w:r>
        <w:rPr>
          <w:lang w:val="es-CO"/>
        </w:rPr>
        <w:fldChar w:fldCharType="end"/>
      </w:r>
      <w:r>
        <w:rPr>
          <w:lang w:val="es-CO"/>
        </w:rPr>
        <w:t xml:space="preserve">, barley </w:t>
      </w:r>
      <w:r>
        <w:rPr>
          <w:lang w:val="es-CO"/>
        </w:rPr>
        <w:fldChar w:fldCharType="begin" w:fldLock="1"/>
      </w:r>
      <w:r w:rsidR="006465A0">
        <w:rPr>
          <w:lang w:val="es-CO"/>
        </w:rPr>
        <w:instrText>ADDIN CSL_CITATION {"citationItems":[{"id":"ITEM-1","itemData":{"DOI":"10.1080/01635581.2010.515529","ISSN":"0163-5581","abstract":"Lunasin, a unique 43-amino acid peptide found in a number of seeds, has been shown to be chemopreventive in mammalian cells and in a skin cancer mouse model. To elucidate the role of cereals in cancer prevention, we report here the prevalence, bioavailability, and bioactivity of lunasin from barley. Lunasin is present in all cultivars of barley analyzed. The liver and kidney of rats fed with lunasin-enriched barley (LEB) show the presence of lunasin in Western blot. Lunasin extracted from the kidney and liver inhibits the activities of HATs (histone acetyl transferases), yGCN5 by 20% and 18% at 100 nM, and PCAF activity by 25% and 24% at 100 nM, confirming that the peptide is intact and bioactive. Purified barley lunasin localizes in the nuclei of NIH 3T3 cells. Barley lunasin added to NIH 3T3 cells in the presence of the chemical carcinogen MCA activates the expression of tumor suppressors p21 and p15 by 45% and 47%, decreases cyclin D1 by 98%, and inhibits Rb hyperphosphorylation by 45% compared with the MCA treatment alone. We conclude that lunasin is prevalent in barley, bioavailable, and bioactive and that consumption of barley could play an important role of cancer prevention in barley-consuming populations. Copyright © 2010, Taylor &amp; Francis Group, LLC.","author":[{"dropping-particle":"","family":"Jeong","given":"Hyung Jin","non-dropping-particle":"","parse-names":false,"suffix":""},{"dropping-particle":"","family":"Jeong","given":"Jin Boo","non-dropping-particle":"","parse-names":false,"suffix":""},{"dropping-particle":"","family":"Hsieh","given":"Chia Chien","non-dropping-particle":"","parse-names":false,"suffix":""},{"dropping-particle":"","family":"Hernández-Ledesma","given":"Blanca","non-dropping-particle":"","parse-names":false,"suffix":""},{"dropping-particle":"","family":"Lumen","given":"Ben O.","non-dropping-particle":"de","parse-names":false,"suffix":""}],"container-title":"Nutrition and Cancer","id":"ITEM-1","issue":"8","issued":{"date-parts":[["2010","11","5"]]},"page":"1113-1119","publisher":" Taylor &amp; Francis Group ","title":"Lunasin Is Prevalent in Barley and Is Bioavailable and Bioactive in In Vivo and In Vitro Studies","type":"article-journal","volume":"62"},"uris":["http://www.mendeley.com/documents/?uuid=27252fd1-9bf4-3a21-b1b6-b63ea1a2b4b9"]}],"mendeley":{"formattedCitation":"[67]","plainTextFormattedCitation":"[67]","previouslyFormattedCitation":"[67]"},"properties":{"noteIndex":0},"schema":"https://github.com/citation-style-language/schema/raw/master/csl-citation.json"}</w:instrText>
      </w:r>
      <w:r>
        <w:rPr>
          <w:lang w:val="es-CO"/>
        </w:rPr>
        <w:fldChar w:fldCharType="separate"/>
      </w:r>
      <w:r w:rsidR="00BA0E53" w:rsidRPr="00BA0E53">
        <w:rPr>
          <w:noProof/>
          <w:lang w:val="es-CO"/>
        </w:rPr>
        <w:t>[67]</w:t>
      </w:r>
      <w:r>
        <w:rPr>
          <w:lang w:val="es-CO"/>
        </w:rPr>
        <w:fldChar w:fldCharType="end"/>
      </w:r>
      <w:r w:rsidRPr="00634C45">
        <w:rPr>
          <w:lang w:val="es-CO"/>
        </w:rPr>
        <w:t xml:space="preserve">, wheat </w:t>
      </w:r>
      <w:r>
        <w:rPr>
          <w:lang w:val="es-CO"/>
        </w:rPr>
        <w:fldChar w:fldCharType="begin" w:fldLock="1"/>
      </w:r>
      <w:r w:rsidR="006465A0">
        <w:rPr>
          <w:lang w:val="es-CO"/>
        </w:rPr>
        <w:instrText>ADDIN CSL_CITATION {"citationItems":[{"id":"ITEM-1","itemData":{"DOI":"10.1016/j.canlet.2007.03.022","ISSN":"03043835","PMID":"17481808","abstract":"Lunasin is a unique 43-amino acid cancer preventive peptide initially reported in soybean and barley and has been shown to be chemopreventive in mammalian cells and in a skin cancer mouse model against oncogenes and chemical carcinogens. We report here the core histone H3- and H-acetylation inhibitory properties of lunasin from wheat, a new source of the peptide and from the livers of rats fed with lunasin-enriched wheat (LEW) to measure bioavailability. A non-radioactive histone acetyl transferase assay was used to measure inhibition of core histone acetylation. The presence of lunasin in wheat was established by Western blot and identified by liquid chromatography electrospray ionization mass spectrometry (LC-ESI-MS). Lunasin isolated from wheat seeds at different stages of development inhibited core histone H3 and H4 acetylation in a dose-dependent manner. Lunasin extracted from liver of rats fed with lunasin-enriched wheat (LEW) also inhibited histone acetylation confirming that the peptide is intact and bioactive. The amounts of lunasin in the developing seeds and in the rat liver correlated extremely well with the extent of inhibition of core histone acetylation. © 2007 Elsevier Ireland Ltd. All rights reserved.","author":[{"dropping-particle":"","family":"Jeong","given":"Hyung Jin","non-dropping-particle":"","parse-names":false,"suffix":""},{"dropping-particle":"","family":"Jeong","given":"Jin Boo","non-dropping-particle":"","parse-names":false,"suffix":""},{"dropping-particle":"","family":"Kim","given":"Dae Seop","non-dropping-particle":"","parse-names":false,"suffix":""},{"dropping-particle":"","family":"Park","given":"Jae Ho","non-dropping-particle":"","parse-names":false,"suffix":""},{"dropping-particle":"","family":"Lee","given":"Jung Bok","non-dropping-particle":"","parse-names":false,"suffix":""},{"dropping-particle":"","family":"Kweon","given":"Dae Hyuk","non-dropping-particle":"","parse-names":false,"suffix":""},{"dropping-particle":"","family":"Chung","given":"Gyu Young","non-dropping-particle":"","parse-names":false,"suffix":""},{"dropping-particle":"","family":"Seo","given":"Eul Won","non-dropping-particle":"","parse-names":false,"suffix":""},{"dropping-particle":"","family":"Lumen","given":"Ben O.","non-dropping-particle":"de","parse-names":false,"suffix":""}],"container-title":"Cancer Letters","id":"ITEM-1","issue":"1","issued":{"date-parts":[["2007","9","18"]]},"page":"42-48","publisher":"Elsevier","title":"The cancer preventive peptide lunasin from wheat inhibits core histone acetylation","type":"article-journal","volume":"255"},"uris":["http://www.mendeley.com/documents/?uuid=f9812bd2-8418-339e-9307-0e2173307cd0"]}],"mendeley":{"formattedCitation":"[68]","plainTextFormattedCitation":"[68]","previouslyFormattedCitation":"[68]"},"properties":{"noteIndex":0},"schema":"https://github.com/citation-style-language/schema/raw/master/csl-citation.json"}</w:instrText>
      </w:r>
      <w:r>
        <w:rPr>
          <w:lang w:val="es-CO"/>
        </w:rPr>
        <w:fldChar w:fldCharType="separate"/>
      </w:r>
      <w:r w:rsidR="00BA0E53" w:rsidRPr="00BA0E53">
        <w:rPr>
          <w:noProof/>
          <w:lang w:val="es-CO"/>
        </w:rPr>
        <w:t>[68]</w:t>
      </w:r>
      <w:r>
        <w:rPr>
          <w:lang w:val="es-CO"/>
        </w:rPr>
        <w:fldChar w:fldCharType="end"/>
      </w:r>
      <w:r>
        <w:rPr>
          <w:lang w:val="es-CO"/>
        </w:rPr>
        <w:t xml:space="preserve">, </w:t>
      </w:r>
      <w:r w:rsidR="001B36B2">
        <w:rPr>
          <w:i/>
          <w:iCs/>
          <w:lang w:val="es-CO"/>
        </w:rPr>
        <w:t xml:space="preserve">Solanum </w:t>
      </w:r>
      <w:r>
        <w:rPr>
          <w:i/>
          <w:iCs/>
          <w:lang w:val="es-CO"/>
        </w:rPr>
        <w:t>nigrum</w:t>
      </w:r>
      <w:r>
        <w:rPr>
          <w:lang w:val="es-CO"/>
        </w:rPr>
        <w:t xml:space="preserve"> </w:t>
      </w:r>
      <w:r>
        <w:rPr>
          <w:lang w:val="es-CO"/>
        </w:rPr>
        <w:fldChar w:fldCharType="begin" w:fldLock="1"/>
      </w:r>
      <w:r w:rsidR="006465A0">
        <w:rPr>
          <w:lang w:val="es-CO"/>
        </w:rPr>
        <w:instrText>ADDIN CSL_CITATION {"citationItems":[{"id":"ITEM-1","itemData":{"DOI":"10.1021/jf072363p","ISSN":"00218561","PMID":"18038993","abstract":"Lunasin, a unique 43 amino acid, 4.8 kDa cancer-chemopreventive peptide initially reported in soybean and now found in barley and wheat, has been shown to be cancer-chemopreventive in mammalian cells and in a skin cancer mouse model against oncogenes and chemical carcinogens. To identify bioactive components in traditional herbal medicines and in search for new sources of lunasin, we report here the properties of lunasin from Solanum nigrum L. (SNL), a plant indigenous to northeast Asia. Lunasin was screened in the crude extracts of five varieties of the medicinal plants of Solanaceae origin and seven other major herbal plants. An in vitro digestion stability assay for measuring bioavailability was carried out on SNL crude protein and autoclaved SNL using pepsin and pancreatin. A nonradioactive histone acetyltransferase (HAT) assay and HAT activity colorimetric assay were used to measure the inhibition of core histone acetylation. The inhibitory effect of lunasin on the phosphorylation of retinoblastoma protein (Rb) was determined by immunoblotting against phospho-Rb. Lunasin isolated from autoclaved SNL inhibited core histone H3 and H4 acetylation, the activities of the HATs, and the phosphorylation of the Rb protein. Lunasin in the crude protein and in the autoclaved crude protein was very stable to pepsin and pancreatin in vitro digestion, while the synthetic pure lunasin was digested at 2 min after the reaction. We conclude that lunasin is a bioactive and bioavailable component in SNL and that consumption of SNL may play an important role in cancer prevention.","author":[{"dropping-particle":"","family":"Boo Jeong","given":"Jin","non-dropping-particle":"","parse-names":false,"suffix":""},{"dropping-particle":"","family":"Jin Jeong","given":"Hyung","non-dropping-particle":"","parse-names":false,"suffix":""},{"dropping-particle":"","family":"Park","given":"Jae HO","non-dropping-particle":"","parse-names":false,"suffix":""},{"dropping-particle":"","family":"Hee Lee","given":"Sun","non-dropping-particle":"","parse-names":false,"suffix":""},{"dropping-particle":"","family":"Rak Lee","given":"Jeong","non-dropping-particle":"","parse-names":false,"suffix":""},{"dropping-particle":"","family":"Kyeong Lee","given":"Hee","non-dropping-particle":"","parse-names":false,"suffix":""},{"dropping-particle":"","family":"Young Chung","given":"Gyu","non-dropping-particle":"","parse-names":false,"suffix":""},{"dropping-particle":"","family":"Doo Choi","given":"Jeong","non-dropping-particle":"","parse-names":false,"suffix":""},{"dropping-particle":"","family":"Lumen","given":"Ben O.","non-dropping-particle":"De","parse-names":false,"suffix":""},{"dropping-particle":"","family":"Jin","given":"Boo Jeong","non-dropping-particle":"","parse-names":false,"suffix":""},{"dropping-particle":"","family":"Hyung","given":"Jin Jeong","non-dropping-particle":"","parse-names":false,"suffix":""},{"dropping-particle":"","family":"Jae","given":"Ho Park","non-dropping-particle":"","parse-names":false,"suffix":""},{"dropping-particle":"","family":"Sun","given":"Hee Lee","non-dropping-particle":"","parse-names":false,"suffix":""},{"dropping-particle":"","family":"Jeong","given":"Rak Lee","non-dropping-particle":"","parse-names":false,"suffix":""},{"dropping-particle":"","family":"Hee","given":"Kyeong Lee","non-dropping-particle":"","parse-names":false,"suffix":""},{"dropping-particle":"","family":"Gyu","given":"Young Chung","non-dropping-particle":"","parse-names":false,"suffix":""},{"dropping-particle":"","family":"Jeong","given":"Doo Choi","non-dropping-particle":"","parse-names":false,"suffix":""},{"dropping-particle":"","family":"Lumen","given":"Ben O.","non-dropping-particle":"De","parse-names":false,"suffix":""}],"container-title":"Journal of agricultural and food chemistry","id":"ITEM-1","issue":"26","issued":{"date-parts":[["2007","12","26"]]},"page":"10707-10713","publisher":" American Chemical Society","title":"Cancer-Preventive Peptide Lunasin from Solanum nigrum L. Inhibits Acetylation of Core Histones H3 and H4 and Phosphorylation of Retinoblastoma Protein (Rb)","type":"article-journal","volume":"55"},"uris":["http://www.mendeley.com/documents/?uuid=66b8c9ba-fb9b-4ed5-8e4d-490aa9160e89"]}],"mendeley":{"formattedCitation":"[69]","plainTextFormattedCitation":"[69]","previouslyFormattedCitation":"[69]"},"properties":{"noteIndex":0},"schema":"https://github.com/citation-style-language/schema/raw/master/csl-citation.json"}</w:instrText>
      </w:r>
      <w:r>
        <w:rPr>
          <w:lang w:val="es-CO"/>
        </w:rPr>
        <w:fldChar w:fldCharType="separate"/>
      </w:r>
      <w:r w:rsidR="00BA0E53" w:rsidRPr="00BA0E53">
        <w:rPr>
          <w:noProof/>
          <w:lang w:val="es-CO"/>
        </w:rPr>
        <w:t>[69]</w:t>
      </w:r>
      <w:r>
        <w:rPr>
          <w:lang w:val="es-CO"/>
        </w:rPr>
        <w:fldChar w:fldCharType="end"/>
      </w:r>
      <w:r>
        <w:rPr>
          <w:lang w:val="es-CO"/>
        </w:rPr>
        <w:t xml:space="preserve">, quinoa </w:t>
      </w:r>
      <w:r>
        <w:rPr>
          <w:lang w:val="es-CO"/>
        </w:rPr>
        <w:fldChar w:fldCharType="begin" w:fldLock="1"/>
      </w:r>
      <w:r w:rsidR="006465A0">
        <w:rPr>
          <w:lang w:val="es-CO"/>
        </w:rPr>
        <w:instrText>ADDIN CSL_CITATION {"citationItems":[{"id":"ITEM-1","itemData":{"DOI":"10.1002/jsfa.8278","ISSN":"00225142","abstract":"BACKGROUND: Lunasin is a novel cancer-preventive peptide that has been detected in various plants. However, the presence and bioactivity of lunasin in quinoa have not been demonstrated. RESULTS: Lunasin was detected in quinoa using ultrahigh-pressure liquid chromatography–electrosparay ionization–mass spectrometry. The content in 15 quinoa samples ranged from 1.01 × 10−3 g kg−1 dry seed to 4.89 × 10−3 g kg−1 dry seed. Significant differences (P &lt; 0.05) in lunasin content among different cultivars (yy22, xsg86, xsg59, yy30 and yy19) from the same area and the same cultivar from different areas (Hainan, Hebei and Shanxi provinces) were observed. The lunasin isolated and purified from quinoa (QLP) exhibited a weak DPPH radical scavenging activity (no IC50 value), but a strong ABTS+ radical scavenging activity (IC50 value, 1.45 g L−1) and oxygen radical scavenging activity (40.06 µmol L−1 Trolox equivalents/g QLP when the concentration was 3.20 g L−1). In addition, QLP inhibited the production of nitric oxide (NO), tumor necrosis factor-α and interleukin-6 on lipopolysaccharide-stimulated RAW264.7 macrophages by up to 44.77%, 39.81% and 33.50%, respectively, at a concentration of 0.40 g L−1. CONCLUSION: Taken together, these findings indicate that lunasin presents in quinoa and is bioactive, which strengthens the recommendations for the development of quinoa-based functional foods. © 2017 Society of Chemical Industry.","author":[{"dropping-particle":"","family":"Ren","given":"Guixing","non-dropping-particle":"","parse-names":false,"suffix":""},{"dropping-particle":"","family":"Zhu","given":"Yingying","non-dropping-particle":"","parse-names":false,"suffix":""},{"dropping-particle":"","family":"Shi","given":"Zhenxing","non-dropping-particle":"","parse-names":false,"suffix":""},{"dropping-particle":"","family":"Li","given":"Jianhui","non-dropping-particle":"","parse-names":false,"suffix":""}],"container-title":"Journal of the Science of Food and Agriculture","id":"ITEM-1","issue":"12","issued":{"date-parts":[["2017","9","1"]]},"page":"4110-4116","publisher":"John Wiley and Sons Ltd","title":"Detection of lunasin in quinoa ( &lt;i&gt;Chenopodium quinoa&lt;/i&gt; Willd.) and the &lt;i&gt;in vitro&lt;/i&gt; evaluation of its antioxidant and anti-inflammatory activities","type":"article-journal","volume":"97"},"uris":["http://www.mendeley.com/documents/?uuid=acd96d91-2bdc-338c-9a6c-87e4d07b61b9"]}],"mendeley":{"formattedCitation":"[70]","plainTextFormattedCitation":"[70]","previouslyFormattedCitation":"[70]"},"properties":{"noteIndex":0},"schema":"https://github.com/citation-style-language/schema/raw/master/csl-citation.json"}</w:instrText>
      </w:r>
      <w:r>
        <w:rPr>
          <w:lang w:val="es-CO"/>
        </w:rPr>
        <w:fldChar w:fldCharType="separate"/>
      </w:r>
      <w:r w:rsidR="00BA0E53" w:rsidRPr="00BA0E53">
        <w:rPr>
          <w:noProof/>
          <w:lang w:val="es-CO"/>
        </w:rPr>
        <w:t>[70]</w:t>
      </w:r>
      <w:r>
        <w:rPr>
          <w:lang w:val="es-CO"/>
        </w:rPr>
        <w:fldChar w:fldCharType="end"/>
      </w:r>
      <w:r>
        <w:rPr>
          <w:lang w:val="es-CO"/>
        </w:rPr>
        <w:t>, amaranth</w:t>
      </w:r>
      <w:r w:rsidR="001B36B2">
        <w:rPr>
          <w:lang w:val="es-CO"/>
        </w:rPr>
        <w:t xml:space="preserve"> </w:t>
      </w:r>
      <w:r>
        <w:rPr>
          <w:lang w:val="es-CO"/>
        </w:rPr>
        <w:fldChar w:fldCharType="begin" w:fldLock="1"/>
      </w:r>
      <w:r w:rsidR="006465A0">
        <w:rPr>
          <w:lang w:val="es-CO"/>
        </w:rPr>
        <w:instrText>ADDIN CSL_CITATION {"citationItems":[{"id":"ITEM-1","itemData":{"DOI":"10.1021/jf072911z","ISSN":"00218561","PMID":"18211015","abstract":"Amaranth seeds are rich in protein with a high nutritional value, but little is known about their bioactive compounds that could benefit health. The objectives of this research were to investigate the presence, characterization, and the anticarcinogenic properties of the peptide lunasin in amaranth seeds. Furthermore, to predict and identify other peptides in amaranth seed with potential biological activities. ELISA showed an average concentration of 11.1 μg lunasin equivalent/g total extracted protein in four genotypes of mature amaranth seeds. Glutelin fraction had the highest lunasin concentration (3.0 μg/g). Lunasin was also identified in albumin, prolamin and globulin amaranth protein fractions and even in popped amaranth seeds. Western blot analysis revealed a band at 18.5 kDa, and MALDI-TOF analysis showed that this peptide matched more than 60% of the soybean lunasin peptide sequence. Glutelin extracts digested with trypsin, showed the induction of apoptosis against HeLa cells. Prediction of other bioactive peptides in amaranth globulins and glutelins were mainly antihypertensive. This is the first study that reports the presence of a lunasin-like peptide and other potentially bioactive peptides in amaranth protein fractions. © 2008 American Chemical Society.","author":[{"dropping-particle":"","family":"Silva-Sánchez","given":"C.","non-dropping-particle":"","parse-names":false,"suffix":""},{"dropping-particle":"","family":"Barba De La Rosa","given":"A. P.","non-dropping-particle":"","parse-names":false,"suffix":""},{"dropping-particle":"","family":"León-Galván","given":"M. F.","non-dropping-particle":"","parse-names":false,"suffix":""},{"dropping-particle":"","family":"Lumen","given":"B. O.","non-dropping-particle":"De","parse-names":false,"suffix":""},{"dropping-particle":"","family":"León-Rodríguez","given":"A.","non-dropping-particle":"De","parse-names":false,"suffix":""},{"dropping-particle":"","family":"González De Mejía","given":"E.","non-dropping-particle":"","parse-names":false,"suffix":""}],"container-title":"Journal of Agricultural and Food Chemistry","id":"ITEM-1","issue":"4","issued":{"date-parts":[["2008","2","27"]]},"note":"me gusto mucho","page":"1233-1240","publisher":" American Chemical Society","title":"Bioactive peptides in amaranth (Amaranthus hypochondriacus) seed","type":"article-journal","volume":"56"},"uris":["http://www.mendeley.com/documents/?uuid=dac43aaa-72e2-390a-b14c-830396ee4206"]}],"mendeley":{"formattedCitation":"[71]","plainTextFormattedCitation":"[71]","previouslyFormattedCitation":"[71]"},"properties":{"noteIndex":0},"schema":"https://github.com/citation-style-language/schema/raw/master/csl-citation.json"}</w:instrText>
      </w:r>
      <w:r>
        <w:rPr>
          <w:lang w:val="es-CO"/>
        </w:rPr>
        <w:fldChar w:fldCharType="separate"/>
      </w:r>
      <w:r w:rsidR="00BA0E53" w:rsidRPr="00BA0E53">
        <w:rPr>
          <w:noProof/>
          <w:lang w:val="es-CO"/>
        </w:rPr>
        <w:t>[71]</w:t>
      </w:r>
      <w:r>
        <w:rPr>
          <w:lang w:val="es-CO"/>
        </w:rPr>
        <w:fldChar w:fldCharType="end"/>
      </w:r>
      <w:r w:rsidRPr="00425921">
        <w:rPr>
          <w:lang w:val="es-CO"/>
        </w:rPr>
        <w:t xml:space="preserve">, millet </w:t>
      </w:r>
      <w:r>
        <w:rPr>
          <w:lang w:val="es-CO"/>
        </w:rPr>
        <w:fldChar w:fldCharType="begin" w:fldLock="1"/>
      </w:r>
      <w:r w:rsidR="006465A0">
        <w:rPr>
          <w:lang w:val="es-CO"/>
        </w:rPr>
        <w:instrText>ADDIN CSL_CITATION {"citationItems":[{"id":"ITEM-1","itemData":{"abstract":"Lunasin is a unique 43-amino acid peptide which has shown a chemopreventive in mammalian cells and in a skin cancer mouse model. In search for new sources of lunasin and the role of cereals in cancer prevention, we report here the properties of lunasin purified from millet. Stability of millet lunasin was measured by in vitro digestibility assay using pepsin and pancreatin. Inhibition of HAT (histone acetyltransferase) and nuclear localization in mammalian cells were used to measure lunasin bioactivity as the cancer chemopreventive agent. Lunasin present in millet crude protein was stable to pepsin and pancreatin in in vitro digestion and inhibited the activities of HATs. When added exogenously, lunasin purified from millet internalized in the nuclei of mouse fibroblast cells. On the base of this result, we conclude that lunasin in millet is bioactive and consumption of millet may play an important role on cancer prevention in millet-consuming populations.","author":[{"dropping-particle":"","family":"Park","given":"Jae Ho","non-dropping-particle":"","parse-names":false,"suffix":""},{"dropping-particle":"","family":"Jeong","given":"Jin Boo","non-dropping-particle":"","parse-names":false,"suffix":""},{"dropping-particle":"","family":"Lee","given":"Jeong Rak","non-dropping-particle":"","parse-names":false,"suffix":""},{"dropping-particle":"","family":"Lumen","given":"Ben O","non-dropping-particle":"De","parse-names":false,"suffix":""},{"dropping-particle":"","family":"Jeong","given":"Hyung Jin","non-dropping-particle":"","parse-names":false,"suffix":""}],"container-title":"Korean J. Plant Res","id":"ITEM-1","issue":"3","issued":{"date-parts":[["2009"]]},"page":"203-208","title":"Effect of Lunasin Extracted from Millet (Panicum miliaceum) on the Activity of Histone Acetyltransferases, yGCN5 and p/CAF","type":"article-journal","volume":"22"},"uris":["http://www.mendeley.com/documents/?uuid=e5c71af5-68f1-3bd1-ad9e-13585dff22eb"]}],"mendeley":{"formattedCitation":"[72]","plainTextFormattedCitation":"[72]","previouslyFormattedCitation":"[72]"},"properties":{"noteIndex":0},"schema":"https://github.com/citation-style-language/schema/raw/master/csl-citation.json"}</w:instrText>
      </w:r>
      <w:r>
        <w:rPr>
          <w:lang w:val="es-CO"/>
        </w:rPr>
        <w:fldChar w:fldCharType="separate"/>
      </w:r>
      <w:r w:rsidR="00BA0E53" w:rsidRPr="00BA0E53">
        <w:rPr>
          <w:noProof/>
          <w:lang w:val="es-CO"/>
        </w:rPr>
        <w:t>[72]</w:t>
      </w:r>
      <w:r>
        <w:rPr>
          <w:lang w:val="es-CO"/>
        </w:rPr>
        <w:fldChar w:fldCharType="end"/>
      </w:r>
      <w:r w:rsidRPr="00425921">
        <w:rPr>
          <w:lang w:val="es-CO"/>
        </w:rPr>
        <w:t xml:space="preserve">, lupinus species </w:t>
      </w:r>
      <w:r>
        <w:rPr>
          <w:lang w:val="es-CO"/>
        </w:rPr>
        <w:fldChar w:fldCharType="begin" w:fldLock="1"/>
      </w:r>
      <w:r w:rsidR="006465A0">
        <w:rPr>
          <w:lang w:val="es-CO"/>
        </w:rPr>
        <w:instrText>ADDIN CSL_CITATION {"citationItems":[{"id":"ITEM-1","itemData":{"ISBN":"9788361607731","abstract":"Lupinus seeds are characterized by elevated contents of high quality protein, so they find uses in both human and animal nutrition. However, little is known about possible bioactive compounds that could be beneficial to health. Lunasin is a 43 amino acid residue peptide isolated by the group of Prof. de Lumen (University of California, Berkeley) from the albumin protein fraction of soybean. Its cancer chemopreven-tive properties have been demonstrated by in vitro and in vivo assays; currently other plants are being investigated as possible sources of this peptide. This study aimed to detect lunasin in two cultivated and two wild species of Lupinus. Lunasin detection using lunasin monoclonal antibodies was carried out on total protein extracts as well as soluble fractions of defatted flour from seeds with and without testa. Soy (Glycine max) seed extracts served as positive control. Results showed the presence of lunasin in G. max protein fractions of albumin, globulin, and glutelin. Lunasin was found in prolamins fraction of L. albus seeds with testa; whereas it was found in albumin and glutelin fractions of seeds without testa of L. montanus and L. campestris, respectively. Lunasin was not detected in protein extracts of seeds without testa of L. albus and seed with and without testa of L. mutabilis. Peptide bands of molecular weights greater than 25 kDa were detected in the fractions of albumin, globulin and glutelin of all evaluated Lupinus species, suggesting presence of lunasin-related peptides.","author":[{"dropping-particle":"","family":"Ramos Herrera'","given":"Oscar Javier","non-dropping-particle":"","parse-names":false,"suffix":""},{"dropping-particle":"","family":"Sepulveda Jimenez''","giv</w:instrText>
      </w:r>
      <w:r w:rsidR="006465A0" w:rsidRPr="004F2E64">
        <w:instrText>en":"Gabriela","non-dropping-particle":"","parse-names":false,"suffix":""},{"dropping-particle":"","family":"Rosa","given":"Alma","non-dropping-particle":"","parse-names":false,"suffix":""},{"dropping-particle":"","family":"Laredo4","given":"Lopez","non-dropping-particle":"","parse-names":false,"suffix":""},{"dropping-particle":"","family":"Hernandez-Ledesma2","given":"Blanca","non-dropping-particle":"","parse-names":false,"suffix":""},{"dropping-particle":"","family":"Hsieh3","given":"Chia-Chien","non-dropping-particle":"","parse-names":false,"suffix":""},{"dropping-particle":"","family":"Lumen3","given":"Ben 0","non-dropping-particle":"De","parse-names":false,"suffix":""},{"dropping-particle":"","family":"Torres4","given":"Kalina Bermudez","non-dropping-particle":"","parse-names":false,"suffix":""}],"container-title":"'Lupin crops - an opportunity for today, a promise for the future' Proceedings of the 13th International Lupin Conference.","id":"ITEM-1","issued":{"date-parts":[["2011"]]},"page":"185-189","publisher-place":"Canterbury, New Zealand","title":"Identification of chemopreventive peptide lunasin in some lupinus species","type":"paper-conference"},"uris":["http://www.mendeley.com/documents/?uuid=e50450b4-2747-3909-88ff-abdfc1a69339"]}],"mendeley":{"formattedCitation":"[73]","plainTextFormattedCitation":"[73]","previouslyFormattedCitation":"[73]"},"properties":{"noteIndex":0},"schema":"https://github.com/citation-style-language/schema/raw/master/csl-citation.json"}</w:instrText>
      </w:r>
      <w:r>
        <w:rPr>
          <w:lang w:val="es-CO"/>
        </w:rPr>
        <w:fldChar w:fldCharType="separate"/>
      </w:r>
      <w:r w:rsidR="00BA0E53" w:rsidRPr="00BA0E53">
        <w:rPr>
          <w:noProof/>
        </w:rPr>
        <w:t>[73]</w:t>
      </w:r>
      <w:r>
        <w:rPr>
          <w:lang w:val="es-CO"/>
        </w:rPr>
        <w:fldChar w:fldCharType="end"/>
      </w:r>
      <w:r>
        <w:t xml:space="preserve"> and other sources. However, searches of transcriptome and DNA sequences databases, chemical, and molecular approaches have failed to find regions encoding for the peptide or a precursor protein </w:t>
      </w:r>
      <w:r>
        <w:rPr>
          <w:lang w:val="es-CO"/>
        </w:rPr>
        <w:fldChar w:fldCharType="begin" w:fldLock="1"/>
      </w:r>
      <w:r w:rsidR="006465A0">
        <w:instrText>ADDIN CSL_CITATION {"citationItems":[{"id":"ITEM-1","itemData":{"DOI":"10.1016/j.jcs.2013.01.013","ISSN":"07335210","abstract":"Lunasin is a peptide from soybean seeds which has been demonstrated to have anticancer properties. It has also been reported in cereal seeds: wheat, rye, barley and Triticale. However, extensive searches of transcriptome and DNA sequence databases for wheat and other cereals have failed to identify sequences encoding either the lunasin peptide or a precursor protein. This raises the question of the origin of the lunasin reported in cereal grain. © 2013 Elsevier Ltd.","author":[{"dropping-particle":"","family":"Mitchell","given":"Rowan A.C.","non-dropping-particle":"","parse-names":false,"suffix":""},{"dropping-particle":"","family":"Lovegrove","given":"Alison","non-dropping-particle":"","parse-names":false,"suffix":""},{"dropping-particle":"","family":"Shewry","given":"Peter R.","non-dropping-particle":"","parse-names":false,"suffix":""}],"container-title":"Journal of Cereal Science","id":"ITEM-1","issue":"3","issued":{"date-parts":[["2013","5","1"]]},"page":"267-269","publisher":"Academic Press","title":"Lunasin in cereal seeds: What is the origin?","type":"article-journal","volume":"57"},"uris":["http://www.mendeley.com/documents/?uuid=a1310aff-aa08-3865-b090-ea9b1cd88ee1"]},{"id":"ITEM-2","itemData":{"DOI":"10.1016/j.foodchem.2013.11.119","ISSN":"18737072","PMID":"24423565","abstract":"Lunasin is a peptide whose anticancer properties are widely reported. Originally isolated from soybean seeds, lunasin was also found in cereal (wheat, rye, barley and Triticale), Solanum and amaranthus seeds. However, it was recently reported that searches of transcript and DNA sequence databases for wheat and other cereals failed to identify sequences with similarity to those encoding the lunasin peptide in soy. In order to clarify the presence or absence of lunasin in wheat varieties, a broad investigation based on chemical (LC-ESI-MS) and molecular (PCR) analyses was conducted. Both approaches pointed out the absence of lunasin in the investigated wheat genotypes; in particular no compounds with a molecular weight similar to that of lunasin standard and no lunasin-related sequences were found in the analysed wheat samples. These findings confirm the hypothesis, reported in recent researches, that lunasin is not a wheat-derived peptide. © 2013 Elsevier Ltd. All rights reserved.","author":[{"dropping-particle":"","family":"Dinelli","given":"Giovanni","non-dropping-particle":"","parse-names":false,"suffix":""},{"dropping-particle":"","family":"Bregola","given":"Valeria","non-dropping-particle":"","parse-names":false,"suffix":""},{"dropping-particle":"","family":"Bosi","given":"Sara","non-dropping-particle":"","parse-names":false,"suffix":""},{"dropping-particle":"","family":"Fiori","given":"Jessica","non-dropping-particle":"","parse-names":false,"suffix":""},{"dropping-particle":"","family":"Gotti","given":"Roberto","non-dropping-particle":"","parse-names":false,"suffix":""},{"dropping-particle":"","family":"Simonetti","given":"Emanuela","non-dropping-particle":"","parse-names":false,"suffix":""},{"dropping-particle":"","family":"Trozzi","given":"Caterina","non-dropping-particle":"","parse-names":false,"suffix":""},{"dropping-particle":"","family":"Leoncini","given":"Emanuela","non-dropping-particle":"","parse-names":false,"suffix":""},{"dropping-particle":"","family":"Prata","given":"Cecilia","non-dropping-particle":"","parse-names":false,"suffix":""},{"dropping-particle":"","family":"Massaccesi","given":"Luca","non-dropping-particle":"","parse-names":false,"suffix":""},{"dropping-particle":"","family":"Malaguti","given":"Marco","non-dropping-particle":"","parse-names":false,"suffix":""},{"dropping-particle":"","family":"Quinn","given":"Robert","non-dropping-particle":"","parse-names":false,"suffix":""},{"dropping-particle":"","family":"Hrelia","given":"Silvana","non-dropping-particle":"","parse-names":false,"suffix":""}],"container-title":"Food Chemistry","id":"ITEM-2","issued":{"date-parts":[["2014","5","15"]]},"page":"520-525","publisher":"Elsevier Ltd","title":"Lunasin in wheat: A chemical and molecular study on its presence or absence","type":"article-journal","volume":"151"},"uris":["http://www.mendeley.com/documents/?uuid=1e133534-b065-3619-9a2e-d9a3fc9fa0f7"]}],"mendeley":{"formattedCitation":"[74,75]","plainTextFormattedCitation":"[74,75]","previouslyFormattedCitation":"[74,75]"},"properties":{"noteIndex":0},"schema":"https://github.com/citation-style-language/schema/raw/master/csl-citation.json"}</w:instrText>
      </w:r>
      <w:r>
        <w:rPr>
          <w:lang w:val="es-CO"/>
        </w:rPr>
        <w:fldChar w:fldCharType="separate"/>
      </w:r>
      <w:r w:rsidR="00BA0E53" w:rsidRPr="00BA0E53">
        <w:rPr>
          <w:noProof/>
        </w:rPr>
        <w:t>[74,75]</w:t>
      </w:r>
      <w:r>
        <w:rPr>
          <w:lang w:val="es-CO"/>
        </w:rPr>
        <w:fldChar w:fldCharType="end"/>
      </w:r>
      <w:r>
        <w:t xml:space="preserve">, pointing out the question about the origin of the reported peptides in these sources. An immunological approach revealed that the peptide isolated from some cereals and seeds react with antibodies specific for the N-terminal but not for the C-terminal sequence </w:t>
      </w:r>
      <w:r>
        <w:fldChar w:fldCharType="begin" w:fldLock="1"/>
      </w:r>
      <w:r w:rsidR="006465A0">
        <w:instrText>ADDIN CSL_CITATION {"citationItems":[{"id":"ITEM-1","itemData":{"DOI":"10.1021/acs.jafc.6b00445","ISSN":"15205118","PMID":"27015324","abstract":"Lunasin, a 44 amino acid soybean bioactive peptide, exhibits anticancer and anti-inflammatory properties. All soybean varieties that have been examined contain lunasin. It has also been reported in a few other plant species including amaranth, black nightshade, wheat, barley, rye, and triticale. Interestingly, detailed searches of transcriptome and DNA sequence databases of cereals failed to identify lunasin-coding sequences, raising questions about the authenticity of lunasin in cereals. To clarify the presence or absence of lunasin in cereals and other plant species, an immunological investigation was conducted utilizing polyclonal antibodies raised against the first 20 amino acid N-terminal peptide (SKWQHQQDSCRKQLQGVNLT) and a 15 amino acid C-terminal peptide (CEKHIMEKIQGRGDD) of lunasin. Protein blot analyses revealed the presence of proteins from several plants that reacted against the lunasin N-terminal peptide antibodies. However, the same proteins failed to react against the lunasin C-terminal peptide antibodies. These results demonstrate that peptides identical to soybean lunasin are absent in seeds of diverse plants examined in this study.","author":[{"dropping-particle":"","family":"Alaswad","given":"Alaa A.","non-dropping-particle":"","parse-names":false,"suffix":""},{"dropping-particle":"","family":"Krishnan","given":"Hari B.","non-dropping-particle":"","parse-names":false,"suffix":""}],"container-title":"Journal of Agricultural and Food Chemistry","id":"ITEM-1","issue":"14","issued":{"date-parts":[["2016","4","27"]]},"page":"2901-2909","publisher":"American Chemical Society","title":"Immunological Investigation for the Presence of Lunasin, a Chemopreventive Soybean Peptide, in the Seeds of Diverse Plants","type":"article-journal","volume":"64"},"uris":["http://www.mendeley.com/documents/?uuid=cb1b9e28-a9dc-3f62-800c-bf0d09493218"]}],"mendeley":{"formattedCitation":"[76]","plainTextFormattedCitation":"[76]","previouslyFormattedCitation":"[76]"},"properties":{"noteIndex":0},"schema":"https://github.com/citation-style-language/schema/raw/master/csl-citation.json"}</w:instrText>
      </w:r>
      <w:r>
        <w:fldChar w:fldCharType="separate"/>
      </w:r>
      <w:r w:rsidR="00BA0E53" w:rsidRPr="00BA0E53">
        <w:rPr>
          <w:noProof/>
        </w:rPr>
        <w:t>[76]</w:t>
      </w:r>
      <w:r>
        <w:fldChar w:fldCharType="end"/>
      </w:r>
      <w:r>
        <w:t xml:space="preserve">, suggesting that lunasin-like peptides, but non-identical to the one found in soybeans, are present in these plant materials. Several methods have been designed for the isolation of lunasin using soybeans </w:t>
      </w:r>
      <w:r>
        <w:fldChar w:fldCharType="begin" w:fldLock="1"/>
      </w:r>
      <w:r w:rsidR="006465A0">
        <w:instrText>ADDIN CSL_CITATION {"citationItems":[{"id":"ITEM-1","itemData":{"DOI":"10.1021/jf034460y","ISSN":"00218561","PMID":"14690371","abstract":"Lunasin is a novel and promising chemopreventive peptide from soybean. We have shown previously that lunasin suppresses transformation of mammalian cells caused by chemical carcinogens and inhibits skin carcinogenesis in mice when applied topically. Although the lunasin gene was cloned from soybean, all experiments carried out so far in our lab have used synthetic lunasin and therefore there is no detailed description of natural lunasin isolated from soybean. We report here the first characterization of soybean lunasin that includes definitive identification by mass peptide mapping, partial purification, and measurement of bioactivities of the various purified fractions and protein expression in the developing seed. The identity of lunasin in the seed extracts was established by Western blot analysis and mass spectrometric peptide mapping. All lunasin fractions partially purified by anion exchange and immunoaffinity column chromatography suppress colony formation induced by the ras-oncogene and inhibit core H3-histone acetylation. During seed development, lunasin peptide appears 5 weeks after flowering and persists in the mature seed. Western blot analysis of different soybean varieties and commercially available soy proteins shows the presence of the peptide in varying amounts. These results demonstrate the feasibility of producing large quantities of natural lunasin from soybean for animal and human studies.","author":[{"dropping-particle":"","family":"Jeong","given":"Hyung J.","non-dropping-particle":"","parse-names":false,"suffix":""},{"dropping-particle":"","family":"Park","given":"Jae H.","non-dropping-particle":"","parse-names":false,"suffix":""},{"dropping-particle":"","family":"Lam","given":"Yi","non-dropping-particle":"","parse-names":false,"suffix":""},{"dropping-particle":"","family":"Lumen","given":"Ben O.","non-dropping-particle":"De","parse-names":false,"suffix":""}],"container-title":"Journal of Agricultural and Food Chemistry","id":"ITEM-1","issue":"27","issued":{"date-parts":[["2003","12","31"]]},"page":"7901-7906","publisher":" American Chemical Society ","title":"Characterization of Lunasin Isolated from Soybean","type":"article-journal","volume":"51"},"uris":["http://www.mendeley.com/documents/?uuid=c245aa65-037b-3935-8000-6fb9d9cf8161"]}],"mendeley":{"formattedCitation":"[77]","plainTextFormattedCitation":"[77]","previouslyFormattedCitation":"[77]"},"properties":{"noteIndex":0},"schema":"https://github.com/citation-style-language/schema/raw/master/csl-citation.json"}</w:instrText>
      </w:r>
      <w:r>
        <w:fldChar w:fldCharType="separate"/>
      </w:r>
      <w:r w:rsidR="00BA0E53" w:rsidRPr="00BA0E53">
        <w:rPr>
          <w:noProof/>
        </w:rPr>
        <w:t>[77]</w:t>
      </w:r>
      <w:r>
        <w:fldChar w:fldCharType="end"/>
      </w:r>
      <w:r>
        <w:t xml:space="preserve"> and mostly defatted soy flour </w:t>
      </w:r>
      <w:r>
        <w:fldChar w:fldCharType="begin" w:fldLock="1"/>
      </w:r>
      <w:r w:rsidR="006465A0">
        <w:instrText>ADDIN CSL_CITATION {"citationItems":[{"id":"ITEM-1","itemData":{"DOI":"10.1016/j.foodchem.2008.09.023","ISSN":"03088146","abstract":"Lunasin is a chemopreventive peptide present in soybean and other plant sources. The high cost involved in obtaining synthetic lunasin limits its application in chemopreventive and nutritional interventions. The objective of this study was to isolate, purify and characterise lunasin from defatted soybean flour and determine its in vitro anti-inflammatory activity using RAW 264.7 macrophages. Isolation and purification was achieved by ion-exchange chromatography, ultrafiltration and size exclusion chromatography. The identity of lunasin was established by Western blot, HPLC, MALDI-TOF and LC/MS-MS. The results showed that lunasin eluted from a DEAE anion exchange column at 0.15 M NaCl, and after 1.5 void volumes from size exclusion chromatography. Fractions from both chromatographic techniques consistently showed three peptides with positive immunoreactivity against lunasin mouse monoclonal antibody corresponding to 5, 8 and 14 kDa. LC/MS-MS analysis of the three immunoreactive peptides showed that 5 and 14 kDa bands contained the lunasin epitope, RGDDDDDD DDD while 8 kDa band showed high homology with 2 S soy albumin, a lunasin precursor. This is the first report on the potential anti-inflammatory activity of lunasin. Treatment of RAW 264.7 macrophage with 100 μM lunasin decreased the production of NO (92.6 ± 0.8%) and PGE2 (10.1 ± 4.5%), and the expression of iNOS (27.8 ± 2.1%) and COX-2 (41.4 ± 16.7%). We concluded that combination of ion-exchange chromatography, ultrafiltration and size exclusion chromatography represents a feasible process for the production of purified lunasin, which was also found to inhibit COX-2/PGE2 and iNOS/NO pathways. This newly discovered property of lunasin might contribute to the suppression of inflammation in vivo. © 2008 Elsevier Ltd. All rights reserved.","author":[{"dropping-particle":"","family":"Dia","given":"V. P.","non-dropping-particle":"","parse-names":false,"suffix":""},{"dropping-particle":"","family":"Wang","given":"W.","non-dropping-particle":"","parse-names":false,"suffix":""},{"dropping-particle":"","family":"Oh","given":"V. L.","non-dropping-particle":"","parse-names":false,"suffix":""},{"dropping-particle":"","family":"Lumen","given":"B. O.","non-dropping-particle":"De","parse-names":false,"suffix":""},{"dropping-particle":"","family":"Mejia","given":"E. Gonzalez","non-dropping-particle":"De","parse-names":false,"suffix":""}],"container-title":"Food Chemistry","id":"ITEM-1","issue":"1","issued":{"date-parts":[["2009","5","1"]]},"page":"108-115","publisher":"Elsevier","title":"Isolation, purification and characterisation of lunasin from defatted soybean flour and in vitro evaluation of its anti-inflammatory activity","type":"article-journal","volume":"114"},"uris":["http://www.mendeley.com/documents/?uuid=62081100-263e-3ce5-b7ff-c8b164e67e30"]},{"id":"ITEM-2","itemData":{"DOI":"10.1371/journal.pone.0035409","ISSN":"1932-6203","abstract":"Lunasin is a peptide derived from the soybean 2S albumin seed protein that has both anticancer and anti-inflammatory activities. Large-scale animal studies and human clinical trials to determine the efficacy of lunasin in vivo have been hampered by the cost of synthetic lunasin and the lack of a method for obtaining gram quantities of highly purified lunasin from plant sources. The goal of this study was to develop a large-scale method to generate highly purified lunasin from defatted soy flour. A scalable method was developed that utilizes the sequential application of anion-exchange chromatography, ultrafiltration, and reversed-phase chromatography. This method generates lunasin preparations of &gt;99% purity with a yield of 442 mg/kg defatted soy flour. Mass spectrometry of the purified lunasin revealed that the peptide is 44 amino acids in length and represents the original published sequence of lunasin with an additional C-terminal asparagine residue. Histone-binding assays demonstrated that the biological activity of the purified lunasin was similar to that of synthetic lunasin. This study provides a robust method for purifying commercial-scale quantities of biologically-active lunasin and clearly identifies the predominant form of lunasin in soy flour. This method will greatly facilitate the development of lunasin as a potential nutraceutical or therapeutic anticancer agent. © 2012 Seber et al.","author":[{"dropping-particle":"","family":"Seber","given":"Lauren E.","non-dropping-particle":"","parse-names":false,"suffix":""},{"dropping-particle":"","family":"Barnett","given":"Brian W.","non-dropping-particle":"","parse-names":false,"suffix":""},{"dropping-particle":"","family":"McConnell","given":"Elizabeth J.","non-dropping-particle":"","parse-names":false,"suffix":""},{"dropping-particle":"","family":"Hume","given":"Steven D.","non-dropping-particle":"","parse-names":false,"suffix":""},{"dropping-particle":"","family":"Cai","given":"Jian","non-dropping-particle":"","parse-names":false,"suffix":""},{"dropping-particle":"","family":"Boles","given":"Kati","non-dropping-particle":"","parse-names":false,"suffix":""},{"dropping-particle":"","family":"Davis","given":"Keith R.","non-dropping-particle":"","parse-names":false,"suffix":""}],"container-title":"PLoS ONE","editor":[{"dropping-particle":"","family":"Antopolsky","given":"Maxim","non-dropping-particle":"","parse-names":false,"suffix":""}],"id":"ITEM-2","issue":"4","issued":{"date-parts":[["2012","4","13"]]},"page":"e35409","publisher":"Public Library of Science","title":"Scalable Purification and Characterization of the Anticancer Lunasin Peptide from Soybean","type":"article-journal","volume":"7"},"uris":["http://www.mendeley.com/documents/?uuid=84033bd8-ad6d-3db1-b722-b75d1f034b12"]},{"id":"ITEM-3","itemData":{"DOI":"10.1111/j.1750-3841.2012.02676.x","ISSN":"00221147","abstract":"Lunasin is a bioactive peptide present in soybean. It is important to quantify lunasin concentration in soy products to assess its potential impact as functional food. The objectives of this study were to analyze lunasin in commercial soymilk products and implement an efficient method to isolate and purify it from defatted soybean flour. Defatted soybean flour was suspended in water, and the extract was loaded in a pre-equilibrated diethylaminoethyl column and bound proteins eluted using a step gradient of salt. Most lunasin was eluted from the column at 0.2 to 0.4M NaCl as quantified by immunoassays and purified using ultracentrifugation and ultrafiltration techniques. Lunasin purity was ≥90% and a standard curve was used to quantify its concentration in soymilk products. Concentration of lunasin in soy products, including organic soymilk, soy protein shakes, and soy infant formulas, ranged from 1.78 to 9.26 mg lunasin/100 g product. The concentration per serving ranged from 1.59 ± 0.01 to 22.23 ± 0.74 mg lunasin with variability depending on brand and size per serving. Steam-ground-cooked soy had the highest concentration of lunasin (22.23 ± 0.74 mg/serving), similar to some commercial products. Ground-cooked soymilk contained roughly half the concentration of lunasin (14.39 ± 1.4 mg/serving). Soy infant formulas that used soy protein isolate revealed lower concentrations of lunasin (P &lt; 0.05). It was concluded that all soymilk products analyzed contained lunasin, and a more efficient method to isolate lunasin with higher purity was developed. © 2012 Institute of Food Technologists®.","author":[{"dropping-particle":"","family":"Cavazos","given":"Ariel","non-dropping-particle":"","parse-names":false,"suffix":""},{"dropping-particle":"","family":"Morales","given":"Elsy","non-dropping-particle":"","parse-names":false,"suffix":""},{"dropping-particle":"","family":"Dia","given":"Vermont P.","non-dropping-particle":"","parse-names":false,"suffix":""},{"dropping-particle":"","family":"Mejia","given":"Elvira Gonzalez","non-dropping-particle":"De","parse-names":false,"suffix":""}],"container-title":"Journal of Food Science","id":"ITEM-3","issue":"5","issued":{"date-parts":[["2012","5"]]},"publisher":"J Food Sci","title":"Analysis of Lunasin in Commercial and Pilot Plant Produced Soybean Products and an Improved Method of Lunasin Purification","type":"article-journal","volume":"77"},"uris":["http://www.mendeley.com/documents/?uuid=21e0da8d-70ee-39a9-85d8-cc1826808c96"]}],"mendeley":{"formattedCitation":"[58,63,78]","plainTextFormattedCitation":"[58,63,78]","previouslyFormattedCitation":"[58,63,78]"},"properties":{"noteIndex":0},"schema":"https://github.com/citation-style-language/schema/raw/master/csl-citation.json"}</w:instrText>
      </w:r>
      <w:r>
        <w:fldChar w:fldCharType="separate"/>
      </w:r>
      <w:r w:rsidR="00BA0E53" w:rsidRPr="00BA0E53">
        <w:rPr>
          <w:noProof/>
        </w:rPr>
        <w:t>[58,63,78]</w:t>
      </w:r>
      <w:r>
        <w:fldChar w:fldCharType="end"/>
      </w:r>
      <w:r w:rsidRPr="00634C45">
        <w:t xml:space="preserve">. </w:t>
      </w:r>
      <w:r>
        <w:t xml:space="preserve">However, to date, there have been no attempts to identify or recover lunasin from other byproducts of the soybean industry, such as okara and tofu whey, which are produced in large quantities during soymilk and tofu manufacturing. </w:t>
      </w:r>
    </w:p>
    <w:p w14:paraId="75ADBA52" w14:textId="77777777" w:rsidR="00DD0AC8" w:rsidRDefault="00DD0AC8" w:rsidP="00DD0AC8">
      <w:pPr>
        <w:spacing w:line="480" w:lineRule="auto"/>
        <w:ind w:firstLine="720"/>
      </w:pPr>
    </w:p>
    <w:p w14:paraId="269DF266" w14:textId="33C642C2" w:rsidR="00943C22" w:rsidRPr="002E0B22" w:rsidRDefault="002E0B22" w:rsidP="00DD0AC8">
      <w:pPr>
        <w:pStyle w:val="Heading3"/>
        <w:spacing w:line="480" w:lineRule="auto"/>
        <w:rPr>
          <w:i w:val="0"/>
        </w:rPr>
      </w:pPr>
      <w:bookmarkStart w:id="9" w:name="_Toc77082093"/>
      <w:r>
        <w:rPr>
          <w:i w:val="0"/>
        </w:rPr>
        <w:lastRenderedPageBreak/>
        <w:t xml:space="preserve">1.2.6 </w:t>
      </w:r>
      <w:r w:rsidR="00943C22" w:rsidRPr="002E0B22">
        <w:rPr>
          <w:i w:val="0"/>
        </w:rPr>
        <w:t>Biological activity</w:t>
      </w:r>
      <w:r w:rsidR="00092B52">
        <w:rPr>
          <w:i w:val="0"/>
        </w:rPr>
        <w:t xml:space="preserve"> of lunasin</w:t>
      </w:r>
      <w:bookmarkEnd w:id="9"/>
    </w:p>
    <w:p w14:paraId="54309064" w14:textId="67135939" w:rsidR="007419C4" w:rsidRDefault="00943C22" w:rsidP="001311E7">
      <w:pPr>
        <w:spacing w:line="480" w:lineRule="auto"/>
        <w:ind w:firstLine="720"/>
      </w:pPr>
      <w:r>
        <w:t>Several biological properties are attributed to lunasin. Among them, anti-cancer and anti-inflammatory properties have been the most widely investigated.</w:t>
      </w:r>
    </w:p>
    <w:p w14:paraId="255A2C47" w14:textId="77777777" w:rsidR="00943C22" w:rsidRDefault="007419C4" w:rsidP="00DD0AC8">
      <w:pPr>
        <w:spacing w:line="480" w:lineRule="auto"/>
        <w:rPr>
          <w:bCs/>
          <w:i/>
        </w:rPr>
      </w:pPr>
      <w:r>
        <w:rPr>
          <w:bCs/>
          <w:i/>
        </w:rPr>
        <w:t xml:space="preserve">1.2.6.1 </w:t>
      </w:r>
      <w:r w:rsidR="00943C22" w:rsidRPr="007419C4">
        <w:rPr>
          <w:bCs/>
          <w:i/>
        </w:rPr>
        <w:t>Anti-cancer properties</w:t>
      </w:r>
    </w:p>
    <w:p w14:paraId="25008184" w14:textId="14E55948" w:rsidR="00943C22" w:rsidRDefault="00943C22" w:rsidP="00DD0AC8">
      <w:pPr>
        <w:spacing w:line="480" w:lineRule="auto"/>
        <w:ind w:firstLine="720"/>
      </w:pPr>
      <w:r>
        <w:t xml:space="preserve">In cell cultures, lunasin was shown to prevent the malignant transformation of mammalian cells induced by E1A-oncogene </w:t>
      </w:r>
      <w:r>
        <w:rPr>
          <w:lang w:val="es-CO"/>
        </w:rPr>
        <w:fldChar w:fldCharType="begin" w:fldLock="1"/>
      </w:r>
      <w:r w:rsidR="006465A0">
        <w:instrText>ADDIN CSL_CITATION {"citationItems":[{"id":"ITEM-1","itemData":{"DOI":"10.1207/s15327914nc4701_11","ISSN":"01635581","PMID":"14769542","abstract":"Lunasin™ a novel and promising chemopreventive compound isolated from soybean cotyledon, is a 43-amino acid peptide that contains a-RGD-cell adhesion motif followed by 8 aspartic acid residues at the carboxyl end and a structurally conserved helix region. We showed previously that lunasin peptide applied exogenously reduces foci formation in mouse fibroblast cells treated with chemical carcinogens and inhibits skin tumorigenesis induced by chemical carcinogens in mice when applied topically. In this study, lunasin peptide applied to cell culture suppresses foci formation in E1A-transfected mouse fibroblast NIH 3T3 cells. Within 18 h of exogenous application, lunasin internalizes into the cell and localizes in the nucleus. In an initial study of genes affected by lunasin, the peptide increases p21 protein levels fivefold in cells transfected with E1A but not in untransfected cells. In contrast to its inhibitory effects on cell transformation, lunasin has no effect on growth of immortalized (nontumorigenc) and established cancer cells. This is the first report that lunasin suppresses transformation of mammalian cells induced by an oncogene (E1A) in addition to chemical carcinogens.","author":[{"dropping-particle":"","family":"Lam","given":"Yi","non-dropping-particle":"","parse-names":false,"suffix":""},{"dropping-particle":"","family":"Galvez","given":"Alfredo","non-dropping-particle":"","parse-names":false,"suffix":""},{"dropping-particle":"","family":"Lumen","given":"Ben O.","non-dropping-particle":"De","parse-names":false,"suffix":""}],"container-title":"Nutrition and Cancer","id":"ITEM-1","issue":"1","issued":{"date-parts":[["2003"]]},"page":"88-94","title":"Lunasin™ Suppresses E1A-Mediated Transformation of Mammalian Cells but Does Not Inhibit Growth of Immortalized and Established Cancer Cell Lines","type":"article-journal","volume":"47"},"uris":["http://www.mendeley.com/documents/?uuid=d68a62cd-061a-4221-9d54-05828dd63b59"]},{"id":"ITEM-2","itemData":{"abstract":"Lunasin is a unique 43-amino acid soybean peptide that contains at its carboxyl end: (a) nine Asp (D) residues; (b) an Arg-Gly-Asp (RGD) cell adhesion motif; and (c) a predicted helix with structural homology to a conserved region of chromatin-binding proteins. We demonstrated previously that transfection of mammalian cells with the lunasin gene arrests mitosis, leading to cell death. Here we show that exogenous application of the lunasin peptide inhibits chemical carcinogen-induced transformation of murine fibroblast cells to cancerous foci. To elucidate its mechanism of action, we show that lunasin: (a) internalizes in the cell through the RGD cell adhesion motif; (b) colocalizes with hypoacetylated chromatin; (c) binds preferentially to deacetylated histone H4 in vitro; and (d) inhibits histone H3 and H4 acetylation in vivo in the presence of a histone deacety-lase inhibitor. These results suggest a mechanism whereby lunasin selectively induces apoptosis, mostly in cells undergoing transformation, by preventing histone acetylation. In support of this, lunasin selectively induces apoptosis in E1A-transfected cells but not in nontransformed cells. Finally, in the SENCAR mouse skin cancer model, dermal application of lunasin (250 g/week) reduces skin tumor incidence by 70%, decreases tumor yield/mouse, and delays the appearance of tumors by 2 weeks relative to the positive control. These results point to the role of lunasin as a new chemopreventive agent that functions possibly via a chromatin modification mechanism.","author":[{"dropping-particle":"","family":"Galvez","given":"Alfredo F","non-dropping-particle":"","parse-names":false,"suffix":""},{"dropping-particle":"","family":"Chen","given":"Na","non-dropping-particle":"","parse-names":false,"suffix":""},{"dropping-particle":"","family":"Macasieb","given":"Janet","non-dropping-particle":"","parse-names":false,"suffix":""},{"dropping-particle":"","family":"Lumen","given":"Ben O","non-dropping-particle":"De","parse-names":false,"suffix":""}],"container-title":"Cancer Research","id":"ITEM-2","issued":{"date-parts":[["2001"]]},"page":"7473-7478","title":"Chemopreventive Property of a Soybean Peptide (Lunasin) That Binds to Deacetylated Histones and Inhibits Acetylation 1","type":"article-journal","volume":"61"},"uris":["http://www.mendeley.com/documents/?uuid=b3ae1f44-9d15-3e68-adf7-1e12cf86a93b"]}],"mendeley":{"formattedCitation":"[79,80]","plainTextFormattedCitation":"[79,80]","previouslyFormattedCitation":"[79,80]"},"properties":{"noteIndex":0},"schema":"https://github.com/citation-style-language/schema/raw/master/csl-citation.json"}</w:instrText>
      </w:r>
      <w:r>
        <w:rPr>
          <w:lang w:val="es-CO"/>
        </w:rPr>
        <w:fldChar w:fldCharType="separate"/>
      </w:r>
      <w:r w:rsidR="00BA0E53" w:rsidRPr="00634C45">
        <w:rPr>
          <w:noProof/>
        </w:rPr>
        <w:t>[79,80]</w:t>
      </w:r>
      <w:r>
        <w:rPr>
          <w:lang w:val="es-CO"/>
        </w:rPr>
        <w:fldChar w:fldCharType="end"/>
      </w:r>
      <w:r w:rsidRPr="00BA0E53">
        <w:t xml:space="preserve"> and ras-oncogene </w:t>
      </w:r>
      <w:r>
        <w:rPr>
          <w:lang w:val="es-CO"/>
        </w:rPr>
        <w:fldChar w:fldCharType="begin" w:fldLock="1"/>
      </w:r>
      <w:r w:rsidR="006465A0">
        <w:instrText>ADDIN CSL_CITATION {"citationItems":[{"id":"ITEM-1","itemData":{"DOI":"10.1021/jf0256945","abstract":"Lunasin is a novel peptide originally identified in soybean that suppresses chemical carcinogen-induced transformation in mammalian cells and skin carcinogenesis in mice. Since the lunasin gene was cloned from soybean and the chemically synthesized form of the lunasin peptide has been used in experiments conducted so far, the isolation of lunasin from other natural sources and testing of its biological properties have not been carried out. We report here the isolation, purification, and biological assay of lunasin from barley, a newly found rich source of the peptide. The identity of lunasin was established by Western blot analysis and mass spectrometric peptide mapping of the in-gel tryptic digest of the putative protein band. Lunasin was partially purified with anion exchange and immunoaffinity chromatography. The crude and partially purified lunasin from barley suppressed colony formation in stably ras-transfected mouse fibroblast cells induced with IPTG. These fractions also inhibited histone acetylation in mouse fibroblast NIH 3T3 and human breast MCF-7 cells in the presence of the histone deacetylase inhibitor sodium butyrate.","author":[{"dropping-particle":"","family":"Jeong","given":"Hyung J","non-dropping-particle":"","parse-names":false,"suffix":""},{"dropping-particle":"","family":"Lam","given":"Y I","non-dropping-particle":"","parse-names":false,"suffix":""},{"dropping-particle":"","family":"Lumen","given":"Ben O","non-dropping-particle":"De","parse-names":false,"suffix":""}],"container-title":"Journal of Agricultural and Food Chemistry","id":"ITEM-1","issued":{"date-parts":[["2002"]]},"page":"5903-5908","title":"Barley Lunasin Suppresses ras-Induced Colony Formation and Inhibits Core Histone Acetylation in Mammalian Cells","type":"article-journal","volume":"50"},"uris":["http://www.mendeley.com/documents/?uuid=4a4dca29-01f3-3228-ac86-7bbbbd4e6c7d"]}],"mendeley":{"formattedCitation":"[81]","plainTextFormattedCitation":"[81]","previouslyFormattedCitation":"[81]"},"properties":{"noteIndex":0},"schema":"https://github.com/citation-style-language/schema/raw/master/csl-citation.json"}</w:instrText>
      </w:r>
      <w:r>
        <w:rPr>
          <w:lang w:val="es-CO"/>
        </w:rPr>
        <w:fldChar w:fldCharType="separate"/>
      </w:r>
      <w:r w:rsidR="00BA0E53" w:rsidRPr="00BA0E53">
        <w:rPr>
          <w:noProof/>
        </w:rPr>
        <w:t>[81]</w:t>
      </w:r>
      <w:r>
        <w:rPr>
          <w:lang w:val="es-CO"/>
        </w:rPr>
        <w:fldChar w:fldCharType="end"/>
      </w:r>
      <w:r>
        <w:t xml:space="preserve">, as well as by the chemical carcinogens 7,12-dimethylbenz [a]anthracene and 3-methylcholanthrene </w:t>
      </w:r>
      <w:r>
        <w:rPr>
          <w:lang w:val="es-CO"/>
        </w:rPr>
        <w:fldChar w:fldCharType="begin" w:fldLock="1"/>
      </w:r>
      <w:r w:rsidR="006465A0">
        <w:instrText>ADDIN CSL_CITATION {"citationItems":[{"id":"ITEM-1","itemData":{"DOI":"10.1007/s11130-011-0229-1","ISSN":"09219668","PMID":"21562729","abstract":"Carcinogenesis is a multistage process involving a number of molecular pathways sensitive to intervention. Chemoprevention is defined as the use of natural and/or synthetic substances to block, reverse, or retard the process of carcinogenesis. To achieve greater inhibitory effects on cancer cells, combination of two or more chemopreventive agents is commonly considered as a better preventive and/or therapeutic strategy. Lunasin is a promising cancer preventive peptide identified in soybean and other seeds. Its efficacy has been demonstrated by both in vitro and in vivo models. This peptide has been found to inhibit human breast cancer MDA-MB-231 cells proliferation, suppressing cell cycle progress and inducing cell apoptosis. Moreover, lunasin potentiates the effects on these cells of different synthetic and natural compounds, such as aspirin and anacardic acid. This study explored the role of lunasin, alone and in combination with aspirin and anacardic acid on cell proliferation and foci formation of transformed NIH/3T3 cells induced by chemical carcinogens 7,12-dimethylbenz[a]anthracene or 3-methylcholanthrene. The results revealed that lunasin, acting as a single agent, inhibits cell proliferation and foci formation. When combined with aspirin, these effects were significantly increased, indicating that this combination might be a promising strategy to prevent/treat cancer induced by chemical carcinogens. © 2011 Springer Science+Business Media, LLC.","author":[{"dropping-particle":"","family":"Hsieh","given":"Chia Chien","non-dropping-particle":"","parse-names":false,"suffix":""},{"dropping-particle":"","family":"Hernández-Ledesma","given":"Blanca","non-dropping-particle":"","parse-names":false,"suffix":""},{"dropping-particle":"","family":"Lumen","given":"Ben O.","non-dropping-particle":"de","parse-names":false,"suffix":""}],"container-title":"Plant Foods for Human Nutrition","id":"ITEM-1","issue":"2","issued":{"date-parts":[["2011"]]},"page":"107-113","title":"Lunasin-Aspirin Combination Against NIH/3T3 Cells Transformation Induced by Chemical Carcinogens","type":"article-journal","volume":"66"},"uris":["http://www.mendeley.com/documents/?uuid=7f17f258-49eb-4331-ab82-ba9efdcf1427"]}],"mendeley":{"formattedCitation":"[82]","plainTextFormattedCitation":"[82]","previouslyFormattedCitation":"[82]"},"properties":{"noteIndex":0},"schema":"https://github.com/citation-style-language/schema/raw/master/csl-citation.json"}</w:instrText>
      </w:r>
      <w:r>
        <w:rPr>
          <w:lang w:val="es-CO"/>
        </w:rPr>
        <w:fldChar w:fldCharType="separate"/>
      </w:r>
      <w:r w:rsidR="00BA0E53" w:rsidRPr="00BA0E53">
        <w:rPr>
          <w:noProof/>
        </w:rPr>
        <w:t>[82]</w:t>
      </w:r>
      <w:r>
        <w:rPr>
          <w:lang w:val="es-CO"/>
        </w:rPr>
        <w:fldChar w:fldCharType="end"/>
      </w:r>
      <w:r>
        <w:t xml:space="preserve">, acting as a chemopreventive agent. Lunasin has </w:t>
      </w:r>
      <w:r w:rsidR="00634C45">
        <w:t xml:space="preserve">been </w:t>
      </w:r>
      <w:r>
        <w:t xml:space="preserve">shown </w:t>
      </w:r>
      <w:r w:rsidR="006C7B7D">
        <w:t xml:space="preserve">effective in </w:t>
      </w:r>
      <w:r>
        <w:t>reducing proliferation, inducing cytotoxicity, reducing migratory as well as colony and tumor forming capacity in diverse i</w:t>
      </w:r>
      <w:r>
        <w:rPr>
          <w:i/>
          <w:iCs/>
        </w:rPr>
        <w:t xml:space="preserve">n vitro </w:t>
      </w:r>
      <w:r>
        <w:t xml:space="preserve">models of cancer including leukemia </w:t>
      </w:r>
      <w:r>
        <w:rPr>
          <w:lang w:val="es-CO"/>
        </w:rPr>
        <w:fldChar w:fldCharType="begin" w:fldLock="1"/>
      </w:r>
      <w:r w:rsidR="006465A0">
        <w:instrText>ADDIN CSL_CITATION {"citationItems":[{"id":"ITEM-1","itemData":{"DOI":"10.1002/mnfr.200900073","ISSN":"16134125","PMID":"19937853","abstract":"Lunasin is a novel chemopreventive peptide featuring a cell adhesion motif composed of arginine-glycine-aspartate (RGD) which has been associated to cytotoxicity to established cell lines. The objectives of this study were to determine the effect of lunasin on the viability of L1210 leukemia cells and to understand the underlying mechanisms involved. Pure lunasin and lunasin enriched soy flour (LES) caused cytotoxicity to L1210 leukemia cells with IC50 of 14 and 16 μM (lunasin equivalent), respectively. Simulated gastrointestinal digestion showed that 25% of the original amount of lunasin survived 3 h of pepsin digestion and 3% of lunasin remained after sequential pepsin-pancreatin digestion for a total of 6 h. Cell cycle analysis showed that lunasin caused a dose-dependent G2 cell cycle arrest and apoptosis. Treatment of L1210 leukemia cells with 1 mg/mL of LES for 18 h led to an increase in the amount of apoptotic cells from 2 to 40%. Compared to untreated cells, treatment with 1 mg/mL LES showed a 6-fold increase on the expressions of caspases-8 and -9, and and a 12-fold increase on the expression of caspase-3. These results showed for the first time that lunasin, a naturally occurring peptide containing an RGD motif, caused apoptosis to L1210 leukemia cells through caspase-3 activation. © 2009 WILEY-VCH Verlag GmbH &amp; Co. KGaA, Weinheim.","author":[{"dropping-particle":"","family":"Gonzalez de Mejia","given":"Elvira","non-dropping-particle":"","parse-names":false,"suffix":""},{"dropping-particle":"","family":"Wang","given":"Wenyi","non-dropping-particle":"","parse-names":false,"suffix":""},{"dropping-particle":"","family":"Dia","given":"Vermont P.","non-dropping-particle":"","parse-names":false,"suffix":""}],"container-title":"Molecular Nutrition and Food Research","id":"ITEM-1","issue":"3","issued":{"date-parts":[["2010"]]},"page":"406-414","title":"Lunasin, with an arginine-glycine-aspartic acid motif, causes apoptosis to L1210 leukemia cells by activation of caspase-3","type":"article-journal","volume":"54"},"uris":["http://www.mendeley.com/documents/?uuid=c29d4e4a-83d5-4685-8678-961f3e137d0c"]}],"mendeley":{"formattedCitation":"[83]","plainTextFormattedCitation":"[83]","previouslyFormattedCitation":"[83]"},"properties":{"noteIndex":0},"schema":"https://github.com/citation-style-language/schema/raw/master/csl-citation.json"}</w:instrText>
      </w:r>
      <w:r>
        <w:rPr>
          <w:lang w:val="es-CO"/>
        </w:rPr>
        <w:fldChar w:fldCharType="separate"/>
      </w:r>
      <w:r w:rsidR="00BA0E53" w:rsidRPr="00BA0E53">
        <w:rPr>
          <w:noProof/>
          <w:lang w:val="es-CO"/>
        </w:rPr>
        <w:t>[83]</w:t>
      </w:r>
      <w:r>
        <w:rPr>
          <w:lang w:val="es-CO"/>
        </w:rPr>
        <w:fldChar w:fldCharType="end"/>
      </w:r>
      <w:r>
        <w:rPr>
          <w:lang w:val="es-CO"/>
        </w:rPr>
        <w:t xml:space="preserve">, colon </w:t>
      </w:r>
      <w:r>
        <w:rPr>
          <w:lang w:val="es-CO"/>
        </w:rPr>
        <w:fldChar w:fldCharType="begin" w:fldLock="1"/>
      </w:r>
      <w:r w:rsidR="006465A0">
        <w:rPr>
          <w:lang w:val="es-CO"/>
        </w:rPr>
        <w:instrText>ADDIN CSL_CITATION {"citationItems":[{"id":"ITEM-1","itemData":{"DOI":"10.1016/j.canlet.2010.02.010","ISSN":"03043835","PMID":"20206442","abstract":"Lunasin is a naturally occurring peptide with arginine-glycine-aspartic acid motif associated to its reported biological activity. We aimed to determine the potential of lunasin from soybean to stimulate apoptosis in HT-29 colon cancer cells. Lunasin caused cytotoxicity to HT-29 cells and induced G2/M cell cycle arrest with simultaneous increased in p21 expression. Lunasin-induced apoptosis as evidenced by a twofold increase in the percentage of cells undergoing apoptosis, decreased Bcl-2:Bax ratio from 8.5 to 0.4, increased caspase-3 activity by 77% and increased expression of pro-apoptotic nuclear clusterin by five fold when compared to untreated cells. In conclusion, lunasin stimulated apoptosis in HT-29 cells by activating apoptotic mitochondrial pathways and inducing expression of the pro-apoptotic nuclear clusterin. © 2010 Elsevier Ireland Ltd.","author":[{"dropping-particle":"","family":"Dia","given":"Vermont P.","non-dropping-particle":"","parse-names":false,"suffix":""},{"dropping-particle":"de","family":"Mejia","given":"Elvira Gonzalez","non-dropping-particle":"","parse-names":false,"suffix":""}],"container-title":"Cancer Letters","id":"ITEM-1","issue":"1","issued":{"date-parts":[["2010"]]},"page":"44-53","publisher":"Elsevier Ireland Ltd","title":"Lunasin promotes apoptosis in human colon cancer cells by mitochondrial pathway activation and induction of nuclear clusterin expression","type":"article-journal","volume":"295"},"uris":["http://www.mendeley.com/documents/?uuid=ca2f19d1-0258-4990-a448-9dc7752caaf6"]},{"id":"ITEM-2","itemData":{"DOI":"10.1002/mnfr.201000419","ISSN":"16134125","PMID":"21462330","abstract":"Scope: Lunasin is an arginine-glycine-aspartic acid (RGD) cancer preventive peptide. The objective was to evaluate the potential of lunasin to induce apoptosis in human colon cancer cells and their oxaliplatin-resistant (OxR) variants, and its effect on the expression of human extracellular matrix and adhesion genes. Methods and results: Various human colon cancer cell lines which underwent metastasis were evaluated in vitro using cell flow cytometry and fluorescence microscopy. Lunasin cytotoxicity to different colon cancer cells correlated with the expression of α5b1 integrin, being most potent to KM12L4 cells (IC50=13μM). Lunasin arrested cell cycle at G2/M phase with concomitant increase in the expression of cyclin-dependent kinase inhibitors p21 and p27. Lunasin (5-25μM) activated the apoptotic mitochondrial pathway as evidenced by changes in the expressions of Bcl-2, Bax, nuclear clusterin, cytochrome c and caspase-3 in KM12L4 and KM12L4-OxR. Lunasin increased the activity of initiator caspase-9 leading to the activation of caspase-3 and also modified the expression of human extracellular matrix and adhesion genes, downregulating integrin α5, SELE, MMP10, integrin β2 and COL6A1 by 5.01-, 6.53-, 7.71-, 8.19- and 10.10-fold, respectively, while upregulating COL12A1 by 11.61-fold. Conclusion: Lunasin can be used in cases where resistance to chemotherapy developed. © 2011 WILEY-VCH Verlag GmbH &amp; Co. KGaA, Weinheim.","author":[{"dropping-particle":"","family":"Dia","given":"Vermont P.","non-dropping-particle":"","parse-names":false,"suffix":""},{"dropping-particle":"","family":"Mejia","given":"Elvira Gonzalez","non-dropping-particle":"De","parse-names":false,"suffix":""}],"container-title":"Molecular Nutrition and Food Research","id":"ITEM-2","issue":"4","issued":{"date-parts":[["2011","4","1"]]},"page":"623-634","title":"Lunasin induces apoptosis and modifies the expression of genes associated with extracellular matrix and cell adhesion in human metastatic colon cancer cells","type":"article-journal","volume":"55"},"uris":["http://www.mendeley.com/documents/?uuid=a495c3c7-9af9-4ad8-a008-4ccb8f21decb"]},{"id":"ITEM-3","itemData":{"DOI":"10.3390/ijms21020537","ISSN":"14220067","PMID":"31947688","abstract":"The involvement of cancer stem-like cells (CSC) in the tumor pathogenesis has profound implications for cancer therapy and chemoprevention. Lunasin is a bioactive peptide from soybean and other vegetal sources with proven protective activities against cancer and other chronic diseases. The present study focused on the cytotoxic effect of peptide lunasin in colorectal cancer HCT-116 cells, both the bulk tumor and the CSC subpopulations. Lunasin inhibited the proliferation and the tumorsphere-forming capacity of HCT-116 cells. Flow cytometry results demonstrated that the inhibitory effects were related to apoptosis induction and cell cycle-arrest at G1 phase. Moreover, lunasin caused an increase in the sub-GO/G1 phase of bulk tumor cells, linked to the apoptotic events found. Immunoblotting analysis further showed that lunasin induced apoptosis through activation of caspase-3 and cleavage of PARP, and could modulate cell cycle progress through the cyclin-dependent kinase inhibitor p21. Together, these results provide new evidence on the chemopreventive activity of peptide lunasin on colorectal cancer by modulating both the parental and the tumorsphere-derived subsets of HCT-116 cells.","author":[{"dropping-particle":"","family":"Fernández-tomé","given":"Samuel","non-dropping-particle":"","parse-names":false,"suffix":""},{"dropping-particle":"","family":"Xu","given":"Fei","non-dropping-particle":"","parse-names":false,"suffix":""},{"dropping-particle":"","family":"Han","given":"Yanhui","non-dropping-particle":"","parse-names":false,"suffix":""},{"dropping-particle":"","family":"Hernández-ledesma","given":"Blanca","non-dropping-particle":"","parse-names":false,"suffix":""},{"dropping-particle":"","family":"Xiao","given":"Hang","non-dropping-particle":"","parse-names":false,"suffix":""}],"container-title":"International Journal of Molecular Sciences","id":"ITEM-3","issue":"2","issued":{"date-parts":[["2020","1","2"]]},"publisher":"MDPI AG","title":"Inhibitory effects of peptide lunasin in colorectal cancer hct-116 cells and their tumorsphere- derived subpopulation","type":"article-journal","volume":"21"},"uris":["http://www.mendeley.com/documents/?uuid=05c6fe94-a6d9-3468-bf9f-79f7dfb0e601"]}],"mendeley":{"formattedCitation":"[84–86]","plainTextFormattedCitation":"[84–86]","previouslyFormattedCitation":"[84–86]"},"properties":{"noteIndex":0},"schema":"https://github.com/citation-style-language/schema/raw/master/csl-citation.json"}</w:instrText>
      </w:r>
      <w:r>
        <w:rPr>
          <w:lang w:val="es-CO"/>
        </w:rPr>
        <w:fldChar w:fldCharType="separate"/>
      </w:r>
      <w:r w:rsidR="00BA0E53" w:rsidRPr="00BA0E53">
        <w:rPr>
          <w:noProof/>
          <w:lang w:val="es-CO"/>
        </w:rPr>
        <w:t>[84–86]</w:t>
      </w:r>
      <w:r>
        <w:rPr>
          <w:lang w:val="es-CO"/>
        </w:rPr>
        <w:fldChar w:fldCharType="end"/>
      </w:r>
      <w:r>
        <w:rPr>
          <w:lang w:val="es-CO"/>
        </w:rPr>
        <w:t xml:space="preserve">, </w:t>
      </w:r>
      <w:r w:rsidR="00076926">
        <w:rPr>
          <w:lang w:val="es-CO"/>
        </w:rPr>
        <w:t>breast</w:t>
      </w:r>
      <w:r>
        <w:rPr>
          <w:lang w:val="es-CO"/>
        </w:rPr>
        <w:t xml:space="preserve"> </w:t>
      </w:r>
      <w:r>
        <w:rPr>
          <w:lang w:val="es-CO"/>
        </w:rPr>
        <w:fldChar w:fldCharType="begin" w:fldLock="1"/>
      </w:r>
      <w:r w:rsidR="006465A0">
        <w:rPr>
          <w:lang w:val="es-CO"/>
        </w:rPr>
        <w:instrText>ADDIN CSL_CITATION {"citationItems":[{"id":"ITEM-1","itemData":{"DOI":"10.1007/s12263-012-0307-5","ISSN":"15558932","PMID":"22864686","abstract":"Breast cancer is the leading cause of cancer deaths in women. Diet and lifestyle are major contributing factors to increased breast cancer risk. While mechanisms underlying dietary protection of mammary tumor formation are increasingly elucidated, there remains a dearth of knowledge on the nature and precise actions of specific bioactive components present in foods with purported health effects. The 43-amino acid peptide lunasin (LUN) is found in soybeans, is bioavailable similar to the isoflavone genistein (GEN), and thus may mediate the beneficial effects of soy food consumption. Here, we evaluated whether LUN displays common and distinct actions from those of GEN in non-malignant (mouse HC11) and malignant (human MCF-7) mammary epithelial cells. In MCF-7 cells, LUN up-regulated tumor suppressor phosphatase and tensin homolog deleted in chromosome ten (PTEN) promoter activity, increased PTEN transcript and protein levels and enhanced nuclear PTEN localization, similar to that shown for GEN in mammary epithelial cells. LUN-induced cellular apoptosis, akin to GEN, was mediated by PTEN, but unlike that for GEN, was p53-independent. LUN promoted E-cadherin and β-catenin non-nuclear localization similar to GEN, but unlike GEN, did not influence the proliferative effects of oncogene Wnt1 on HC11 cells. Further, LUN did not recapitulate GEN inhibitory effects on expansion of the cancer stem-like/progenitor population in MCF-7 cells. Results suggest the concerted actions of GEN and LUN on cellular apoptosis for potential mammary tumor preventive effects and highlight whole food consumption rather than intake of specific dietary supplements with limited biological effects for greater health benefits. © 2012 Springer-Verlag.","author":[{"dropping-particle":"","family":"Pabona","given":"John Mark P.","non-dropping-particle":"","parse-names":false,"suffix":""},{"dropping-particle":"","family":"Dave","given":"Bhuvanesh","non-dropping-particle":"","parse-names":false,"suffix":""},{"dropping-particle":"","family":"Su","given":"Ying","non-dropping-particle":"","parse-names":false,"suffix":""},{"dropping-particle":"","family":"Montales","given":"Maria Theresa E.","non-dropping-particle":"","parse-names":false,"suffix":""},{"dropping-particle":"","family":"Lumen","given":"Ben O.","non-dropping-particle":"De","parse-names":false,"suffix":""},{"dropping-particle":"","family":"Mejia","given":"Elvira G.","non-dropping-particle":"De","parse-names":false,"suffix":""},{"dropping-particle":"","family":"Rahal","given":"Omar M.","non-dropping-particle":"","parse-names":false,"suffix":""},{"dropping-particle":"","family":"Simmen","given":"Rosalia C.M.","non-dropping-particle":"","parse-names":false,"suffix":""}],"container-title":"Genes and Nutrition","id":"ITEM-1","issue":"1","issued":{"date-parts":[["2013","1","3"]]},"page":"79-90","publisher":"BioMed Central","title":"The soybean peptide lunasin promotes apoptosis of mammary epithelial cells via induction of tumor suppressor PTEN: Similarities and distinct actions from soy isoflavone genistein","type":"article-journal","volume":"8"},"uris":["http://www.mendeley.com/documents/?uuid=3f0aecac-69b1-3dae-8204-9f15382ca633"]}],"mendeley":{"formattedCitation":"[87]","plainTextFormattedCitation":"[87]","previouslyFormattedCitation":"[87]"},"properties":{"noteIndex":0},"schema":"https://github.com/citation-style-language/schema/raw/master/csl-citation.json"}</w:instrText>
      </w:r>
      <w:r>
        <w:rPr>
          <w:lang w:val="es-CO"/>
        </w:rPr>
        <w:fldChar w:fldCharType="separate"/>
      </w:r>
      <w:r w:rsidR="00BA0E53" w:rsidRPr="00BA0E53">
        <w:rPr>
          <w:noProof/>
          <w:lang w:val="es-CO"/>
        </w:rPr>
        <w:t>[87]</w:t>
      </w:r>
      <w:r>
        <w:rPr>
          <w:lang w:val="es-CO"/>
        </w:rPr>
        <w:fldChar w:fldCharType="end"/>
      </w:r>
      <w:r>
        <w:rPr>
          <w:lang w:val="es-CO"/>
        </w:rPr>
        <w:t xml:space="preserve">, melanoma </w:t>
      </w:r>
      <w:r>
        <w:rPr>
          <w:lang w:val="es-CO"/>
        </w:rPr>
        <w:fldChar w:fldCharType="begin" w:fldLock="1"/>
      </w:r>
      <w:r w:rsidR="006465A0">
        <w:rPr>
          <w:lang w:val="es-CO"/>
        </w:rPr>
        <w:instrText>ADDIN CSL_CITATION {"citationItems":[{"id":"ITEM-1","itemData":{"DOI":"10.18632/oncotarget.11554","ISSN":"19492553","PMID":"27566591","abstract":"Recent studies provide compelling evidence that melanoma is initiated and maintained by a small population of malignant cells called cancer-initiating cells (CICs) that exhibit stem-cell-like properties. Observations that CICs have a distinct biology when compared to that of the bulk tumor cells and, importantly, are resistant to chemotherapies and radiation, suggest that CICs are involved in invasion, metastasis, and ultimately relapse. Lunasin, a bioactive peptide present in soybean, has both chemopreventive activity and chemotherapeutic activity against multiple cancer types. In this study, we tested the potential of Lunasin to specifically target CICs in melanoma tumor cell populations. In vitro studies using human melanoma cell lines showed that Lunasin treatment decreased the size of a subpopulation of melanoma cells expressing the surrogate CIC marker, Aldehyde Dehydrogenase, concomitant with a reduction in the ability to form colonies in soft agar assays, and reduced tumor growth in mouse xenografts. Similarly, Lunasin inhibited colony formation by isolated melanoma CICs in soft agar and reduced oncosphere formation in vitro and substantially inhibited tumor growth in mouse xenografts. Mechanistic studies revealed that Lunasin treatment of isolated melanoma CICs induced expression of the melanocyte-associated differentiation markers Tyrosinase and Microphthalmiaassociated Transcription Factor concomitant with reduced expression of the stemness factor NANOG. These findings document for the first time that Lunasin has significant therapeutic activity against melanoma by specifically targeting melanoma CICs, and inducing a more differentiated, non-CIC phenotype. Thus, Lunasin may represent a novel therapeutic option for both chemoresistant and advanced metastatic melanoma management.","author":[{"dropping-particle":"","family":"Shidal","given":"Chris","non-dropping-particle":"","parse-names":false,"suffix":""},{"dropping-particle":"","family":"Al-Rayyan","given":"Numan","non-dropping-particle":"","parse-names":false,"suffix":""},{"dropping-particle":"","family":"Yaddanapudi","given":"Kavitha","non-dropping-particle":"","parse-names":false,"suffix":""},{"dropping-particle":"","family":"Davis","given":"Keith R.","non-dropping-particle":"","parse-names":false,"suffix":""}],"container-title":"Oncotarget","id":"ITEM-1","issue":"51","issued":{"date-parts":[["2016"]]},"page":"84128-84141","title":"Lunasin is a novel therapeutic agent for targeting melanoma cancer stem cells","type":"article-journal","volume":"7"},"uris":["http://www.mendeley.com/documents/?uuid=380cc8d6-378f-46e4-acca-70adc74f4665"]},{"id":"ITEM-2","itemData":{"DOI":"10.18632/oncotarget.16066","ISSN":"19492553","abstract":"Lunasin is a 44 amino acid peptide with multiple functional domains including an aspartic acid tail, an RGD domain, and a chromatin-binding helical domain. We recently showed that Lunasin induced a phenotype switch of cancer initiating cells (CIC) out of the stem compartment by inducing melanocyte-associated differentiation markers while simultaneously reducing stem-cell-associated transcription factors. In the present study, we advance the hypothesis that Lunasin can reduce pools of melanoma cells with stem cell-like properties, and demonstrate that Lunasin treatment effectively inhibits the invasive potential of CICs in vitro as well as in vivo in a mouse experimental metastasis model. Mice receiving Lunasin treatment had significantly reduced pulmonary colonization after injection of highly metastatic B16-F10 melanoma cells compared to mice in the control group. Mechanistic studies demonstrate that Lunasin reduced activating phosphorylations of the intracellular kinases FAK and AKT as well as reduced histone acetylation of lysine residues in H3 and H4 histones. Using peptides with mutated activity domains, we functionally demonstrated that the RGD domain is necessary for Luna</w:instrText>
      </w:r>
      <w:r w:rsidR="006465A0" w:rsidRPr="004F2E64">
        <w:instrText>sin uptake and its ability to inhibit oncosphere formation by CICs, thus confirming that Lunasin's ability to affect CICs is at least in part due to the suppression of integrin signaling. Our studies suggest that Lunasin represents a unique anticancer agent that could be developed to help prevent metastasis and patient relapse by reducing the activity of CICs which are known to be resistant to current chemotherapies.","author":[{"dropping-particle":"","family":"Shidal","given":"Chris","non-dropping-particle":"","parse-names":false,"suffix":""},{"dropping-particle":"","family":"Inaba","given":"Jun Ichi","non-dropping-particle":"","parse-names":false,"suffix":""},{"dropping-particle":"","family":"Yaddanapudi","given":"Kavitha","non-dropping-particle":"","parse-names":false,"suffix":""},{"dropping-particle":"","family":"Davis","given":"Keith R.","non-dropping-particle":"","parse-names":false,"suffix":""}],"container-title":"Oncotarget","id":"ITEM-2","issue":"15","issued":{"date-parts":[["2017"]]},"page":"25525-25541","title":"The soy-derived peptide Lunasin inhibits invasive potential of melanoma initiating cells","type":"article-journal","volume":"8"},"uris":["http://www.mendeley.com/documents/?uuid=e5f64483-96e2-4d27-8403-b76059385616"]}],"mendeley":{"formattedCitation":"[88,89]","plainTextFormattedCitation":"[88,89]","previouslyFormattedCitation":"[88,89]"},"properties":{"noteIndex":0},"schema":"https://github.com/citation-style-language/schema/raw/master/csl-citation.json"}</w:instrText>
      </w:r>
      <w:r>
        <w:rPr>
          <w:lang w:val="es-CO"/>
        </w:rPr>
        <w:fldChar w:fldCharType="separate"/>
      </w:r>
      <w:r w:rsidR="00BA0E53" w:rsidRPr="00BA0E53">
        <w:rPr>
          <w:noProof/>
        </w:rPr>
        <w:t>[88,89]</w:t>
      </w:r>
      <w:r>
        <w:rPr>
          <w:lang w:val="es-CO"/>
        </w:rPr>
        <w:fldChar w:fldCharType="end"/>
      </w:r>
      <w:r>
        <w:t xml:space="preserve">, and non-small cell lung cancer </w:t>
      </w:r>
      <w:r>
        <w:rPr>
          <w:lang w:val="es-CO"/>
        </w:rPr>
        <w:fldChar w:fldCharType="begin" w:fldLock="1"/>
      </w:r>
      <w:r w:rsidR="006465A0">
        <w:instrText>ADDIN CSL_CITATION {"citationItems":[{"id":"ITEM-1","itemData":{"DOI":"10.18632/oncotarget.3080","ISSN":"19492553","PMID":"25609198","abstract":"Lunasin, a soybean bioactive peptide, has both chemopreventive and chemotherapeutic activities. The aim of this study was to determine the chemotherapeutic potential of lunasin against human lung cancer. Treatment of non-small cell lung cancer (NSCLC) cells with highly purified soybean-derived lunasin caused limited, cell-line specific anti-proliferative effects on anchoragedependent growth whereas two normal bronchial epithelial cell lines were unaffected. Lunasin's antiproliferative effects were potentiated upon utilization of anchorageindependent conditions. Furthermore, NSCLC cell lines that were unaffected by lunasin in anchorage-dependent assays exhibited a dose-dependent inhibition in colony formation or colony size. Mouse xenograft studies revealed that 30 mg lunasin/kg body weight per day decreased NSCLC H1299 tumor volume by 63.0% at day 32. Mechanistic studies using cultured NSCLC H661 cells showed that lunasin inhibited cell cycle progression at the G1/S phase interface without inducing apoptosis. Immunoblot analyses of key cell-cycle proteins demonstrated that lunasin altered the expression of the G1 specific cyclin-dependent kinase complex components, increased levels of p27Kip1, reduced levels of phosphorylated Akt, and ultimately inhibited the sequential phosphorylation of the retinoblastoma protein (RB). These results establish for the first time that lunasin can inhibit NSCLC proliferation by suppressing cell-cycle dependent phosphorylation of RB.","author":[{"dropping-particle":"","family":"McConnell","given":"Elizabeth J.","non-dropping-particle":"","parse-names":false,"suffix":""},{"dropping-particle":"","family":"Devapatla","given":"Bharat","non-dropping-particle":"","parse-names":false,"suffix":""},{"dropping-particle":"","family":"Yaddanapudi","given":"Kavitha","non-dropping-particle":"","parse-names":false,"suffix":""},{"dropping-particle":"","family":"Davis","given":"Keith R.","non-dropping-particle":"","parse-names":false,"suffix":""}],"container-title":"Oncotarget","id":"ITEM-1","issue":"7","issued":{"date-parts":[["2015"]]},"page":"4649-4662","title":"The soybean-derived peptide lunasin inhibits non-small cell lung cancer cell proliferation by suppressing phosphorylation of the retinoblastoma protein","type":"article-journal","volume":"6"},"uris":["http://www.mendeley.com/documents/?uuid=9fb0e240-71cd-471a-a5d9-71b80da57c3f"]}],"mendeley":{"formattedCitation":"[90]","plainTextFormattedCitation":"[90]","previouslyFormattedCitation":"[90]"},"properties":{"noteIndex":0},"schema":"https://github.com/citation-style-language/schema/raw/master/csl-citation.json"}</w:instrText>
      </w:r>
      <w:r>
        <w:rPr>
          <w:lang w:val="es-CO"/>
        </w:rPr>
        <w:fldChar w:fldCharType="separate"/>
      </w:r>
      <w:r w:rsidR="00BA0E53" w:rsidRPr="00BA0E53">
        <w:rPr>
          <w:noProof/>
        </w:rPr>
        <w:t>[90]</w:t>
      </w:r>
      <w:r>
        <w:rPr>
          <w:lang w:val="es-CO"/>
        </w:rPr>
        <w:fldChar w:fldCharType="end"/>
      </w:r>
      <w:r>
        <w:t xml:space="preserve">. These chemotherapeutic effects seem to be mainly mediated by the induction of cell cycle arrest in the G1/S and G2/M phases caused by the upregulation of the p27 and p21 cyclin-dependent kinase inhibitors </w:t>
      </w:r>
      <w:r>
        <w:rPr>
          <w:lang w:val="es-CO"/>
        </w:rPr>
        <w:fldChar w:fldCharType="begin" w:fldLock="1"/>
      </w:r>
      <w:r w:rsidR="006465A0">
        <w:instrText>ADDIN CSL_CITATION {"citationItems":[{"id":"ITEM-1","itemData":{"DOI":"10.1002/mnfr.200900073","ISSN":"16134125","PMID":"19937853","abstract":"Lunasin is a novel chemopreventive peptide featuring a cell adhesion motif composed of arginine-glycine-aspartate (RGD) which has been associated to cytotoxicity to established cell lines. The objectives of this study were to determine the effect of lunasin on the viability of L1210 leukemia cells and to understand the underlying mechanisms involved. Pure lunasin and lunasin enriched soy flour (LES) caused cytotoxicity to L1210 leukemia cells with IC50 of 14 and 16 μM (lunasin equivalent), respectively. Simulated gastrointestinal digestion showed that 25% of the original amount of lunasin survived 3 h of pepsin digestion and 3% of lunasin remained after sequential pepsin-pancreatin digestion for a total of 6 h. Cell cycle analysis showed that lunasin caused a dose-dependent G2 cell cycle arrest and apoptosis. Treatment of L1210 leukemia cells with 1 mg/mL of LES for 18 h led to an increase in the amount of apoptotic cells from 2 to 40%. Compared to untreated cells, treatment with 1 mg/mL LES showed a 6-fold increase on the expressions of caspases-8 and -9, and and a 12-fold increase on the expression of caspase-3. These results showed for the first time that lunasin, a naturally occurring peptide containing an RGD motif, caused apoptosis to L1210 leukemia cells through caspase-3 activation. © 2009 WILEY-VCH Verlag GmbH &amp; Co. KGaA, Weinheim.","author":[{"dropping-particle":"","family":"Gonzalez de Mejia","given":"Elvira","non-dropping-particle":"","parse-names":false,"suffix":""},{"dropping-particle":"","family":"Wang","given":"Wenyi","non-dropping-particle":"","parse-names":false,"suffix":""},{"dropping-particle":"","family":"Dia","given":"Vermont P.","non-dropping-particle":"","parse-names":false,"suffix":""}],"container-title":"Molecular Nutrition and Food Research","id":"ITEM-1","issue":"3","issued":{"date-parts":[["2010"]]},"page":"406-414","title":"Lunasin, with an arginine-glycine-aspartic acid motif, causes apoptosis to L1210 leukemia cells by activation of caspase-3","type":"article-journal","volume":"54"},"uris":["http://www.mendeley.com/documents/?uuid=c29d4e4a-83d5-4685-8678-961f3e137d0c"]},{"id":"ITEM-2","itemData":{"DOI":"10.1016/j.canlet.2010.02.010","ISSN":"03043835","PMID":"20206442","abstract":"Lunasin is a naturally occurring peptide with arginine-glycine-aspartic acid motif associated to its reported biological activity. We aimed to determine the potential of lunasin from soybean to stimulate apoptosis in HT-29 colon cancer cells. Lunasin caused cytotoxicity to HT-29 cells and induced G2/M cell cycle arrest with simultaneous increased in p21 expression. Lunasin-induced apoptosis as evidenced by a twofold increase in the percentage of cells undergoing apoptosis, decreased Bcl-2:Bax ratio from 8.5 to 0.4, increased caspase-3 activity by 77% and increased expression of pro-apoptotic nuclear clusterin by five fold when compared to untreated cells. In conclusion, lunasin stimulated apoptosis in HT-29 cells by activating apoptotic mitochondrial pathways and inducing expression of the pro-apoptotic nuclear clusterin. © 2010 Elsevier Ireland Ltd.","author":[{"dropping-particle":"","family":"Dia","given":"Vermont P.","non-dropping-particle":"","parse-names":false,"suffix":""},{"dropping-particle":"de","family":"Mejia","given":"Elvira Gonzalez","non-dropping-particle":"","parse-names":false,"suffix":""}],"container-title":"Cancer Letters","id":"ITEM-2","issue":"1","issued":{"date-parts":[["2010"]]},"page":"44-53","publisher":"Elsevier Ireland Ltd","title":"Lunasin promotes apoptosis in human colon cancer cells by mitochondrial pathway activation and induction of nuclear clusterin expression","type":"article-journal","volume":"295"},"uris":["http://www.mendeley.com/documents/?uuid=ca2f19d1-0258-4990-a448-9dc7752caaf6"]},{"id":"ITEM-3","itemData":{"DOI":"10.18632/oncotarget.3080","ISSN":"19492553","PMID":"25609198","abstract":"Lunasin, a soybean bioactive peptide, has both chemopreventive and chemotherapeutic activities. The aim of this study was to determine the chemotherapeutic potential of lunasin against human lung cancer. Treatment of non-small cell lung cancer (NSCLC) cells with highly purified soybean-derived lunasin caused limited, cell-line specific anti-proliferative effects on anchoragedependent growth whereas two normal bronchial epithelial cell lines were unaffected. Lunasin's antiproliferative effects were potentiated upon utilization of anchorageindependent conditions. Furthermore, NSCLC cell lines that were unaffected by lunasin in anchorage-dependent assays exhibited a dose-dependent inhibition in colony formation or colony size. Mouse xenograft studies revealed that 30 mg lunasin/kg body weight per day decreased NSCLC H1299 tumor volume by 63.0% at day 32. Mechanistic studies using cultured NSCLC H661 cells showed that lunasin inhibited cell cycle progression at the G1/S phase interface without inducing apoptosis. Immunoblot analyses of key cell-cycle proteins demonstrated that lunasin altered the expression of the G1 specific cyclin-dependent kinase complex components, increased levels of p27Kip1, reduced levels of phosphorylated Akt, and ultimately inhibited the sequential phosphorylation of the retinoblastoma protein (RB). These results establish for the first time that lunasin can inhibit NSCLC proliferation by suppressing cell-cycle dependent phosphorylation of RB.","author":[{"dropping-particle":"","family":"McConnell","given":"Elizabeth J.","non-dropping-particle":"","parse-names":false,"suffix":""},{"dropping-particle":"","family":"Devapatla","given":"Bharat","non-dropping-particle":"","parse-names":false,"suffix":""},{"dropping-particle":"","family":"Yaddanapudi","given":"Kavitha","non-dropping-particle":"","parse-names":false,"suffix":""},{"dropping-particle":"","family":"Davis","given":"Keith R.","non-dropping-particle":"","parse-names":false,"suffix":""}],"container-title":"Oncotarget","id":"ITEM-3","issue":"7","issued":{"date-parts":[["2015"]]},"page":"4649-4662","title":"The soybean-derived peptide lunasin inhibits non-small cell lung cancer cell proliferation by suppressing phosphorylation of the retinoblastoma protein","type":"article-journal","volume":"6"},"uris":["http://www.mendeley.com/documents/?uuid=9fb0e240-71cd-471a-a5d9-71b80da57c3f"]},{"id":"ITEM-4","itemData":{"DOI":"10.3390/ijms21020537","ISSN":"14220067","PMID":"31947688","abstract":"The involvement of cancer stem-like cells (CSC) in the tumor pathogenesis has profound implications for cancer therapy and chemoprevention. Lunasin is a bioactive peptide from soybean and other vegetal sources with proven protective activities against cancer and other chronic diseases. The present study focused on the cytotoxic effect of peptide lunasin in colorectal cancer HCT-116 cells, both the bulk tumor and the CSC subpopulations. Lunasin inhibited the proliferation and the tumorsphere-forming capacity of HCT-116 cells. Flow cytometry results demonstrated that the inhibitory effects were related to apoptosis induction and cell cycle-arrest at G1 phase. Moreover, lunasin caused an increase in the sub-GO/G1 phase of bulk tumor cells, linked to the apoptotic events found. Immunoblotting analysis further showed that lunasin induced apoptosis through activation of caspase-3 and cleavage of PARP, and could modulate cell cycle progress through the cyclin-dependent kinase inhibitor p21. Together, these results provide new evidence on the chemopreventive activity of peptide lunasin on colorectal cancer by modulating both the parental and the tumorsphere-derived subsets of HCT-116 cells.","author":[{"dropping-particle":"","family":"Fernández-tomé","given":"Samuel","non-dropping-particle":"","parse-names":false,"suffix":""},{"dropping-particle":"","family":"Xu","given":"Fei","non-dropping-particle":"","parse-names":false,"suffix":""},{"dropping-particle":"","family":"Han","given":"Yanhui","non-dropping-particle":"","parse-names":false,"suffix":""},{"dropping-particle":"","family":"Hernández-ledesma","given":"Blanca","non-dropping-particle":"","parse-names":false,"suffix":""},{"dropping-particle":"","family":"Xiao","given":"Hang","non-dropping-particle":"","parse-names":false,"suffix":""}],"container-title":"International Journal of Molecular Sciences","id":"ITEM-4","issue":"2","issued":{"date-parts":[["2020","1","2"]]},"publisher":"MDPI AG","title":"Inhibitory effects of peptide lunasin in colorectal cancer hct-116 cells and their tumorsphere- derived subpopulation","type":"article-journal","volume":"21"},"uris":["http://www.mendeley.com/documents/?uuid=05c6fe94-a6d9-3468-bf9f-79f7dfb0e601"]}],"mendeley":{"formattedCitation":"[83,84,86,90]","plainTextFormattedCitation":"[83,84,86,90]","previouslyFormattedCitation":"[83,84,86,90]"},"properties":{"noteIndex":0},"schema":"https://github.com/citation-style-language/schema/raw/master/csl-citation.json"}</w:instrText>
      </w:r>
      <w:r>
        <w:rPr>
          <w:lang w:val="es-CO"/>
        </w:rPr>
        <w:fldChar w:fldCharType="separate"/>
      </w:r>
      <w:r w:rsidR="00BA0E53" w:rsidRPr="00BA0E53">
        <w:rPr>
          <w:noProof/>
        </w:rPr>
        <w:t>[83,84,86,90]</w:t>
      </w:r>
      <w:r>
        <w:rPr>
          <w:lang w:val="es-CO"/>
        </w:rPr>
        <w:fldChar w:fldCharType="end"/>
      </w:r>
      <w:r>
        <w:t xml:space="preserve">, and in some cases by the promotion of apoptosis via the mitochondrial pathway </w:t>
      </w:r>
      <w:r>
        <w:rPr>
          <w:lang w:val="es-CO"/>
        </w:rPr>
        <w:fldChar w:fldCharType="begin" w:fldLock="1"/>
      </w:r>
      <w:r w:rsidR="006465A0">
        <w:instrText>ADDIN CSL_CITATION {"citationItems":[{"id":"ITEM-1","itemData":{"DOI":"10.1002/mnfr.200900073","ISSN":"16134125","PMID":"19937853","abstract":"Lunasin is a novel chemopreventive peptide featuring a cell adhesion motif composed of arginine-glycine-aspartate (RGD) which has been associated to cytotoxicity to established cell lines. The objectives of this study were to determine the effect of lunasin on the viability of L1210 leukemia cells and to understand the underlying mechanisms involved. Pure lunasin and lunasin enriched soy flour (LES) caused cytotoxicity to L1210 leukemia cells with IC50 of 14 and 16 μM (lunasin equivalent), respectively. Simulated gastrointestinal digestion showed that 25% of the original amount of lunasin survived 3 h of pepsin digestion and 3% of lunasin remained after sequential pepsin-pancreatin digestion for a total of 6 h. Cell cycle analysis showed that lunasin caused a dose-dependent G2 cell cycle arrest and apoptosis. Treatment of L1210 leukemia cells with 1 mg/mL of LES for 18 h led to an increase in the amount of apoptotic cells from 2 to 40%. Compared to untreated cells, treatment with 1 mg/mL LES showed a 6-fold increase on the expressions of caspases-8 and -9, and and a 12-fold increase on the expression of caspase-3. These results showed for the first time that lunasin, a naturally occurring peptide containing an RGD motif, caused apoptosis to L1210 leukemia cells through caspase-3 activation. © 2009 WILEY-VCH Verlag GmbH &amp; Co. KGaA, Weinheim.","author":[{"dropping-particle":"","family":"Gonzalez de Mejia","given":"Elvira","non-dropping-particle":"","parse-names":false,"suffix":""},{"dropping-particle":"","family":"Wang","given":"Wenyi","non-dropping-particle":"","parse-names":false,"suffix":""},{"dropping-particle":"","family":"Dia","given":"Vermont P.","non-dropping-particle":"","parse-names":false,"suffix":""}],"container-title":"Molecular Nutrition and Food Research","id":"ITEM-1","issue":"3","issued":{"date-parts":[["2010"]]},"page":"406-414","title":"Lunasin, with an arginine-glycine-aspartic acid motif, causes apoptosis to L1210 leukemia cells by activation of caspase-3","type":"article-journal","volume":"54"},"uris":["http://www.mendeley.com/documents/?uuid=c29d4e4a-83d5-4685-8678-961f3e137d0c"]},{"id":"ITEM-2","itemData":{"DOI":"10.1016/j.canlet.2010.02.010","ISSN":"03043835","PMID":"20206442","abstract":"Lunasin is a naturally occurring peptide with arginine-glycine-aspartic acid motif associated to its reported biological activity. We aimed to determine the potential of lunasin from soybean to stimulate apoptosis in HT-29 colon cancer cells. Lunasin caused cytotoxicity to HT-29 cells and induced G2/M cell cycle arrest with simultaneous increased in p21 expression. Lunasin-induced apoptosis as evidenced by a twofold increase in the percentage of cells undergoing apoptosis, decreased Bcl-2:Bax ratio from 8.5 to 0.4, increased caspase-3 activity by 77% and increased expression of pro-apoptotic nuclear clusterin by five fold when compared to untreated cells. In conclusion, lunasin stimulated apoptosis in HT-29 cells by activating apoptotic mitochondrial pathways and inducing expression of the pro-apoptotic nuclear clusterin. © 2010 Elsevier Ireland Ltd.","author":[{"dropping-particle":"","family":"Dia","given":"Vermont P.","non-dropping-particle":"","parse-names":false,"suffix":""},{"dropping-particle":"de","family":"Mejia","given":"Elvira Gonzalez","non-dropping-particle":"","parse-names":false,"suffix":""}],"container-title":"Cancer Letters","id":"ITEM-2","issue":"1","issued":{"date-parts":[["2010"]]},"page":"44-53","publisher":"Elsevier Ireland Ltd","title":"Lunasin promotes apoptosis in human colon cancer cells by mitochondrial pathway activation and induction of nuclear clusterin expression","type":"article-journal","volume":"295"},"uris":["http://www.mendeley.com/documents/?uuid=ca2f19d1-0258-4990-a448-9dc7752caaf6"]}],"mendeley":{"formattedCitation":"[83,84]","plainTextFormattedCitation":"[83,84]","previouslyFormattedCitation":"[83,84]"},"properties":{"noteIndex":0},"schema":"https://github.com/citation-style-language/schema/raw/master/csl-citation.json"}</w:instrText>
      </w:r>
      <w:r>
        <w:rPr>
          <w:lang w:val="es-CO"/>
        </w:rPr>
        <w:fldChar w:fldCharType="separate"/>
      </w:r>
      <w:r w:rsidR="00BA0E53" w:rsidRPr="00BA0E53">
        <w:rPr>
          <w:noProof/>
          <w:lang w:val="es-CO"/>
        </w:rPr>
        <w:t>[83,84]</w:t>
      </w:r>
      <w:r>
        <w:rPr>
          <w:lang w:val="es-CO"/>
        </w:rPr>
        <w:fldChar w:fldCharType="end"/>
      </w:r>
      <w:r>
        <w:rPr>
          <w:lang w:val="es-CO"/>
        </w:rPr>
        <w:t xml:space="preserve">, mediated by PTEN </w:t>
      </w:r>
      <w:r>
        <w:rPr>
          <w:lang w:val="es-CO"/>
        </w:rPr>
        <w:fldChar w:fldCharType="begin" w:fldLock="1"/>
      </w:r>
      <w:r w:rsidR="006465A0">
        <w:rPr>
          <w:lang w:val="es-CO"/>
        </w:rPr>
        <w:instrText>ADDIN CSL_CITATION {"citationItems":[{"id":"ITEM-1","itemData":{"DOI":"10.1007/s12263-012-0307-5","ISSN":"15558932","PMID":"22864686","abstract":"Breast cancer is the leading cause of cancer deaths in women. Diet and lifestyle are major contributing factors to increased breast cancer risk. While mechanisms underlying dietary protection of mammary tumor formation are increasingly elucidated, there remains a dearth of knowledge on the nature and precise actions of specific bioactive components present in foods with purported health effects. The 43-amino acid peptide lunasin (LUN) is found in soybeans, is bioavailable similar to the isoflavone genistein (GEN), and thus may mediate the beneficial effects of soy food consumption. Here, we evaluated whether LUN displays common and distinct actions from those of GEN in non-malignant (mouse HC11) and malignant (human MCF-7) mammary epithelial cells. In MCF-7 cells, LUN up-regulated tumor suppressor phosphatase and tensin homolog deleted in chromosome ten (PTEN) promoter activity, increased PTEN transcript and protein levels and enhanced nuclear PTEN localization, similar to that shown for GEN in mammary epithelial cells. LUN-induced cellular apoptosis, akin to GEN, was mediated by PTEN, but unlike that for GEN, was p53-independent. LUN promoted E-cadherin and β-catenin non-nuclear localization similar to GEN, but unlike GEN, did not influence the proliferative effects of oncogene Wnt1 on HC11 cells. Further, LUN did not recapitulate GEN inhibitory effects on expansion of the cancer stem-like/progenitor population in MCF-7 cells. Results suggest the concerted actions of GEN and LUN on cellular apoptosis for potential mammary tumor preventive effects and highlight whole food consumption rather than intake of specific dietary supplements with limited biological effects for greater health benefits. © 2012 Springer-Verlag.","author":[{"dropping-particle":"","family":"Pabona","given":"John Mark P.","non-dropping-particle":"","parse-names":false,"suffix":""},{"dropping-particle":"","family":"Dave","given":"Bhuvane</w:instrText>
      </w:r>
      <w:r w:rsidR="006465A0" w:rsidRPr="004635FE">
        <w:instrText>sh","non-dropping-particle":"","parse-names":false,"suffix":""},{"dropping-particle":"","family":"Su","given":"Ying","non-dropping-particle":"","parse-names":false,"suffix":""},{"dropping-particle":"","family":"Montales","given":"Maria Theresa E.","non-dropping-particle":"","parse-names":false,"suffix":""},{"dropping-particle":"","family":"Lumen","given":"Ben O.","non-dropping-particle":"De","parse-names":false,"suffix":""},{"dropping-particle":"","family":"Mejia","given":"Elvira G.","non-dropping-particle":"De","parse-names":false,"suffix":""},{"dropping-particle":"","family":"Rahal","given":"Omar M.","non-dropping-particle":"","parse-names":false,"suffix":""},{"dropping-particle":"","family":"Simmen","given":"Rosalia C.M.","non-dropping-particle":"","parse-names":false,"suffix":""}],"container-title":"Genes and Nutrition","id":"ITEM-1","issue":"1","issued":{"date-parts":[["2013","1","3"]]},"page":"79-90","publisher":"BioMed Central","title":"The soybean peptide lunasin promotes apoptosis of mammary epithelial cells via induction of tumor suppressor PTEN: Similarities and distinct actions from soy isoflavone genistein","type":"article-journal","volume":"8"},"uris":["http://www.mendeley.com/documents/?uuid=3f0aecac-69b1-3dae-8204-9f15382ca633"]}],"mendeley":{"formattedCitation":"[87]","plainTextFormattedCitation":"[87]","previouslyFormattedCitation":"[87]"},"properties":{"noteIndex":0},"schema":"https://github.com/citation-style-language/schema/raw/master/csl-citation.json"}</w:instrText>
      </w:r>
      <w:r>
        <w:rPr>
          <w:lang w:val="es-CO"/>
        </w:rPr>
        <w:fldChar w:fldCharType="separate"/>
      </w:r>
      <w:r w:rsidR="00BA0E53" w:rsidRPr="00A909CB">
        <w:rPr>
          <w:noProof/>
        </w:rPr>
        <w:t>[87]</w:t>
      </w:r>
      <w:r>
        <w:rPr>
          <w:lang w:val="es-CO"/>
        </w:rPr>
        <w:fldChar w:fldCharType="end"/>
      </w:r>
      <w:r w:rsidRPr="00A909CB">
        <w:t xml:space="preserve">, PARP </w:t>
      </w:r>
      <w:r>
        <w:rPr>
          <w:lang w:val="es-CO"/>
        </w:rPr>
        <w:fldChar w:fldCharType="begin" w:fldLock="1"/>
      </w:r>
      <w:r w:rsidR="006465A0" w:rsidRPr="004635FE">
        <w:instrText>ADDIN CSL_CITATION {"citationItems":[{"id":"ITEM-1","itemData":{"DOI":"10.3390/ijms21020537","ISSN":"14220067","PMID":"31947688","abstract":"The involvement of cancer stem-like cells (CSC) in the tumor pathogenesis has profound implications for cancer therapy and chemoprevention. Lunasin is a bioactive peptide from soybean and other vegetal sources with proven protective activities against cancer and other chronic diseases. The present study focused on the cytotoxic effect of peptide lunasin in colorectal cancer HCT-116 cells, both the bulk tumor and the CSC subpopulations. Lunasin inhibited the proliferation and the tumorsphere-forming capacity of HCT-116 cells. Flow cytometry results demonstrated that the inhibitory effects were related to apoptosis induction and cell cycle-arrest at G1 phase. Moreover, lunasin caused an increase in the sub-GO/G1 phase of bulk tumor cells, linked to the apoptotic events found. Immunoblotting analysis further showed that lunasin induced apoptosis through activation of caspase-3 and cleavage of PARP, and could modulate cell cycle progress through the cyclin-dependent kinase inhibitor p21. Together, these results provide new evidence on the chemopreventive activity of peptide lunasin on colorectal cancer by modulating both the parental and the tumorsphere-derived subsets of HCT-116 cells.","author":[{"dropping-particle":"","family":"Fernández-tomé","given":"Samuel","non-dropping-particle":"","parse-names":false,"suffix":""},{"dropping-particle":"","family":"Xu","given":"Fei","non-dropping-particle":"","parse-names":false,"suffix":""},{"dropping-particle":"","family":"Han","given":"Yanhui","non-dropping-particle":"","parse-names":false,"suffix":""},{"dropping-particle":"","family":"Hernández-ledesma","given":"Blanca","non-dropping-particle":"","parse-names":false,"suffix":""},{"dropping-particle":"","family":"Xiao","given":"Hang","non-dropping-particle":"","parse-names":false,"suffix":""}],"container-title":"International Journal of Molecular Sciences","id":"ITEM-1","issue":"2","issued":{"date-parts":[["2020","1","2"]]},"publisher":"MDPI AG","title":"Inhibitory effects of peptide lunasin in colorectal cancer hct-116 cells and their tumorsphere- derived subpopulation","type":"article-journal","volume":"21"},"uris":["http://www.mendeley.com/documents/?uuid=05c6fe94-a6d9-3468-bf9f-79f7dfb0e601"]}],"mendeley":{"formattedCitation":"[86]","plainTextFormattedCitation":"[86]","previouslyFormattedCitation":"[86]"},"properties":{"noteIndex":0},"schema":"https://github.com/citation-style-language/schema/raw/master/csl-citation.json"}</w:instrText>
      </w:r>
      <w:r>
        <w:rPr>
          <w:lang w:val="es-CO"/>
        </w:rPr>
        <w:fldChar w:fldCharType="separate"/>
      </w:r>
      <w:r w:rsidR="00BA0E53" w:rsidRPr="00A909CB">
        <w:rPr>
          <w:noProof/>
        </w:rPr>
        <w:t>[86]</w:t>
      </w:r>
      <w:r>
        <w:rPr>
          <w:lang w:val="es-CO"/>
        </w:rPr>
        <w:fldChar w:fldCharType="end"/>
      </w:r>
      <w:r w:rsidRPr="00A909CB">
        <w:t xml:space="preserve">, Bcl-2, Bax, and cytochrome C </w:t>
      </w:r>
      <w:r>
        <w:rPr>
          <w:lang w:val="es-CO"/>
        </w:rPr>
        <w:fldChar w:fldCharType="begin" w:fldLock="1"/>
      </w:r>
      <w:r w:rsidR="006465A0" w:rsidRPr="004635FE">
        <w:instrText xml:space="preserve">ADDIN CSL_CITATION {"citationItems":[{"id":"ITEM-1","itemData":{"DOI":"10.1002/mnfr.201000419","ISSN":"16134125","PMID":"21462330","abstract":"Scope: Lunasin is an arginine-glycine-aspartic acid (RGD) cancer preventive peptide. The objective was to evaluate the potential of lunasin to induce apoptosis in human colon cancer cells and their oxaliplatin-resistant (OxR) variants, and its effect on the expression of human extracellular matrix and adhesion genes. Methods and results: Various human colon cancer cell lines which underwent metastasis were evaluated in vitro using cell flow cytometry and fluorescence microscopy. Lunasin cytotoxicity to different colon cancer cells correlated with the expression of </w:instrText>
      </w:r>
      <w:r w:rsidR="006465A0">
        <w:rPr>
          <w:lang w:val="es-CO"/>
        </w:rPr>
        <w:instrText>α</w:instrText>
      </w:r>
      <w:r w:rsidR="006465A0" w:rsidRPr="004635FE">
        <w:instrText>5b1 integrin, being most potent to KM12L4 cells (IC50=13</w:instrText>
      </w:r>
      <w:r w:rsidR="006465A0">
        <w:rPr>
          <w:lang w:val="es-CO"/>
        </w:rPr>
        <w:instrText>μ</w:instrText>
      </w:r>
      <w:r w:rsidR="006465A0" w:rsidRPr="004635FE">
        <w:instrText>M). Lunasin arrested cell cycle at G2/M phase with concomitant increase in the expression of cyclin-dependent kinase inhibitors p21 and p27. Lunasin (5-25</w:instrText>
      </w:r>
      <w:r w:rsidR="006465A0">
        <w:rPr>
          <w:lang w:val="es-CO"/>
        </w:rPr>
        <w:instrText>μ</w:instrText>
      </w:r>
      <w:r w:rsidR="006465A0" w:rsidRPr="004635FE">
        <w:instrText xml:space="preserve">M) activated the apoptotic mitochondrial pathway as evidenced by changes in the expressions of Bcl-2, Bax, nuclear clusterin, cytochrome c and caspase-3 in KM12L4 and KM12L4-OxR. Lunasin increased the activity of initiator caspase-9 leading to the activation of caspase-3 and also modified the expression of human extracellular matrix and adhesion genes, downregulating integrin </w:instrText>
      </w:r>
      <w:r w:rsidR="006465A0">
        <w:rPr>
          <w:lang w:val="es-CO"/>
        </w:rPr>
        <w:instrText>α</w:instrText>
      </w:r>
      <w:r w:rsidR="006465A0" w:rsidRPr="004635FE">
        <w:instrText xml:space="preserve">5, SELE, MMP10, integrin </w:instrText>
      </w:r>
      <w:r w:rsidR="006465A0">
        <w:rPr>
          <w:lang w:val="es-CO"/>
        </w:rPr>
        <w:instrText>β</w:instrText>
      </w:r>
      <w:r w:rsidR="006465A0" w:rsidRPr="004635FE">
        <w:instrText>2 and COL6A1 by 5.01-, 6.53-, 7.71-, 8.19- and 10.10-fold, respectively, while upregulating COL12A1 by 11.61-fold. Conclusion: Lunasin can be used in cases where resistance to chemotherapy developed. © 2011 WILEY-VCH Verlag GmbH &amp; Co. KGaA, Weinheim.","author":[{"dropping-particle":"","family":"Dia","given":"Vermont P.","non-dropping-particle":"","parse-names":false,"suffix":""},{"dropping-particle":"","family":"Mejia","given":"Elvira Gonzalez","non-dropping-particle":"De","parse-names":false,"suffix":""}],"container-title":"Molecular Nutrition and Food Research","id":"ITEM-1","issue":"4","issued":{"date-parts":[["2011","4","1"]]},"page":"623-634","title":"Lunasin induces apoptosis and modifies the expression of genes associated with extracellular matrix and cell adhesion in human metastatic colon cancer cells","type":"article-journal","volume":"55"},"uris":["http://www.mendeley.com/documents/?uuid=a495c3c7-9af9-4ad8-a008-4ccb8f21decb"]}],"mendeley":{"formattedCitation":"[85]","plainTextFormattedCitation":"[85]","previouslyFormattedCitation":"[85]"},"properties":{"noteIndex":0},"schema":"https://github.com/citation-style-language/schema/raw/master/csl-citation.json"}</w:instrText>
      </w:r>
      <w:r>
        <w:rPr>
          <w:lang w:val="es-CO"/>
        </w:rPr>
        <w:fldChar w:fldCharType="separate"/>
      </w:r>
      <w:r w:rsidR="00BA0E53" w:rsidRPr="00A909CB">
        <w:rPr>
          <w:noProof/>
        </w:rPr>
        <w:t>[85]</w:t>
      </w:r>
      <w:r>
        <w:rPr>
          <w:lang w:val="es-CO"/>
        </w:rPr>
        <w:fldChar w:fldCharType="end"/>
      </w:r>
      <w:r w:rsidRPr="00A909CB">
        <w:t xml:space="preserve">. </w:t>
      </w:r>
      <w:r w:rsidR="006C7B7D" w:rsidRPr="00A909CB">
        <w:t>I</w:t>
      </w:r>
      <w:r w:rsidRPr="00A909CB">
        <w:t>n non-small lung cancer cells</w:t>
      </w:r>
      <w:r w:rsidR="006C7B7D" w:rsidRPr="00A909CB">
        <w:t>,</w:t>
      </w:r>
      <w:r w:rsidRPr="00A909CB">
        <w:t xml:space="preserve"> cycle arrest was observed without inducing apoptosis but accompanied by a reduction in phosphorylated Akt and the sequential phosphorylation of the retinoblastoma protein </w:t>
      </w:r>
      <w:r>
        <w:rPr>
          <w:lang w:val="es-CO"/>
        </w:rPr>
        <w:fldChar w:fldCharType="begin" w:fldLock="1"/>
      </w:r>
      <w:r w:rsidR="006465A0" w:rsidRPr="004635FE">
        <w:instrText>ADDIN CSL_CITATION {"citationItems":[{"id":"ITEM-1","itemData":{"DOI":"10.18632/oncotarget.3080","ISSN":"19492553","PMID":"25609198","abstract":"Lunasin, a soybean bioactive peptide, has both chemopreventive and chemotherapeutic activities. The aim of this study was to determine the chemotherapeutic potential of lunasin against human lung cancer. Treatment of non-small cell lung cancer (NSCLC) cells with highly purified soybean-derived lunasin caused limited, cell-line specific anti-proliferative effects on anchoragedependent growth whereas two normal bronchial epithelial cell lines were unaffected. Lunasin's antiproliferative effects were potentiated upon utilization of anchorageindependent conditions. Furthermore, NSCLC cell lines that were unaffected by lunasin in anchorage-dependent assays exhibited a dose-dependent inhibition in colony formation or colony size. Mouse xenograft studies revealed that 30 mg lunasin/kg body weight per day decreased NSCLC H1299 tumor volume by 63.0% at day 32. Mechanistic studies using cultured NSCLC H661 cells showed that lunasin inhibited cell cycle progression at the G1/S phase interface without inducing apoptosis. Immunoblot analyses of key cell-cycle proteins demonstrated that lunasin altered the expression of the G1 s</w:instrText>
      </w:r>
      <w:r w:rsidR="006465A0" w:rsidRPr="00CF016C">
        <w:instrText>pecific cyclin-depe</w:instrText>
      </w:r>
      <w:r w:rsidR="006465A0">
        <w:instrText>ndent kinase complex components, increased levels of p27Kip1, reduced levels of phosphorylated Akt, and ultimately inhibited the sequential phosphorylation of the retinoblastoma protein (RB). These results establish for the first time that lunasin can inhibit NSCLC proliferation by suppressing cell-cycle dependent phosphorylation of RB.","author":[{"dropping-particle":"","family":"McConnell","given":"Elizabeth J.","non-dropping-particle":"","parse-names":false,"suffix":""},{"dropping-particle":"","family":"Devapatla","given":"Bharat","non-dropping-particle":"","parse-names":false,"suffix":""},{"dropping-particle":"","family":"Yaddanapudi","given":"Kavitha","non-dropping-particle":"","parse-names":false,"suffix":""},{"dropping-particle":"","family":"Davis","given":"Keith R.","non-dropping-particle":"","parse-names":false,"suffix":""}],"container-title":"Oncotarget","id":"ITEM-1","issue":"7","issued":{"date-parts":[["2015"]]},"page":"4649-4662","title":"The soybean-derived peptide lunasin inhibits non-small cell lung cancer cell proliferation by suppressing phosphorylation of the retinoblastoma protein","type":"article-journal","volume":"6"},"uris":["http://www.mendeley.com/documents/?uuid=9fb0e240-71cd-471a-a5d9-71b80da57c3f"]}],"mendeley":{"formattedCitation":"[90]","plainTextFormattedCitation":"[90]","previouslyFormattedCitation":"[90]"},"properties":{"noteIndex":0},"schema":"https://github.com/citation-style-language/schema/raw/master/csl-citation.json"}</w:instrText>
      </w:r>
      <w:r>
        <w:rPr>
          <w:lang w:val="es-CO"/>
        </w:rPr>
        <w:fldChar w:fldCharType="separate"/>
      </w:r>
      <w:r w:rsidR="00BA0E53" w:rsidRPr="00BA0E53">
        <w:rPr>
          <w:noProof/>
        </w:rPr>
        <w:t>[90]</w:t>
      </w:r>
      <w:r>
        <w:rPr>
          <w:lang w:val="es-CO"/>
        </w:rPr>
        <w:fldChar w:fldCharType="end"/>
      </w:r>
      <w:r>
        <w:t xml:space="preserve">. The reduced invasive potential is possibly associated with the altered expression of extracellular matrix </w:t>
      </w:r>
      <w:r>
        <w:lastRenderedPageBreak/>
        <w:t xml:space="preserve">and adhesion genes downregulating integrins </w:t>
      </w:r>
      <w:r>
        <w:rPr>
          <w:lang w:val="es-CO"/>
        </w:rPr>
        <w:t>α</w:t>
      </w:r>
      <w:r>
        <w:t xml:space="preserve">5, </w:t>
      </w:r>
      <w:r>
        <w:rPr>
          <w:lang w:val="es-CO"/>
        </w:rPr>
        <w:t>β</w:t>
      </w:r>
      <w:r>
        <w:t xml:space="preserve">2, and </w:t>
      </w:r>
      <w:r w:rsidR="00100570">
        <w:rPr>
          <w:color w:val="000000" w:themeColor="text1"/>
        </w:rPr>
        <w:t>matrix metalloproteinase</w:t>
      </w:r>
      <w:r w:rsidR="00100570">
        <w:t xml:space="preserve"> </w:t>
      </w:r>
      <w:r w:rsidR="00904B5C">
        <w:t xml:space="preserve">10 </w:t>
      </w:r>
      <w:r w:rsidR="00100570">
        <w:t>(</w:t>
      </w:r>
      <w:r>
        <w:t>MMP</w:t>
      </w:r>
      <w:r w:rsidR="00904B5C">
        <w:t>-10</w:t>
      </w:r>
      <w:r w:rsidR="00100570">
        <w:t>)</w:t>
      </w:r>
      <w:r>
        <w:t xml:space="preserve"> </w:t>
      </w:r>
      <w:r>
        <w:rPr>
          <w:lang w:val="es-CO"/>
        </w:rPr>
        <w:fldChar w:fldCharType="begin" w:fldLock="1"/>
      </w:r>
      <w:r w:rsidR="006465A0">
        <w:instrText>ADDIN CSL_CITATION {"citationItems":[{"id":"ITEM-1","itemData":{"DOI":"10.1002/mnfr.201000419","ISSN":"16134125","PMID":"21462330","abstract":"Scope: Lunasin is an arginine-glycine-aspartic acid (RGD) cancer preventive peptide. The objective was to evaluate the potential of lunasin to induce apoptosis in human colon cancer cells and their oxaliplatin-resistant (OxR) variants, and its effect on the expression of human extracellular matrix and adhesion genes. Methods and results: Various human colon cancer cell lines which underwent metastasis were evaluated in vitro using cell flow cytometry and fluorescence microscopy. Lunasin cytotoxicity to different colon cancer cells correlated with the expression of α5b1 integrin, being most potent to KM12L4 cells (IC50=13μM). Lunasin arrested cell cycle at G2/M phase with concomitant increase in the expression of cyclin-dependent kinase inhibitors p21 and p27. Lunasin (5-25μM) activated the apoptotic mitochondrial pathway as evidenced by changes in the expressions of Bcl-2, Bax, nuclear clusterin, cytochrome c and caspase-3 in KM12L4 and KM12L4-OxR. Lunasin increased the activity of initiator caspase-9 leading to the activation of caspase-3 and also modified the expression of human extracellular matrix and adhesion genes, downregulating integrin α5, SELE, MMP10, integrin β2 and COL6A1 by 5.01-, 6.53-, 7.71-, 8.19- and 10.10-fold, respectively, while upregulating COL12A1 by 11.61-fold. Conclusion: Lunasin can be used in cases where resistance to chemotherapy developed. © 2011 WILEY-VCH Verlag GmbH &amp; Co. KGaA, Weinheim.","author":[{"dropping-particle":"","family":"Dia","given":"Vermont P.","non-dropping-particle":"","parse-names":false,"suffix":""},{"dropping-particle":"","family":"Mejia","given":"Elvira Gonzalez","non-dropping-particle":"De","parse-names":false,"suffix":""}],"container-title":"Molecular Nutrition and Food Research","id":"ITEM-1","issue":"4","issued":{"date-parts":[["2011","4","1"]]},"page":"623-634","title":"Lunasin induces apoptosis and modifies the expression of genes associated with extracellular matrix and cell adhesion in human metastatic colon cancer cells","type":"article-journal","volume":"55"},"uris":["http://www.mendeley.com/documents/?uuid=a495c3c7-9af9-4ad8-a008-4ccb8f21decb"]}],"mendeley":{"formattedCitation":"[85]","plainTextFormattedCitation":"[85]","previouslyFormattedCitation":"[85]"},"properties":{"noteIndex":0},"schema":"https://github.com/citation-style-language/schema/raw/master/csl-citation.json"}</w:instrText>
      </w:r>
      <w:r>
        <w:rPr>
          <w:lang w:val="es-CO"/>
        </w:rPr>
        <w:fldChar w:fldCharType="separate"/>
      </w:r>
      <w:r w:rsidR="00BA0E53" w:rsidRPr="00BA0E53">
        <w:rPr>
          <w:noProof/>
        </w:rPr>
        <w:t>[85]</w:t>
      </w:r>
      <w:r>
        <w:rPr>
          <w:lang w:val="es-CO"/>
        </w:rPr>
        <w:fldChar w:fldCharType="end"/>
      </w:r>
      <w:r>
        <w:t xml:space="preserve">. </w:t>
      </w:r>
    </w:p>
    <w:p w14:paraId="2BE26F12" w14:textId="43391374" w:rsidR="00916B9A" w:rsidRPr="00076926" w:rsidRDefault="00943C22" w:rsidP="001311E7">
      <w:pPr>
        <w:spacing w:line="480" w:lineRule="auto"/>
        <w:ind w:firstLine="720"/>
      </w:pPr>
      <w:r>
        <w:rPr>
          <w:i/>
          <w:iCs/>
        </w:rPr>
        <w:t>In vivo,</w:t>
      </w:r>
      <w:r>
        <w:t xml:space="preserve"> topical administration of lunasin reduced tumor incidence and delayed the appearance of tumors by two weeks in a model of skin tumorigenesis, by inhibiting histones H3 and H4 acetylation with the consequent induction of apoptosis and cell cycle arrest </w:t>
      </w:r>
      <w:r>
        <w:rPr>
          <w:lang w:val="es-CO"/>
        </w:rPr>
        <w:fldChar w:fldCharType="begin" w:fldLock="1"/>
      </w:r>
      <w:r w:rsidR="006465A0">
        <w:instrText>ADDIN CSL_CITATION {"citationItems":[{"id":"ITEM-1","itemData":{"abstract":"Lunasin is a unique 43-amino acid soybean peptide that contains at its carboxyl end: (a) nine Asp (D) residues; (b) an Arg-Gly-Asp (RGD) cell adhesion motif; and (c) a predicted helix with structural homology to a conserved region of chromatin-binding proteins. We demonstrated previously that transfection of mammalian cells with the lunasin gene arrests mitosis, leading to cell death. Here we show that exogenous application of the lunasin peptide inhibits chemical carcinogen-induced transformation of murine fibroblast cells to cancerous foci. To elucidate its mechanism of action, we show that lunasin: (a) internalizes in the cell through the RGD cell adhesion motif; (b) colocalizes with hypoacetylated chromatin; (c) binds preferentially to deacetylated histone H4 in vitro; and (d) inhibits histone H3 and H4 acetylation in vivo in the presence of a histone deacety-lase inhibitor. These results suggest a mechanism whereby lunasin selectively induces apoptosis, mostly in cells undergoing transformation, by preventing histone acetylation. In support of this, lunasin selectively induces apoptosis in E1A-transfected cells but not in nontransformed cells. Finally, in the SENCAR mouse skin cancer model, dermal application of lunasin (250 g/week) reduces skin tumor incidence by 70%, decreases tumor yield/mouse, and delays the appearance of tumors by 2 weeks relative to the positive control. These results point to the role of lunasin as a new chemopreventive agent that functions possibly via a chromatin modification mechanism.","author":[{"dropping-particle":"","family":"Galvez","given":"Alfredo F","non-dropping-particle":"","parse-names":false,"suffix":""},{"dropping-particle":"","family":"Chen","given":"Na","non-dropping-particle":"","parse-names":false,"suffix":""},{"dropping-particle":"","family":"Macasieb","given":"Janet","non-dropping-particle":"","parse-names":false,"suffix":""},{"dropping-particle":"","family":"Lumen","given":"Ben O","non-dropping-particle":"De","parse-names":false,"suffix":""}],"container-title":"Cancer Research","id":"ITEM-1","issued":{"date-parts":[["2001"]]},"page":"7473-7478","title":"Chemopreventive Property of a Soybean Peptide (Lunasin) That Binds to Deacetylated Histones and Inhibits Acetylation 1","type":"article-journal","volume":"61"},"uris":["http://www.mendeley.com/documents/?uuid=b3ae1f44-9d15-3e68-adf7-1e12cf86a93b"]}],"mendeley":{"formattedCitation":"[80]","plainTextFormattedCitation":"[80]","previouslyFormattedCitation":"[80]"},"properties":{"noteIndex":0},"schema":"https://github.com/citation-style-language/schema/raw/master/csl-citation.json"}</w:instrText>
      </w:r>
      <w:r>
        <w:rPr>
          <w:lang w:val="es-CO"/>
        </w:rPr>
        <w:fldChar w:fldCharType="separate"/>
      </w:r>
      <w:r w:rsidR="00BA0E53" w:rsidRPr="00BA0E53">
        <w:rPr>
          <w:noProof/>
        </w:rPr>
        <w:t>[80]</w:t>
      </w:r>
      <w:r>
        <w:rPr>
          <w:lang w:val="es-CO"/>
        </w:rPr>
        <w:fldChar w:fldCharType="end"/>
      </w:r>
      <w:r>
        <w:t xml:space="preserve">. Intraperitoneal injection of lunasin decreased </w:t>
      </w:r>
      <w:r w:rsidR="00076926">
        <w:t>breast</w:t>
      </w:r>
      <w:r>
        <w:t xml:space="preserve"> tumor incidence </w:t>
      </w:r>
      <w:r>
        <w:rPr>
          <w:lang w:val="es-CO"/>
        </w:rPr>
        <w:fldChar w:fldCharType="begin" w:fldLock="1"/>
      </w:r>
      <w:r w:rsidR="006465A0">
        <w:instrText>ADDIN CSL_CITATION {"citationItems":[{"id":"ITEM-1","itemData":{"DOI":"10.1111/j.1750-3841.2010.01861.x","ISSN":"00221147","PMID":"21535606","abstract":"Abstract: Lunasin is a novel peptide identified in soybean and other seeds. This study evaluated the anti-tumorigenic effects of lunasin on 7,12-dimethylbenz(a)anthracene (DMBA) and 3-methylcholanthrene-treated (MCA) fibroblast NIH/3T3 cells. Lunasin significantly inhibited cell proliferation and cancerous foci formation in these 2 chemical carcinogens-treated cells. An in vivo SENCAR mouse model induced with DMBA was used to study the mammary cancer preventive properties of dietary lunasin contained in soy protein. Tumor incidence was 67% and 50%, and the tumor generation was 1.88 ± 0.48 and 1.17 ± 0.17, respectively, for the mice fed control diet and experimental diet obtained after AIN-93G supplementation with lunasin-enriched soy protein concentrate (containing 0.23% lunasin). However, no effects were observed in mice fed AIN-93G supplemented with soy protein concentrate (containing 0.15% lunasin). The data provided illustrate the anticancer potential of lunasin both in vitro and in vivo and supports the recommendation of soy protein as a dietary component that may aid in the prevention of mammary cancer.Practical Application: Daily intake of lunasin-enriched soy protein is introduced as a promising strategy to prevent chemical carcinogens-induced mammary tumors. © 2010 Institute of Food Technologists®.","author":[{"dropping-particle":"","family":"Hsieh","given":"Chia Chien","non-dropping-particle":"","parse-names":false,"suffix":""},{"dropping-particle":"","family":"Hernández-Ledesma","given":"Blanca","non-dropping-particle":"","parse-names":false,"suffix":""},{"dropping-particle":"","family":"Lumen","given":"Ben O.","non-dropping-particle":"De","parse-names":false,"suffix":""}],"container-title":"Journal of Food Science","id":"ITEM-1","issue":"9","issued":{"date-parts":[["2010","11","1"]]},"page":"H311-H316","publisher":"John Wiley &amp; Sons, Ltd","title":"Soybean Peptide Lunasin Suppresses In Vitro and In Vivo 7,12-Dimethylbenz[a]anthracene-Induced Tumorigenesis","type":"article-journal","volume":"75"},"uris":["http://www.mendeley.com/documents/?uuid=91b482ed-2bc1-391c-b009-be1ad9a3f651"]}],"mendeley":{"formattedCitation":"[91]","plainTextFormattedCitation":"[91]","previouslyFormattedCitation":"[91]"},"properties":{"noteIndex":0},"schema":"https://github.com/citation-style-language/schema/raw/master/csl-citation.json"}</w:instrText>
      </w:r>
      <w:r>
        <w:rPr>
          <w:lang w:val="es-CO"/>
        </w:rPr>
        <w:fldChar w:fldCharType="separate"/>
      </w:r>
      <w:r w:rsidR="00BA0E53" w:rsidRPr="00BA0E53">
        <w:rPr>
          <w:noProof/>
        </w:rPr>
        <w:t>[91]</w:t>
      </w:r>
      <w:r>
        <w:rPr>
          <w:lang w:val="es-CO"/>
        </w:rPr>
        <w:fldChar w:fldCharType="end"/>
      </w:r>
      <w:r>
        <w:t xml:space="preserve">, and reduced tumor volume in non-small cell lung cancer </w:t>
      </w:r>
      <w:r>
        <w:rPr>
          <w:lang w:val="es-CO"/>
        </w:rPr>
        <w:fldChar w:fldCharType="begin" w:fldLock="1"/>
      </w:r>
      <w:r w:rsidR="006465A0">
        <w:instrText>ADDIN CSL_CITATION {"citationItems":[{"id":"ITEM-1","itemData":{"DOI":"10.18632/oncotarget.3080","ISSN":"19492553","PMID":"25609198","abstract":"Lunasin, a soybean bioactive peptide, has both chemopreventive and chemotherapeutic activities. The aim of this study was to determine the chemotherapeutic potential of lunasin against human lung cancer. Treatment of non-small cell lung cancer (NSCLC) cells with highly purified soybean-derived lunasin caused limited, cell-line specific anti-proliferative effects on anchoragedependent growth whereas two normal bronchial epithelial cell lines were unaffected. Lunasin's antiproliferative effects were potentiated upon utilization of anchorageindependent conditions. Furthermore, NSCLC cell lines that were unaffected by lunasin in anchorage-dependent assays exhibited a dose-dependent inhibition in colony formation or colony size. Mouse xenograft studies revealed that 30 mg lunasin/kg body weight per day decreased NSCLC H1299 tumor volume by 63.0% at day 32. Mechanistic studies using cultured NSCLC H661 cells showed that lunasin inhibited cell cycle progression at the G1/S phase interface without inducing apoptosis. Immunoblot analyses of key cell-cycle proteins demonstrated that lunasin altered the expression of the G1 specific cyclin-dependent kinase complex components, increased levels of p27Kip1, reduced levels of phosphorylated Akt, and ultimately inhibited the sequential phosphorylation of the retinoblastoma protein (RB). These results establish for the first time that lunasin can inhibit NSCLC proliferation by suppressing cell-cycle dependent phosphorylation of RB.","author":[{"dropping-particle":"","family":"McConnell","given":"Elizabeth J.","non-dropping-particle":"","parse-names":false,"suffix":""},{"dropping-particle":"","family":"Devapatla","given":"Bharat","non-dropping-particle":"","parse-names":false,"suffix":""},{"dropping-particle":"","family":"Yaddanapudi","given":"Kavitha","non-dropping-particle":"","parse-names":false,"suffix":""},{"dropping-particle":"","family":"Davis","given":"Keith R.","non-dropping-particle":"","parse-names":false,"suffix":""}],"container-title":"Oncotarget","id":"ITEM-1","issue":"7","issued":{"date-parts":[["2015"]]},"page":"4649-4662","title":"The soybean-derived peptide lunasin inhibits non-small cell lung cancer cell proliferation by suppressing phosphorylation of the retinoblastoma protein","type":"article-journal","volume":"6"},"uris":["http://www.mendeley.com/documents/?uuid=9fb0e240-71cd-471a-a5d9-71b80da57c3f"]}],"mendeley":{"formattedCitation":"[90]","plainTextFormattedCitation":"[90]","previouslyFormattedCitation":"[90]"},"properties":{"noteIndex":0},"schema":"https://github.com/citation-style-language/schema/raw/master/csl-citation.json"}</w:instrText>
      </w:r>
      <w:r>
        <w:rPr>
          <w:lang w:val="es-CO"/>
        </w:rPr>
        <w:fldChar w:fldCharType="separate"/>
      </w:r>
      <w:r w:rsidR="00BA0E53" w:rsidRPr="00BA0E53">
        <w:rPr>
          <w:noProof/>
        </w:rPr>
        <w:t>[90]</w:t>
      </w:r>
      <w:r>
        <w:rPr>
          <w:lang w:val="es-CO"/>
        </w:rPr>
        <w:fldChar w:fldCharType="end"/>
      </w:r>
      <w:r>
        <w:t xml:space="preserve">. </w:t>
      </w:r>
      <w:r w:rsidR="006C7B7D">
        <w:t>A study</w:t>
      </w:r>
      <w:r>
        <w:t xml:space="preserve"> on melanoma </w:t>
      </w:r>
      <w:r w:rsidR="006C7B7D">
        <w:t xml:space="preserve">reported </w:t>
      </w:r>
      <w:r>
        <w:t xml:space="preserve">that lunasin induced the expression of differentiation markers and reduced the expression of stemness factors in the subpopulation of cancer initiating cells, leading to a reduction in the colony and oncosphere formation, as well as decreased tumor growth and pulmonary colonization </w:t>
      </w:r>
      <w:r>
        <w:rPr>
          <w:lang w:val="es-CO"/>
        </w:rPr>
        <w:fldChar w:fldCharType="begin" w:fldLock="1"/>
      </w:r>
      <w:r w:rsidR="006465A0">
        <w:instrText>ADDIN CSL_CITATION {"citationItems":[{"id":"ITEM-1","itemData":{"DOI":"10.18632/oncotarget.11554","ISSN":"19492553","PMID":"27566591","abstract":"Recent studies provide compelling evidence that melanoma is initiated and maintained by a small population of malignant cells called cancer-initiating cells (CICs) that exhibit stem-cell-like properties. Observations that CICs have a distinct biology when compared to that of the bulk tumor cells and, importantly, are resistant to chemotherapies and radiation, suggest that CICs are involved in invasion, metastasis, and ultimately relapse. Lunasin, a bioactive peptide present in soybean, has both chemopreventive activity and chemotherapeutic activity against multiple cancer types. In this study, we tested the potential of Lunasin to specifically target CICs in melanoma tumor cell populations. In vitro studies using human melanoma cell lines showed that Lunasin treatment decreased the size of a subpopulation of melanoma cells expressing the surrogate CIC marker, Aldehyde Dehydrogenase, concomitant with a reduction in the ability to form colonies in soft agar assays, and reduced tumor growth in mouse xenografts. Similarly, Lunasin inhibited colony formation by isolated melanoma CICs in soft agar and reduced oncosphere formation in vitro and substantially inhibited tumor growth in mouse xenografts. Mechanistic studies revealed that Lunasin treatment of isolated melanoma CICs induced expression of the melanocyte-associated differentiation markers Tyrosinase and Microphthalmiaassociated Transcription Factor concomitant with reduced expression of the stemness factor NANOG. These findings document for the first time that Lunasin has significant therapeutic activity against melanoma by specifically targeting melanoma CICs, and inducing a more differentiated, non-CIC phenotype. Thus, Lunasin may represent a novel therapeutic option for both chemoresistant and advanced metastatic melanoma management.","author":[{"dropping-particle":"","family":"Shidal","given":"Chris","non-dropping-particle":"","parse-names":false,"suffix":""},{"dropping-particle":"","family":"Al-Rayyan","given":"Numan","non-dropping-particle":"","parse-names":false,"suffix":""},{"dropping-particle":"","family":"Yaddanapudi","given":"Kavitha","non-dropping-particle":"","parse-names":false,"suffix":""},{"dropping-particle":"","family":"Davis","given":"Keith R.","non-dropping-particle":"","parse-names":false,"suffix":""}],"container-title":"Oncotarget","id":"ITEM-1","issue":"51","issued":{"date-parts":[["2016"]]},"page":"84128-84141","title":"Lunasin is a novel therapeutic agent for targeting melanoma cancer stem cells","type":"article-journal","volume":"7"},"uris":["http://www.mendeley.com/documents/?uuid=380cc8d6-378f-46e4-acca-70adc74f4665"]},{"id":"ITEM-2","itemData":{"DOI":"10.18632/oncotarget.16066","ISSN":"19492553","abstract":"Lunasin is a 44 amino acid peptide with multiple functional domains including an aspartic acid tail, an RGD domain, and a chromatin-binding helical domain. We recently showed that Lunasin induced a phenotype switch of cancer initiating cells (CIC) out of the stem compartment by inducing melanocyte-associated differentiation markers while simultaneously reducing stem-cell-associated transcription factors. In the present study, we advance the hypothesis that Lunasin can reduce pools of melanoma cells with stem cell-like properties, and demonstrate that Lunasin treatment effectively inhibits the invasive potential of CICs in vitro as well as in vivo in a mouse experimental metastasis model. Mice receiving Lunasin treatment had significantly reduced pulmonary colonization after injection of highly metastatic B16-F10 melanoma cells compared to mice in the control group. Mechanistic studies demonstrate that Lunasin reduced activating phosphorylations of the intracellular kinases FAK and AKT as well as reduced histone acetylation of lysine residues in H3 and H4 histones. Using peptides with mutated activity domains, we functionally demonstrated that the RGD domain is necessary for Lunasin uptake and its ability to inhibit oncosphere formation by CICs, thus confirming that Lunasin's ability to affect CICs is at least in part due to the suppression of integrin signaling. Our studies suggest that Lunasin represents a unique anticancer agent that could be developed to help prevent metastasis and patient relapse by reducing the activity of CICs which are known to be resistant to current chemotherapies.","author":[{"dropping-particle":"","family":"Shidal","given":"Chris","non-dropping-particle":"","parse-names":false,"suffix":""},{"dropping-particle":"","family":"Inaba","given":"Jun Ichi","non-dropping-particle":"","parse-names":false,"suffix":""},{"dropping-particle":"","family":"Yaddanapudi","given":"Kavitha","non-dropping-particle":"","parse-names":false,"suffix":""},{"dropping-particle":"","family":"Davis","given":"Keith R.","non-dropping-particle":"","parse-names":false,"suffix":""}],"container-title":"Oncotarget","id":"ITEM-2","issue":"15","issued":{"date-parts":[["2017"]]},"page":"25525-25541","title":"The soy-derived peptide Lunasin inhibits invasive potential of melanoma initiating cells","type":"article-journal","volume":"8"},"uris":["http://www.mendeley.com/documents/?uuid=e5f64483-96e2-4d27-8403-b76059385616"]}],"mendeley":{"formattedCitation":"[88,89]","plainTextFormattedCitation":"[88,89]","previouslyFormattedCitation":"[88,89]"},"properties":{"noteIndex":0},"schema":"https://github.com/citation-style-language/schema/raw/master/csl-citation.json"}</w:instrText>
      </w:r>
      <w:r>
        <w:rPr>
          <w:lang w:val="es-CO"/>
        </w:rPr>
        <w:fldChar w:fldCharType="separate"/>
      </w:r>
      <w:r w:rsidR="00BA0E53" w:rsidRPr="00BA0E53">
        <w:rPr>
          <w:noProof/>
        </w:rPr>
        <w:t>[88,89]</w:t>
      </w:r>
      <w:r>
        <w:rPr>
          <w:lang w:val="es-CO"/>
        </w:rPr>
        <w:fldChar w:fldCharType="end"/>
      </w:r>
      <w:r w:rsidRPr="00076926">
        <w:t xml:space="preserve">. </w:t>
      </w:r>
    </w:p>
    <w:p w14:paraId="61C2AAD8" w14:textId="77777777" w:rsidR="00943C22" w:rsidRDefault="007419C4" w:rsidP="00DD0AC8">
      <w:pPr>
        <w:spacing w:line="480" w:lineRule="auto"/>
        <w:rPr>
          <w:bCs/>
          <w:i/>
        </w:rPr>
      </w:pPr>
      <w:r>
        <w:rPr>
          <w:bCs/>
          <w:i/>
        </w:rPr>
        <w:t xml:space="preserve">1.2.6.2 </w:t>
      </w:r>
      <w:r w:rsidR="00943C22" w:rsidRPr="007419C4">
        <w:rPr>
          <w:bCs/>
          <w:i/>
        </w:rPr>
        <w:t>Anti-inflammatory properties</w:t>
      </w:r>
    </w:p>
    <w:p w14:paraId="01B668C9" w14:textId="3D9ED2DB" w:rsidR="00BE263D" w:rsidRDefault="00943C22" w:rsidP="00DD0AC8">
      <w:pPr>
        <w:spacing w:line="480" w:lineRule="auto"/>
        <w:ind w:firstLine="720"/>
      </w:pPr>
      <w:r>
        <w:t xml:space="preserve">The role of chronic inflammation in different degenerative disorders has raised the interest in lunasin as an anti-inflammatory agent. In terms of the immune cells, research has been focused on the effect of the peptide over macrophages in an inflammatory state. In lipopolysaccharide (LPS)-activated murine RAW 264.7 macrophages </w:t>
      </w:r>
      <w:r w:rsidR="004F2E64">
        <w:t xml:space="preserve">and human THP-1 macrophages </w:t>
      </w:r>
      <w:r>
        <w:t xml:space="preserve">lunasin attenuated the inflammatory response by reducing the release of the pro-inflammatory </w:t>
      </w:r>
      <w:r w:rsidR="00560EB1">
        <w:t>cytokines</w:t>
      </w:r>
      <w:r w:rsidR="004F2E64">
        <w:t xml:space="preserve"> TNF-α,</w:t>
      </w:r>
      <w:r w:rsidR="00816079">
        <w:t xml:space="preserve"> IL-6 and IL-1β</w:t>
      </w:r>
      <w:r>
        <w:t xml:space="preserve">, </w:t>
      </w:r>
      <w:r w:rsidR="004F2E64">
        <w:t xml:space="preserve">as well as </w:t>
      </w:r>
      <w:r>
        <w:t>nitric oxide (NO), and prostaglandin E2 (PGE</w:t>
      </w:r>
      <w:r>
        <w:rPr>
          <w:vertAlign w:val="subscript"/>
        </w:rPr>
        <w:t>2</w:t>
      </w:r>
      <w:r w:rsidRPr="008B1D39">
        <w:t>)</w:t>
      </w:r>
      <w:r w:rsidR="00456984">
        <w:t xml:space="preserve">. Attenuation was the result of </w:t>
      </w:r>
      <w:r w:rsidR="00E66F57">
        <w:t xml:space="preserve">reduced expression of iNOS and COX-2, </w:t>
      </w:r>
      <w:r>
        <w:t>through the inhibition of the NF-</w:t>
      </w:r>
      <w:r>
        <w:rPr>
          <w:lang w:val="es-CO"/>
        </w:rPr>
        <w:t>κ</w:t>
      </w:r>
      <w:r>
        <w:t xml:space="preserve">B signaling pathway </w:t>
      </w:r>
      <w:r w:rsidR="00E66F57">
        <w:t xml:space="preserve">by </w:t>
      </w:r>
      <w:r w:rsidR="00E66F57">
        <w:lastRenderedPageBreak/>
        <w:t xml:space="preserve">preventing the </w:t>
      </w:r>
      <w:r w:rsidR="004F2E64">
        <w:t xml:space="preserve">activation of phosphorylated Akt  and the </w:t>
      </w:r>
      <w:r w:rsidR="00E66F57">
        <w:t>translocation of p50 and p65 sub-units of NF-</w:t>
      </w:r>
      <w:r w:rsidR="00E66F57" w:rsidRPr="00E66F57">
        <w:t xml:space="preserve"> </w:t>
      </w:r>
      <w:r w:rsidR="00E66F57">
        <w:rPr>
          <w:lang w:val="es-CO"/>
        </w:rPr>
        <w:t>κ</w:t>
      </w:r>
      <w:r w:rsidR="00E66F57">
        <w:t>B in the nucleus</w:t>
      </w:r>
      <w:r>
        <w:t xml:space="preserve"> </w:t>
      </w:r>
      <w:r>
        <w:rPr>
          <w:lang w:val="es-CO"/>
        </w:rPr>
        <w:fldChar w:fldCharType="begin" w:fldLock="1"/>
      </w:r>
      <w:r w:rsidR="00955CB1">
        <w:instrText>ADDIN CSL_CITATION {"citationItems":[{"id":"ITEM-1","itemData":{"DOI":"10.1016/j.foodchem.2008.09.023","ISSN":"03088146","abstract":"Lunasin is a chemopreventive peptide present in soybean and other plant sources. The high cost involved in obtaining synthetic lunasin limits its application in chemopreventive and nutritional interventions. The objective of this study was to isolate, purify and characterise lunasin from defatted soybean flour and determine its in vitro anti-inflammatory activity using RAW 264.7 macrophages. Isolation and purification was achieved by ion-exchange chromatography, ultrafiltration and size exclusion chromatography. The identity of lunasin was established by Western blot, HPLC, MALDI-TOF and LC/MS-MS. The results showed that lunasin eluted from a DEAE anion exchange column at 0.15 M NaCl, and after 1.5 void volumes from size exclusion chromatography. Fractions from both chromatographic techniques consistently showed three peptides with positive immunoreactivity against lunasin mouse monoclonal antibody corresponding to 5, 8 and 14 kDa. LC/MS-MS analysis of the three immunoreactive peptides showed that 5 and 14 kDa bands contained the lunasin epitope, RGDDDDDD DDD while 8 kDa band showed high homology with 2 S soy albumin, a lunasin precursor. This is the first report on the potential anti-inflammatory activity of lunasin. Treatment of RAW 264.7 macrophage with 100 μM lunasin decreased the production of NO (92.6 ± 0.8%) and PGE2 (10.1 ± 4.5%), and the expression of iNOS (27.8 ± 2.1%) and COX-2 (41.4 ± 16.7%). We concluded that combination of ion-exchange chromatography, ultrafiltration and size exclusion chromatography represents a feasible process for the production of purified lunasin, which was also found to inhibit COX-2/PGE2 and iNOS/NO pathways. This newly discovered property of lunasin might contribute to the suppression of inflammation in vivo. © 2008 Elsevier Ltd. All rights reserved.","author":[{"dropping-particle":"","family":"Dia","given":"V. P.","non-dropping-particle":"","parse-names":false,"suffix":""},{"dropping-particle":"","family":"Wang","given":"W.","non-dropping-particle":"","parse-names":false,"suffix":""},{"dropping-particle":"","family":"Oh","given":"V. L.","non-dropping-particle":"","parse-names":false,"suffix":""},{"dropping-particle":"","family":"Lumen","given":"B. O.","non-dropping-particle":"De","parse-names":false,"suffix":""},{"dropping-particle":"","family":"Mejia","given":"E. Gonzalez","non-dropping-particle":"De","parse-names":false,"suffix":""}],"container-title":"Food Chemistry","id":"ITEM-1","issue":"1","issued":{"date-parts":[["2009","5","1"]]},"page":"108-115","publisher":"Elsevier","title":"Isolation, purification and characterisation of lunasin from defatted soybean flour and in vitro evaluation of its anti-inflammatory activity","type":"article-journal","volume":"114"},"uris":["http://www.mendeley.com/documents/?uuid=62081100-263e-3ce5-b7ff-c8b164e67e30"]},{"id":"ITEM-2","itemData":{"DOI":"10.1016/j.peptides.2009.08.005","ISBN":"1873-5169 (Electronic)\\r0196-9781 (Linking)","ISSN":"01969781","PMID":"19682518","abstract":"Inflammation is part of the host defense mechanism against harmful matters and injury; however, aberrant inflammation is associated to the development of chronic diseases such as cancer. Lunasin is a novel peptide that demonstrates potential anticancer activity against mammalian cancer cell lines and may play a role in inflammation. The objective of this study was to determine the mechanism of action by which lunasin and lunasin-like peptides exert their anti-inflammatory properties using RAW 264.7 macrophage cell line as an in vitro model. We purified three peptides (5, 8, and 14 kDa) from defatted soybean flour with a positive immunoreactivity towards lunasin mouse monoclonal antibody. Treatment with these peptides (10-50 μM) resulted in the inhibition of pro-inflammatory markers in lipopolysaccharide (LPS)-induced RAW 264.7 macrophages. The 5 kDa peptide inhibited most potently pro-inflammatory markers including interleukin-6 production (IC50= 2 μM), interleukin-1β production (IC50= 13 μM), nuclear factor-kappa B (NF-κB) transactivation (IC50= 21 μM), cyclooxygenase-2 expression (IC50= 25 μM), nitric oxide production (IC50= 28 μM), inducible nitric oxide synthase expression (IC50= 37 μM), prostaglandin E2production (IC50= 41 μM), p65 nuclear translocation (IC50= 48 μM) and p50 nuclear translocation (IC50= 77 μM). In conclusion, lunasin and lunasin-like peptides purified from defatted soybean flour inhibited inflammation in LPS-induced RAW 264.7 macrophage by suppressing NF-κB pathway. © 2009 Elsevier Inc. All rights reserved.","author":[{"dropping-particle":"","family":"Mejia","given":"Elvira Gonzalez","non-dropping-particle":"de","parse-names":false,"suffix":""},{"dropping-particle":"","family":"Dia","given":"Vermont P.","non-dropping-particle":"","parse-names":false,"suffix":""}],"container-title":"Peptides","id":"ITEM-2","issue":"12","issued":{"date-parts":[["2009","12","1"]]},"page":"2388-2398","publisher":"Elsevier","title":"Lunasin and lunasin-like peptides inhibit inflammation through suppression of NF-κB pathway in the macrophage","type":"article-journal","volume":"30"},"uris":["http://www.mendeley.com/documents/?uuid=811f21ac-c252-4781-864f-b957571597b7"]},{"id":"ITEM-3","itemData":{"DOI":"10.1002/mnfr.201200301","ISSN":"16134125","PMID":"22945510","abstract":"Scope: Cardiovascular disease is the leading cause of mortality in the United States and regulation of aberrant macrophage activity under inflammatory conditions is critical for its prevention. The objective was to determine the effect of lunasin on the inhibition of Akt-mediated activation of nuclear factor-kappa B (NF-κB)-dependent markers of inflammation and to characterize the physical interaction of lunasin with the αVβ3 integrin receptor in lipopolysaccharide (LPS)-induced human THP-1 macrophages. Methods and results: The effect of lunasin was evaluated in vitro in LPS-induced THP-1 human macrophages using immunoassays, co-immunoprecipitation (Co-IP), and fluorescence confocal microscopy. Lunasin (50 μM) reduced cyclooxygenase-2, inducible nitric oxide synthase, and NO levels by 57.9, 64.5, and 76.2%, respectively, and inhibited the activation of phosphorylated Akt and NF-κB p65 by 59.5 and 74.5%, respectively. Lunasin (50 μM) reduced exogenous release of prostaglandin E2 and tumor necrosis factor-α by 92.5 and 94.9%, respectively. Vitronectin (10 μg/mL), an integrin ligand, increased expression of proinflammatory markers, whereas lunasin (50 μM) attenuated them. Co-IP of lunasin-treated cells confirmed direct interaction with αVβ3 integrin © 2012 WILEY-VCH Verlag GmbH &amp; Co. KGaA, Weinheim.","author":[{"dropping-particle":"","family":"Cam","given":"Anthony","non-dropping-particle":"","parse-names":false,"suffix":""},{"dropping-particle":"","family":"Mejia","given":"Elvira Gonzalez","non-dropping-particle":"de","parse-names":false,"suffix":""}],"container-title":"Molecular Nutrition and Food Research","id":"ITEM-3","issue":"10","issued":{"date-parts":[["2012","10","1"]]},"page":"1569-1581","publisher":"John Wiley &amp; Sons, Ltd","title":"RGD-peptide lunasin inhibits Akt-mediated NF-κB activation in human macrophages through interaction with the αVβ3 integrin","type":"article-journal","volume":"56"},"uris":["http://www.mendeley.com/documents/?uuid=0429882e-1b3c-347e-b0c1-b655075b19aa"]}],"mendeley":{"formattedCitation":"[78,92,93]","plainTextFormattedCitation":"[78,92,93]","previouslyFormattedCitation":"[78,92,93]"},"properties":{"noteIndex":0},"schema":"https://github.com/citation-style-language/schema/raw/master/csl-citation.json"}</w:instrText>
      </w:r>
      <w:r>
        <w:rPr>
          <w:lang w:val="es-CO"/>
        </w:rPr>
        <w:fldChar w:fldCharType="separate"/>
      </w:r>
      <w:r w:rsidR="004F2E64" w:rsidRPr="004F2E64">
        <w:rPr>
          <w:noProof/>
        </w:rPr>
        <w:t>[78,92,93]</w:t>
      </w:r>
      <w:r>
        <w:rPr>
          <w:lang w:val="es-CO"/>
        </w:rPr>
        <w:fldChar w:fldCharType="end"/>
      </w:r>
      <w:r>
        <w:t xml:space="preserve">. </w:t>
      </w:r>
      <w:r w:rsidR="004F2E64">
        <w:t>F</w:t>
      </w:r>
      <w:r>
        <w:t>urther investigation revealed that cellular uptake of lunasin is enhanced by inflammatory signals, and mediated by endocytic mechanisms that involve macropinosomes, integrin signaling (</w:t>
      </w:r>
      <w:r>
        <w:rPr>
          <w:lang w:val="es-CO"/>
        </w:rPr>
        <w:t>α</w:t>
      </w:r>
      <w:r>
        <w:t>V</w:t>
      </w:r>
      <w:r>
        <w:rPr>
          <w:lang w:val="es-CO"/>
        </w:rPr>
        <w:t>β</w:t>
      </w:r>
      <w:r>
        <w:t xml:space="preserve">3), and clathrin-coated structures </w:t>
      </w:r>
      <w:r>
        <w:rPr>
          <w:lang w:val="es-CO"/>
        </w:rPr>
        <w:fldChar w:fldCharType="begin" w:fldLock="1"/>
      </w:r>
      <w:r w:rsidR="006465A0">
        <w:instrText>ADDIN CSL_CITATION {"citationItems":[{"id":"ITEM-1","itemData":{"DOI":"10.1371/journal.pone.0072115","ISSN":"19326203","PMID":"24039740","abstract":"Cardiovascular disease (CVD) is the leading cause of death in the United States. Diet influences risk factors associated with CVD and atherosclerosis, a major vascular disease that arises from inflammation. Lunasin, a peptide derived from plant foods such as soybeans, contains a unique Arg-Gly-Asp cell-adhesion motif and inhibits the pathways involved in the inflammatory cascade. The objective was to determine the mechanism by which lunasin is internalized into human THP-1 macrophages, investigate the expression of endocytic membrane proteins in inflammatory conditions and to identify the pathways involved. While lipopolysaccharide (10 nM), vitronectin (130 nM) and a combination of these two molecules enhanced lunasin uptake and increased basal αVβ3 integrin expression, lunasin reduced αVβ3 expression by 25.5, 26.8 and 49.2%, respectively. The pretreatment of cells with brefeldin A (71 μM), an inhibitor of protein trafficking, inhibited lunasin internalization by up to 99.8%. Lunasin increased caveolin-1 expression by up to 204.8%, but did not modulate clathrin. The pretreatment of macrophages with nystatin (54 μM), an inhibitor of caveolae-dependent endocytosis, reduced lunasin internalization. The presence of amantadine (1 mM) and amiloride (1 mM), inhibitors of clathrin-mediated endocytosis and macropinocytosis, abolished lunasin cell entry. Lunasin elicited a transient reduction in intracellular levels of Ca2+ in LPS-induced macrophages. The results suggest that internalization of lunasin into macrophages is amplified in inflammatory conditions and is primarily mediated by endocytic mechanisms that involve integrin signaling, clathrin-coated structures and macropinosomes. Lunasin may be responsible for attenuation of CVD risk factors by interacting with pathways involved in endocytosis and inflammation. © 2013 Cam et al.","author":[{"dropping-particle":"","family":"Cam","given":"Anthony","non-dropping-particle":"","parse-names":false,"suffix":""},{"dropping-particle":"","family":"Sivaguru","given":"Mayandi","non-dropping-particle":"","parse-names":false,"suffix":""},{"dropping-particle":"","family":"Gonzalez de Mejia","given":"Elvira","non-dropping-particle":"","parse-names":false,"suffix":""}],"container-title":"PLoS ONE","id":"ITEM-1","issue":"9","issued":{"date-parts":[["2013","9","5"]]},"page":"e72115","publisher":"Public Library of Science","title":"Endocytic Mechanism of Internalization of Dietary Peptide Lunasin into Macrophages in Inflammatory Condition Associated with Cardiovascular Disease","type":"article-journal","volume":"8"},"uris":["http://www.mendeley.com/documents/?uuid=04fefa63-f952-3df4-a9cc-6d73cea08c1f"]}],"mendeley":{"formattedCitation":"[94]","plainTextFormattedCitation":"[94]","previouslyFormattedCitation":"[94]"},"properties":{"noteIndex":0},"schema":"https://github.com/citation-style-language/schema/raw/master/csl-citation.json"}</w:instrText>
      </w:r>
      <w:r>
        <w:rPr>
          <w:lang w:val="es-CO"/>
        </w:rPr>
        <w:fldChar w:fldCharType="separate"/>
      </w:r>
      <w:r w:rsidR="00BA0E53" w:rsidRPr="00BA0E53">
        <w:rPr>
          <w:noProof/>
        </w:rPr>
        <w:t>[94]</w:t>
      </w:r>
      <w:r>
        <w:rPr>
          <w:lang w:val="es-CO"/>
        </w:rPr>
        <w:fldChar w:fldCharType="end"/>
      </w:r>
      <w:r>
        <w:t>.</w:t>
      </w:r>
    </w:p>
    <w:p w14:paraId="41AB8AD9" w14:textId="7472F9D4" w:rsidR="00DD0AC8" w:rsidRDefault="00943C22" w:rsidP="001311E7">
      <w:pPr>
        <w:spacing w:line="480" w:lineRule="auto"/>
        <w:ind w:firstLine="720"/>
      </w:pPr>
      <w:r>
        <w:t xml:space="preserve">    Investigation of the biological activity of lunasin from the perspective of inflammation-related diseases is still incipient. </w:t>
      </w:r>
      <w:r>
        <w:rPr>
          <w:color w:val="000000" w:themeColor="text1"/>
        </w:rPr>
        <w:t xml:space="preserve">In synovial fibroblast isolated from patients with rheumatoid arthritis, lunasin inhibited cell proliferation, induced apoptosis, reduced the production of IL-6, IL-8, and </w:t>
      </w:r>
      <w:r w:rsidR="00904B5C">
        <w:rPr>
          <w:color w:val="000000" w:themeColor="text1"/>
        </w:rPr>
        <w:t>MMP</w:t>
      </w:r>
      <w:r>
        <w:rPr>
          <w:color w:val="000000" w:themeColor="text1"/>
        </w:rPr>
        <w:t>-3, and suppressed NF-</w:t>
      </w:r>
      <w:r>
        <w:rPr>
          <w:color w:val="000000" w:themeColor="text1"/>
          <w:lang w:val="es-CO"/>
        </w:rPr>
        <w:t>κ</w:t>
      </w:r>
      <w:r>
        <w:rPr>
          <w:color w:val="000000" w:themeColor="text1"/>
        </w:rPr>
        <w:t xml:space="preserve">B </w:t>
      </w:r>
      <w:r>
        <w:rPr>
          <w:color w:val="000000" w:themeColor="text1"/>
          <w:lang w:val="es-CO"/>
        </w:rPr>
        <w:fldChar w:fldCharType="begin" w:fldLock="1"/>
      </w:r>
      <w:r w:rsidR="006465A0">
        <w:rPr>
          <w:color w:val="000000" w:themeColor="text1"/>
        </w:rPr>
        <w:instrText>ADDIN CSL_CITATION {"citationItems":[{"id":"ITEM-1","itemData":{"DOI":"10.1155/2015/346839","ISSN":"23146141","PMID":"25692134","abstract":"Lunasin, a peptide with 43 amino acid residues and initially isolated and identified in soybean cotyledon, has gained extensive attention due to its anti-inflammatory and anticancer properties. However, its treatment efficacy on rheumatoid arthritis (RA) and corresponding mechanisms have not been reported. Herein, the synovial fibroblasts harvested and isolated from patients with RA were treated with lunasin at various concentrations to examine the proliferation, apoptosis status, and corresponding cell cycle of cultured RA synovial fibroblasts. Mean while, the underlying mechanisms of lunasin for RA treatment are explored through Western blot, real-time PCR, ELISA, and luciferase reporter assays. Lunasin significantly inhibited the proliferation and induced the apoptosis of cultured RA synovial fibroblasts. In addition, lunasin reduced the production of interleukin-6 (IL-6), IL-8, and matrix metalloproteinase-3 (MMP-3) and suppressed the activation of NF-κB in cultured RA synovial fibroblasts but did not reveal obvious modulation on the secretion and gene expression of MMP-1. Therefore, lunasin will have promising potential as a novel nutritional supplement or drug candidate for RA due to its potency of suppressing synovial cell proliferation and decreasing the production of proinflammatory cytokines and MMPs in synovial cells.","author":[{"dropping-particle":"","family":"Jia","given":"Shaohui","non-dropping-particle":"","parse-names":false,"suffix":""},{"dropping-particle":"","family":"Zhang","given":"Shufang","non-dropping-particle":"","parse-names":false,"suffix":""},{"dropping-particle":"","family":"Yuan","given":"Hong","non-dropping-particle":"","parse-names":false,"suffix":""},{"dropping-particle":"","family":"Chen","given":"Ning","non-dropping-particle":"","parse-names":false,"suffix":""}],"container-title":"BioMed Research International","id":"ITEM-1","issued":{"date-parts":[["2015"]]},"publisher":"Hindawi Limited","title":"Lunasin inhibits cell proliferation via apoptosis and reduces the production of proinflammatory cytokines in cultured rheumatoid arthritis synovial fibroblasts","type":"article-journal","volume":"2015"},"uris":["http://www.mendeley.com/documents/?uuid=65620c6c-8ee9-37dc-adae-dcdc4cef9554"]}],"mendeley":{"formattedCitation":"[95]","plainTextFormattedCitation":"[95]","previouslyFormattedCitation":"[95]"},"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[95]</w:t>
      </w:r>
      <w:r>
        <w:rPr>
          <w:color w:val="000000" w:themeColor="text1"/>
          <w:lang w:val="es-CO"/>
        </w:rPr>
        <w:fldChar w:fldCharType="end"/>
      </w:r>
      <w:r>
        <w:rPr>
          <w:color w:val="000000" w:themeColor="text1"/>
        </w:rPr>
        <w:t xml:space="preserve">. In an </w:t>
      </w:r>
      <w:r>
        <w:rPr>
          <w:i/>
          <w:iCs/>
          <w:color w:val="000000" w:themeColor="text1"/>
        </w:rPr>
        <w:t>in vitro</w:t>
      </w:r>
      <w:r>
        <w:rPr>
          <w:color w:val="000000" w:themeColor="text1"/>
        </w:rPr>
        <w:t xml:space="preserve"> model of osteoarthritis, lunasin enhanced the expression of the tissue inhibitors of metalloproteinases TIMP-1 and TIMP-2, and suppressed expression of MMP-3 and MMP-13, protecting type II collagen from degradation in IL-1</w:t>
      </w:r>
      <w:r>
        <w:rPr>
          <w:color w:val="000000" w:themeColor="text1"/>
          <w:lang w:val="es-CO"/>
        </w:rPr>
        <w:t>β</w:t>
      </w:r>
      <w:r>
        <w:rPr>
          <w:color w:val="000000" w:themeColor="text1"/>
        </w:rPr>
        <w:t xml:space="preserve">-stimulated chondrocytes, by attenuating JAK2/STAT1/IRF-1 pathway activation </w:t>
      </w:r>
      <w:r>
        <w:rPr>
          <w:color w:val="000000" w:themeColor="text1"/>
          <w:lang w:val="es-CO"/>
        </w:rPr>
        <w:fldChar w:fldCharType="begin" w:fldLock="1"/>
      </w:r>
      <w:r w:rsidR="006465A0">
        <w:rPr>
          <w:color w:val="000000" w:themeColor="text1"/>
        </w:rPr>
        <w:instrText>ADDIN CSL_CITATION {"citationItems":[{"id":"ITEM-1","itemData":{"DOI":"10.1080/21691401.2019.1623227","ISSN":"2169141X","PMID":"31368822","abstract":"Impairment of type II collagen caused by MMPs in response to overproduction of IL-1β is an important step in the pathological progression of osteoarthritis (OA). Lunasin, a well-known peptide present in the soybean, has displayed a positive impact on numerous physiological functions. Little information in the effects of lunasin on cartilage degradation has been sought in clinical research before. Here, we report that lunasin suppressed the increase in MMP-3 and MMP-13 caused by IL-1β. In addition, we found that lunasin could prevent the decrease in TIMP-1 and TIMP-2 expressions caused by IL-1β. Notably, lunasin suppressed reduction of type II collagen, the basis for articular cartilage. Lunasin also attenuated activation of the JAK2/STAT1/IRF-1 pathway. These effects of lunasin suggest that it might become a promising therapeutic agent for chondro-protective therapy.","author":[{"dropping-particle":"","family":"Dai","given":"Weihua","non-dropping-particle":"","parse-names":false,"suffix":""},{"dropping-particle":"","family":"Liang","given":"Zhiyong","non-dropping-particle":"","parse-names":false,"suffix":""},{"dropping-particle":"","family":"Liu","given":"Hongbo","non-dropping-particle":"","parse-names":false,"suffix":""},{"dropping-particle":"","family":"Zhao","given":"Guangzong","non-dropping-particle":"","parse-names":false,"suffix":""},{"dropping-particle":"","family":"Ju","given":"Chunfang","non-dropping-particle":"","parse-names":false,"suffix":""}],"container-title":"Artificial Cells, Nanomedicine and Biotechnology","id":"ITEM-1","issue":"1","issued":{"date-parts":[["2019","12","4"]]},"page":"3259-3264","publisher":"Taylor and Francis Ltd.","title":"Lunasin abrogates the expression of matrix metalloproteinases and reduction of type II collagen","type":"article-journal","volume":"47"},"uris":["http://www.mendeley.com/documents/?uuid=f188c6bc-88d4-3908-9ea0-06b099e1033d"]}],"mendeley":{"formattedCitation":"[96]","plainTextFormattedCitation":"[96]","previouslyFormattedCitation":"[96]"},"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[96]</w:t>
      </w:r>
      <w:r>
        <w:rPr>
          <w:color w:val="000000" w:themeColor="text1"/>
          <w:lang w:val="es-CO"/>
        </w:rPr>
        <w:fldChar w:fldCharType="end"/>
      </w:r>
      <w:r>
        <w:rPr>
          <w:color w:val="000000" w:themeColor="text1"/>
        </w:rPr>
        <w:t xml:space="preserve">. Using a model of obesity-induced inflammation, </w:t>
      </w:r>
      <w:r>
        <w:t>Hsieh and coworkers demonstrated that in high fat-diet fed mice intraperitoneal administration of lunasin decreased serum levels of leptin and malondialdehyde,  and reduced levels of MCP-1, IL-1</w:t>
      </w:r>
      <w:r>
        <w:rPr>
          <w:lang w:val="es-CO"/>
        </w:rPr>
        <w:t>β</w:t>
      </w:r>
      <w:r>
        <w:t>, and TNF-</w:t>
      </w:r>
      <w:r>
        <w:rPr>
          <w:lang w:val="es-CO"/>
        </w:rPr>
        <w:t>α</w:t>
      </w:r>
      <w:r>
        <w:t xml:space="preserve"> in peritoneal macrophage from female mice, while in males it prevented spleen enlargement, inhibited IL-6 and promoted </w:t>
      </w:r>
      <w:r w:rsidR="00560EB1">
        <w:t>IFN</w:t>
      </w:r>
      <w:r>
        <w:t>-</w:t>
      </w:r>
      <w:r>
        <w:rPr>
          <w:lang w:val="es-CO"/>
        </w:rPr>
        <w:t>γ</w:t>
      </w:r>
      <w:r>
        <w:t xml:space="preserve"> and IL-2 production in the </w:t>
      </w:r>
      <w:r w:rsidR="00684370">
        <w:t>immune cells isolated from the spleen</w:t>
      </w:r>
      <w:r>
        <w:t xml:space="preserve">, inducing Th1-type response </w:t>
      </w:r>
      <w:r>
        <w:rPr>
          <w:lang w:val="es-CO"/>
        </w:rPr>
        <w:fldChar w:fldCharType="begin" w:fldLock="1"/>
      </w:r>
      <w:r w:rsidR="006465A0">
        <w:instrText>ADDIN CSL_CITATION {"citationItems":[{"id":"ITEM-1","itemData":{"DOI":"10.1016/j.fct.2020.111908","ISSN":"18736351","PMID":"33290807","abstract":"Obesity causes immune cells to infiltrate into adipose tissues and secrete proinflammatory mediators, promoting the development of chronic diseases. The seed peptide lunasin has been reported to have several bioactivities. We aimed to investigate the immunomodulatory properties of lunasin in obese models. Female and male C57BL/6J mice were divided into three groups: low-fat diet (LF), high-fat diet (HF), and HF with an intraperitoneal injection of lunasin (HFL). In females, lunasin decreased the levels of monocyte chemoattractant protein-1 (MCP-1), interleukin (IL)-1β, and tumor necrosis factor (TNF-α) produced in peritoneal macrophages, indicating a decrease in F4/80+ macrophage infiltration, especially the CD11c + M1 phenotype. Serum leptin and tissue-oxidized lipid malondialdehyde levels were decreased in the HFL group. In males, lunasin normalized the obesity-induced increase in spleen size and splenocyte numbers. Moreover, lunasin inhibited IL-6 secretion while promoting interferon gamma (IFN-γ) and IL-2 production in the splenocytes. In vitro, lunasin increased EL-4 T-cell proliferation and IL-2 production in activated T cells under obese conditions. Thus, lunasin is a potential natural compound that promotes immunomodulation in both female and male obese mice in a sex-dependent manner. Furthermore, lunasin mediates the anti-inflammatory response and enhances the T helper type 1 cell response to obesity-related immune disorders.","author":[{"dropping-particle":"","family":"Hsieh","given":"Chia Chien","non-dropping-particle":"","parse-names":false,"suffix":""},{"dropping-particle":"","family":"Wang","given":"Yen Fang","non-dropping-particle":"","parse-names":false,"suffix":""},{"dropping-particle":"","family":"Lin","given":"Pin Yu","non-dropping-particle":"","parse-names":false,"suffix":""},{"dropping-particle":"","family":"Peng","given":"Shih Han","non-dropping-particle":"","parse-names":false,"suffix":""},{"dropping-particle":"","family":"Chou","given":"Mei Jia","non-dropping-particle":"","parse-names":false,"suffix":""}],"container-title":"Food and Chemical Toxicology","id":"ITEM-1","issued":{"date-parts":[["2021","1","1"]]},"page":"111908","publisher":"Elsevier Ltd","title":"Seed peptide lunasin ameliorates obesity-induced inflammation and regulates immune responses in C57BL/6J mice fed high-fat diet","type":"article-journal","volume":"147"},"uris":["http://www.mendeley.com/documents/?uuid=e27caee5-90f5-3f42-be25-1a6a0dab22df"]}],"mendeley":{"formattedCitation":"[97]","plainTextFormattedCitation":"[97]","previouslyFormattedCitation":"[97]"},"properties":{"noteIndex":0},"schema":"https://github.com/citation-style-language/schema/raw/master/csl-citation.json"}</w:instrText>
      </w:r>
      <w:r>
        <w:rPr>
          <w:lang w:val="es-CO"/>
        </w:rPr>
        <w:fldChar w:fldCharType="separate"/>
      </w:r>
      <w:r w:rsidR="00BA0E53" w:rsidRPr="00BA0E53">
        <w:rPr>
          <w:noProof/>
        </w:rPr>
        <w:t>[97]</w:t>
      </w:r>
      <w:r>
        <w:rPr>
          <w:lang w:val="es-CO"/>
        </w:rPr>
        <w:fldChar w:fldCharType="end"/>
      </w:r>
      <w:r>
        <w:t>. In</w:t>
      </w:r>
      <w:r w:rsidR="00904B5C">
        <w:t xml:space="preserve"> the context of asthma, </w:t>
      </w:r>
      <w:r>
        <w:t>lunasin administration</w:t>
      </w:r>
      <w:r w:rsidR="00904B5C">
        <w:t xml:space="preserve"> to an </w:t>
      </w:r>
      <w:r w:rsidR="00904B5C">
        <w:rPr>
          <w:i/>
          <w:iCs/>
        </w:rPr>
        <w:t>in vivo</w:t>
      </w:r>
      <w:r w:rsidR="00904B5C">
        <w:t xml:space="preserve"> model of allergic airway inflammation </w:t>
      </w:r>
      <w:r>
        <w:t xml:space="preserve">reduced eosinophil infiltration, goblet cell metaplasia, IL-4 production, and expression of the proinflammatory </w:t>
      </w:r>
      <w:r>
        <w:lastRenderedPageBreak/>
        <w:t xml:space="preserve">gene </w:t>
      </w:r>
      <w:r>
        <w:rPr>
          <w:i/>
          <w:iCs/>
        </w:rPr>
        <w:t>FIZZ1</w:t>
      </w:r>
      <w:r>
        <w:t xml:space="preserve">, while promoting the accumulation of regulatory T cells in the lung </w:t>
      </w:r>
      <w:r>
        <w:rPr>
          <w:lang w:val="es-CO"/>
        </w:rPr>
        <w:fldChar w:fldCharType="begin" w:fldLock="1"/>
      </w:r>
      <w:r w:rsidR="006465A0">
        <w:instrText>ADDIN CSL_CITATION {"citationItems":[{"id":"ITEM-1","itemData":{"DOI":"10.1371/journal.pone.0115330","ISSN":"19326203","PMID":"25646897","abstract":"Lunasin is a naturally occurring peptide isolated from soybeans and has been explored in cancer treatment. Lunasin inhibits NF-κB activation and thus pro-inflammatory cytokine and mediator production in macrophages. In this study we demonstrate that lunasin can effectively suppress allergic airway inflammation in two murine models of asthma. In an OVA +Alum sensitization model, intranasal lunasin treatment at the time of OVA challenges significantly reduced total cells counts in bronchoalveolar lavage (BAL) fluid and eosinophilia, peribronchiolar inflammatory infiltration, goblet cell metaplasia and airway IL-4 production. In an OVA+LPS intranasal sensitization model, lunasin treatment either at the time of sensitization or challenge has similar effects in suppress allergic airway inflammation including significantly reduced total cell and eosinophil counts in BAL fluid, inflammatory gene Fizz1 expression in the lung, and IL-4 production by OVA re-stimulated cells from mediastinal lymph nodes. We further show that intranasal instillation of OVA+lunasin significantly increases OVA-specific regulatory T cell (Treg) accumulation in the lung comparing to OVA only treatment. Taken together, our results suggest lunasin as an anti-inflammatory agent can be potentially used in asthma therapy or as an adjuvant to enhance the induction of antigen-specific Tregs and thus boost the efficacy of allergy immunotherapy.","author":[{"dropping-particle":"","family":"Yang","given":"Xiaowei","non-dropping-particle":"","parse-names":false,"suffix":""},{"dropping-particle":"","family":"Zhu","given":"Jingjing","non-dropping-particle":"","parse-names":false,"suffix":""},{"dropping-particle":"","family":"Tung","given":"Chun Yu","non-dropping-particle":"","parse-names":false,"suffix":""},{"dropping-particle":"","family":"Gardiner","given":"Gail","non-dropping-particle":"","parse-names":false,"suffix":""},{"dropping-particle":"","family":"Wang","given":"Qun","non-dropping-particle":"","parse-names":false,"suffix":""},{"dropping-particle":"","family":"Chang","given":"Hua Chen","non-dropping-particle":"","parse-names":false,"suffix":""},{"dropping-particle":"","family":"Zhou","given":"Baohua","non-dropping-particle":"","parse-names":false,"suffix":""}],"container-title":"PLoS ONE","id":"ITEM-1","issue":"2","issued":{"date-parts":[["2015","2","3"]]},"page":"e0115330","publisher":"Public Library of Science","title":"Lunasin alleviates allergic airway inflammation while increases antigen-specific Tregs","type":"article-journal","volume":"10"},"uris":["http://www.mendeley.com/documents/?uuid=10adedac-53f4-3744-8ede-b7df7426cf83"]}],"mendeley":{"formattedCitation":"[98]","plainTextFormattedCitation":"[98]","previouslyFormattedCitation":"[98]"},"properties":{"noteIndex":0},"schema":"https://github.com/citation-style-language/schema/raw/master/csl-citation.json"}</w:instrText>
      </w:r>
      <w:r>
        <w:rPr>
          <w:lang w:val="es-CO"/>
        </w:rPr>
        <w:fldChar w:fldCharType="separate"/>
      </w:r>
      <w:r w:rsidR="00BA0E53" w:rsidRPr="00BA0E53">
        <w:rPr>
          <w:noProof/>
        </w:rPr>
        <w:t>[98]</w:t>
      </w:r>
      <w:r>
        <w:rPr>
          <w:lang w:val="es-CO"/>
        </w:rPr>
        <w:fldChar w:fldCharType="end"/>
      </w:r>
      <w:r w:rsidRPr="00904B5C">
        <w:t>.</w:t>
      </w:r>
    </w:p>
    <w:p w14:paraId="122DB7DE" w14:textId="77777777" w:rsidR="00943C22" w:rsidRDefault="007419C4" w:rsidP="00DD0AC8">
      <w:pPr>
        <w:spacing w:line="480" w:lineRule="auto"/>
        <w:rPr>
          <w:bCs/>
          <w:i/>
        </w:rPr>
      </w:pPr>
      <w:r>
        <w:rPr>
          <w:bCs/>
          <w:i/>
        </w:rPr>
        <w:t xml:space="preserve">1.2.6.3 </w:t>
      </w:r>
      <w:r w:rsidR="00943C22" w:rsidRPr="007419C4">
        <w:rPr>
          <w:bCs/>
          <w:i/>
        </w:rPr>
        <w:t>Other biological properties</w:t>
      </w:r>
    </w:p>
    <w:p w14:paraId="5DC7F675" w14:textId="32E17A88" w:rsidR="00943C22" w:rsidRDefault="00943C22" w:rsidP="00DD0AC8">
      <w:pPr>
        <w:spacing w:line="480" w:lineRule="auto"/>
        <w:ind w:firstLine="720"/>
      </w:pPr>
      <w:r>
        <w:rPr>
          <w:color w:val="000000" w:themeColor="text1"/>
        </w:rPr>
        <w:t>Lunasin also acts as an antioxidant. It inhibit</w:t>
      </w:r>
      <w:r w:rsidR="00AF4A26">
        <w:rPr>
          <w:color w:val="000000" w:themeColor="text1"/>
        </w:rPr>
        <w:t>ed</w:t>
      </w:r>
      <w:r>
        <w:rPr>
          <w:color w:val="000000" w:themeColor="text1"/>
        </w:rPr>
        <w:t xml:space="preserve"> linoleic acid oxidation as well as </w:t>
      </w:r>
      <w:r>
        <w:t xml:space="preserve">the production of reactive oxygen species in LPS-induced murine macrophages </w:t>
      </w:r>
      <w:r>
        <w:rPr>
          <w:lang w:val="es-CO"/>
        </w:rPr>
        <w:fldChar w:fldCharType="begin" w:fldLock="1"/>
      </w:r>
      <w:r w:rsidR="006465A0">
        <w:instrText>ADDIN CSL_CITATION {"citationItems":[{"id":"ITEM-1","itemData":{"DOI":"10.1016/j.bbrc.2009.10.053","ISSN":"0006291X","PMID":"19836349","abstract":"Oxidative stress and inflammation are two of the most critical factors implicated in carcinogenesis and other degenerative disorders. We have investigated how lunasin, a known anti-cancer seed peptide, affect these factors. This peptide inhibits linoleic acid oxidation and acts as 2,2′-azinobis (3-ethylbenzothiazoline-6-sulfonic acid) diammonium salt (ABTS) radical scavenger. Furthermore, using LPS-stimulated RAW 264.7 macrophages, we have demonstrated that lunasin reduces, in a significant dose-dependent manner, the production of reactive oxygen species (ROS) by LPS-induced macrophages. Lunasin also inhibits the release of pro-inflammatory cytokines (tumor necrosis factor-α [TNF-α] and interleukine-6 [IL-6]). On the basis of these potent antioxidant and anti-inflammatory properties, we propose lunasin not only as a cancer preventive and therapeutic agent but also as an agent against other inflammatory-related disorders. © 2009.","author":[{"dropping-particle":"","family":"Hernández-Ledesma","given":"Blanca","non-dropping-particle":"","parse-names":false,"suffix":""},{"dropping-particle":"","family":"Hsieh","given":"Chia Chien","non-dropping-particle":"","parse-names":false,"suffix":""},{"dropping-particle":"","family":"Lumen","given":"Ben O.","non-dropping-particle":"de","parse-names":false,"suffix":""}],"container-title":"Biochemical and Biophysical Research Communications","id":"ITEM-1","issue":"3","issued":{"date-parts":[["2009","12","18"]]},"page":"803-808","publisher":"Academic Press","title":"Antioxidant and anti-inflammatory properties of cancer preventive peptide lunasin in RAW 264.7 macrophages","type":"article-journal","volume":"390"},"uris":["http://www.mendeley.com/documents/?uuid=6d2a395c-c332-4f1f-b4e2-41312be084d2"]}],"mendeley":{"formattedCitation":"[99]","plainTextFormattedCitation":"[99]","previouslyFormattedCitation":"[99]"},"properties":{"noteIndex":0},"schema":"https://github.com/citation-style-language/schema/raw/master/csl-citation.json"}</w:instrText>
      </w:r>
      <w:r>
        <w:rPr>
          <w:lang w:val="es-CO"/>
        </w:rPr>
        <w:fldChar w:fldCharType="separate"/>
      </w:r>
      <w:r w:rsidR="00BA0E53" w:rsidRPr="00BA0E53">
        <w:rPr>
          <w:noProof/>
        </w:rPr>
        <w:t>[99]</w:t>
      </w:r>
      <w:r>
        <w:rPr>
          <w:lang w:val="es-CO"/>
        </w:rPr>
        <w:fldChar w:fldCharType="end"/>
      </w:r>
      <w:r>
        <w:t xml:space="preserve">, and </w:t>
      </w:r>
      <w:r w:rsidR="00AF4A26">
        <w:t xml:space="preserve">protected </w:t>
      </w:r>
      <w:r>
        <w:t xml:space="preserve">intestinal epithelial cell lines from oxidative damage and the cytotoxic effect of chemical oxidants such as hydrogen peroxide and tert-butylhydroperoxide </w:t>
      </w:r>
      <w:r>
        <w:rPr>
          <w:lang w:val="es-CO"/>
        </w:rPr>
        <w:fldChar w:fldCharType="begin" w:fldLock="1"/>
      </w:r>
      <w:r w:rsidR="006465A0">
        <w:instrText>ADDIN CSL_CITATION {"citationItems":[{"id":"ITEM-1","itemData":{"DOI":"10.1016/j.fct.2013.12.021","ISSN":"02786915","PMID":"24365261","abstract":"Oxidative stress is one of the most critical factors implicated in many disorders of the gastrointestinal tract, such as inflammatory bowel diseases and colon cancer. Lunasin is a seed peptide known by its properties against cancer and cardiovascular diseases. The present study investigated the in vitro antioxidant activity of this peptide that demonstrated to be a potent scavenger of peroxyl and superoxide radicals. In addition, the protective role of lunasin on cell viability and antioxidant defenses of human Caco-2 cells challenged by hydrogen peroxide and tert-butylhydroperoxide was evaluated. This peptide remained partially intact during incubation time with cells, preventing of the oxidative damage induced by both chemical agents. The direct antioxidant action of lunasin (within the physiological range of concentrations) on enterocytes exposed to oxidizing species makes this peptide a promising agent to preserve the integrity of intestinal mucosa against oxidative damage related diseases. © 2013 Elsevier Ltd.","author":[{"dropping-particle":"","family":"García-Nebot","given":"María José","non-dropping-particle":"","parse-names":false,"suffix":""},{"dropping-particle":"","family":"Recio","given":"Isidra","non-dropping-particle":"","parse-names":false,"suffix":""},{"dropping-particle":"","family":"Hernández-Ledesma","given":"Blanca","non-dropping-particle":"","parse-names":false,"suffix":""}],"container-title":"Food and Chemical Toxicology","id":"ITEM-1","issued":{"date-parts":[["2014","3","1"]]},"page":"155-161","publisher":"Pergamon","title":"Antioxidant activity and protective effects of peptide lunasin against oxidative stress in intestinal Caco-2 cells","type":"article-journal","volume":"65"},"uris":["http://www.mendeley.com/documents/?uuid=7048aa84-a7c4-3292-bea8-b345d5bfa0f5"]}],"mendeley":{"formattedCitation":"[100]","plainTextFormattedCitation":"[100]","previouslyFormattedCitation":"[100]"},"properties":{"noteIndex":0},"schema":"https://github.com/citation-style-language/schema/raw/master/csl-citation.json"}</w:instrText>
      </w:r>
      <w:r>
        <w:rPr>
          <w:lang w:val="es-CO"/>
        </w:rPr>
        <w:fldChar w:fldCharType="separate"/>
      </w:r>
      <w:r w:rsidR="00BA0E53" w:rsidRPr="00BA0E53">
        <w:rPr>
          <w:noProof/>
        </w:rPr>
        <w:t>[100]</w:t>
      </w:r>
      <w:r>
        <w:rPr>
          <w:lang w:val="es-CO"/>
        </w:rPr>
        <w:fldChar w:fldCharType="end"/>
      </w:r>
      <w:r>
        <w:t xml:space="preserve">, mainly acting as a </w:t>
      </w:r>
      <w:r w:rsidR="003C2D8A">
        <w:t xml:space="preserve">free </w:t>
      </w:r>
      <w:r>
        <w:t xml:space="preserve">radical scavenger </w:t>
      </w:r>
      <w:r>
        <w:rPr>
          <w:lang w:val="es-CO"/>
        </w:rPr>
        <w:fldChar w:fldCharType="begin" w:fldLock="1"/>
      </w:r>
      <w:r w:rsidR="006465A0">
        <w:instrText>ADDIN CSL_CITATION {"citationItems":[{"id":"ITEM-1","itemData":{"DOI":"10.1002/jsfa.8278","ISSN":"00225142","abstract":"BACKGROUND: Lunasin is a novel cancer-preventive peptide that has been detected in various plants. However, the presence and bioactivity of lunasin in quinoa have not been demonstrated. RESULTS: Lunasin was detected in quinoa using ultrahigh-pressure liquid chromatography–electrosparay ionization–mass spectrometry. The content in 15 quinoa samples ranged from 1.01 × 10−3 g kg−1 dry seed to 4.89 × 10−3 g kg−1 dry seed. Significant differences (P &lt; 0.05) in lunasin content among different cultivars (yy22, xsg86, xsg59, yy30 and yy19) from the same area and the same cultivar from different areas (Hainan, Hebei and Shanxi provinces) were observed. The lunasin isolated and purified from quinoa (QLP) exhibited a weak DPPH radical scavenging activity (no IC50 value), but a strong ABTS+ radical scavenging activity (IC50 value, 1.45 g L−1) and oxygen radical scavenging activity (40.06 µmol L−1 Trolox equivalents/g QLP when the concentration was 3.20 g L−1). In addition, QLP inhibited the production of nitric oxide (NO), tumor necrosis factor-α and interleukin-6 on lipopolysaccharide-stimulated RAW264.7 macrophages by up to 44.77%, 39.81% and 33.50%, respectively, at a concentration of 0.40 g L−1. CONCLUSION: Taken together, these findings indicate that lunasin presents in quinoa and is bioactive, which strengthens the recommendations for the development of quinoa-based functional foods. © 2017 Society of Chemical Industry.","author":[{"dropping-particle":"","family":"Ren","given":"Guixing","non-dropping-particle":"","parse-names":false,"suffix":""},{"dropping-particle":"","family":"Zhu","given":"Yingying","non-dropping-particle":"","parse-names":false,"suffix":""},{"dropping-particle":"","family":"Shi","given":"Zhenxing","non-dropping-particle":"","parse-names":false,"suffix":""},{"dropping-particle":"","family":"Li","given":"Jianhui","non-dropping-particle":"","parse-names":false,"suffix":""}],"container-title":"Journal of the Science of Food and Agriculture","id":"ITEM-1","issue":"12","issued":{"date-parts":[["2017","9","1"]]},"page":"4110-4116","publisher":"John Wiley and Sons Ltd","title":"Detection of lunasin in quinoa ( &lt;i&gt;Chenopodium quinoa&lt;/i&gt; Willd.) and the &lt;i&gt;in vitro&lt;/i&gt; evaluation of its antioxidant and anti-inflammatory activities","type":"article-journal","volume":"97"},"uris":["http://www.mendeley.com/documents/?uuid=acd96d91-2bdc-338c-9a6c-87e4d07b61b9"]}],"mendeley":{"formattedCitation":"[70]","plainTextFormattedCitation":"[70]","previouslyFormattedCitation":"[70]"},"properties":{"noteIndex":0},"schema":"https://github.com/citation-style-language/schema/raw/master/csl-citation.json"}</w:instrText>
      </w:r>
      <w:r>
        <w:rPr>
          <w:lang w:val="es-CO"/>
        </w:rPr>
        <w:fldChar w:fldCharType="separate"/>
      </w:r>
      <w:r w:rsidR="00BA0E53" w:rsidRPr="00BA0E53">
        <w:rPr>
          <w:noProof/>
        </w:rPr>
        <w:t>[70]</w:t>
      </w:r>
      <w:r>
        <w:rPr>
          <w:lang w:val="es-CO"/>
        </w:rPr>
        <w:fldChar w:fldCharType="end"/>
      </w:r>
      <w:r>
        <w:t xml:space="preserve">. Other biological effects have been reported on cholesterol regulation, Alzheimer like-neuropathology, bone regeneration, cataracts, and other cardiovascular and central nervous systems conditions </w:t>
      </w:r>
      <w:r>
        <w:rPr>
          <w:lang w:val="es-CO"/>
        </w:rPr>
        <w:fldChar w:fldCharType="begin" w:fldLock="1"/>
      </w:r>
      <w:r w:rsidR="006465A0">
        <w:instrText>ADDIN CSL_CITATION {"citationItems":[{"id":"ITEM-1","itemData":{"DOI":"10.1016/j.foodres.2018.12.029","ISSN":"18737145","abstract":"Non-communicable diseases have become the medical challenge of the 21st century because of their high incidence and mortality rates. Accumulating evidence has suggested that the modulation of diet and other lifestyle habits is the best strategy for the prevention of these diseases. An increasing number of dietary compounds have been found to exert health promoting benefits beyond their nutritional effects. Among them, lunasin is considered one of the most studied bioactive peptides. Since its discovery in soybean twenty years ago, many researchers around the world have focused their studies on demonstrating the chemopreventive and chemotherapeutic activity of lunasin. Moreover, in the last years, promising protective effects of this peptide against hypercholesterolemia, obesity, metabolic syndrome and associated cardiovascular disorders, and inflammatory and immune-regulated diseases have been described. This review summarizes recent remarkable advances on the use of peptide lunasin as a potential functional ingredient to provide health benefits. Moreover, novel aspects related to the influence of lunasin's digestion and bioavailability, the mechanisms of action proposed to explain the underlying biological properties, and the incorporation of this peptide into nutritional supplements are critically discussed.","author":[{"dropping-particle":"","family":"Fernández-Tomé","given":"Samuel","non-dropping-particle":"","parse-names":false,"suffix":""},{"dropping-particle":"","family":"Hernández-Ledesma","given":"Blanca","non-dropping-particle":"","parse-names":false,"suffix":""}],"container-title":"Food Research International","id":"ITEM-1","issued":{"date-parts":[["2019"]]},"page":"71-78","publisher":"Elsevier Ltd","title":"Current state of art after twenty years of the discovery of bioactive peptide lunasin","type":"article","volume":"116"},"uris":["http://www.mendeley.com/documents/?uuid=28a91601-fb3a-3c60-91ff-6497604da759"]},{"id":"ITEM-2","itemData":{"DOI":"10.1002/jsfa.8719","ISSN":"10970010","PMID":"28990666","abstract":"Chronic diseases have become the medical challenge of the 21st century because of their high incidence and mortality rates. Modulation of diet and lifestyle habits is considered as the best strategy for the prevention of these disorders. Health promoting benefits beyond their nutritional effects have been described for multiple dietary compounds. Among these compounds, the peptide lunasin is considered as one of the most promising. Naturally present in soybean, lunasin has been extensively studied in the last two decades because of its potential against chronic diseases such as cancer, cardiovascular and immunological disorders. The purpose of this article is to summarise the evidence on the presence of lunasin in soybean and derived foods, and its bioavailability once it is orally ingested. The protective and therapeutic effects of this peptide against cancer, oxidative stress, inflammation, and high cholesterol levels as well as the molecular mechanisms of action involved in these effects are also described in this review. © 2017 Society of Chemical Industry.","author":[{"dropping-particle":"","family":"Hsieh","given":"Chia Chien","non-dropping-particle":"","parse-names":false,"suffix":""},{"dropping-particle":"","family":"Martínez-Villaluenga","given":"Cristina","non-dropping-particle":"","parse-names":false,"suffix":""},{"dropping-particle":"","family":"Lumen","given":"Ben O.","non-dropping-particle":"de","parse-names":false,"suffix":""},{"dropping-particle":"","family":"Hernández-Ledesma","given":"Blanca","non-dropping-particle":"","parse-names":false,"suffix":""}],"container-title":"Journal of the Science of Food and Agriculture","id":"ITEM-2","issue":"6","issued":{"date-parts":[["2018"]]},"page":"2070-2079","title":"Updating the research on the chemopreventive and therapeutic role of the peptide lunasin","type":"article-journal","volume":"98"},"uris":["http://www.mendeley.com/documents/?uuid=43cbf670-6d8c-4843-bcf8-2b316f46d901"]}],"mendeley":{"formattedCitation":"[57,61]","plainTextFormattedCitation":"[57,61]","previouslyFormattedCitation":"[57,61]"},"properties":{"noteIndex":0},"schema":"https://github.com/citation-style-language/schema/raw/master/csl-citation.json"}</w:instrText>
      </w:r>
      <w:r>
        <w:rPr>
          <w:lang w:val="es-CO"/>
        </w:rPr>
        <w:fldChar w:fldCharType="separate"/>
      </w:r>
      <w:r w:rsidR="00BA0E53" w:rsidRPr="00BA0E53">
        <w:rPr>
          <w:noProof/>
        </w:rPr>
        <w:t>[57,61]</w:t>
      </w:r>
      <w:r>
        <w:rPr>
          <w:lang w:val="es-CO"/>
        </w:rPr>
        <w:fldChar w:fldCharType="end"/>
      </w:r>
      <w:r>
        <w:t xml:space="preserve">. </w:t>
      </w:r>
    </w:p>
    <w:p w14:paraId="2C2ABD2E" w14:textId="41A0BAC1" w:rsidR="00916B9A" w:rsidRDefault="00943C22" w:rsidP="001311E7">
      <w:pPr>
        <w:spacing w:line="480" w:lineRule="auto"/>
        <w:ind w:firstLine="720"/>
      </w:pPr>
      <w:r>
        <w:t xml:space="preserve">Some evidence suggests subtle differences in the biological activity of lunasin chemically synthesized and the one isolated from natural sources. Naturally occurring lunasin has higher colony formation inhibitory activity, </w:t>
      </w:r>
      <w:r>
        <w:rPr>
          <w:lang w:val="es-CO"/>
        </w:rPr>
        <w:fldChar w:fldCharType="begin" w:fldLock="1"/>
      </w:r>
      <w:r w:rsidR="006465A0">
        <w:instrText>ADDIN CSL_CITATION {"citationItems":[{"id":"ITEM-1","itemData":{"DOI":"10.1021/jf0256945","abstract":"Lunasin is a novel peptide originally identified in soybean that suppresses chemical carcinogen-induced transformation in mammalian cells and skin carcinogenesis in mice. Since the lunasin gene was cloned from soybean and the chemically synthesized form of the lunasin peptide has been used in experiments conducted so far, the isolation of lunasin from other natural sources and testing of its biological properties have not been carried out. We report here the isolation, purification, and biological assay of lunasin from barley, a newly found rich source of the peptide. The identity of lunasin was established by Western blot analysis and mass spectrometric peptide mapping of the in-gel tryptic digest of the putative protein band. Lunasin was partially purified with anion exchange and immunoaffinity chromatography. The crude and partially purified lunasin from barley suppressed colony formation in stably ras-transfected mouse fibroblast cells induced with IPTG. These fractions also inhibited histone acetylation in mouse fibroblast NIH 3T3 and human breast MCF-7 cells in the presence of the histone deacetylase inhibitor sodium butyrate.","author":[{"dropping-particle":"","family":"Jeong","given":"Hyung J","non-dropping-particle":"","parse-names":false,"suffix":""},{"dropping-particle":"","family":"Lam","given":"Y I","non-dropping-particle":"","parse-names":false,"suffix":""},{"dropping-particle":"","family":"Lumen","given":"Ben O","non-dropping-particle":"De","parse-names":false,"suffix":""}],"container-title":"Journal of Agricultural and Food Chemistry","id":"ITEM-1","issued":{"date-parts":[["2002"]]},"page":"5903-5908","title":"Barley Lunasin Suppresses ras-Induced Colony Formation and Inhibits Core Histone Acetylation in Mammalian Cells","type":"article-journal","volume":"50"},"uris":["http://www.mendeley.com/documents/?uuid=4a4dca29-01f3-3228-ac86-7bbbbd4e6c7d"]}],"mendeley":{"formattedCitation":"[81]","plainTextFormattedCitation":"[81]","previouslyFormattedCitation":"[81]"},"properties":{"noteIndex":0},"schema":"https://github.com/citation-style-language/schema/raw/master/csl-citation.json"}</w:instrText>
      </w:r>
      <w:r>
        <w:rPr>
          <w:lang w:val="es-CO"/>
        </w:rPr>
        <w:fldChar w:fldCharType="separate"/>
      </w:r>
      <w:r w:rsidR="00BA0E53" w:rsidRPr="00BA0E53">
        <w:rPr>
          <w:noProof/>
        </w:rPr>
        <w:t>[81]</w:t>
      </w:r>
      <w:r>
        <w:rPr>
          <w:lang w:val="es-CO"/>
        </w:rPr>
        <w:fldChar w:fldCharType="end"/>
      </w:r>
      <w:r>
        <w:t xml:space="preserve">, and increased binding affinity for histone H4 than the synthetic peptide </w:t>
      </w:r>
      <w:r>
        <w:rPr>
          <w:lang w:val="es-CO"/>
        </w:rPr>
        <w:fldChar w:fldCharType="begin" w:fldLock="1"/>
      </w:r>
      <w:r w:rsidR="006465A0">
        <w:instrText>ADDIN CSL_CITATION {"citationItems":[{"id":"ITEM-1","itemData":{"DOI":"10.1371/journal.pone.0035409","ISSN":"1932-6203","abstract":"Lunasin is a peptide derived from the soybean 2S albumin seed protein that has both anticancer and anti-inflammatory activities. Large-scale animal studies and human clinical trials to determine the efficacy of lunasin in vivo have been hampered by the cost of synthetic lunasin and the lack of a method for obtaining gram quantities of highly purified lunasin from plant sources. The goal of this study was to develop a large-scale method to generate highly purified lunasin from defatted soy flour. A scalable method was developed that utilizes the sequential application of anion-exchange chromatography, ultrafiltration, and reversed-phase chromatography. This method generates lunasin preparations of &gt;99% purity with a yield of 442 mg/kg defatted soy flour. Mass spectrometry of the purified lunasin revealed that the peptide is 44 amino acids in length and represents the original published sequence of lunasin with an additional C-terminal asparagine residue. Histone-binding assays demonstrated that the biological activity of the purified lunasin was similar to that of synthetic lunasin. This study provides a robust method for purifying commercial-scale quantities of biologically-active lunasin and clearly identifies the predominant form of lunasin in soy flour. This method will greatly facilitate the development of lunasin as a potential nutraceutical or therapeutic anticancer agent. © 2012 Seber et al.","author":[{"dropping-particle":"","family":"Seber","given":"Lauren E.","non-dropping-particle":"","parse-names":false,"suffix":""},{"dropping-particle":"","family":"Barnett","given":"Brian W.","non-dropping-particle":"","parse-names":false,"suffix":""},{"dropping-particle":"","family":"McConnell","given":"Elizabeth J.","non-dropping-particle":"","parse-names":false,"suffix":""},{"dropping-particle":"","family":"Hume","given":"Steven D.","non-dropping-particle":"","parse-names":false,"suffix":""},{"dropping-particle":"","family":"Cai","given":"Jian","non-dropping-particle":"","parse-names":false,"suffix":""},{"dropping-particle":"","family":"Boles","given":"Kati","non-dropping-particle":"","parse-names":false,"suffix":""},{"dropping-particle":"","family":"Davis","given":"Keith R.","non-dropping-particle":"","parse-names":false,"suffix":""}],"container-title":"PLoS ONE","editor":[{"dropping-particle":"","family":"Antopolsky","given":"Maxim","non-dropping-particle":"","parse-names":false,"suffix":""}],"id":"ITEM-1","issue":"4","issued":{"date-parts":[["2012","4","13"]]},"page":"e35409","publisher":"Public Library of Science","title":"Scalable Purification and Characterization of the Anticancer Lunasin Peptide from Soybean","type":"article-journal","volume":"7"},"uris":["http://www.mendeley.com/documents/?uuid=84033bd8-ad6d-3db1-b722-b75d1f034b12"]}],"mendeley":{"formattedCitation":"[58]","plainTextFormattedCitation":"[58]","previouslyFormattedCitation":"[58]"},"properties":{"noteIndex":0},"schema":"https://github.com/citation-style-language/schema/raw/master/csl-citation.json"}</w:instrText>
      </w:r>
      <w:r>
        <w:rPr>
          <w:lang w:val="es-CO"/>
        </w:rPr>
        <w:fldChar w:fldCharType="separate"/>
      </w:r>
      <w:r w:rsidR="00BA0E53" w:rsidRPr="00BA0E53">
        <w:rPr>
          <w:noProof/>
        </w:rPr>
        <w:t>[58]</w:t>
      </w:r>
      <w:r>
        <w:rPr>
          <w:lang w:val="es-CO"/>
        </w:rPr>
        <w:fldChar w:fldCharType="end"/>
      </w:r>
      <w:r>
        <w:t xml:space="preserve">. </w:t>
      </w:r>
      <w:r w:rsidR="00F6228E">
        <w:t>D</w:t>
      </w:r>
      <w:r>
        <w:t xml:space="preserve">ifferences in the induction of cell cycle arrest and apoptosis between similar studies have been also associated with this difference in </w:t>
      </w:r>
      <w:r w:rsidR="003C2D8A">
        <w:t>origin</w:t>
      </w:r>
      <w:r>
        <w:t xml:space="preserve"> </w:t>
      </w:r>
      <w:r>
        <w:rPr>
          <w:lang w:val="es-CO"/>
        </w:rPr>
        <w:fldChar w:fldCharType="begin" w:fldLock="1"/>
      </w:r>
      <w:r w:rsidR="006465A0">
        <w:instrText>ADDIN CSL_CITATION {"citationItems":[{"id":"ITEM-1","itemData":{"DOI":"10.1016/j.coph.2018.04.006","ISSN":"14714973","PMID":"29679803","abstract":"The health benefits of soy consumption have long been recognized. An important potential benefit is the linkage of soy consumption with reduced cancer risk. One emerging factor that may confer the anticancer effects of soy is the peptide lunasin. Lunasin has both chemopreventive and therapeutic activities against a variety of carcinogens and cancer types. A novel feature of lunasin is that it contains multiple functional domains that can modulate gene expression through effects on histone acetylation and integrin signaling. Recent studies suggest that lunasin effects on integrin signaling in cancer stem cells reduce expression of stemness factors with a concomitant reduction in metastatic potential. Here, we highlight recent studies of the potential use of lunasin as an anticancer agent and its mode of action.","author":[{"dropping-particle":"","family":"Vuyyuri","given":"Saleha B.","non-dropping-particle":"","parse-names":false,"suffix":""},{"dropping-particle":"","family":"Shidal","given":"Chris","non-dropping-particle":"","parse-names":false,"suffix":""},{"dropping-particle":"","family":"Davis","given":"Keith R.","non-dropping-particle":"","parse-names":false,"suffix":""}],"container-title":"Current Opinion in Pharmacology","id":"ITEM-1","issued":{"date-parts":[["2018","8","1"]]},"page":"27-33","publisher":"Elsevier Ltd","title":"Development of the plant-derived peptide lunasin as an anticancer agent","type":"article-journal","volume":"41"},"uris":["http://www.mendeley.com/documents/?uuid=2b299980-0978-40b3-acd5-3c7df9dd371d"]}],"mendeley":{"formattedCitation":"[59]","plainTextFormattedCitation":"[59]","previouslyFormattedCitation":"[59]"},"properties":{"noteIndex":0},"schema":"https://github.com/citation-style-language/schema/raw/master/csl-citation.json"}</w:instrText>
      </w:r>
      <w:r>
        <w:rPr>
          <w:lang w:val="es-CO"/>
        </w:rPr>
        <w:fldChar w:fldCharType="separate"/>
      </w:r>
      <w:r w:rsidR="00BA0E53" w:rsidRPr="00BA0E53">
        <w:rPr>
          <w:noProof/>
        </w:rPr>
        <w:t>[59]</w:t>
      </w:r>
      <w:r>
        <w:rPr>
          <w:lang w:val="es-CO"/>
        </w:rPr>
        <w:fldChar w:fldCharType="end"/>
      </w:r>
      <w:r>
        <w:t xml:space="preserve">. Interestingly, lunasin from oat showed similar activity to synthetic lunasin </w:t>
      </w:r>
      <w:r>
        <w:rPr>
          <w:lang w:val="es-CO"/>
        </w:rPr>
        <w:fldChar w:fldCharType="begin" w:fldLock="1"/>
      </w:r>
      <w:r w:rsidR="006465A0">
        <w:instrText>ADDIN CSL_CITATION {"citationItems":[{"id":"ITEM-1","itemData":{"DOI":"10.1016/j.jcs.2012.12.008","ISSN":"07335210","abstract":"We report the first discovery of lunasin in oats (Avena sativa L). Lunasin is a novel cancer preventive, anti-inflammatory and cholesterol-reducing peptide originally isolated from soy and later found in cereals (barley, rye, wheat, triticale). Lunasin was detected in oats using LC-MS/MS analysis. The chromatograms and mass spectra of lunasin isolated from five oat genotypes were compared with those of the synthetic lunasin peptide. We measured the lunasin content in harvests of two years and found that all tested oat genotypes contained the lunasin peptide. However, we observed genotype-related fluctuations in the lunasin content. Notably, the middle early oat variety 'Ivory' contained the highest and the most stable lunasin level at 0.197 ± 0.01 mg per g of grain in year 2010 and 0.195 ± 0.009 mg per g of grain in 2011. We also characterized the selected oat genotypes by measuring the contents of protein, β-glucans, fat, starch and moisture in the grains. However, we did not find correlation between lunasin and protein, and β-glucan content. Lunasin isolated from oat showed similar to the synthetic lunasin antioxidant effects. The detection of lunasin complements a list of bioactive compounds present in oats and strengthens recommendations to use oat products. © 2013 Elsevier Ltd.","author":[{"dropping-particle":"","family":"Nakurte","given":"Ilva","non-dropping-particle":"","parse-names":false,"suffix":""},{"dropping-particle":"","family":"Kirhnere","given":"Inga","non-dropping-particle":"","parse-names":false,"suffix":""},{"dropping-particle":"","family":"Namniece","given":"Jana","non-dropping-particle":"","parse-names":false,"suffix":""},{"dropping-particle":"","family":"Saleniece","given":"Kristine","non-dropping-particle":"","parse-names":false,"suffix":""},{"dropping-particle":"","family":"Krigere","given":"Liga","non-dropping-particle":"","parse-names":false,"suffix":""},{"dropping-particle":"","family":"Mekss","given":"Peteris","non-dropping-particle":"","parse-names":false,"suffix":""},{"dropping-particle":"","family":"Vicupe","given":"Zaiga","non-dropping-particle":"","parse-names":false,"suffix":""},{"dropping-particle":"","family":"Bleidere","given":"Mara","non-dropping-particle":"","parse-names":false,"suffix":""},{"dropping-particle":"","family":"Legzdina","given":"Linda","non-dropping-particle":"","parse-names":false,"suffix":""},{"dropping-particle":"","family":"Muceniece","given":"Ruta","non-dropping-particle":"","parse-names":false,"suffix":""}],"container-title":"Journal of Cereal Science","id":"ITEM-1","issue":"3","issued":{"date-parts":[["2013","5","1"]]},"page":"319-324","publisher":"Academic Press","title":"Detection of the lunasin peptide in oats (Avena sativa L)","type":"article-journal","volume":"57"},"uris":["http://www.mendeley.com/documents/?uuid=1ea0ae7e-2458-3f92-86ab-415dbd2f3de1"]}],"mendeley":{"formattedCitation":"[65]","plainTextFormattedCitation":"[65]","previouslyFormattedCitation":"[65]"},"properties":{"noteIndex":0},"schema":"https://github.com/citation-style-language/schema/raw/master/csl-citation.json"}</w:instrText>
      </w:r>
      <w:r>
        <w:rPr>
          <w:lang w:val="es-CO"/>
        </w:rPr>
        <w:fldChar w:fldCharType="separate"/>
      </w:r>
      <w:r w:rsidR="00BA0E53" w:rsidRPr="00BA0E53">
        <w:rPr>
          <w:noProof/>
        </w:rPr>
        <w:t>[65]</w:t>
      </w:r>
      <w:r>
        <w:rPr>
          <w:lang w:val="es-CO"/>
        </w:rPr>
        <w:fldChar w:fldCharType="end"/>
      </w:r>
      <w:r>
        <w:t xml:space="preserve">, although evidence indicates the absence of the peptide in cereals </w:t>
      </w:r>
      <w:r>
        <w:rPr>
          <w:lang w:val="es-CO"/>
        </w:rPr>
        <w:fldChar w:fldCharType="begin" w:fldLock="1"/>
      </w:r>
      <w:r w:rsidR="006465A0">
        <w:instrText>ADDIN CSL_CITATION {"citationItems":[{"id":"ITEM-1","itemData":{"DOI":"10.1021/acs.jafc.6b00445","ISSN":"15205118","PMID":"27015324","abstract":"Lunasin, a 44 amino acid soybean bioactive peptide, exhibits anticancer and anti-inflammatory properties. All soybean varieties that have been examined contain lunasin. It has also been reported in a few other plant species including amaranth, black nightshade, wheat, barley, rye, and triticale. Interestingly, detailed searches of transcriptome and DNA sequence databases of cereals failed to identify lunasin-coding sequences, raising questions about the authenticity of lunasin in cereals. To clarify the presence or absence of lunasin in cereals and other plant species, an immunological investigation was conducted utilizing polyclonal antibodies raised against the first 20 amino acid N-terminal peptide (SKWQHQQDSCRKQLQGVNLT) and a 15 amino acid C-terminal peptide (CEKHIMEKIQGRGDD) of lunasin. Protein blot analyses revealed the presence of proteins from several plants that reacted against the lunasin N-terminal peptide antibodies. However, the same proteins failed to react against the lunasin C-terminal peptide antibodies. These results demonstrate that peptides identical to soybean lunasin are absent in seeds of diverse plants examined in this study.","author":[{"dropping-particle":"","family":"Alaswad","given":"Alaa A.","non-dropping-particle":"","parse-names":false,"suffix":""},{"dropping-particle":"","family":"Krishnan","given":"Hari B.","non-dropping-particle":"","parse-names":false,"suffix":""}],"container-title":"Journal of Agricultural and Food Chemistry","id":"ITEM-1","issue":"14","issued":{"date-parts":[["2016","4","27"]]},"page":"2901-2909","publisher":"American Chemical Society","title":"Immunological Investigation for the Presence of Lunasin, a Chemopreventive Soybean Peptide, in the Seeds of Diverse Plants","type":"article-journal","volume":"64"},"uris":["http://www.mendeley.com/documents/?uuid=cb1b9e28-a9dc-3f62-800c-bf0d09493218"]},{"id":"ITEM-2","itemData":{"DOI":"10.1016/j.jcs.2013.01.013","ISSN":"07335210","abstract":"Lunasin is a peptide from soybean seeds which has been demonstrated to have anticancer properties. It has also been reported in cereal seeds: wheat, rye, barley and Triticale. However, extensive searches of transcriptome and DNA sequence databases for wheat and other cereals have failed to identify sequences encoding either the lunasin peptide or a precursor protein. This raises the question of the origin of the lunasin reported in cereal grain. © 2013 Elsevier Ltd.","author":[{"dropping-particle":"","family":"Mitchell","given":"Rowan A.C.","non-dropping-particle":"","parse-names":false,"suffix":""},{"dropping-particle":"","family":"Lovegrove","given":"Alison","non-dropping-particle":"","parse-names":false,"suffix":""},{"dropping-particle":"","family":"Shewry","given":"Peter R.","non-dropping-particle":"","parse-names":false,"suffix":""}],"container-title":"Journal of Cereal Science","id":"ITEM-2","issue":"3","issued":{"date-parts":[["2013","5","1"]]},"page":"267-269","publisher":"Academic Press","title":"Lunasin in cereal seeds: What is the origin?","type":"article-journal","volume":"57"},"uris":["http://www.mendeley.com/documents/?uuid=a1310aff-aa08-3865-b090-ea9b1cd88ee1"]}],"mendeley":{"formattedCitation":"[74,76]","plainTextFormattedCitation":"[74,76]","previouslyFormattedCitation":"[74,76]"},"properties":{"noteIndex":0},"schema":"https://github.com/citation-style-language/schema/raw/master/csl-citation.json"}</w:instrText>
      </w:r>
      <w:r>
        <w:rPr>
          <w:lang w:val="es-CO"/>
        </w:rPr>
        <w:fldChar w:fldCharType="separate"/>
      </w:r>
      <w:r w:rsidR="00BA0E53" w:rsidRPr="00BA0E53">
        <w:rPr>
          <w:noProof/>
        </w:rPr>
        <w:t>[74,76]</w:t>
      </w:r>
      <w:r>
        <w:rPr>
          <w:lang w:val="es-CO"/>
        </w:rPr>
        <w:fldChar w:fldCharType="end"/>
      </w:r>
      <w:r>
        <w:t>. It is possible that amino</w:t>
      </w:r>
      <w:r w:rsidR="00F6228E">
        <w:t xml:space="preserve"> </w:t>
      </w:r>
      <w:r>
        <w:t xml:space="preserve">acid sequences of the peptide, also found in non-soybean sources, are responsible for the biological activity observed, but structural differences </w:t>
      </w:r>
      <w:r>
        <w:lastRenderedPageBreak/>
        <w:t>explain the decreased effect of the synthetic peptide when compared with the soy derived</w:t>
      </w:r>
      <w:r w:rsidR="00F6228E">
        <w:t xml:space="preserve"> lunasin</w:t>
      </w:r>
      <w:r>
        <w:t>.</w:t>
      </w:r>
    </w:p>
    <w:p w14:paraId="4727E0CB" w14:textId="77777777" w:rsidR="00943C22" w:rsidRDefault="002E0B22" w:rsidP="001311E7">
      <w:pPr>
        <w:pStyle w:val="Heading3"/>
        <w:spacing w:before="0" w:after="0" w:line="480" w:lineRule="auto"/>
        <w:rPr>
          <w:i w:val="0"/>
        </w:rPr>
      </w:pPr>
      <w:bookmarkStart w:id="10" w:name="_Toc77082094"/>
      <w:r>
        <w:rPr>
          <w:i w:val="0"/>
        </w:rPr>
        <w:t xml:space="preserve">1.2.7 </w:t>
      </w:r>
      <w:r w:rsidR="00943C22" w:rsidRPr="002E0B22">
        <w:rPr>
          <w:i w:val="0"/>
        </w:rPr>
        <w:t>Lunasin in the gastrointestinal tract</w:t>
      </w:r>
      <w:bookmarkEnd w:id="10"/>
    </w:p>
    <w:p w14:paraId="1C2ADE63" w14:textId="2DDF333C" w:rsidR="00916B9A" w:rsidRDefault="00943C22" w:rsidP="001311E7">
      <w:pPr>
        <w:spacing w:line="480" w:lineRule="auto"/>
        <w:ind w:firstLine="720"/>
      </w:pPr>
      <w:r>
        <w:t xml:space="preserve">Table 1.1 summarizes </w:t>
      </w:r>
      <w:r>
        <w:rPr>
          <w:i/>
          <w:iCs/>
        </w:rPr>
        <w:t xml:space="preserve">in vivo </w:t>
      </w:r>
      <w:r>
        <w:t>models reported for the anticancer and anti-inflammatory activity of lunasin. Despite multiple studies promot</w:t>
      </w:r>
      <w:r w:rsidR="003C2D8A">
        <w:t>ing</w:t>
      </w:r>
      <w:r>
        <w:t xml:space="preserve"> the incorporation of soybean products in the diet, as a source of lunasin,</w:t>
      </w:r>
      <w:r>
        <w:rPr>
          <w:i/>
          <w:iCs/>
        </w:rPr>
        <w:t xml:space="preserve"> in vivo </w:t>
      </w:r>
      <w:r>
        <w:t xml:space="preserve">models that support biological activity upon oral ingestion are scarce. </w:t>
      </w:r>
    </w:p>
    <w:p w14:paraId="3C6308B6" w14:textId="77777777" w:rsidR="00943C22" w:rsidRDefault="007419C4" w:rsidP="00DD0AC8">
      <w:pPr>
        <w:spacing w:line="480" w:lineRule="auto"/>
        <w:rPr>
          <w:bCs/>
          <w:i/>
        </w:rPr>
      </w:pPr>
      <w:r>
        <w:rPr>
          <w:bCs/>
          <w:i/>
        </w:rPr>
        <w:t xml:space="preserve">1.2.7.1 </w:t>
      </w:r>
      <w:r w:rsidR="00943C22" w:rsidRPr="007419C4">
        <w:rPr>
          <w:bCs/>
          <w:i/>
        </w:rPr>
        <w:t>Protection of lunasin during gastrointestinal digestion</w:t>
      </w:r>
    </w:p>
    <w:p w14:paraId="69A6AF17" w14:textId="43C7243F" w:rsidR="00943C22" w:rsidRDefault="003C2D8A" w:rsidP="00DD0AC8">
      <w:pPr>
        <w:spacing w:line="480" w:lineRule="auto"/>
        <w:ind w:firstLine="720"/>
      </w:pPr>
      <w:r>
        <w:t xml:space="preserve">Lunasin is known to suffer a proteolytic breakdown in the gastrointestinal tract. </w:t>
      </w:r>
      <w:r w:rsidR="00943C22">
        <w:t xml:space="preserve">Exposure of purified lunasin from soybeans and synthetic lunasin to simulated gastrointestinal fluid showed that the peptide was digested after two minutes of exposure </w:t>
      </w:r>
      <w:r w:rsidR="00943C22">
        <w:rPr>
          <w:lang w:val="es-CO"/>
        </w:rPr>
        <w:fldChar w:fldCharType="begin" w:fldLock="1"/>
      </w:r>
      <w:r w:rsidR="006465A0">
        <w:instrText>ADDIN CSL_CITATION {"citationItems":[{"id":"ITEM-1","itemData":{"DOI":"10.1021/jf072107c","ISSN":"00218561","PMID":"18038984","abstract":"Lunasin and BBI (Bowman Birk protease inhibitor) are bioactive soy peptides that have been shown to be effective suppressors of carcinogenesis in in vitro and in vivo model systems. Since they are subject to digestion in the gastrointestinal tract, we investigated here the stabilities of lunasin and BBI to digestion in vitro by simulated intestinal fluid (SIF) and simulated gastric fluid (SGF). Samples containing lunasin and BBI of varying purities were subjected to in vitro digestion by SIF and SGF at different times and analyzed by Western blot. While the pure BBI reaction is stable after SIF and SGF digestions, the purified lunasin from soybean and synthetic lunasin are easily digested after 2 min in both in vitro digestions. In contrast, lunasin from soy protein containing BBI is comparatively stable after SIF and SGF digestions. Both lunasin and BBI are able to internalize into the cell and localize in the nucleus even after digestion, suggesting that some of the peptides are intact and bioactive. These data suggest that BBI plays a role in protecting lunasin from digestion when soy protein is consumed orally. The role of other soy protease inhibitors such as Kunitz Trypsin Inhibitor (KTI) cannot be excluded from these experiments. © 2007 American Chemical Society.","author":[{"dropping-particle":"","family":"Jae","given":"Ho Park","non-dropping-particle":"","parse-names":false,"suffix":""},{"dropping-particle":"","family":"Hyung","given":"Jin Jeong","non-dropping-particle":"","parse-names":false,"suffix":""},{"dropping-particle":"","family":"Lumen","given":"Ben O.","non-dropping-particle":"De","parse-names":false,"suffix":""}],"container-title":"Journal of Agricultural and Food Chemistry","id":"ITEM-1","issue":"26","issued":{"date-parts":[["2007","12","26"]]},"page":"10703-10706","publisher":" American Chemical Society","title":"In vitro digestibility of the cancer-preventive soy peptides lunasin and BBI","type":"article-journal","volume":"55"},"uris":["http://www.mendeley.com/documents/?uuid=46cc1130-9d2a-3bb1-a8eb-4adad5c1e60d"]}],"mendeley":{"formattedCitation":"[101]","plainTextFormattedCitation":"[101]","previouslyFormattedCitation":"[101]"},"properties":{"noteIndex":0},"schema":"https://github.com/citation-style-language/schema/raw/master/csl-citation.json"}</w:instrText>
      </w:r>
      <w:r w:rsidR="00943C22">
        <w:rPr>
          <w:lang w:val="es-CO"/>
        </w:rPr>
        <w:fldChar w:fldCharType="separate"/>
      </w:r>
      <w:r w:rsidR="00BA0E53" w:rsidRPr="00BA0E53">
        <w:rPr>
          <w:noProof/>
        </w:rPr>
        <w:t>[101]</w:t>
      </w:r>
      <w:r w:rsidR="00943C22">
        <w:rPr>
          <w:lang w:val="es-CO"/>
        </w:rPr>
        <w:fldChar w:fldCharType="end"/>
      </w:r>
      <w:r w:rsidR="00943C22">
        <w:t xml:space="preserve">. In this same study, evaluation of Bowman-Birk inhibitor (BBI), a bioactive peptide also present in soybeans, indicated that this peptide, in contrast, was </w:t>
      </w:r>
      <w:r>
        <w:t>resistant</w:t>
      </w:r>
      <w:r w:rsidR="00943C22">
        <w:t xml:space="preserve"> to digestion and conferred some protective effect to lunasin when combined </w:t>
      </w:r>
      <w:r w:rsidR="00943C22">
        <w:rPr>
          <w:lang w:val="es-CO"/>
        </w:rPr>
        <w:fldChar w:fldCharType="begin" w:fldLock="1"/>
      </w:r>
      <w:r w:rsidR="006465A0">
        <w:instrText>ADDIN CSL_CITATION {"citationItems":[{"id":"ITEM-1","itemData":{"DOI":"10.1021/jf072107c","ISSN":"00218561","PMID":"18038984","abstract":"Lunasin and BBI (Bowman Birk protease inhibitor) are bioactive soy peptides that have been shown to be effective suppressors of carcinogenesis in in vitro and in vivo model systems. Since they are subject to digestion in the gastrointestinal tract, we investigated here the stabilities of lunasin and BBI to digestion in vitro by simulated intestinal fluid (SIF) and simulated gastric fluid (SGF). Samples containing lunasin and BBI of varying purities were subjected to in vitro digestion by SIF and SGF at different times and analyzed by Western blot. While the pure BBI reaction is stable after SIF and SGF digestions, the purified lunasin from soybean and synthetic lunasin are easily digested after 2 min in both in vitro digestions. In contrast, lunasin from soy protein containing BBI is comparatively stable after SIF and SGF digestions. Both lunasin and BBI are able to internalize into the cell and localize in the nucleus even after digestion, suggesting that some of the peptides are intact and bioactive. These data suggest that BBI plays a role in protecting lunasin from digestion when soy protein is consumed orally. The role of other soy protease inhibitors such as Kunitz Trypsin Inhibitor (KTI) cannot be excluded from these experiments. © 2007 American Chemical Society.","author":[{"dropping-particle":"","family":"Jae","given":"Ho Park","non-dropping-particle":"","parse-names":false,"suffix":""},{"dropping-particle":"","family":"Hyung","given":"Jin Jeong","non-dropping-particle":"","parse-names":false,"suffix":""},{"dropping-particle":"","family":"Lumen","given":"Ben O.","non-dropping-particle":"De","parse-names":false,"suffix":""}],"container-title":"Journal of Agricultural and Food Chemistry","id":"ITEM-1","issue":"26","issued":{"date-parts":[["2007","12","26"]]},"page":"10703-10706","publisher":" American Chemical Society","title":"In vitro digestibility of the cancer-preventive soy peptides lunasin and BBI","type":"article-journal","volume":"55"},"uris":["http://www.mendeley.com/documents/?uuid=46cc1130-9d2a-3bb1-a8eb-4adad5c1e60d"]}],"mendeley":{"formattedCitation":"[101]","plainTextFormattedCitation":"[101]","previouslyFormattedCitation":"[101]"},"properties":{"noteIndex":0},"schema":"https://github.com/citation-style-language/schema/raw/master/csl-citation.json"}</w:instrText>
      </w:r>
      <w:r w:rsidR="00943C22">
        <w:rPr>
          <w:lang w:val="es-CO"/>
        </w:rPr>
        <w:fldChar w:fldCharType="separate"/>
      </w:r>
      <w:r w:rsidR="00BA0E53" w:rsidRPr="00BA0E53">
        <w:rPr>
          <w:noProof/>
        </w:rPr>
        <w:t>[101]</w:t>
      </w:r>
      <w:r w:rsidR="00943C22">
        <w:rPr>
          <w:lang w:val="es-CO"/>
        </w:rPr>
        <w:fldChar w:fldCharType="end"/>
      </w:r>
      <w:r w:rsidR="00943C22">
        <w:t xml:space="preserve">. </w:t>
      </w:r>
      <w:r>
        <w:t>Another</w:t>
      </w:r>
      <w:r w:rsidR="00943C22">
        <w:t xml:space="preserve"> study demonstrated that 25% of lunasin survived pepsin digestion after 3</w:t>
      </w:r>
      <w:r w:rsidR="00D41E51">
        <w:t xml:space="preserve"> </w:t>
      </w:r>
      <w:r w:rsidR="00943C22">
        <w:t>h, and 6% of the peptide was still detectable after 6</w:t>
      </w:r>
      <w:r w:rsidR="00D41E51">
        <w:t xml:space="preserve"> </w:t>
      </w:r>
      <w:r w:rsidR="00943C22">
        <w:t xml:space="preserve">h of sequential digestion </w:t>
      </w:r>
      <w:r>
        <w:t xml:space="preserve">by </w:t>
      </w:r>
      <w:r w:rsidR="00943C22">
        <w:t xml:space="preserve">pepsin-pancreatin when lunasin was part of soy flour </w:t>
      </w:r>
      <w:r w:rsidR="00943C22">
        <w:rPr>
          <w:color w:val="000000" w:themeColor="text1"/>
          <w:lang w:val="es-CO"/>
        </w:rPr>
        <w:fldChar w:fldCharType="begin" w:fldLock="1"/>
      </w:r>
      <w:r w:rsidR="006465A0">
        <w:rPr>
          <w:color w:val="000000" w:themeColor="text1"/>
        </w:rPr>
        <w:instrText>ADDIN CSL_CITATION {"citationItems":[{"id":"ITEM-1","itemData":{"DOI":"10.1002/mnfr.200900073","ISSN":"16134125","PMID":"19937853","abstract":"Lunasin is a novel chemopreventive peptide featuring a cell adhesion motif composed of arginine-glycine-aspartate (RGD) which has been associated to cytotoxicity to established cell lines. The objectives of this study were to determine the effect of lunasin on the viability of L1210 leukemia cells and to understand the underlying mechanisms involved. Pure lunasin and lunasin enriched soy flour (LES) caused cytotoxicity to L1210 leukemia cells with IC50 of 14 and 16 μM (lunasin equivalent), respectively. Simulated gastrointestinal digestion showed that 25% of the original amount of lunasin survived 3 h of pepsin digestion and 3% of lunasin remained after sequential pepsin-pancreatin digestion for a total of 6 h. Cell cycle analysis showed that lunasin caused a dose-dependent G2 cell cycle arrest and apoptosis. Treatment of L1210 leukemia cells with 1 mg/mL of LES for 18 h led to an increase in the amount of apoptotic cells from 2 to 40%. Compared to untreated cells, treatment with 1 mg/mL LES showed a 6-fold increase on the expressions of caspases-8 and -9, and and a 12-fold increase on the expression of caspase-3. These results showed for the first time that lunasin, a naturally occurring peptide containing an RGD motif, caused apoptosis to L1210 leukemia cells through caspase-3 activation. © 2009 WILEY-VCH Verlag GmbH &amp; Co. KGaA, Weinheim.","author":[{"dropping-particle":"","family":"Gonzalez de Mejia","given":"Elvira","non-dropping-particle":"","parse-names":false,"suffix":""},{"dropping-particle":"","family":"Wang","given":"Wenyi","non-dropping-particle":"","parse-names":false,"suffix":""},{"dropping-particle":"","family":"Dia","given":"Vermont P.","non-dropping-particle":"","parse-names":false,"suffix":""}],"container-title":"Molecular Nutrition and Food Research","id":"ITEM-1","issue":"3","issued":{"date-parts":[["2010"]]},"page":"406-414","title":"Lunasin, with an arginine-glycine-aspartic acid motif, causes apoptosis to L1210 leukemia cells by activation of caspase-3","type":"article-journal","volume":"54"},"uris":["http://www.mendeley.com/documents/?uuid=c29d4e4a-83d5-4685-8678-961f3e137d0c"]}],"mendeley":{"formattedCitation":"[83]","plainTextFormattedCitation":"[83]","previouslyFormattedCitation":"[83]"},"properties":{"noteIndex":0},"schema":"https://github.com/citation-style-language/schema/raw/master/csl-citation.json"}</w:instrText>
      </w:r>
      <w:r w:rsidR="00943C22">
        <w:rPr>
          <w:color w:val="000000" w:themeColor="text1"/>
          <w:lang w:val="es-CO"/>
        </w:rPr>
        <w:fldChar w:fldCharType="separate"/>
      </w:r>
      <w:r w:rsidR="00BA0E53" w:rsidRPr="00BA0E53">
        <w:rPr>
          <w:noProof/>
          <w:color w:val="000000" w:themeColor="text1"/>
        </w:rPr>
        <w:t>[83]</w:t>
      </w:r>
      <w:r w:rsidR="00943C22">
        <w:rPr>
          <w:color w:val="000000" w:themeColor="text1"/>
          <w:lang w:val="es-CO"/>
        </w:rPr>
        <w:fldChar w:fldCharType="end"/>
      </w:r>
      <w:r w:rsidR="00943C22">
        <w:t xml:space="preserve">, suggesting that the food matrix exerted a protective effect over the stability of the peptide during gastrointestinal digestion. Upon these findings, more attention was paid to the interaction between </w:t>
      </w:r>
      <w:r w:rsidR="00916B9A">
        <w:t>lunasin,</w:t>
      </w:r>
      <w:r w:rsidR="00943C22">
        <w:t xml:space="preserve"> and the protease inhibitors present in soybeans, BBI, and </w:t>
      </w:r>
      <w:r w:rsidR="00943C22">
        <w:rPr>
          <w:color w:val="000000" w:themeColor="text1"/>
        </w:rPr>
        <w:t xml:space="preserve">Kunitz trypsin inhibitor (KTI). </w:t>
      </w:r>
      <w:r w:rsidR="00943C22">
        <w:t xml:space="preserve">The complementary role of these protease inhibitors and lunasin, in cancer </w:t>
      </w:r>
      <w:r w:rsidR="00943C22">
        <w:lastRenderedPageBreak/>
        <w:t>prevention, has been investigated. The study performed by Hsieh and coworkers in an</w:t>
      </w:r>
      <w:r w:rsidR="00943C22">
        <w:rPr>
          <w:i/>
          <w:iCs/>
        </w:rPr>
        <w:t xml:space="preserve"> in vivo</w:t>
      </w:r>
      <w:r w:rsidR="00943C22">
        <w:t xml:space="preserve"> model of breast cancer showed that intraperitoneal injection of soybean lunasin, but not BBI, reduced tumor incidence and size, and delayed tumor generation, </w:t>
      </w:r>
      <w:r w:rsidR="00D41E51">
        <w:t>suggestin</w:t>
      </w:r>
      <w:r w:rsidR="008B1D39">
        <w:t>g</w:t>
      </w:r>
      <w:r w:rsidR="00D41E51">
        <w:t xml:space="preserve"> </w:t>
      </w:r>
      <w:r w:rsidR="00943C22">
        <w:t xml:space="preserve">that lunasin was the bioactive cancer preventive agent in Bowman-Birk Inhibitor concentrate (BBIC), a crude soybean extract attributed with chemo-preventive properties </w:t>
      </w:r>
      <w:r w:rsidR="00943C22">
        <w:rPr>
          <w:lang w:val="es-CO"/>
        </w:rPr>
        <w:fldChar w:fldCharType="begin" w:fldLock="1"/>
      </w:r>
      <w:r w:rsidR="006465A0">
        <w:instrText>ADDIN CSL_CITATION {"citationItems":[{"id":"ITEM-1","itemData":{"DOI":"10.1371/journal.pone.0008890","ISSN":"19326203","PMID":"20126654","abstract":"Background: The lower incidence of breast cancer among Asian women compared with Western countries has been partly attributed to soy in the Asian diet, leading to efforts to identify the bioactive components that are responsible. Soy Bowman Birk Inhibitor Concentrate (BBIC) is a known cancer preventive agent now in human clinical trials. Methodology/Principal Findings: The objectives of this work are to establish the presence and delineate the in vitro activity of lunasin and BBI found in BBIC, and study their bioavailability after oral administration to mice and rats. We report that lunasin and BBI are the two main bioactive ingredients of BBIC based on inhibition of foci formation, lunasin being more efficacious than BBI on an equimolar basis. BBI and soy Kunitz Trypsin Inhibitor protect lunasin from in vitro digestion with pancreatin. Oral administration of 3H-labeled lunasin with lunasin-enriched soy results in 30% of the peptide reaching target tissues in an intact and bioactive form. In a xenograft model of nude mice transplanted with human breast cancer MDA-MB-231 cells, intraperitoneal injections of lunasin, at 20 mg/kg and 4 mg/kg body weight, decrease tumor incidence by 49% and 33%, respectively, compared with the vehicle-treated group. In contrast, injection with BBI at 20 mg/kg body weight shows no effect on tumor incidence. Tumor generation is significantly reduced with the two doses of lunasin, while BBI is ineffective. Lunasin inhibits cell proliferation and induces cell death in the breast tumor sections. Conclusions/Significance: We conclude that lunasin is actually the bioactive cancer preventive agent in BBIC, and BBI simply protects lunasin from digestion when soybean and other seed foods are eaten by humans. © 2010 Hsieh et al.","author":[{"dropping-particle":"","family":"Hsieh","given":"Chia Chien","non-dropping-particle":"","parse-names":false,"suffix":""},{"dropping-particle":"","family":"Hernández-Ledesma","given":"Blanca","non-dropping-particle":"","parse-names":false,"suffix":""},{"dropping-particle":"","family":"Jeong","given":"Hyun Jin","non-dropping-particle":"","parse-names":false,"suffix":""},{"dropping-particle":"","family":"Park","given":"Jae Ho","non-dropping-particle":"","parse-names":false,"suffix":""},{"dropping-particle":"","family":"Lumen","given":"Ben O.","non-dropping-particle":"De","parse-names":false,"suffix":""}],"container-title":"PLoS ONE","id":"ITEM-1","issue":"1","issued":{"date-parts":[["2010","1","26"]]},"publisher":"Public Library of Science","title":"Complementary roles in cancer prevention: Protease inhibitor makes the cancer preventive peptide Lunasin bioavailable","type":"article-journal","volume":"5"},"uris":["http://www.mendeley.com/documents/?uuid=00d5bd45-c680-372d-bbcb-c38111263cb6"]}],"mendeley":{"formattedCitation":"[102]","plainTextFormattedCitation":"[102]","previouslyFormattedCitation":"[102]"},"properties":{"noteIndex":0},"schema":"https://github.com/citation-style-language/schema/raw/master/csl-citation.json"}</w:instrText>
      </w:r>
      <w:r w:rsidR="00943C22">
        <w:rPr>
          <w:lang w:val="es-CO"/>
        </w:rPr>
        <w:fldChar w:fldCharType="separate"/>
      </w:r>
      <w:r w:rsidR="00BA0E53" w:rsidRPr="00BA0E53">
        <w:rPr>
          <w:noProof/>
        </w:rPr>
        <w:t>[102]</w:t>
      </w:r>
      <w:r w:rsidR="00943C22">
        <w:rPr>
          <w:lang w:val="es-CO"/>
        </w:rPr>
        <w:fldChar w:fldCharType="end"/>
      </w:r>
      <w:r w:rsidR="00943C22">
        <w:t>. In the same study, the exposure of lunasin to pancreatin in the presence or absence of BBI or KTI indicated that both exert a protective effect over lunasin. Our research group reported that lunasin concentration, after pepsin-pancreatin hydrolysis of lunasin enriched preparation</w:t>
      </w:r>
      <w:r w:rsidR="001B4F0A">
        <w:t>s</w:t>
      </w:r>
      <w:r w:rsidR="00943C22">
        <w:t>, was significantly correlated with BBI and KTI concentration</w:t>
      </w:r>
      <w:r w:rsidR="00D41E51">
        <w:t>s</w:t>
      </w:r>
      <w:r w:rsidR="00943C22">
        <w:t xml:space="preserve">, and mutations in KTI isoforms can result in a lower protective effect </w:t>
      </w:r>
      <w:r w:rsidR="00640090">
        <w:t xml:space="preserve">to </w:t>
      </w:r>
      <w:r w:rsidR="00943C22">
        <w:t xml:space="preserve">the peptide </w:t>
      </w:r>
      <w:r w:rsidR="00943C22">
        <w:rPr>
          <w:lang w:val="es-CO"/>
        </w:rPr>
        <w:fldChar w:fldCharType="begin" w:fldLock="1"/>
      </w:r>
      <w:r w:rsidR="006465A0">
        <w:instrText>ADDIN CSL_CITATION {"citationItems":[{"id":"ITEM-1","itemData":{"DOI":"10.1016/j.foodres.2016.10.051","ISSN":"18737145","abstract":"Soybean contains several biologically active components and one of this belongs to the bioactive peptide group. The objectives of this study were to produce different lunasin-enriched preparations (LEP) and determine the effect of Bowman-Birk inhibitor (BBI) and Kunitz trypsin inhibitor (KTI) concentrations on the stability of lunasin against pepsin-pancreatin hydrolysis (PPH). In addition, the effect of KTI mutation on lunasin stability against PPH was determined. LEP were produced by calcium and pH precipitation methods of 30% aqueous ethanol extract from defatted soybean flour. LEP, lunasin-enriched commercially available products and KTI control and mutant flours underwent PPH and samples were taken after pepsin and pepsin-pancreatin hydrolysis. The concentrations of BBI, KTI, and lunasin all decreased after hydrolysis, but they had varying results. BBI concentration ranged from 167.5 to 655.8 μg/g pre-hydrolysis and 171.5 to 250.1 μg/g after hydrolysis. KTI concentrations ranged from 0.3 to 122.3 μg/g pre-hydrolysis and 9.0 to 18.7 μg/g after hydrolysis. Lunasin concentrations ranged from 8.5 to 71.0 μg/g pre-hydrolysis and 4.0 to 13.2 μg/g after hydrolysis. In all products tested, lunasin concentration after PPH significantly correlated with BBI and KTI concentrations. Mutation in two KTI isoforms led to a lower concentration of lunasin after PPH. This is the first report on the potential role of KTI in lunasin stability against PPH and must be considered in designing lunasin-enriched products that could potentially survive digestion after oral ingestion.","author":[{"dropping-particle":"","family":"Price","given":"Samuel J.","non-dropping-particle":"","parse-names":false,"suffix":""},{"dropping-particle":"","family":"Pangloli","given":"Philipus","non-dropping-particle":"","parse-names":false,"suffix":""},{"dropping-particle":"","family":"Krishnan","given":"Hari B.","non-dropping-particle":"","parse-names":false,"suffix":""},{"dropping-particle":"","family":"Dia","given":"Vermont P.","non-dropping-particle":"","parse-names":false,"suffix":""}],"container-title":"Food Research International","id":"ITEM-1","issued":{"date-parts":[["2016","12","1"]]},"page":"205-215","publisher":"Elsevier Ltd","title":"Kunitz trypsin inhibitor in addition to Bowman-Birk inhibitor influence stability of lunasin against pepsin-pancreatin hydrolysis","type":"article-journal","volume":"90"},"uris":["http://www.mendeley.com/documents/?uuid=c2df7252-e65f-32f1-a96a-112ee4175ed3"]}],"mendeley":{"formattedCitation":"[103]","plainTextFormattedCitation":"[103]","previouslyFormattedCitation":"[103]"},"properties":{"noteIndex":0},"schema":"https://github.com/citation-style-language/schema/raw/master/csl-citation.json"}</w:instrText>
      </w:r>
      <w:r w:rsidR="00943C22">
        <w:rPr>
          <w:lang w:val="es-CO"/>
        </w:rPr>
        <w:fldChar w:fldCharType="separate"/>
      </w:r>
      <w:r w:rsidR="00BA0E53" w:rsidRPr="00BA0E53">
        <w:rPr>
          <w:noProof/>
        </w:rPr>
        <w:t>[103]</w:t>
      </w:r>
      <w:r w:rsidR="00943C22">
        <w:rPr>
          <w:lang w:val="es-CO"/>
        </w:rPr>
        <w:fldChar w:fldCharType="end"/>
      </w:r>
      <w:r w:rsidR="00943C22">
        <w:t xml:space="preserve">.  </w:t>
      </w:r>
    </w:p>
    <w:p w14:paraId="59FED94F" w14:textId="02CAA6E9" w:rsidR="00916B9A" w:rsidRDefault="00943C22" w:rsidP="001311E7">
      <w:pPr>
        <w:spacing w:line="480" w:lineRule="auto"/>
        <w:ind w:firstLine="720"/>
      </w:pPr>
      <w:r>
        <w:t xml:space="preserve">Mice and rats were used as </w:t>
      </w:r>
      <w:r>
        <w:rPr>
          <w:i/>
          <w:iCs/>
        </w:rPr>
        <w:t>in vivo</w:t>
      </w:r>
      <w:r>
        <w:t xml:space="preserve"> models to investigate the bioavailability of lunasin when orally administered as part of a lunasin-enriched soy preparation, demonstrating that 3</w:t>
      </w:r>
      <w:r w:rsidR="00D41E51">
        <w:t xml:space="preserve"> </w:t>
      </w:r>
      <w:r>
        <w:t xml:space="preserve">h after gavage 30% of the oral dose was absorbed and had reached tissues such as the liver, kidneys, heart, brain, lungs, and prostate, in an intact and bioactive state </w:t>
      </w:r>
      <w:r>
        <w:rPr>
          <w:lang w:val="es-CO"/>
        </w:rPr>
        <w:fldChar w:fldCharType="begin" w:fldLock="1"/>
      </w:r>
      <w:r w:rsidR="006465A0">
        <w:instrText>ADDIN CSL_CITATION {"citationItems":[{"id":"ITEM-1","itemData":{"DOI":"10.1371/journal.pone.0008890","ISSN":"19326203","PMID":"20126654","abstract":"Background: The lower incidence of breast cancer among Asian women compared with Western countries has been partly attributed to soy in the Asian diet, leading to efforts to identify the bioactive components that are responsible. Soy Bowman Birk Inhibitor Concentrate (BBIC) is a known cancer preventive agent now in human clinical trials. Methodology/Principal Findings: The objectives of this work are to establish the presence and delineate the in vitro activity of lunasin and BBI found in BBIC, and study their bioavailability after oral administration to mice and rats. We report that lunasin and BBI are the two main bioactive ingredients of BBIC based on inhibition of foci formation, lunasin being more efficacious than BBI on an equimolar basis. BBI and soy Kunitz Trypsin Inhibitor protect lunasin from in vitro digestion with pancreatin. Oral administration of 3H-labeled lunasin with lunasin-enriched soy results in 30% of the peptide reaching target tissues in an intact and bioactive form. In a xenograft model of nude mice transplanted with human breast cancer MDA-MB-231 cells, intraperitoneal injections of lunasin, at 20 mg/kg and 4 mg/kg body weight, decrease tumor incidence by 49% and 33%, respectively, compared with the vehicle-treated group. In contrast, injection with BBI at 20 mg/kg body weight shows no effect on tumor incidence. Tumor generation is significantly reduced with the two doses of lunasin, while BBI is ineffective. Lunasin inhibits cell proliferation and induces cell death in the breast tumor sections. Conclusions/Significance: We conclude that lunasin is actually the bioactive cancer preventive agent in BBIC, and BBI simply protects lunasin from digestion when soybean and other seed foods are eaten by humans. © 2010 Hsieh et al.","author":[{"dropping-particle":"","family":"Hsieh","given":"Chia Chien","non-dropping-particle":"","parse-names":false,"suffix":""},{"dropping-particle":"","family":"Hernández-Ledesma","given":"Blanca","non-dropping-particle":"","parse-names":false,"suffix":""},{"dropping-particle":"","family":"Jeong","given":"Hyun Jin","non-dropping-particle":"","parse-names":false,"suffix":""},{"dropping-particle":"","family":"Park","given":"Jae Ho","non-dropping-particle":"","parse-names":false,"suffix":""},{"dropping-particle":"","family":"Lumen","given":"Ben O.","non-dropping-particle":"De","parse-names":false,"suffix":""}],"container-title":"PLoS ONE","id":"ITEM-1","issue":"1","issued":{"date-parts":[["2010","1","26"]]},"publisher":"Public Library of Science","title":"Complementary roles in cancer prevention: Protease inhibitor makes the cancer preventive peptide Lunasin bioavailable","type":"article-journal","volume":"5"},"uris":["http://www.mendeley.com/documents/?uuid=00d5bd45-c680-372d-bbcb-c38111263cb6"]}],"mendeley":{"formattedCitation":"[102]","plainTextFormattedCitation":"[102]","previouslyFormattedCitation":"[102]"},"properties":{"noteIndex":0},"schema":"https://github.com/citation-style-language/schema/raw/master/csl-citation.json"}</w:instrText>
      </w:r>
      <w:r>
        <w:rPr>
          <w:lang w:val="es-CO"/>
        </w:rPr>
        <w:fldChar w:fldCharType="separate"/>
      </w:r>
      <w:r w:rsidR="00BA0E53" w:rsidRPr="00BA0E53">
        <w:rPr>
          <w:noProof/>
        </w:rPr>
        <w:t>[102]</w:t>
      </w:r>
      <w:r>
        <w:rPr>
          <w:lang w:val="es-CO"/>
        </w:rPr>
        <w:fldChar w:fldCharType="end"/>
      </w:r>
      <w:r>
        <w:t xml:space="preserve">. Although the presence of lunasin in cereals is controversial, similar reports have found bioactive lunasin in the liver, kidney, and blood of mice fed with lunasin-enriched barley </w:t>
      </w:r>
      <w:r>
        <w:rPr>
          <w:lang w:val="es-CO"/>
        </w:rPr>
        <w:fldChar w:fldCharType="begin" w:fldLock="1"/>
      </w:r>
      <w:r w:rsidR="006465A0">
        <w:instrText>ADDIN CSL_CITATION {"citationItems":[{"id":"ITEM-1","itemData":{"DOI":"10.1080/01635581.2010.515529","ISSN":"0163-5581","abstract":"Lunasin, a unique 43-amino acid peptide found in a number of seeds, has been shown to be chemopreventive in mammalian cells and in a skin cancer mouse model. To elucidate the role of cereals in cancer prevention, we report here the prevalence, bioavailability, and bioactivity of lunasin from barley. Lunasin is present in all cultivars of barley analyzed. The liver and kidney of rats fed with lunasin-enriched barley (LEB) show the presence of lunasin in Western blot. Lunasin extracted from the kidney and liver inhibits the activities of HATs (histone acetyl transferases), yGCN5 by 20% and 18% at 100 nM, and PCAF activity by 25% and 24% at 100 nM, confirming that the peptide is intact and bioactive. Purified barley lunasin localizes in the nuclei of NIH 3T3 cells. Barley lunasin added to NIH 3T3 cells in the presence of the chemical carcinogen MCA activates the expression of tumor suppressors p21 and p15 by 45% and 47%, decreases cyclin D1 by 98%, and inhibits Rb hyperphosphorylation by 45% compared with the MCA treatment alone. We conclude that lunasin is prevalent in barley, bioavailable, and bioactive and that consumption of barley could play an important role of cancer prevention in barley-consuming populations. Copyright © 2010, Taylor &amp; Francis Group, LLC.","author":[{"dropping-particle":"","family":"Jeong","given":"Hyung Jin","non-dropping-particle":"","parse-names":false,"suffix":""},{"dropping-particle":"","family":"Jeong","given":"Jin Boo","non-dropping-particle":"","parse-names":false,"suffix":""},{"dropping-particle":"","family":"Hsieh","given":"Chia Chien","non-dropping-particle":"","parse-names":false,"suffix":""},{"dropping-particle":"","family":"Hernández-Ledesma","given":"Blanca","non-dropping-particle":"","parse-names":false,"suffix":""},{"dropping-particle":"","family":"Lumen","given":"Ben O.","non-dropping-particle":"de","parse-names":false,"suffix":""}],"container-title":"Nutrition and Cancer","id":"ITEM-1","issue":"8","issued":{"date-parts":[["2010","11","5"]]},"page":"1113-1119","publisher":" Taylor &amp; Francis Group ","title":"Lunasin Is Prevalent in Barley and Is Bioavailable and Bioactive in In Vivo and In Vitro Studies","type":"article-journal","volume":"62"},"uris":["http://www.mendeley.com/documents/?uuid=27252fd1-9bf4-3a21-b1b6-b63ea1a2b4b9"]}],"mendeley":{"formattedCitation":"[67]","plainTextFormattedCitation":"[67]","previouslyFormattedCitation":"[67]"},"properties":{"noteIndex":0},"schema":"https://github.com/citation-style-language/schema/raw/master/csl-citation.json"}</w:instrText>
      </w:r>
      <w:r>
        <w:rPr>
          <w:lang w:val="es-CO"/>
        </w:rPr>
        <w:fldChar w:fldCharType="separate"/>
      </w:r>
      <w:r w:rsidR="00BA0E53" w:rsidRPr="00BA0E53">
        <w:rPr>
          <w:noProof/>
        </w:rPr>
        <w:t>[67]</w:t>
      </w:r>
      <w:r>
        <w:rPr>
          <w:lang w:val="es-CO"/>
        </w:rPr>
        <w:fldChar w:fldCharType="end"/>
      </w:r>
      <w:r>
        <w:t xml:space="preserve"> and rye </w:t>
      </w:r>
      <w:r>
        <w:rPr>
          <w:lang w:val="es-CO"/>
        </w:rPr>
        <w:fldChar w:fldCharType="begin" w:fldLock="1"/>
      </w:r>
      <w:r w:rsidR="006465A0">
        <w:instrText>ADDIN CSL_CITATION {"citationItems":[{"id":"ITEM-1","itemData":{"DOI":"10.1080/01635580902850082","ISSN":"0163-5581","abstract":"Lunasin is a unique 43-amino acid peptide that has been shown to be chemopreventive in mammalian cells and in a skin cancer mouse model against oncogenes and chemical carcinogens. In search for new sources of lunasin and to better understand the role of cereals in cancer prevention, we report here the properties of lunasin from rye. The stability and bioavailability were measured by in vitro digestibility assay using pepsin and pancreatin and feeding rats with lunasin-enriched rye (LER). Inhibition of histone acetyl transferase (HAT) and nuclear localization in mammalian cells were used to measure lunasin bioactivity. Lunasin is present in 15 out of 21 cultivars of rye analyzed. Lunasin present in rye crude protein preparation is stable to pepsin and pancreatin in in vitro digestion. The liver, kidney, and blood of rats fed LER show the presence of lunasin in Western blot. Lunasin extracted from these tissues inhibits the activities of HATs, confirming that the peptide is intact and bioactive. Lunasin purified from rye internalizes in the nuclei of mouse fibroblast cells. We conclude that lunasin in rye is bioavailable and bioactive and that consumption of rye may play an important role of cancer prevention in rye-consuming populations.","author":[{"dropping-particle":"","family":"Jeong","given":"Hyung Jin","non-dropping-particle":"","parse-names":false,"suffix":""},{"dropping-particle":"","family":"Lee","given":"Jeong Rak","non-dropping-particle":"","parse-names":false,"suffix":""},{"dropping-particle":"","family":"Jeong","given":"Jin Boo","non-dropping-particle":"","parse-names":false,"suffix":""},{"dropping-particle":"","family":"Park","given":"Jae Ho","non-dropping-particle":"","parse-names":false,"suffix":""},{"dropping-particle":"","family":"Cheong","given":"Young-keun","non-dropping-particle":"","parse-names":false,"suffix":""},{"dropping-particle":"","family":"Lumen","given":"Ben O.","non-dropping-particle":"de","parse-names":false,"suffix":""}],"container-title":"Nutrition and Cancer","id":"ITEM-1","issue":"5","issued":{"date-parts":[["2009","9","23"]]},"page":"680-686","publisher":" Taylor &amp; Francis Group ","title":"The Cancer Preventive Seed Peptide Lunasin From Rye Is Bioavailable and Bioactive","type":"article-journal","volume":"61"},"uris":["http://www.mendeley.com/documents/?uuid=20d3602d-a4b2-3074-bf3a-9cf3a627089f"]}],"mendeley":{"formattedCitation":"[64]","plainTextFormattedCitation":"[64]","previouslyFormattedCitation":"[64]"},"properties":{"noteIndex":0},"schema":"https://github.com/citation-style-language/schema/raw/master/csl-citation.json"}</w:instrText>
      </w:r>
      <w:r>
        <w:rPr>
          <w:lang w:val="es-CO"/>
        </w:rPr>
        <w:fldChar w:fldCharType="separate"/>
      </w:r>
      <w:r w:rsidR="00BA0E53" w:rsidRPr="00BA0E53">
        <w:rPr>
          <w:noProof/>
        </w:rPr>
        <w:t>[64]</w:t>
      </w:r>
      <w:r>
        <w:rPr>
          <w:lang w:val="es-CO"/>
        </w:rPr>
        <w:fldChar w:fldCharType="end"/>
      </w:r>
      <w:r>
        <w:t>, which could be explained by the presence of BBI and KTI type inhibitors in cereals, legumes</w:t>
      </w:r>
      <w:r w:rsidR="00D41E51">
        <w:t>,</w:t>
      </w:r>
      <w:r>
        <w:t xml:space="preserve"> and grasses </w:t>
      </w:r>
      <w:r>
        <w:rPr>
          <w:lang w:val="es-CO"/>
        </w:rPr>
        <w:fldChar w:fldCharType="begin" w:fldLock="1"/>
      </w:r>
      <w:r w:rsidR="006465A0">
        <w:instrText>ADDIN CSL_CITATION {"citationItems":[{"id":"ITEM-1","itemData":{"DOI":"10.1007/s11101-012-9231-y","ISSN":"15687767","abstract":"Plant serine protease inhibitors are defense proteins crafted by nature for inhibiting serine proteases. Use of eco-friendly, sustainable and effective protein molecules which could halt or slow down metabolism of nutrients in pest would be a pragmatic approach in insect pest management of crops. The host-pest complexes that we observe in nature are evolutionary dynamic and inter-depend on other defense mechanisms and interactions of other pests or more generally speaking symbionts with the same host. Insects have co-evolved and adapted simultaneously, which makes it necessary to investigate serine protease inhibitors in non-host plants. Such novel serine protease inhibitors are versatile candidates with vast potential to overcome the host inhibitor-insensitive proteases. In a nutshell exploring and crafting plant serine proteinase inhibitors (PIs) for controlling pests effectively must go on. Non-host PI seems to be a better choice for coevolved insensitive proteases. Transgenic plants expressing wound inducible chimaeric PIs may be an outstanding approach to check wide spectrum of gut proteinases and overcome the phenomenon of resistance development. Thus, this article focuses on an entire array of plant serine protease inhibitors that have been explored in the past decade, their mode of action and biological implications as well as applications. © 2012 Springer Science+Business Media B.V.","author":[{"dropping-particle":"","family":"Jamal","given":"Farrukh","non-dropping-particle":"","parse-names":false,"suffix":""},{"dropping-particle":"","family":"Pandey","given":"Prabhash K.","non-dropping-particle":"","parse-names":false,"suffix":""},{"dropping-particle":"","family":"Singh","given":"Dushyant","non-dropping-particle":"","parse-names":false,"suffix":""},{"dropping-particle":"","family":"Khan","given":"M. Y.","non-dropping-particle":"","parse-names":false,"suffix":""}],"container-title":"Phytochemistry Reviews","id":"ITEM-1","issue":"1","issued":{"date-parts":[["2013","3","4"]]},"page":"1-34","publisher":"Springer","title":"Serine protease inhibitors in plants: Nature's arsenal crafted for insect predators","type":"article","volume":"12"},"uris":["http://www.mendeley.com/documents/?uuid=fffd8f91-16b0-356c-95e5-04a55bebca57"]}],"mendeley":{"formattedCitation":"[104]","plainTextFormattedCitation":"[104]","previouslyFormattedCitation":"[104]"},"properties":{"noteIndex":0},"schema":"https://github.com/citation-style-language/schema/raw/master/csl-citation.json"}</w:instrText>
      </w:r>
      <w:r>
        <w:rPr>
          <w:lang w:val="es-CO"/>
        </w:rPr>
        <w:fldChar w:fldCharType="separate"/>
      </w:r>
      <w:r w:rsidR="00BA0E53" w:rsidRPr="00BA0E53">
        <w:rPr>
          <w:noProof/>
        </w:rPr>
        <w:t>[104]</w:t>
      </w:r>
      <w:r>
        <w:rPr>
          <w:lang w:val="es-CO"/>
        </w:rPr>
        <w:fldChar w:fldCharType="end"/>
      </w:r>
      <w:r>
        <w:t xml:space="preserve">. Lunasin was also found in the liver of rats fed with lunasin enriched wheat </w:t>
      </w:r>
      <w:r>
        <w:rPr>
          <w:lang w:val="es-CO"/>
        </w:rPr>
        <w:fldChar w:fldCharType="begin" w:fldLock="1"/>
      </w:r>
      <w:r w:rsidR="006465A0">
        <w:instrText>ADDIN CSL_CITATION {"citationItems":[{"id":"ITEM-1","itemData":{"DOI":"10.1016/j.canlet.2007.03.022","ISSN":"03043835","PMID":"17481808","abstract":"Lunasin is a unique 43-amino acid cancer preventive peptide initially reported in soybean and barley and has been shown to be chemopreventive in mammalian cells and in a skin cancer mouse model against oncogenes and chemical carcinogens. We report here the core histone H3- and H-acetylation inhibitory properties of lunasin from wheat, a new source of the peptide and from the livers of rats fed with lunasin-enriched wheat (LEW) to measure bioavailability. A non-radioactive histone acetyl transferase assay was used to measure inhibition of core histone acetylation. The presence of lunasin in wheat was established by Western blot and identified by liquid chromatography electrospray ionization mass spectrometry (LC-ESI-MS). Lunasin isolated from wheat seeds at different stages of development inhibited core histone H3 and H4 acetylation in a dose-dependent manner. Lunasin extracted from liver of rats fed with lunasin-enriched wheat (LEW) also inhibited histone acetylation confirming that the peptide is intact and bioactive. The amounts of lunasin in the developing seeds and in the rat liver correlated extremely well with the extent of inhibition of core histone acetylation. © 2007 Elsevier Ireland Ltd. All rights reserved.","author":[{"dropping-particle":"","family":"Jeong","given":"Hyung Jin","non-dropping-particle":"","parse-names":false,"suffix":""},{"dropping-particle":"","family":"Jeong","given":"Jin Boo","non-dropping-particle":"","parse-names":false,"suffix":""},{"dropping-particle":"","family":"Kim","given":"Dae Seop","non-dropping-particle":"","parse-names":false,"suffix":""},{"dropping-particle":"","family":"Park","given":"Jae Ho","non-dropping-particle":"","parse-names":false,"suffix":""},{"dropping-particle":"","family":"Lee","given":"Jung Bok","non-dropping-particle":"","parse-names":false,"suffix":""},{"dropping-particle":"","family":"Kweon","given":"Dae Hyuk","non-dropping-particle":"","parse-names":false,"suffix":""},{"dropping-particle":"","family":"Chung","given":"Gyu Young","non-dropping-particle":"","parse-names":false,"suffix":""},{"dropping-particle":"","family":"Seo","given":"Eul Won","non-dropping-particle":"","parse-names":false,"suffix":""},{"dropping-particle":"","family":"Lumen","given":"Ben O.","non-dropping-particle":"de","parse-names":false,"suffix":""}],"container-title":"Cancer Letters","id":"ITEM-1","issue":"1","issued":{"date-parts":[["2007","9","18"]]},"page":"42-48","publisher":"Elsevier","title":"The cancer preventive peptide lunasin from wheat inhibits core histone acetylation","type":"article-journal","volume":"255"},"uris":["http://www.mendeley.com/documents/?uuid=f9812bd2-8418-339e-9307-0e2173307cd0"]}],"mendeley":{"formattedCitation":"[68]","plainTextFormattedCitation":"[68]","previouslyFormattedCitation":"[68]"},"properties":{"noteIndex":0},"schema":"https://github.com/citation-style-language/schema/raw/master/csl-citation.json"}</w:instrText>
      </w:r>
      <w:r>
        <w:rPr>
          <w:lang w:val="es-CO"/>
        </w:rPr>
        <w:fldChar w:fldCharType="separate"/>
      </w:r>
      <w:r w:rsidR="00BA0E53" w:rsidRPr="00BA0E53">
        <w:rPr>
          <w:noProof/>
        </w:rPr>
        <w:t>[68]</w:t>
      </w:r>
      <w:r>
        <w:rPr>
          <w:lang w:val="es-CO"/>
        </w:rPr>
        <w:fldChar w:fldCharType="end"/>
      </w:r>
      <w:r>
        <w:t xml:space="preserve">. In this study, the presence of the peptide was assumed as </w:t>
      </w:r>
      <w:r>
        <w:lastRenderedPageBreak/>
        <w:t xml:space="preserve">positive by matching the sequence KQLQGVNLTPCEKH. Interestingly this peptide contains most of the fraction RKQLQGVN, which was identified years later as involved in the paracellular transport of the peptide </w:t>
      </w:r>
      <w:r>
        <w:rPr>
          <w:lang w:val="es-CO"/>
        </w:rPr>
        <w:fldChar w:fldCharType="begin" w:fldLock="1"/>
      </w:r>
      <w:r w:rsidR="006465A0">
        <w:instrText>ADDIN CSL_CITATION {"citationItems":[{"id":"ITEM-1","itemData":{"DOI":"10.1016/j.jfca.2017.01.011","ISSN":"08891575","abstract":"Lunasin is a soybean peptide with demonstrated chemopreventive properties. Upon its oral intake, studies dealing with the effect of the digestive process on lunasin's properties are crucial. The present study describes, for the first time, the behavior of lunasin and fragments derived from its digestion in the Caco-2 cell monolayer. The sequences SKWQHQQDSC and KIQGRGDDDDDDDDD showed a notable resistance against the epithelial brush-border peptidases, although some fragments were generated as cellular hydrolysis products. Lunasin and RKQLQGVN were absorbed intact across the intestinal epithelium. The tight junction disruptor cytochalasin D increased their transport, suggesting that the paracellular passive diffusion was the main mechanism involved. The study on the cancer cells viability showed that lunasin and SKWQHQQDSC exerted the highest effects on colorectal cancer HT-29 cells. The stability assay suggested that the cell line type was determinant in the behavior of lunasin added to the culture medium, and therefore in the anti-proliferative activity of released fragments.","author":[{"dropping-particle":"","family":"Fernández-Tomé","given":"Samuel","non-dropping-particle":"","parse-names":false,"suffix":""},{"dropping-particle":"","family":"Sanchón","given":"Javier","non-dropping-particle":"","parse-names":false,"suffix":""},{"dropping-particle":"","family":"Recio","given":"Isidra","non-dropping-particle":"","parse-names":false,"suffix":""},{"dropping-particle":"","family":"Hernández-Ledesma","given":"Blanca","non-dropping-particle":"","parse-names":false,"suffix":""}],"container-title":"Journal of Food Composition and Analysis","id":"ITEM-1","issued":{"date-parts":[["2018","5","1"]]},"page":"101-110","publisher":"Academic Press Inc.","title":"Transepithelial transport of lunasin and derived peptides: Inhibitory effects on the gastrointestinal cancer cells viability","type":"article-journal","volume":"68"},"uris":["http://www.mendeley.com/documents/?uuid=dbbc09eb-45f9-3b74-a2a3-365294cfefba"]}],"mendeley":{"formattedCitation":"[60]","plainTextFormattedCitation":"[60]","previouslyFormattedCitation":"[60]"},"properties":{"noteIndex":0},"schema":"https://github.com/citation-style-language/schema/raw/master/csl-citation.json"}</w:instrText>
      </w:r>
      <w:r>
        <w:rPr>
          <w:lang w:val="es-CO"/>
        </w:rPr>
        <w:fldChar w:fldCharType="separate"/>
      </w:r>
      <w:r w:rsidR="00BA0E53" w:rsidRPr="00BA0E53">
        <w:rPr>
          <w:noProof/>
        </w:rPr>
        <w:t>[60]</w:t>
      </w:r>
      <w:r>
        <w:rPr>
          <w:lang w:val="es-CO"/>
        </w:rPr>
        <w:fldChar w:fldCharType="end"/>
      </w:r>
      <w:r>
        <w:t>. Lunasin found in the plasma of healthy male subjects fed with 50</w:t>
      </w:r>
      <w:r w:rsidR="00D41E51">
        <w:t xml:space="preserve"> </w:t>
      </w:r>
      <w:r>
        <w:t xml:space="preserve">g of soy protein, </w:t>
      </w:r>
      <w:r w:rsidR="00640090">
        <w:t xml:space="preserve">indicating </w:t>
      </w:r>
      <w:r>
        <w:t xml:space="preserve">the bioavailability of the soybean peptide in humans </w:t>
      </w:r>
      <w:r>
        <w:rPr>
          <w:lang w:val="es-CO"/>
        </w:rPr>
        <w:fldChar w:fldCharType="begin" w:fldLock="1"/>
      </w:r>
      <w:r w:rsidR="006465A0">
        <w:instrText>ADDIN CSL_CITATION {"citationItems":[{"id":"ITEM-1","itemData":{"DOI":"10.1021/jf803303k","ISSN":"00218561","PMID":"19199603","abstract":"Lunasin is a 43-amino acid bioactive peptide from soybean and other plant sources which is reported to possess anti-inflammatory and anticancer properties. The objective of this study was to assess the presence and concentration of lunasin in blood of men fed soy protein products. Five healthy male subjects who were 18-25 years old consumed 50 g of soy protein for 5 days, and blood was taken 30 min and 1 h after soy protein ingestion on day 5. Lunasin was isolated from plasma using strong anion exchange beads in a magnetic particle concentrator and eluted with 20 mM triethanolamine at pH 8.0 with 0.20 M NaCl. The concentration of lunasin in plasma as determined by an enzyme-linked immunosorbent assay ranged in the various subjects from 50.2 to 110.6 ng/mL of plasma (average ± standard deviation, 66.0 ± 25.4 ng/mL) for blood taken at 30 min and from 33.5 to 122.7 ng/mL of plasma (71.0 ± 32.8 ng/mL) for blood withdrawn 1 h after ingestion on day 5. We estimated an average of 4.5% absorption (range of 2.2-7.8%) of lunasin from the total lunasin ingested from 50 g of soy protein. Matrix-assisted laser desorption ionization time-of-flight peptide mass mapping showed that a 5 kDa peptide similar to synthetic lunasin was present in plasma samples of people who consumed soy protein while absent at the baseline plasma samples from the same individuals. Liquid chromatography-tandem mass spectrometry analysis showed the presence of amino acid sequences from lunasin in plasma samples after soy intake for 30 min and 1 h. No peptides from lunasin were present in plasma samples without soy intake. The results of this study suggest that lunasin is bioavailable in humans, an important requirement for its anticancer potential. © 2009 American Chemical Society.","author":[{"dropping-particle":"","family":"Dia","given":"Vermont P.","non-dropping-particle":"","parse-names":false,"suffix":""},{"dropping-particle":"","family":"Torres","given":"Sofia","non-dropping-particle":"","parse-names":false,"suffix":""},{"dropping-particle":"","family":"Lumen","given":"Ben O.","non-dropping-particle":"De","parse-names":false,"suffix":""},{"dropping-particle":"","family":"Erdman","given":"John W.","non-dropping-particle":"","parse-names":false,"suffix":""},{"dropping-particle":"","family":"Gonzalez De Mejia","given":"Elvira","non-dropping-particle":"","parse-names":false,"suffix":""},{"dropping-particle":"","family":"Mejia","given":"Elvira Gonzalez","non-dropping-particle":"De","parse-names":false,"suffix":""}],"container-title":"J. Agric. Food Chem","id":"ITEM-1","issue":"4","issued":{"date-parts":[["2009","2","25"]]},"page":"1260-1266","publisher":" American Chemical Society","title":"Presence of Lunasin in Plasma of Men after Soy Protein Consumption","type":"article-journal","volume":"57"},"uris":["http://www.mendeley.com/documents/?uuid=6935f28b-18e1-4089-bc6d-70078050d968"]}],"mendeley":{"formattedCitation":"[105]","plainTextFormattedCitation":"[105]","previouslyFormattedCitation":"[105]"},"properties":{"noteIndex":0},"schema":"https://github.com/citation-style-language/schema/raw/master/csl-citation.json"}</w:instrText>
      </w:r>
      <w:r>
        <w:rPr>
          <w:lang w:val="es-CO"/>
        </w:rPr>
        <w:fldChar w:fldCharType="separate"/>
      </w:r>
      <w:r w:rsidR="00BA0E53" w:rsidRPr="00BA0E53">
        <w:rPr>
          <w:noProof/>
        </w:rPr>
        <w:t>[105]</w:t>
      </w:r>
      <w:r>
        <w:rPr>
          <w:lang w:val="es-CO"/>
        </w:rPr>
        <w:fldChar w:fldCharType="end"/>
      </w:r>
      <w:r>
        <w:t xml:space="preserve">. </w:t>
      </w:r>
    </w:p>
    <w:p w14:paraId="75FBD6BA" w14:textId="77777777" w:rsidR="00943C22" w:rsidRDefault="007419C4" w:rsidP="00DD0AC8">
      <w:pPr>
        <w:spacing w:line="480" w:lineRule="auto"/>
        <w:rPr>
          <w:bCs/>
          <w:i/>
        </w:rPr>
      </w:pPr>
      <w:r>
        <w:rPr>
          <w:bCs/>
          <w:i/>
        </w:rPr>
        <w:t xml:space="preserve">1.2.7.2 </w:t>
      </w:r>
      <w:r w:rsidR="00943C22" w:rsidRPr="007419C4">
        <w:rPr>
          <w:bCs/>
          <w:i/>
        </w:rPr>
        <w:t>Bioactivity of lunasin digestion-derived peptides</w:t>
      </w:r>
    </w:p>
    <w:p w14:paraId="0A2CCA56" w14:textId="765FE048" w:rsidR="007419C4" w:rsidRPr="001311E7" w:rsidRDefault="00943C22" w:rsidP="001311E7">
      <w:pPr>
        <w:spacing w:line="480" w:lineRule="auto"/>
        <w:ind w:firstLine="720"/>
        <w:rPr>
          <w:color w:val="000000" w:themeColor="text1"/>
        </w:rPr>
      </w:pPr>
      <w:r>
        <w:rPr>
          <w:color w:val="000000" w:themeColor="text1"/>
        </w:rPr>
        <w:t xml:space="preserve">Although degradation of lunasin by the gastrointestinal digestive enzymes may represent a limitation for oral delivery, evidence suggests that lunasin derived peptides may still exert a biological effect. The first hint was provided by Cruz-Huerta and coworkers, who evaluated the antiproliferative effect of the digestion product after gastric and duodenal digestion of lunasin, over the </w:t>
      </w:r>
      <w:r w:rsidR="00D41E51">
        <w:rPr>
          <w:color w:val="000000" w:themeColor="text1"/>
        </w:rPr>
        <w:t>CRC</w:t>
      </w:r>
      <w:r>
        <w:rPr>
          <w:color w:val="000000" w:themeColor="text1"/>
        </w:rPr>
        <w:t xml:space="preserve"> cell line HT-29, showing a significant decrease of viable cells </w:t>
      </w:r>
      <w:r>
        <w:rPr>
          <w:color w:val="000000" w:themeColor="text1"/>
          <w:lang w:val="es-CO"/>
        </w:rPr>
        <w:fldChar w:fldCharType="begin" w:fldLock="1"/>
      </w:r>
      <w:r w:rsidR="006465A0">
        <w:rPr>
          <w:color w:val="000000" w:themeColor="text1"/>
        </w:rPr>
        <w:instrText>ADDIN CSL_CITATION {"citationItems":[{"id":"ITEM-1","itemData":{"DOI":"10.1039/c5fo00454c","ISSN":"2042650X","PMID":"26132418","abstract":"Lunasin is a naturally-occurring peptide demonstrating chemopreventive, antioxidant and anti-inflammatory properties. To exhibit these activities, orally ingested lunasin needs to survive proteolytic attack of digestive enzymes to reach target tissues in active form/s. Preliminary studies suggested the protective role of protease inhibitors, such as the Bowman-Birk inhibitor and Kunitz-trypsin inhibitor, against lunasin's digestion by both pepsin and pancreatin. This work describes in depth the behaviour of lunasin under conditions simulating the transit through the gastrointestinal tract in the absence or presence of soybean Bowman-Birk isoinhibitor 1 (IBB1) in both active and inactive states. By liquid chromatography coupled with tandem mass spectrometry (HPLC-MS/MS), the remaining lunasin at the end of gastric and gastro-duodenal phases was quantified. Protection against the action of pepsin was independent of the amount of IBB1 present in the analyzed samples, whereas an IBB1 dose-dependent protective effect against trypsin and chymotrypsin was observed. Peptides released from lunasin and inactive IBB1 were identified by MS/MS. The remaining lunasin and IBB1 as well as their derived peptides could be responsible for the anti-proliferative activity against colon cancer cells observed for the digests obtained at the end of simulated gastrointestinal digestion.","author":[{"dropping-particle":"","family":"Cruz-Huerta","given":"Elvia","non-dropping-particle":"","parse-names":false,"suffix":""},{"dropping-particle":"","family":"Fernández-Tomé","given":"Samuel","non-dropping-particle":"","parse-names":false,"suffix":""},{"dropping-particle":"","family":"Arques","given":"M. Carmen","non-dropping-particle":"","parse-names":false,"suffix":""},{"dropping-particle":"","family":"Amigo","given":"Lourdes","non-dropping-particle":"","parse-names":false,"suffix":""},{"dropping-particle":"","family":"Recio","given":"Isidra","non-dropping-particle":"","parse-names":false,"suffix":""},{"dropping-particle":"","family":"Clemente","given":"Alfonso","non-dropping-particle":"","parse-names":false,"suffix":""},{"dropping-particle":"","family":"Hernández-Ledesma","given":"Blanca","non-dropping-particle":"","parse-names":false,"suffix":""}],"container-title":"Food and Function","id":"ITEM-1","issue":"8","issued":{"date-parts":[["2015","8","1"]]},"page":"2626-2635","publisher":"Royal Society of Chemistry","title":"The protective role of the Bowman-Birk protease inhibitor in soybean lunasin digestion: The effect of released peptides on colon cancer growth","type":"article-journal","volume":"6"},"uris":["http://www.mendeley.com/documents/?uuid=a8b42c49-25f4-3fc9-a299-a872918e3c19"]}],"mendeley":{"formattedCitation":"[106]","plainTextFormattedCitation":"[106]","previouslyFormattedCitation":"[106]"},"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[106]</w:t>
      </w:r>
      <w:r>
        <w:rPr>
          <w:color w:val="000000" w:themeColor="text1"/>
          <w:lang w:val="es-CO"/>
        </w:rPr>
        <w:fldChar w:fldCharType="end"/>
      </w:r>
      <w:r>
        <w:rPr>
          <w:color w:val="000000" w:themeColor="text1"/>
        </w:rPr>
        <w:t xml:space="preserve">. In this study, the digestion-derived peptides were identified and it was revealed that BBI can exert a protective effect even after inactivation of its protease inhibitory activity </w:t>
      </w:r>
      <w:r>
        <w:rPr>
          <w:color w:val="000000" w:themeColor="text1"/>
          <w:lang w:val="es-CO"/>
        </w:rPr>
        <w:fldChar w:fldCharType="begin" w:fldLock="1"/>
      </w:r>
      <w:r w:rsidR="006465A0">
        <w:rPr>
          <w:color w:val="000000" w:themeColor="text1"/>
        </w:rPr>
        <w:instrText>ADDIN CSL_CITATION {"citationItems":[{"id":"ITEM-1","itemData":{"DOI":"10.1039/c5fo00454c","ISSN":"2042650X","PMID":"26132418","abstract":"Lunasin is a naturally-occurring peptide demonstrating chemopreventive, antioxidant and anti-inflammatory properties. To exhibit these activities, orally ingested lunasin needs to survive proteolytic attack of digestive enzymes to reach target tissues in active form/s. Preliminary studies suggested the protective role of protease inhibitors, such as the Bowman-Birk inhibitor and Kunitz-trypsin inhibitor, against lunasin's digestion by both pepsin and pancreatin. This work describes in depth the behaviour of lunasin under conditions simulating the transit through the gastrointestinal tract in the absence or presence of soybean Bowman-Birk isoinhibitor 1 (IBB1) in both active and inactive states. By liquid chromatography coupled with tandem mass spectrometry (HPLC-MS/MS), the remaining lunasin at the end of gastric and gastro-duodenal phases was quantified. Protection against the action of pepsin was independent of the amount of IBB1 present in the analyzed samples, whereas an IBB1 dose-dependent protective effect against trypsin and chymotrypsin was observed. Peptides released from lunasin and inactive IBB1 were identified by MS/MS. The remaining lunasin and IBB1 as well as their derived peptides could be responsible for the anti-proliferative activity against colon cancer cells observed for the digests obtained at the end of simulated gastrointestinal digestion.","author":[{"dropping-particle":"","family":"Cruz-Huerta","given":"Elvia","non-dropping-particle":"","parse-names":false,"suffix":""},{"dropping-particle":"","family":"Fernández-Tomé","given":"Samuel","non-dropping-particle":"","parse-names":false,"suffix":""},{"dropping-particle":"","family":"Arques","given":"M. Carmen","non-dropping-particle":"","parse-names":false,"suffix":""},{"dropping-particle":"","family":"Amigo","given":"Lourdes","non-dropping-particle":"","parse-names":false,"suffix":""},{"dropping-particle":"","family":"Recio","given":"Isidra","non-dropping-particle":"","parse-names":false,"suffix":""},{"dropping-particle":"","family":"Clemente","given":"Alfonso","non-dropping-particle":"","parse-names":false,"suffix":""},{"dropping-particle":"","family":"Hernández-Ledesma","given":"Blanca","non-dropping-particle":"","parse-names":false,"suffix":""}],"container-title":"Food and Function","id":"ITEM-1","issue":"8","issued":{"date-parts":[["2015","8","1"]]},"page":"2626-2635","publisher":"Royal Society of Chemistry","title":"The protective role of the Bowman-Birk protease inhibitor in soybean lunasin digestion: The effect of released peptides on colon cancer growth","type":"article-journal","volume":"6"},"uris":["http://www.mendeley.com/documents/?uuid=a8b42c49-25f4-3fc9-a299-a872918e3c19"]}],"mendeley":{"formattedCitation":"[106]","plainTextFormattedCitation":"[106]","previouslyFormattedCitation":"[106]"},"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[106]</w:t>
      </w:r>
      <w:r>
        <w:rPr>
          <w:color w:val="000000" w:themeColor="text1"/>
          <w:lang w:val="es-CO"/>
        </w:rPr>
        <w:fldChar w:fldCharType="end"/>
      </w:r>
      <w:r>
        <w:rPr>
          <w:color w:val="000000" w:themeColor="text1"/>
        </w:rPr>
        <w:t xml:space="preserve">. Further research reported that some of these fragments are resistant against brush-border peptidases and decrease the viability of </w:t>
      </w:r>
      <w:r w:rsidR="00D41E51">
        <w:rPr>
          <w:color w:val="000000" w:themeColor="text1"/>
        </w:rPr>
        <w:t xml:space="preserve">CRC </w:t>
      </w:r>
      <w:r>
        <w:rPr>
          <w:color w:val="000000" w:themeColor="text1"/>
        </w:rPr>
        <w:t xml:space="preserve">cells </w:t>
      </w:r>
      <w:r>
        <w:rPr>
          <w:color w:val="000000" w:themeColor="text1"/>
          <w:lang w:val="es-CO"/>
        </w:rPr>
        <w:fldChar w:fldCharType="begin" w:fldLock="1"/>
      </w:r>
      <w:r w:rsidR="006465A0">
        <w:rPr>
          <w:color w:val="000000" w:themeColor="text1"/>
        </w:rPr>
        <w:instrText>ADDIN CSL_CITATION {"citationItems":[{"id":"ITEM-1","itemData":{"DOI":"10.1016/j.jfca.2017.01.011","ISSN":"08891575","abstract":"Lunasin is a soybean peptide with demonstrated chemopreventive properties. Upon its oral intake, studies dealing with the effect of the digestive process on lunasin's properties are crucial. The present study describes, for the first time, the behavior of lunasin and fragments derived from its digestion in the Caco-2 cell monolayer. The sequences SKWQHQQDSC and KIQGRGDDDDDDDDD showed a notable resistance against the epithelial brush-border peptidases, although some fragments were generated as cellular hydrolysis products. Lunasin and RKQLQGVN were absorbed intact across the intestinal epithelium. The tight junction disruptor cytochalasin D increased their transport, suggesting that the paracellular passive diffusion was the main mechanism involved. The study on the cancer cells viability showed that lunasin and SKWQHQQDSC exerted the highest effects on colorectal cancer HT-29 cells. The stability assay suggested that the cell line type was determinant in the behavior of lunasin added to the culture medium, and therefore in the anti-proliferative activity of released fragments.","author":[{"dropping-particle":"","family":"Fernández-Tomé","given":"Samuel","non-dropping-particle":"","parse-names":false,"suffix":""},{"dropping-particle":"","family":"Sanchón","given":"Javier","non-dropping-particle":"","parse-names":false,"suffix":""},{"dropping-particle":"","family":"Recio","given":"Isidra","non-dropping-particle":"","parse-names":false,"suffix":""},{"dropping-particle":"","family":"Hernández-Ledesma","given":"Blanca","non-dropping-particle":"","parse-names":false,"suffix":""}],"container-title":"Journal of Food Composition and Analysis","id":"ITEM-1","issued":{"date-parts":[["2018","5","1"]]},"page":"101-110","publisher":"Academic Press Inc.","title":"Transepithelial transport of lunasin and derived peptides: Inhibitory effects on the gastrointestinal cancer cells viability","type":"article-journal","volume":"68"},"uris":["http://www.mendeley.com/documents/?uuid=dbbc09eb-45f9-3b74-a2a3-365294cfefba"]}],"mendeley":{"formattedCitation":"[60]","plainTextFormattedCitation":"[60]","previouslyFormattedCitation":"[60]"},"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[60]</w:t>
      </w:r>
      <w:r>
        <w:rPr>
          <w:color w:val="000000" w:themeColor="text1"/>
          <w:lang w:val="es-CO"/>
        </w:rPr>
        <w:fldChar w:fldCharType="end"/>
      </w:r>
      <w:r>
        <w:rPr>
          <w:color w:val="000000" w:themeColor="text1"/>
        </w:rPr>
        <w:t xml:space="preserve">, retain </w:t>
      </w:r>
      <w:r w:rsidR="003C2D8A">
        <w:rPr>
          <w:color w:val="000000" w:themeColor="text1"/>
        </w:rPr>
        <w:t xml:space="preserve">free </w:t>
      </w:r>
      <w:r>
        <w:rPr>
          <w:color w:val="000000" w:themeColor="text1"/>
        </w:rPr>
        <w:t xml:space="preserve">radical scavenging properties, have a protective effect over the viability and oxidative status on murine macrophage under oxidative stress, as well as reduce the production of nitric oxide in macrophages induced into a pro-inflammatory state </w:t>
      </w:r>
      <w:r>
        <w:rPr>
          <w:color w:val="000000" w:themeColor="text1"/>
          <w:lang w:val="es-CO"/>
        </w:rPr>
        <w:fldChar w:fldCharType="begin" w:fldLock="1"/>
      </w:r>
      <w:r w:rsidR="006465A0">
        <w:rPr>
          <w:color w:val="000000" w:themeColor="text1"/>
        </w:rPr>
        <w:instrText>ADDIN CSL_CITATION {"citationItems":[{"id":"ITEM-1","itemData":{"DOI":"10.1016/j.foodres.2019.108513","ISSN":"18737145","PMID":"31554062","abstract":"Oxidative stress, inflammation, and hypertension are recognized risk factors for non-communicable diseases. Because of the preventable character of these factors, the searching of dietary compounds with counteracting effects against them would provide a new framework for the development of novel multifunctional foods or nutraceuticals. Lunasin is a naturally occurring soybean peptide with chemopreventive and anti-inflammatory properties. Upon oral intake, lunasin is susceptible to the action of digestive enzymes during its transit through gastrointestinal tract. In spite of its cleavage into smaller peptides, these fragments have been suggested to contribute on the health beneficial effects attributed to lunasin. To confirm this hypothesis, the multifunctionality of lunasin derived-fragments was investigated. In vitro, peptides corresponding to the N-terminal and central regions of lunasin were demonstrated to inhibit angiotensin converting enzyme and to scavenge peroxyl and 2,2′-azino-bis(3-ethylbenzothiazoline-6-sulphonic acid (ABTS) radicals. Moreover, lunasin and fragments released during its gastrointestinal digestion exerted potent protective effects on cell viability and oxidative status in macrophages RAW264.7 challenged with chemicals tert-butylhydroperoxide and hydrogen peroxide. These peptides were also able to reduce the nitric oxide production in pro-inflammatory lipopolysaccharide-induced macrophages. These results confirm the promising role of lunasin and its derived-fragments as protective agents against oxidative damage and inflammation-associated diseases.","author":[{"dropping-particle":"","family":"Indiano-Romacho","given":"Pedro","non-dropping-particle":"","parse-names":false,"suffix":""},{"dropping-particle":"","family":"Fernández-Tomé","given":"Samuel","non-dropping-particle":"","parse-names":false,"suffix":""},{"dropping-particle":"","family":"Amigo","given":"Lourdes","non-dropping-particle":"","parse-names":false,"suffix":""},{"dropping-particle":"","family":"Hernández-Ledesma","given":"Blanca","non-dropping-particle":"","parse-names":false,"suffix":""}],"container-title":"Food Research International","id":"ITEM-1","issued":{"date-parts":[["2019","11","1"]]},"publisher":"Elsevier Ltd","title":"Multifunctionality of lunasin and peptides released during its simulated gastrointestinal digestion","type":"article-journal","volume":"125"},"uris":["http://www.mendeley.com/documents/?uuid=c86512e7-04b6-3ad5-a7df-a6769ab99b78"]}],"mendeley":{"formattedCitation":"[107]","plainTextFormattedCitation":"[107]","previouslyFormattedCitation":"[107]"},"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[107]</w:t>
      </w:r>
      <w:r>
        <w:rPr>
          <w:color w:val="000000" w:themeColor="text1"/>
          <w:lang w:val="es-CO"/>
        </w:rPr>
        <w:fldChar w:fldCharType="end"/>
      </w:r>
      <w:r>
        <w:rPr>
          <w:color w:val="000000" w:themeColor="text1"/>
        </w:rPr>
        <w:t>. Recent reports corroborate</w:t>
      </w:r>
      <w:r w:rsidR="00A23C2E">
        <w:rPr>
          <w:color w:val="000000" w:themeColor="text1"/>
        </w:rPr>
        <w:t>d</w:t>
      </w:r>
      <w:r>
        <w:rPr>
          <w:color w:val="000000" w:themeColor="text1"/>
        </w:rPr>
        <w:t xml:space="preserve"> the anti-inflammatory and anti-cancer activity of peptides derived from </w:t>
      </w:r>
      <w:r>
        <w:rPr>
          <w:i/>
          <w:iCs/>
          <w:color w:val="000000" w:themeColor="text1"/>
        </w:rPr>
        <w:t>in vitro</w:t>
      </w:r>
      <w:r>
        <w:rPr>
          <w:color w:val="000000" w:themeColor="text1"/>
        </w:rPr>
        <w:t xml:space="preserve"> gastrointestinal digestion of soybean proteins </w:t>
      </w:r>
      <w:r>
        <w:rPr>
          <w:color w:val="000000" w:themeColor="text1"/>
        </w:rPr>
        <w:fldChar w:fldCharType="begin" w:fldLock="1"/>
      </w:r>
      <w:r w:rsidR="006465A0">
        <w:rPr>
          <w:color w:val="000000" w:themeColor="text1"/>
        </w:rPr>
        <w:instrText>ADDIN CSL_CITATION {"citationItems":[{"id":"ITEM-1","itemData":{"DOI":"10.1016/j.foodchem.2017.09.035","ISSN":"18737072","PMID":"29037738","abstract":"The aim was to investigate the potential of germinated soybean proteins as a source of peptides with anticancer and anti-inflammatory activities produced after simulated gastrointestinal digestion. Protein concentrate from germinated soybean was hydrolysed with pepsin/pancreatin and fractionated by ultrafiltration. Whole digest and fractions &gt;10, 5–10, and &lt;5 kDa caused cytotoxicity to Caco-2, HT-29, HCT-116 human colon cancer cells, and reduced inflammatory response caused by lipopolysaccharide in macrophages RAW 264.7. Antiproliferative and anti-inflammatory effects were generally higher in 5–10 kDa fractions. This fraction was further purified by semi-preparative chromatography and characterised by HPLC-MS/MS. The most potent fraction was mainly composed of β-conglycinin and glycinin fragments rich in glutamine. This is the first report on the anti-cancer and anti-inflammatory effects of newly isolated and identified peptides from germinated soybean released during gastrointestinal digestion. These findings highlight the potential of germination as a process to obtain functional foods or nutraceuticals for colon cancer prevention.","author":[{"dropping-particle":"","family":"González-Montoya","given":"Marcela","non-dropping-particle":"","parse-names":false,"suffix":""},{"dropping-particle":"","family":"Hernández-Ledesma","given":"Blanca","non-dropping-particle":"","parse-names":false,"suffix":""},{"dropping-particle":"","family":"Silván","given":"Jose Manuel","non-dropping-particle":"","parse-names":false,"suffix":""},{"dropping-particle":"","family":"Mora-Escobedo","given":"Rosalva","non-dropping-particle":"","parse-names":false,"suffix":""},{"dropping-particle":"","family":"Martínez-Villaluenga","given":"Cristina","non-dropping-particle":"","parse-names":false,"suffix":""}],"container-title":"Food Chemistry","id":"ITEM-1","issued":{"date-parts":[["2018","3","1"]]},"page":"75-82","publisher":"Elsevier Ltd","title":"Peptides derived from in vitro gastrointestinal digestion of germinated soybean proteins inhibit human colon cancer cells proliferation and inflammation","type":"article-journal","volume":"242"},"uris":["http://www.mendeley.com/documents/?uuid=87561667-bd8d-3b78-9e37-abc8bce54aed"]}],"mendeley":{"formattedCitation":"[108]","plainTextFormattedCitation":"[108]","previouslyFormattedCitation":"[108]"},"properties":{"noteIndex":0},"schema":"https://github.com/citation-style-language/schema/raw/master/csl-citation.json"}</w:instrText>
      </w:r>
      <w:r>
        <w:rPr>
          <w:color w:val="000000" w:themeColor="text1"/>
        </w:rPr>
        <w:fldChar w:fldCharType="separate"/>
      </w:r>
      <w:r w:rsidR="00BA0E53" w:rsidRPr="00BA0E53">
        <w:rPr>
          <w:noProof/>
          <w:color w:val="000000" w:themeColor="text1"/>
        </w:rPr>
        <w:t>[108]</w:t>
      </w:r>
      <w:r>
        <w:rPr>
          <w:color w:val="000000" w:themeColor="text1"/>
        </w:rPr>
        <w:fldChar w:fldCharType="end"/>
      </w:r>
      <w:r>
        <w:rPr>
          <w:color w:val="000000" w:themeColor="text1"/>
        </w:rPr>
        <w:t xml:space="preserve">. How the full set of bioactive properties of lunasin may be </w:t>
      </w:r>
      <w:r>
        <w:rPr>
          <w:color w:val="000000" w:themeColor="text1"/>
        </w:rPr>
        <w:lastRenderedPageBreak/>
        <w:t xml:space="preserve">modified after the proteolytic environment of the gastrointestinal tract is still an emerging topic of research, but the evidence reported so far supports the possibility of lunasin derived peptides exerting, at least </w:t>
      </w:r>
      <w:r w:rsidR="003C2D8A">
        <w:rPr>
          <w:color w:val="000000" w:themeColor="text1"/>
        </w:rPr>
        <w:t>to</w:t>
      </w:r>
      <w:r>
        <w:rPr>
          <w:color w:val="000000" w:themeColor="text1"/>
        </w:rPr>
        <w:t xml:space="preserve"> some extent, anti-inflammatory, antioxidant, and anti-cancer properties. Further research is required, </w:t>
      </w:r>
      <w:r>
        <w:rPr>
          <w:i/>
          <w:iCs/>
          <w:color w:val="000000" w:themeColor="text1"/>
        </w:rPr>
        <w:t>in vitro</w:t>
      </w:r>
      <w:r>
        <w:rPr>
          <w:color w:val="000000" w:themeColor="text1"/>
        </w:rPr>
        <w:t xml:space="preserve"> and </w:t>
      </w:r>
      <w:r>
        <w:rPr>
          <w:i/>
          <w:iCs/>
          <w:color w:val="000000" w:themeColor="text1"/>
        </w:rPr>
        <w:t>in vivo,</w:t>
      </w:r>
      <w:r>
        <w:rPr>
          <w:color w:val="000000" w:themeColor="text1"/>
        </w:rPr>
        <w:t xml:space="preserve"> to identify the potential biological activity of lunasin digestion-derived peptides.</w:t>
      </w:r>
    </w:p>
    <w:p w14:paraId="735AEBFA" w14:textId="77777777" w:rsidR="00943C22" w:rsidRDefault="007419C4" w:rsidP="00DD0AC8">
      <w:pPr>
        <w:spacing w:line="480" w:lineRule="auto"/>
        <w:rPr>
          <w:bCs/>
          <w:i/>
        </w:rPr>
      </w:pPr>
      <w:r>
        <w:rPr>
          <w:bCs/>
          <w:i/>
        </w:rPr>
        <w:t xml:space="preserve">1.2.7.3 </w:t>
      </w:r>
      <w:r w:rsidR="00943C22" w:rsidRPr="007419C4">
        <w:rPr>
          <w:bCs/>
          <w:i/>
        </w:rPr>
        <w:t>Biological activity of lunasin in the gut</w:t>
      </w:r>
    </w:p>
    <w:p w14:paraId="00675BEF" w14:textId="2F051EB3" w:rsidR="00943C22" w:rsidRDefault="00943C22" w:rsidP="00DD0AC8">
      <w:pPr>
        <w:spacing w:line="480" w:lineRule="auto"/>
        <w:ind w:firstLine="720"/>
      </w:pPr>
      <w:r>
        <w:rPr>
          <w:color w:val="000000" w:themeColor="text1"/>
        </w:rPr>
        <w:t xml:space="preserve">Investigation </w:t>
      </w:r>
      <w:r w:rsidR="003C2D8A">
        <w:rPr>
          <w:color w:val="000000" w:themeColor="text1"/>
        </w:rPr>
        <w:t>into</w:t>
      </w:r>
      <w:r>
        <w:rPr>
          <w:color w:val="000000" w:themeColor="text1"/>
        </w:rPr>
        <w:t xml:space="preserve"> the biological activity of lunasin has been </w:t>
      </w:r>
      <w:r w:rsidR="00A830E9">
        <w:rPr>
          <w:color w:val="000000" w:themeColor="text1"/>
        </w:rPr>
        <w:t xml:space="preserve">largely </w:t>
      </w:r>
      <w:r>
        <w:rPr>
          <w:color w:val="000000" w:themeColor="text1"/>
        </w:rPr>
        <w:t xml:space="preserve">focused on extraintestinal diseases, hence little is known about its properties in the gastrointestinal tract. So far, </w:t>
      </w:r>
      <w:r>
        <w:rPr>
          <w:i/>
          <w:iCs/>
          <w:color w:val="000000" w:themeColor="text1"/>
        </w:rPr>
        <w:t>in vitro</w:t>
      </w:r>
      <w:r>
        <w:rPr>
          <w:color w:val="000000" w:themeColor="text1"/>
        </w:rPr>
        <w:t xml:space="preserve"> approaches in different </w:t>
      </w:r>
      <w:r w:rsidR="008470BE">
        <w:rPr>
          <w:color w:val="000000" w:themeColor="text1"/>
        </w:rPr>
        <w:t>CRC</w:t>
      </w:r>
      <w:r>
        <w:rPr>
          <w:color w:val="000000" w:themeColor="text1"/>
        </w:rPr>
        <w:t xml:space="preserve"> cell lines have shown that the peptide can induce cell cycle arrest in the G2/M phase and apoptosis by the mitochondrial pathway, downregulate the activation of extracellular matrix and adhesion genes, reduce migratory capacity, inhibit the activation of focal adhesion kinase, increase the expression of the inhibitor of kappa B alpha, and hinder the tumorsphere-forming capacity </w:t>
      </w:r>
      <w:r>
        <w:rPr>
          <w:color w:val="000000" w:themeColor="text1"/>
          <w:lang w:val="es-CO"/>
        </w:rPr>
        <w:fldChar w:fldCharType="begin" w:fldLock="1"/>
      </w:r>
      <w:r w:rsidR="006465A0">
        <w:rPr>
          <w:color w:val="000000" w:themeColor="text1"/>
        </w:rPr>
        <w:instrText>ADDIN CSL_CITATION {"citationItems":[{"id":"ITEM-1","itemData":{"DOI":"10.1016/j.canlet.2011.09.002","ISSN":"03043835","PMID":"21963225","abstract":"The effect of lunasin on colon cancer metastasis was studied using three human colon cancer cell lines in vitro and a liver metastasis model of colon cancer in vivo. Lunasin bound with α 5β 1 integrin and internalized into the nucleus of KM12L4 human colon cancer cells. Lunasin (10μM) inhibited the activation of focal adhesion kinase (FAK) by 28%, 39% and 60% in RKO, HCT-116 and KM12L4 human colon cancer cells, respectively. Lunasin caused an increase in the expression of the inhibitor of kappa B alpha (IκB-α), a decrease in nuclear p50 NF-κB and a reduction in the migration of cancer cells. Lunasin (4mg/kg bw) inhibited metastasis and potentiated the effect of oxaliplatin by reducing the expression of proliferating cell nuclear antigen. Liver metastatic nodules were reduced from 28 (PBS) to 14 (lunasin, P=0.047) while combination of lunasin and oxaliplatin to 5 (P=0.004). The tumor burden was reduced from 0.13 (PBS) to 0.10 (lunasin, P=0.039) to 0.04 (lunasin+oxaliplatin, P&lt;0.0001). Moreover, lunasin potentiated the effect of oxaliplatin in modifying expression of proteins involved in apoptosis and metastasis including Bax, Bcl-2, IKK-α and p-p65. Lunasin inhibited metastasis of human colon cancer cells by direct binding with α 5β 1 integrin suppressing FAK/ERK/NF-κB signaling, and potentiated the effect of oxaliplatin in preventing the outgrowth of metastasis. © 2011 Elsevier Ireland Ltd.","author":[{"dropping-particle":"","family":"Dia","given":"Vermont P.","non-dropping-particle":"","parse-names":false,"suffix":""},{"dropping-particle":"","family":"Gonzalez de Mejia","given":"Elvira","non-dropping-particle":"","parse-names":false,"suffix":""}],"container-title":"Cancer Letters","id":"ITEM-1","issue":"2","issued":{"date-parts":[["2011","12","27"]]},"page":"167-180","publisher":"Elsevier","title":"Lunasin potentiates the effect of oxaliplatin preventing outgrowth of colon cancer metastasis, binds to α 5β 1 integrin and suppresses FAK/ERK/NF-κB signaling","type":"article-journal","volume":"313"},"uris":["http://www.mendeley.com/documents/?uuid=71d1b443-faab-3d4f-b6fd-77f2a2e08952"]},{"id":"ITEM-2","itemData":{"DOI":"10.1016/j.canlet.2010.02.010","ISSN":"03043835","PMID":"20206442","abstract":"Lunasin is a naturally occurring peptide with arginine-glycine-aspartic acid motif associated to its reported biological activity. We aimed to determine the potential of lunasin from soybean to stimulate apoptosis in HT-29 colon cancer cells. Lunasin caused cytotoxicity to HT-29 cells and induced G2/M cell cycle arrest with simultaneous increased in p21 expression. Lunasin-induced apoptosis as evidenced by a twofold increase in the percentage of cells undergoing apoptosis, decreased Bcl-2:Bax ratio from 8.5 to 0.4, increased caspase-3 activity by 77% and increased expression of pro-apoptotic nuclear clusterin by five fold when compared to untreated cells. In conclusion, lunasin stimulated apoptosis in HT-29 cells by activating apoptotic mitochondrial pathways and inducing expression of the pro-apoptotic nuclear clusterin. © 2010 Elsevier Ireland Ltd.","author":[{"dropping-particle":"","family":"Dia","given":"Vermont P.","non-dropping-particle":"","parse-names":false,"suffix":""},{"dropping-particle":"de","family":"Mejia","given":"Elvira Gonzalez","non-dropping-particle":"","parse-names":false,"suffix":""}],"container-title":"Cancer Letters","id":"ITEM-2","issue":"1","issued":{"date-parts":[["2010"]]},"page":"44-53","publisher":"Elsevier Ireland Ltd","title":"Lunasin promotes apoptosis in human colon cancer cells by mitochondrial pathway activation and induction of nuclear clusterin expression","type":"article-journal","volume":"295"},"uris":["http://www.mendeley.com/documents/?uuid=ca2f19d1-0258-4990-a448-9dc7752caaf6"]},{"id":"ITEM-3","itemData":{"DOI":"10.1002/mnfr.201000419","ISSN":"16134125","PMID":"21462330","abstract":"Scope: Lunasin is an arginine-glycine-aspartic acid (RGD) cancer preventive peptide. The objective was to evaluate the potential of lunasin to induce apoptosis in human colon cancer cells and their oxaliplatin-resistant (OxR) variants, and its effect on the expression of human extracellular matrix and adhesion genes. Methods and results: Various human colon cancer cell lines which underwent metastasis were evaluated in vitro using cell flow cytometry and fluorescence microscopy. Lunasin cytotoxicity to different colon cancer cells correlated with the expression of α5b1 integrin, being most potent to KM12L4 cells (IC50=13μM). Lunasin arrested cell cycle at G2/M phase with concomitant increase in the expression of cyclin-dependent kinase inhibitors p21 and p27. Lunasin (5-25μM) activated the apoptotic mitochondrial pathway as evidenced by changes in the expressions of Bcl-2, Bax, nuclear clusterin, cytochrome c and caspase-3 in KM12L4 and KM12L4-OxR. Lunasin increased the activity of initiator caspase-9 leading to the activation of caspase-3 and also modified the expression of human extracellular matrix and adhesion genes, downregulating integrin α5, SELE, MMP10, integrin β2 and COL6A1 by 5.01-, 6.53-, 7.71-, 8.19- and 10.10-fold, respectively, while upregulating COL12A1 by 11.61-fold. Conclusion: Lunasin can be used in cases where resistance to chemotherapy developed. © 2011 WILEY-VCH Verlag GmbH &amp; Co. KGaA, Weinheim.","author":[{"dropping-particle":"","family":"Dia","given":"Vermont P.","non-dropping-particle":"","parse-names":false,"suffix":""},{"dropping-particle":"","family":"Mejia","given":"Elvira Gonzalez","non-dropping-particle":"De","parse-names":false,"suffix":""}],"container-title":"Molecular Nutrition and Food Research","id":"ITEM-3","issue":"4","issued":{"date-parts":[["2011","4","1"]]},"page":"623-634","title":"Lunasin induces apoptosis and modifies the expression of genes associated with extracellular matrix and cell adhesion in human metastatic colon cancer cells","type":"article-journal","volume":"55"},"uris":["http://www.mendeley.com/documents/?uuid=a495c3c7-9af9-4ad8-a008-4ccb8f21decb"]},{"id":"ITEM-4","itemData":{"DOI":"10.3390/ijms21020537","ISSN":"14220067","PMID":"31947688","abstract":"The involvement of cancer stem-like cells (CSC) in the tumor pathogenesis has profound implications for cancer therapy and chemoprevention. Lunasin is a bioactive peptide from soybean and other vegetal sources with proven protective activities against cancer and other chronic diseases. The present study focused on the cytotoxic effect of peptide lunasin in colorectal cancer HCT-116 cells, both the bulk tumor and the CSC subpopulations. Lunasin inhibited the proliferation and the tumorsphere-forming capacity of HCT-116 cells. Flow cytometry results demonstrated that the inhibitory effects were related to apoptosis induction and cell cycle-arrest at G1 phase. Moreover, lunasin caused an increase in the sub-GO/G1 phase of bulk tumor cells, linked to the apoptotic events found. Immunoblotting analysis further showed that lunasin induced apoptosis through activation of caspase-3 and cleavage of PARP, and could modulate cell cycle progress through the cyclin-dependent kinase inhibitor p21. Together, these results provide new evidence on the chemopreventive activity of peptide lunasin on colorectal cancer by modulating both the parental and the tumorsphere-derived subsets of HCT-116 cells.","author":[{"dropping-particle":"","family":"Fernández-tomé","given":"Samuel","non-dropping-particle":"","parse-names":false,"suffix":""},{"dropping-particle":"","family":"Xu","given":"Fei","non-dropping-particle":"","parse-names":false,"suffix":""},{"dropping-particle":"","family":"Han","given":"Yanhui","non-dropping-particle":"","parse-names":false,"suffix":""},{"dropping-particle":"","family":"Hernández-ledesma","given":"Blanca","non-dropping-particle":"","parse-names":false,"suffix":""},{"dropping-particle":"","family":"Xiao","given":"Hang","non-dropping-particle":"","parse-names":false,"suffix":""}],"container-title":"International Journal of Molecular Sciences","id":"ITEM-4","issue":"2","issued":{"date-parts":[["2020","1","2"]]},"publisher":"MDPI AG","title":"Inhibitory effects of peptide lunasin in colorectal cancer hct-116 cells and their tumorsphere- derived subpopulation","type":"article-journal","volume":"21"},"uris":["http://www.mendeley.com/documents/?uuid=05c6fe94-a6d9-3468-bf9f-79f7dfb0e601"]}],"mendeley":{"formattedCitation":"[84–86,109]","plainTextFormattedCitation":"[84–86,109]","previouslyFormattedCitation":"[84–86,109]"},"properties":{"noteIndex":0},"schema":"https://github.com/citation-style-language/schema/raw/master/csl-citation.json"}</w:instrText>
      </w:r>
      <w:r>
        <w:rPr>
          <w:color w:val="000000" w:themeColor="text1"/>
          <w:lang w:val="es-CO"/>
        </w:rPr>
        <w:fldChar w:fldCharType="separate"/>
      </w:r>
      <w:r w:rsidR="00BA0E53" w:rsidRPr="004F2E64">
        <w:rPr>
          <w:noProof/>
          <w:color w:val="000000" w:themeColor="text1"/>
        </w:rPr>
        <w:t>[84–86,109]</w:t>
      </w:r>
      <w:r>
        <w:rPr>
          <w:color w:val="000000" w:themeColor="text1"/>
          <w:lang w:val="es-CO"/>
        </w:rPr>
        <w:fldChar w:fldCharType="end"/>
      </w:r>
      <w:r w:rsidRPr="004F2E64">
        <w:rPr>
          <w:color w:val="000000" w:themeColor="text1"/>
        </w:rPr>
        <w:t xml:space="preserve">. </w:t>
      </w:r>
      <w:r>
        <w:rPr>
          <w:color w:val="000000" w:themeColor="text1"/>
        </w:rPr>
        <w:t xml:space="preserve">Lunasin also protects intestinal epithelial cell cultures from chemically induced oxidative damage </w:t>
      </w:r>
      <w:r>
        <w:rPr>
          <w:color w:val="000000" w:themeColor="text1"/>
          <w:lang w:val="es-CO"/>
        </w:rPr>
        <w:fldChar w:fldCharType="begin" w:fldLock="1"/>
      </w:r>
      <w:r w:rsidR="006465A0">
        <w:rPr>
          <w:color w:val="000000" w:themeColor="text1"/>
        </w:rPr>
        <w:instrText>ADDIN CSL_CITATION {"citationItems":[{"id":"ITEM-1","itemData":{"DOI":"10.1016/j.fct.2013.12.021","ISSN":"02786915","PMID":"24365261","abstract":"Oxidative stress is one of the most critical factors implicated in many disorders of the gastrointestinal tract, such as inflammatory bowel diseases and colon cancer. Lunasin is a seed peptide known by its properties against cancer and cardiovascular diseases. The present study investigated the in vitro antioxidant activity of this peptide that demonstrated to be a potent scavenger of peroxyl and superoxide radicals. In addition, the protective role of lunasin on cell viability and antioxidant defenses of human Caco-2 cells challenged by hydrogen peroxide and tert-butylhydroperoxide was evaluated. This peptide remained partially intact during incubation time with cells, preventing of the oxidative damage induced by both chemical agents. The direct antioxidant action of lunasin (within the physiological range of concentrations) on enterocytes exposed to oxidizing species makes this peptide a promising agent to preserve the integrity of intestinal mucosa against oxidative damage related diseases. © 2013 Elsevier Ltd.","author":[{"dropping-particle":"","family":"García-Nebot","given":"María José","non-dropping-particle":"","parse-names":false,"suffix":""},{"dropping-particle":"","family":"Recio","given":"Isidra","non-dropping-particle":"","parse-names":false,"suffix":""},{"dropping-particle":"","family":"Hernández-Ledesma","given":"Blanca","non-dropping-particle":"","parse-names":false,"suffix":""}],"container-title":"Food and Chemical Toxicology","id":"ITEM-1","issued":{"date-parts":[["2014","3","1"]]},"page":"155-161","publisher":"Pergamon","title":"Antioxidant activity and protective effects of peptide lunasin against oxidative stress in intestinal Caco-2 cells","type":"article-journal","volume":"65"},"uris":["http://www.mendeley.com/documents/?uuid=7048aa84-a7c4-3292-bea8-b345d5bfa0f5"]}],"mendeley":{"formattedCitation":"[100]","plainTextFormattedCitation":"[100]","previouslyFormattedCitation":"[100]"},"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[100]</w:t>
      </w:r>
      <w:r>
        <w:rPr>
          <w:color w:val="000000" w:themeColor="text1"/>
          <w:lang w:val="es-CO"/>
        </w:rPr>
        <w:fldChar w:fldCharType="end"/>
      </w:r>
      <w:r>
        <w:rPr>
          <w:color w:val="000000" w:themeColor="text1"/>
        </w:rPr>
        <w:t xml:space="preserve">. </w:t>
      </w:r>
      <w:r>
        <w:rPr>
          <w:i/>
          <w:iCs/>
          <w:color w:val="000000" w:themeColor="text1"/>
        </w:rPr>
        <w:t>In vivo</w:t>
      </w:r>
      <w:r>
        <w:rPr>
          <w:color w:val="000000" w:themeColor="text1"/>
        </w:rPr>
        <w:t xml:space="preserve"> models of metastatic </w:t>
      </w:r>
      <w:r w:rsidR="008470BE">
        <w:rPr>
          <w:color w:val="000000" w:themeColor="text1"/>
        </w:rPr>
        <w:t>CRC</w:t>
      </w:r>
      <w:r>
        <w:rPr>
          <w:color w:val="000000" w:themeColor="text1"/>
        </w:rPr>
        <w:t>, generated by intrasplenic implantation of colon cancer cells</w:t>
      </w:r>
      <w:r w:rsidR="00A23C2E">
        <w:rPr>
          <w:color w:val="000000" w:themeColor="text1"/>
        </w:rPr>
        <w:t>,</w:t>
      </w:r>
      <w:r>
        <w:rPr>
          <w:color w:val="000000" w:themeColor="text1"/>
        </w:rPr>
        <w:t xml:space="preserve"> showed that intraperitoneal but not oral administration of lunasin, </w:t>
      </w:r>
      <w:r>
        <w:t xml:space="preserve">significantly abrogated metastasis to the liver, reduced histone acetylation markers and proliferating cells nuclear antigen, and potentiated the effect of the chemotherapeutic oxaliplatin by suppressing the FAK/ERK/NF-kB pathway upon binding </w:t>
      </w:r>
      <w:r>
        <w:rPr>
          <w:lang w:val="es-CO"/>
        </w:rPr>
        <w:t>α</w:t>
      </w:r>
      <w:r>
        <w:t>5</w:t>
      </w:r>
      <w:r>
        <w:rPr>
          <w:lang w:val="es-CO"/>
        </w:rPr>
        <w:t>β</w:t>
      </w:r>
      <w:r>
        <w:t xml:space="preserve">1 integrins and internalization into the </w:t>
      </w:r>
      <w:r>
        <w:lastRenderedPageBreak/>
        <w:t xml:space="preserve">nucleus </w:t>
      </w:r>
      <w:r>
        <w:rPr>
          <w:lang w:val="es-CO"/>
        </w:rPr>
        <w:fldChar w:fldCharType="begin" w:fldLock="1"/>
      </w:r>
      <w:r w:rsidR="006465A0">
        <w:instrText>ADDIN CSL_CITATION {"citationItems":[{"id":"ITEM-1","itemData":{"DOI":"10.1016/j.canlet.2011.09.002","ISSN":"03043835","PMID":"21963225","abstract":"The effect of lunasin on colon cancer metastasis was studied using three human colon cancer cell lines in vitro and a liver metastasis model of colon cancer in vivo. Lunasin bound with α 5β 1 integrin and internalized into the nucleus of KM12L4 human colon cancer cells. Lunasin (10μM) inhibited the activation of focal adhesion kinase (FAK) by 28%, 39% and 60% in RKO, HCT-116 and KM12L4 human colon cancer cells, respectively. Lunasin caused an increase in the expression of the inhibitor of kappa B alpha (IκB-α), a decrease in nuclear p50 NF-κB and a reduction in the migration of cancer cells. Lunasin (4mg/kg bw) inhibited metastasis and potentiated the effect of oxaliplatin by reducing the expression of proliferating cell nuclear antigen. Liver metastatic nodules were reduced from 28 (PBS) to 14 (lunasin, P=0.047) while combination of lunasin and oxaliplatin to 5 (P=0.004). The tumor burden was reduced from 0.13 (PBS) to 0.10 (lunasin, P=0.039) to 0.04 (lunasin+oxaliplatin, P&lt;0.0001). Moreover, lunasin potentiated the effect of oxaliplatin in modifying expression of proteins involved in apoptosis and metastasis including Bax, Bcl-2, IKK-α and p-p65. Lunasin inhibited metastasis of human colon cancer cells by direct binding with α 5β 1 integrin suppressing FAK/ERK/NF-κB signaling, and potentiated the effect of oxaliplatin in preventing the outgrowth of metastasis. © 2011 Elsevier Ireland Ltd.","author":[{"dropping-particle":"","family":"Dia","given":"Vermont P.","non-dropping-particle":"","parse-names":false,"suffix":""},{"dropping-particle":"","family":"Gonzalez de Mejia","given":"Elvira","non-dropping-particle":"","parse-names":false,"suffix":""}],"container-title":"Cancer Letters","id":"ITEM-1","issue":"2","issued":{"date-parts":[["2011","12","27"]]},"page":"167-180","publisher":"Elsevier","title":"Lunasin potentiates the effect of oxaliplatin preventing outgrowth of colon cancer metastasis, binds to α 5β 1 integrin and suppresses FAK/ERK/NF-κB signaling","type":"article-journal","volume":"313"},"uris":["http://www.mendeley.com/documents/?uuid=71d1b443-faab-3d4f-b6fd-77f2a2e08952"]},{"id":"ITEM-2","itemData":{"DOI":"10.4236/jct.2013.46a2005","ISSN":"2151-1934","abstract":"Lunasin is a bioactive peptide originally isolated from soybean and has demonstrated chemopreventive and anti-cancer properties against skin, colon and breast cancers. The objective of the study was to evaluate the capability of intraperi- toneally and orally-administered soybean-derived peptide lunasin to inhibit KM12L4 human colon cancer cell metasta- sis in a mouse model. Intraperitoneal (i.p.) injection of lunasin (4 mg/kg bw/day) reduced the number of liver metastasis by 50% (P = 0.047) and the liver weight/body weight ratio by 23% (P = 0.039). Oral administration of lunasin reduced the number of liver metastasis by 56% (8 mg/kg bw/day, P = 0.293) and 94% (20 mg/kg bw/day, P = 0.247). Immuno- histochemical staining of the liver-tissue section showed that lunasin at 20 mg/kg bw dose did not significantly reduce the expression of proliferating cell nuclear antigen, increased the expression of proapoptotic Bax by 2.7-fold but also increased the expression of the antiapoptotic Bcl-2 by 3.8-fold. Regarding epigenetic markers, H3K18 was not signifi-cantly affected by either oral dose while H4K8 was dose dependently increased by 2.3-fold (P = 0.001, 8 mg/kg bw) and 2.7-fold (P &lt; 0.001, 20 mg/kg bw). On the other hand, i.p. injection of lunasin reduced both histone acetylation markers significantly. The difference on the effects can be attributed to the different routes of administration used lead-ing to digestion of lunasin when given by oral gavage. In conclusion, lunasin reduced colon cancer metastasis in vivo; however, more studies are needed to determine the oral dose of lunasin and prevent colon cancer metastasis.","author":[{"dropping-particle":"","family":"Dia","given":"Vermont P.","non-dropping-particle":"","parse-names":false,"suffix":""},{"dropping-particle":"de","family":"Mejia","given":"Elvira Gonzalez","non-dropping-particle":"","parse-names":false,"suffix":""}],"container-title":"Journal of Cancer Therapy","id":"ITEM-2","issue":"06","issued":{"date-parts":[["2013","7","5"]]},"page":"34-43","publisher":"Scientific Research Publishing, Inc,","title":"Potential of Lunasin Orally-Administered in Comparison to Intraperitoneal Injection to Inhibit Colon Cancer Metastasis &amp;lt;i&amp;gt;in Vivo&amp;lt;/i&amp;gt;","type":"article-journal","volume":"04"},"uris":["http://www.mendeley.com/documents/?uuid=abfd06cf-91bd-3253-bd22-f92da020eff8"]}],"mendeley":{"formattedCitation":"[109,110]","plainTextFormattedCitation":"[109,110]","previouslyFormattedCitation":"[109,110]"},"properties":{"noteIndex":0},"schema":"https://github.com/citation-style-language/schema/raw/master/csl-citation.json"}</w:instrText>
      </w:r>
      <w:r>
        <w:rPr>
          <w:lang w:val="es-CO"/>
        </w:rPr>
        <w:fldChar w:fldCharType="separate"/>
      </w:r>
      <w:r w:rsidR="00BA0E53" w:rsidRPr="00BA0E53">
        <w:rPr>
          <w:noProof/>
        </w:rPr>
        <w:t>[109,110]</w:t>
      </w:r>
      <w:r>
        <w:rPr>
          <w:lang w:val="es-CO"/>
        </w:rPr>
        <w:fldChar w:fldCharType="end"/>
      </w:r>
      <w:r w:rsidRPr="00034BF0">
        <w:t xml:space="preserve">. </w:t>
      </w:r>
      <w:r>
        <w:t xml:space="preserve">Although these results show a </w:t>
      </w:r>
      <w:r w:rsidR="008470BE">
        <w:t xml:space="preserve">potential </w:t>
      </w:r>
      <w:r>
        <w:t xml:space="preserve">use of lunasin in the context of </w:t>
      </w:r>
      <w:r w:rsidR="008470BE">
        <w:t>CRC</w:t>
      </w:r>
      <w:r>
        <w:t xml:space="preserve">, none of them address the activity of lunasin in the colon.  </w:t>
      </w:r>
    </w:p>
    <w:p w14:paraId="2BD52AEE" w14:textId="2315D9E3" w:rsidR="007419C4" w:rsidRDefault="00943C22" w:rsidP="001311E7">
      <w:pPr>
        <w:spacing w:line="480" w:lineRule="auto"/>
        <w:ind w:firstLine="720"/>
      </w:pPr>
      <w:r>
        <w:t xml:space="preserve">Recently, an </w:t>
      </w:r>
      <w:r>
        <w:rPr>
          <w:i/>
          <w:iCs/>
        </w:rPr>
        <w:t>ex vivo</w:t>
      </w:r>
      <w:r>
        <w:t xml:space="preserve"> approach using human intestinal biopsies from healthy individuals showed that lunasin exerts an immunomodulatory effect in the intestinal mucosa </w:t>
      </w:r>
      <w:r>
        <w:rPr>
          <w:lang w:val="es-CO"/>
        </w:rPr>
        <w:fldChar w:fldCharType="begin" w:fldLock="1"/>
      </w:r>
      <w:r w:rsidR="006465A0">
        <w:instrText>ADDIN CSL_CITATION {"citationItems":[{"id":"ITEM-1","itemData":{"DOI":"10.1002/mnfr.202001034","ISSN":"1613-4125","abstract":"Abbreviations conventional dendritic cells (cDC); cyclooxygenase (COX); healthy controls (HC); inflammatory bowel diseases (IBD); interleukins (IL); lamina propria mononuclear cells (LPMC); macrophages (Mφ); nitric oxide (NO); nuclear factor-kappa B (NF-κB); tumor necrosis factor-α (TNF-α) Abstract Scope: Lunasin is a soybean bioactive peptide with a variety of beneficial properties against chronic disorders. However, its effect in human primary intestinal cells remains unknown. Hence, we aimed to characterize its ex vivo biological activity in the human intestinal mucosa. Methods and results: Human intestinal biopsies, obtained from healthy controls, were ex vivo conditioned with lunasin both in the presence/absence of lipopolysaccharide (LPS). Peptide maintained its stability during biopsy culture by HPLC-MS/MS analysis. Lunasin was bioactive in the human mucosa as it induced IL-1β, TNF-α, IL-17A, CCL2, and PGE2/COX-2 gene expression together with an increased expression of tolerogenic IL-10 and TGFβ while it also downregulated the expression of iNOS and subunit p65 from NF-κB. Indeed, lunasin also abrogated the LPS-induced pro-inflammatory response, downregulating IL-17A, IFNγ, and IL-8 expression, and inducing IL-10 and TGFβ expression. These results were also mirrored in the cell-free culture supernatants at the protein level by Multiplex. Moreover, lunasin further induced a regulatory phenotype and function on human intestinal conventional dendritic cell and macrophage subsets as assessed by flow cytometry. Conclusions: We hereby have characterized lunasin as an immunomodulatory peptide with potential capacity to prevent immune and inflammatory-mediated disorders in the human gastrointestinal tract.","author":[{"dropping-particle":"","family":"Fernández</w:instrText>
      </w:r>
      <w:r w:rsidR="006465A0">
        <w:rPr>
          <w:rFonts w:ascii="Cambria Math" w:hAnsi="Cambria Math" w:cs="Cambria Math"/>
        </w:rPr>
        <w:instrText>‐</w:instrText>
      </w:r>
      <w:r w:rsidR="006465A0">
        <w:instrText>Tomé","given":"Samuel","non-dropping-particle":"","parse-names":false,"suffix":""},{"dropping-particle":"","family":"Indiano</w:instrText>
      </w:r>
      <w:r w:rsidR="006465A0">
        <w:rPr>
          <w:rFonts w:ascii="Cambria Math" w:hAnsi="Cambria Math" w:cs="Cambria Math"/>
        </w:rPr>
        <w:instrText>‐</w:instrText>
      </w:r>
      <w:r w:rsidR="006465A0">
        <w:instrText>Romacho","given":"Pedro","non-dropping-particle":"","parse-names":false,"suffix":""},{"dropping-particle":"","family":"Mora</w:instrText>
      </w:r>
      <w:r w:rsidR="006465A0">
        <w:rPr>
          <w:rFonts w:ascii="Cambria Math" w:hAnsi="Cambria Math" w:cs="Cambria Math"/>
        </w:rPr>
        <w:instrText>‐</w:instrText>
      </w:r>
      <w:r w:rsidR="006465A0">
        <w:instrText>Gutiérrez","given":"Irene","non-dropping-particle":"","parse-names":false,"suffix":""},{"dropping-particle":"","family":"Pérez</w:instrText>
      </w:r>
      <w:r w:rsidR="006465A0">
        <w:rPr>
          <w:rFonts w:ascii="Cambria Math" w:hAnsi="Cambria Math" w:cs="Cambria Math"/>
        </w:rPr>
        <w:instrText>‐</w:instrText>
      </w:r>
      <w:r w:rsidR="006465A0">
        <w:instrText>Rodríguez","given":"Leticia","non-dropping-particle":"","parse-names":false,"suffix":""},{"dropping-particle":"","family":"Moreno","given":"Lorena Ortega","non-dropping-particle":"","parse-names":false,"suffix":""},{"dropping-particle":"","family":"Marin","given":"Alicia C.","non-dropping-particle":"","parse-names":false,"suffix":""},{"dropping-particle":"","family":"Baldán</w:instrText>
      </w:r>
      <w:r w:rsidR="006465A0">
        <w:rPr>
          <w:rFonts w:ascii="Cambria Math" w:hAnsi="Cambria Math" w:cs="Cambria Math"/>
        </w:rPr>
        <w:instrText>‐</w:instrText>
      </w:r>
      <w:r w:rsidR="006465A0">
        <w:instrText>Martín","given":"Montserrat","non-dropping-particle":"","parse-names":false,"suffix":""},{"dropping-particle":"","family":"Moreno</w:instrText>
      </w:r>
      <w:r w:rsidR="006465A0">
        <w:rPr>
          <w:rFonts w:ascii="Cambria Math" w:hAnsi="Cambria Math" w:cs="Cambria Math"/>
        </w:rPr>
        <w:instrText>‐</w:instrText>
      </w:r>
      <w:r w:rsidR="006465A0">
        <w:instrText>Monteagudo","given":"José Andrés","non-dropping-particle":"","parse-names":false,"suffix":""},{"dropping-particle":"","family":"Santander","given":"Cecilio","non-dropping-particle":"","parse-names":false,"suffix":""},{"dropping-particle":"","family":"Chaparro","given":"María","non-dropping-particle":"","parse-names":false,"suffix":""},{"dropping-particle":"","family":"Hernández</w:instrText>
      </w:r>
      <w:r w:rsidR="006465A0">
        <w:rPr>
          <w:rFonts w:ascii="Cambria Math" w:hAnsi="Cambria Math" w:cs="Cambria Math"/>
        </w:rPr>
        <w:instrText>‐</w:instrText>
      </w:r>
      <w:r w:rsidR="006465A0">
        <w:instrText>Ledesma","given":"Blanca","non-dropping-particle":"","parse-names":false,"suffix":""},{"dropping-particle":"","family":"Gisbert","given":"Javier P.","non-dropping-particle":"","parse-names":false,"suffix":""},{"dropping-particle":"","family":"Bernardo","given":"David","non-dropping-particle":"","parse-names":false,"suffix":""}],"container-title":"Molecular Nutrition &amp; Food Research","id":"ITEM-1","issued":{"date-parts":[["2021","4","22"]]},"page":"2001034","publisher":"John Wiley &amp; Sons, Ltd","title":"Lunasin Peptide is a Modulator of the Immune Response in the Human Gastrointestinal Tract","type":"article-journal"},"uris":["http://www.mendeley.com/documents/?uuid=ef4cbb23-2c82-38be-aed7-66ba1675410f"]}],"mendeley":{"formattedCitation":"[111]","plainTextFormattedCitation":"[111]","previouslyFormattedCitation":"[111]"},"properties":{"noteIndex":0},"schema":"https://github.com/citation-style-language/schema/raw/master/csl-citation.json"}</w:instrText>
      </w:r>
      <w:r>
        <w:rPr>
          <w:lang w:val="es-CO"/>
        </w:rPr>
        <w:fldChar w:fldCharType="separate"/>
      </w:r>
      <w:r w:rsidR="00BA0E53" w:rsidRPr="00BA0E53">
        <w:rPr>
          <w:noProof/>
        </w:rPr>
        <w:t>[111]</w:t>
      </w:r>
      <w:r>
        <w:rPr>
          <w:lang w:val="es-CO"/>
        </w:rPr>
        <w:fldChar w:fldCharType="end"/>
      </w:r>
      <w:r>
        <w:t xml:space="preserve">. Exposure of the explants to lunasin induced the mRNA expression of </w:t>
      </w:r>
      <w:r>
        <w:rPr>
          <w:i/>
          <w:iCs/>
        </w:rPr>
        <w:t>IL-1</w:t>
      </w:r>
      <w:r>
        <w:rPr>
          <w:i/>
          <w:iCs/>
          <w:lang w:val="es-CO"/>
        </w:rPr>
        <w:t>β</w:t>
      </w:r>
      <w:r>
        <w:rPr>
          <w:i/>
          <w:iCs/>
        </w:rPr>
        <w:t>, TNF-</w:t>
      </w:r>
      <w:r>
        <w:rPr>
          <w:i/>
          <w:iCs/>
          <w:lang w:val="es-CO"/>
        </w:rPr>
        <w:t>α</w:t>
      </w:r>
      <w:r>
        <w:rPr>
          <w:i/>
          <w:iCs/>
        </w:rPr>
        <w:t>, IL-17A, PGE2-COX2, IL-10, and TGF</w:t>
      </w:r>
      <w:r>
        <w:rPr>
          <w:i/>
          <w:iCs/>
          <w:lang w:val="es-CO"/>
        </w:rPr>
        <w:t>β</w:t>
      </w:r>
      <w:r>
        <w:t xml:space="preserve"> while downregulating </w:t>
      </w:r>
      <w:r>
        <w:rPr>
          <w:i/>
          <w:iCs/>
        </w:rPr>
        <w:t xml:space="preserve">iNOS </w:t>
      </w:r>
      <w:r>
        <w:t xml:space="preserve">and </w:t>
      </w:r>
      <w:r>
        <w:rPr>
          <w:i/>
          <w:iCs/>
        </w:rPr>
        <w:t>p65</w:t>
      </w:r>
      <w:r>
        <w:t xml:space="preserve"> subunit from </w:t>
      </w:r>
      <w:r>
        <w:rPr>
          <w:i/>
          <w:iCs/>
        </w:rPr>
        <w:t>NF-</w:t>
      </w:r>
      <w:r>
        <w:rPr>
          <w:i/>
          <w:iCs/>
          <w:lang w:val="es-CO"/>
        </w:rPr>
        <w:t>κ</w:t>
      </w:r>
      <w:r>
        <w:rPr>
          <w:i/>
          <w:iCs/>
        </w:rPr>
        <w:t>B</w:t>
      </w:r>
      <w:r>
        <w:t>. In contrast, lunasin significantly inhibited the expression of IL-17A and IFN</w:t>
      </w:r>
      <w:r>
        <w:rPr>
          <w:lang w:val="es-CO"/>
        </w:rPr>
        <w:t>γ</w:t>
      </w:r>
      <w:r>
        <w:t>, ten</w:t>
      </w:r>
      <w:r w:rsidR="00A830E9">
        <w:t>d</w:t>
      </w:r>
      <w:r>
        <w:t xml:space="preserve">ed to restore </w:t>
      </w:r>
      <w:r>
        <w:rPr>
          <w:i/>
          <w:iCs/>
        </w:rPr>
        <w:t>PGE2-COX2 expression and increased IL-10 and TGF</w:t>
      </w:r>
      <w:r>
        <w:rPr>
          <w:i/>
          <w:iCs/>
          <w:lang w:val="es-CO"/>
        </w:rPr>
        <w:t>β</w:t>
      </w:r>
      <w:r>
        <w:rPr>
          <w:i/>
          <w:iCs/>
        </w:rPr>
        <w:t>,</w:t>
      </w:r>
      <w:r>
        <w:t xml:space="preserve"> when the explants were exposed to the presence of LPS as a pro-inflammatory stimulus. </w:t>
      </w:r>
    </w:p>
    <w:p w14:paraId="2BDCB2AC" w14:textId="597686E1" w:rsidR="00943C22" w:rsidRDefault="007419C4" w:rsidP="00DD0AC8">
      <w:pPr>
        <w:spacing w:line="480" w:lineRule="auto"/>
        <w:rPr>
          <w:bCs/>
          <w:i/>
        </w:rPr>
      </w:pPr>
      <w:r>
        <w:rPr>
          <w:bCs/>
          <w:i/>
        </w:rPr>
        <w:t xml:space="preserve">1.2.7.4 </w:t>
      </w:r>
      <w:r w:rsidR="00AD5095">
        <w:rPr>
          <w:bCs/>
          <w:i/>
        </w:rPr>
        <w:t>Prior Work</w:t>
      </w:r>
    </w:p>
    <w:p w14:paraId="459A7F2B" w14:textId="148FDEC2" w:rsidR="00390DD1" w:rsidRDefault="00943C22" w:rsidP="001311E7">
      <w:pPr>
        <w:spacing w:line="480" w:lineRule="auto"/>
        <w:ind w:firstLine="480"/>
        <w:rPr>
          <w:color w:val="000000" w:themeColor="text1"/>
        </w:rPr>
      </w:pPr>
      <w:r>
        <w:rPr>
          <w:color w:val="000000" w:themeColor="text1"/>
        </w:rPr>
        <w:t>Lunasin protease inhibitor concentrate (LPIC) is a soybean-derived combination of BBI, KTI, and lunasin that exhibited high chymotrypsin inhibitory activity and strong suppression of mRNA levels of pro-inflammatory cytokines IL-1</w:t>
      </w:r>
      <w:r>
        <w:rPr>
          <w:color w:val="000000" w:themeColor="text1"/>
          <w:lang w:val="es-CO"/>
        </w:rPr>
        <w:t>β</w:t>
      </w:r>
      <w:r>
        <w:rPr>
          <w:color w:val="000000" w:themeColor="text1"/>
        </w:rPr>
        <w:t xml:space="preserve"> and IL-6 in activated human macrophages </w:t>
      </w:r>
      <w:r>
        <w:rPr>
          <w:color w:val="000000" w:themeColor="text1"/>
          <w:lang w:val="es-CO"/>
        </w:rPr>
        <w:fldChar w:fldCharType="begin" w:fldLock="1"/>
      </w:r>
      <w:r w:rsidR="006465A0">
        <w:rPr>
          <w:color w:val="000000" w:themeColor="text1"/>
        </w:rPr>
        <w:instrText>ADDIN CSL_CITATION {"citationItems":[{"id":"ITEM-1","itemData":{"DOI":"10.1016/j.foodchem.2015.01.006","ISSN":"18737072","abstract":"Lunasin is a 5-kDa soybean bioactive peptide with demonstrated anti-cancer and anti-inflammatory properties. Recently, purification methods have been developed to obtain gram quantities of lunasin. However, these methods are cumbersome, time consuming and cost-prohibitive. To overcome these constrains we have developed a novel method which involves extraction of soybean flour with 30% ethanol followed by preferential precipitation of lunasin and protease inhibitors by calcium. The calcium precipitated protein fraction, which we termed as Lunasin Protease Inhibitor Concentrate (LPIC), contains three abundant proteins with molecular weights of 21, 14 and 5 kDa. This simple procedure yields 3.2 g of LPIC from 100 g of soybean flour and the entire isolation procedure can be completed in less than 2 h. Treatment of THP-1 human monocyte cell lines with LPIC resulted in suppression of lipopolysaccharide-stimulated cytokine expression, demonstrating that the LPIC isolated by our simple procedure is biologically active.","author":[{"dropping-particle":"","family":"Krishnan","given":"Hari B.","non-dropping-particle":"","parse-names":false,"suffix":""},{"dropping-particle":"","family":"Wang","given":"Thomas T.Y.","non-dropping-particle":"","parse-names":false,"suffix":""}],"container-title":"Food Chemistry","id":"ITEM-1","issued":{"date-parts":[["2015","6","15"]]},"page":"120-126","publisher":"Elsevier Ltd","title":"An effective and simple procedure to isolate abundant quantities of biologically active chemopreventive Lunasin Protease Inhibitor Concentrate (LPIC) from soybean","type":"article-journal","volume":"177"},"uris":["http://www.mendeley.com/documents/?uuid=445a7486-73ab-39c0-b9c9-f987cb47ae0a"]}],"mendeley":{"formattedCitation":"[112]","plainTextFormattedCitation":"[112]","previouslyFormattedCitation":"[112]"},"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[112]</w:t>
      </w:r>
      <w:r>
        <w:rPr>
          <w:color w:val="000000" w:themeColor="text1"/>
          <w:lang w:val="es-CO"/>
        </w:rPr>
        <w:fldChar w:fldCharType="end"/>
      </w:r>
      <w:r>
        <w:rPr>
          <w:color w:val="000000" w:themeColor="text1"/>
        </w:rPr>
        <w:t xml:space="preserve">. In our research group, preliminary experiments using an </w:t>
      </w:r>
      <w:r>
        <w:rPr>
          <w:i/>
          <w:iCs/>
          <w:color w:val="000000" w:themeColor="text1"/>
        </w:rPr>
        <w:t>in vivo</w:t>
      </w:r>
      <w:r>
        <w:rPr>
          <w:color w:val="000000" w:themeColor="text1"/>
        </w:rPr>
        <w:t xml:space="preserve"> model of relapsing </w:t>
      </w:r>
      <w:r w:rsidR="00D21D91">
        <w:rPr>
          <w:color w:val="000000" w:themeColor="text1"/>
        </w:rPr>
        <w:t>UC</w:t>
      </w:r>
      <w:r>
        <w:rPr>
          <w:color w:val="000000" w:themeColor="text1"/>
        </w:rPr>
        <w:t xml:space="preserve"> treated with LPIC indicated that the combination of compounds significantly decreased serum levels of TNF-</w:t>
      </w:r>
      <w:r>
        <w:rPr>
          <w:color w:val="000000" w:themeColor="text1"/>
          <w:lang w:val="es-CO"/>
        </w:rPr>
        <w:t>α</w:t>
      </w:r>
      <w:r>
        <w:rPr>
          <w:color w:val="000000" w:themeColor="text1"/>
        </w:rPr>
        <w:t>, colonic levels of IL-6, IL-1</w:t>
      </w:r>
      <w:r>
        <w:rPr>
          <w:color w:val="000000" w:themeColor="text1"/>
          <w:lang w:val="es-CO"/>
        </w:rPr>
        <w:t>β</w:t>
      </w:r>
      <w:r>
        <w:rPr>
          <w:color w:val="000000" w:themeColor="text1"/>
        </w:rPr>
        <w:t xml:space="preserve">, iNOS, and markers of neutrophils activity in the colon </w:t>
      </w:r>
      <w:r>
        <w:rPr>
          <w:color w:val="000000" w:themeColor="text1"/>
          <w:lang w:val="es-CO"/>
        </w:rPr>
        <w:fldChar w:fldCharType="begin" w:fldLock="1"/>
      </w:r>
      <w:r w:rsidR="006465A0">
        <w:rPr>
          <w:color w:val="000000" w:themeColor="text1"/>
        </w:rPr>
        <w:instrText>ADDIN CSL_CITATION {"citationItems":[{"id":"ITEM-1","itemData":{"author":[{"dropping-particle":"","family":"Nieto-Veloza","given":"Andrea","non-dropping-particle":"","parse-names":false,"suffix":""},{"dropping-particle":"","family":"Wang","given":"Zhihong","non-dropping-particle":"","parse-names":false,"suffix":""},{"dropping-particle":"","family":"Souza","given":"Doris","non-dropping-particle":"D'","parse-names":false,"suffix":""},{"dropping-particle":"","family":"Krishnan","given":"Hari B.","non-dropping-particle":"","parse-names":false,"suffix":""},{"dropping-particle":"","family":"Zhong","given":"Qixin","non-dropping-particle":"","parse-names":false,"suffix":""},{"dropping-particle":"","family":"Dia","given":"Vermont P.","non-dropping-particle":"","parse-names":false,"suffix":""}],"container-title":"Food Science and Human Wellness","id":"ITEM-1","issued":{"date-parts":[["0"]]},"note":"Accepted manuscript","title":"Lunasin protease inhibitor concentrate decreases pro-inflammatory cytokines and improves histopathological markers in dextran sodium sulfate-induced ulcerative colitis","type":"article-journal"},"uris":["http://www.mendeley.com/documents/?uuid=ac969eb9-e2ce-43af-b07a-6349805e38ba"]}],"mendeley":{"formattedCitation":"[113]","plainTextFormattedCitation":"[113]","previouslyFormattedCitation":"[113]"},"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[113]</w:t>
      </w:r>
      <w:r>
        <w:rPr>
          <w:color w:val="000000" w:themeColor="text1"/>
          <w:lang w:val="es-CO"/>
        </w:rPr>
        <w:fldChar w:fldCharType="end"/>
      </w:r>
      <w:r>
        <w:rPr>
          <w:color w:val="000000" w:themeColor="text1"/>
        </w:rPr>
        <w:t xml:space="preserve">. However, some adverse effects were observed such as increased body weight loss, sustained higher levels of fecal occult blood, and increased disease activity index associated with softer stool consistency and presence of visible blood, indicating that the decrease in the pro-inflammatory </w:t>
      </w:r>
      <w:r>
        <w:rPr>
          <w:color w:val="000000" w:themeColor="text1"/>
        </w:rPr>
        <w:lastRenderedPageBreak/>
        <w:t>markers was not reflected in the clinical manifestations of the disease. A similar outcome was obtained following the same approach to study BG-4, a 4</w:t>
      </w:r>
      <w:r w:rsidR="00D21D91">
        <w:rPr>
          <w:color w:val="000000" w:themeColor="text1"/>
        </w:rPr>
        <w:t>-</w:t>
      </w:r>
      <w:r>
        <w:rPr>
          <w:color w:val="000000" w:themeColor="text1"/>
        </w:rPr>
        <w:t xml:space="preserve">kDa peptide from bitter melon seeds that strongly reduced pro-inflammatory cytokines and radical oxygen species in activated THP-1 cells </w:t>
      </w:r>
      <w:r w:rsidR="00D21D91" w:rsidRPr="00034BF0">
        <w:rPr>
          <w:color w:val="000000" w:themeColor="text1"/>
        </w:rPr>
        <w:t xml:space="preserve"> </w:t>
      </w:r>
      <w:r w:rsidR="00D21D91">
        <w:rPr>
          <w:color w:val="000000" w:themeColor="text1"/>
          <w:lang w:val="es-CO"/>
        </w:rPr>
        <w:fldChar w:fldCharType="begin" w:fldLock="1"/>
      </w:r>
      <w:r w:rsidR="006465A0" w:rsidRPr="00034BF0">
        <w:rPr>
          <w:color w:val="000000" w:themeColor="text1"/>
        </w:rPr>
        <w:instrText>ADDIN CSL_CITATION {"citationItems":[{"id":"ITEM-1","itemData":{"DOI":"10.1016/j.phymed.2018.03.047","ISSN":"1618095X","abstract":"Background: Bitter melon (Momordica charantia) is a commonly used food crop for management of a variety of diseases most notably for control of diabetes, a disease associated with aberrant inflammation. Purpose: To evaluate the anti-inflammatory property of BG-4, a novel bioactive peptide isolated from the seed of bitter melon. Methods: Differentiated THP-1 human macrophages were pre-treated with BG-4 and stimulated with lipopolysaccharide. Pro-inflammatory cytokines IL-6 and TNF-</w:instrText>
      </w:r>
      <w:r w:rsidR="006465A0">
        <w:rPr>
          <w:color w:val="000000" w:themeColor="text1"/>
          <w:lang w:val="es-CO"/>
        </w:rPr>
        <w:instrText>α</w:instrText>
      </w:r>
      <w:r w:rsidR="006465A0" w:rsidRPr="00034BF0">
        <w:rPr>
          <w:color w:val="000000" w:themeColor="text1"/>
        </w:rPr>
        <w:instrText xml:space="preserve"> were measured by enzyme-linked immunosorbent assay. The mechanism of action involving activation of NF-</w:instrText>
      </w:r>
      <w:r w:rsidR="006465A0">
        <w:rPr>
          <w:color w:val="000000" w:themeColor="text1"/>
          <w:lang w:val="es-CO"/>
        </w:rPr>
        <w:instrText>κ</w:instrText>
      </w:r>
      <w:r w:rsidR="006465A0" w:rsidRPr="00034BF0">
        <w:rPr>
          <w:color w:val="000000" w:themeColor="text1"/>
        </w:rPr>
        <w:instrText>B and phosphorylation of ERK and STAT3 was measured by western blot and immunofluorescence. The production of intracellular reactive oxygen species was evaluated by fluorescence microscopy and fluorescence spectrophotometry. Results: BG-4 dose dependently reduce the production of pro-inflammatory cytokines IL-6 and TNF-</w:instrText>
      </w:r>
      <w:r w:rsidR="006465A0">
        <w:rPr>
          <w:color w:val="000000" w:themeColor="text1"/>
          <w:lang w:val="es-CO"/>
        </w:rPr>
        <w:instrText>α</w:instrText>
      </w:r>
      <w:r w:rsidR="006465A0" w:rsidRPr="00034BF0">
        <w:rPr>
          <w:color w:val="000000" w:themeColor="text1"/>
        </w:rPr>
        <w:instrText>. The ability of BG-4 to reduce production of cytokines are associated with reduced phosphorylation of ERK and STAT3 accompanied by reduced nuclear translocation of p65 NF-</w:instrText>
      </w:r>
      <w:r w:rsidR="006465A0">
        <w:rPr>
          <w:color w:val="000000" w:themeColor="text1"/>
          <w:lang w:val="es-CO"/>
        </w:rPr>
        <w:instrText>κ</w:instrText>
      </w:r>
      <w:r w:rsidR="006465A0" w:rsidRPr="00034BF0">
        <w:rPr>
          <w:color w:val="000000" w:themeColor="text1"/>
        </w:rPr>
        <w:instrText>B subunit. The mechanism of action is reduction of LPS-induced pro</w:instrText>
      </w:r>
      <w:r w:rsidR="006465A0" w:rsidRPr="004F0F56">
        <w:rPr>
          <w:color w:val="000000" w:themeColor="text1"/>
        </w:rPr>
        <w:instrText>duction of intracellular reactive oxygen species. Conclusion: Our results demonstrated the ability of BG-4, a novel peptide from the seed of bitter melon, to exert anti-inflammatory action. This could explain the traditional use of bitter melon against diseases associated with aberrant and uncontrolled inflammation.","author":[{"dropping-particle":"","family":"Jones","given":"Lynsey D.","non-dropping-particle":"","parse-names":false,"suffix":""},{"dropping-particle":"","family":"Pangloli","given":"Philipus","non-dropping-particle":"","parse-names":false,"suffix":""},{"dropping-particle":"","family":"Krishnan","given":"Hari B.","non-dropping-particle":"","parse-names":false,"suffix":""},{"dropping-particle":"","family":"Dia","given":"Vermont P.","non-dropping-particle":"","parse-names":false,"suffix":""}],"container-title":"Phytomedicine","id":"ITEM-1","issue":"February","issued":{"date-parts":[["2018"]]},"page":"226-232","publisher":"Elsevier","title":"BG-4, a novel bioactive peptide from momordica charantia, inhibits lipopolysaccharide-induced inflammation in THP-1 human macrophages","type":"article-journal","volume":"42"},"uris":["http://www.mendeley.com/documents/?uuid=1874a1bd-e6c0-4ce5-bd5b-48b608c10547"]}],"mendeley":{"formattedCitation":"[114]","plainTextFormattedCitation":"[114]","previouslyFormattedCitation":"[114]"},"properties":{"noteIndex":0},"schema":"https://github.com/citation-style-language/schema/raw/master/csl-citation.json"}</w:instrText>
      </w:r>
      <w:r w:rsidR="00D21D91">
        <w:rPr>
          <w:color w:val="000000" w:themeColor="text1"/>
          <w:lang w:val="es-CO"/>
        </w:rPr>
        <w:fldChar w:fldCharType="separate"/>
      </w:r>
      <w:r w:rsidR="00BA0E53" w:rsidRPr="004F0F56">
        <w:rPr>
          <w:noProof/>
          <w:color w:val="000000" w:themeColor="text1"/>
        </w:rPr>
        <w:t>[114]</w:t>
      </w:r>
      <w:r w:rsidR="00D21D91">
        <w:rPr>
          <w:color w:val="000000" w:themeColor="text1"/>
          <w:lang w:val="es-CO"/>
        </w:rPr>
        <w:fldChar w:fldCharType="end"/>
      </w:r>
      <w:r w:rsidRPr="004F0F56">
        <w:rPr>
          <w:color w:val="000000" w:themeColor="text1"/>
        </w:rPr>
        <w:t xml:space="preserve">. </w:t>
      </w:r>
      <w:r w:rsidRPr="00343306">
        <w:rPr>
          <w:color w:val="000000" w:themeColor="text1"/>
        </w:rPr>
        <w:t>Indeed, treatment with BG-4 exacerbated rectal bleeding, body</w:t>
      </w:r>
      <w:r w:rsidR="00A23C2E">
        <w:rPr>
          <w:color w:val="000000" w:themeColor="text1"/>
        </w:rPr>
        <w:t xml:space="preserve"> </w:t>
      </w:r>
      <w:r w:rsidRPr="00343306">
        <w:rPr>
          <w:color w:val="000000" w:themeColor="text1"/>
        </w:rPr>
        <w:t xml:space="preserve">weight loss, neutrophils infiltration, and induced significant colon shortening while still decreasing pro-inflammatory cytokines </w:t>
      </w:r>
      <w:r>
        <w:rPr>
          <w:color w:val="000000" w:themeColor="text1"/>
          <w:lang w:val="es-CO"/>
        </w:rPr>
        <w:fldChar w:fldCharType="begin" w:fldLock="1"/>
      </w:r>
      <w:r w:rsidR="006465A0" w:rsidRPr="00343306">
        <w:rPr>
          <w:color w:val="000000" w:themeColor="text1"/>
        </w:rPr>
        <w:instrText>ADDIN CSL_CITATION {"citationItems":[{"id":"ITEM-1","itemData":{"DOI":"10.3390/antiox8060175","ISSN":"2076-3921","abstract":"BG-4 isolated from bitter gourd has been reported for anti-cancer properties. The objective was to evaluate the anti-inflammatory properties of BG-4 in vitro and in vivo. Comparative study of the anti-inflammatory properties of BG-4 in vitro and in vivo was conducted on lipopolysaccharide (LPS)-activated mouse macrophages, and on dextran sodium sulfate (DSS)-induced colitis in mice. BG-4 reduced the production of pro-inflammatory markers in LPS-activated macrophages. On the other hand, intraperitoneal administration of BG-4 in DSS-induced colitis led to colon shortening, elevated neutrophils infiltration and myeloperoxidase activity, presence of blood in the stool, and loss of body weight, with differential systemic and local effects on pro-inflammatory cytokines in vivo. The results demonstrated that BG-4 differentially affected inflammation in vitro and in vivo.","author":[{"dropping-particle":"","family":"Nieto-Veloza","given":"Andrea","non-dropping-particle":"","parse-names":false,"suffix":""},{"dropping-particle":"","family":"Wang","given":"Zhihong","non-dropping-particle":"","parse-names":false,"suffix":""},{"dropping-particle":"","family":"Zhong","given":"Qixin","non-dropping-particle":"","parse-names":false,"suffix":""},{"dropping-particle":"","family":"Krishnan","given":"Hari B.","non-dropping-particle":"","parse-names":false,"suffix":""},{"dropping-particle":"","family":"Dia","given":"Vermont P.","non-dropping-particle":"","parse-names":false,"suffix":""}],"container-title":"Antioxidants","id":"ITEM-1","issue":"6","issued":{"date-parts":[["2019","6","14"]]},"page":"175","publisher":"MDPI AG","title":"BG-4 from Bitter Gourd (Momordica charantia) Differentially Affects Inflammation In Vitro and In Vivo","type":"article-journal","volume":"8"},"uris":["http://www.mendeley.com/documents/?uuid=096f71f8-8446-4a73-a6af-de6ea49a0106"]}],"mendeley":{"formattedCitation":"[115]","plainTextFormattedCitation":"[115]","previouslyFormattedCitation":"[115]"},"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[115]</w:t>
      </w:r>
      <w:r>
        <w:rPr>
          <w:color w:val="000000" w:themeColor="text1"/>
          <w:lang w:val="es-CO"/>
        </w:rPr>
        <w:fldChar w:fldCharType="end"/>
      </w:r>
      <w:r>
        <w:rPr>
          <w:color w:val="000000" w:themeColor="text1"/>
        </w:rPr>
        <w:t xml:space="preserve">. BG-4 has been reported to exhibit trypsin inhibitory activity 8.6 times higher than KTI </w:t>
      </w:r>
      <w:r>
        <w:rPr>
          <w:color w:val="000000" w:themeColor="text1"/>
          <w:lang w:val="es-CO"/>
        </w:rPr>
        <w:fldChar w:fldCharType="begin" w:fldLock="1"/>
      </w:r>
      <w:r w:rsidR="006465A0">
        <w:rPr>
          <w:color w:val="000000" w:themeColor="text1"/>
        </w:rPr>
        <w:instrText>ADDIN CSL_CITATION {"citationItems":[{"id":"ITEM-1","itemData":{"DOI":"10.1038/srep33532","ISSN":"20452322","PMID":"27628414","abstract":"Momordica charantia is a perennial plant with reported health benefits. BG-4, a novel peptide from Momordica charantia, was isolated, purified and characterized. The trypsin inhibitory activity of BG-4 is 8.6 times higher than purified soybean trypsin inhibitor. The high trypsin inhibitory activity of BG-4 may be responsible for its capability to cause cytotoxicity to HCT-116 and HT-29 human colon cancer cells with ED50 values of 134.4 and 217.0 μg/mL after 48 h of treatment, respectively. The mechanism involved in the cytotoxic effect may be associated with induction of apoptosis as evidenced by increased percentage of HCT-116 and HT-29 colon cancer cells undergoing apoptosis from 5.4% (untreated) to 24.8% (BG-4 treated, 125 μg/mL for 16 h) and 8.5% (untreated) to 31.9% (BG-4 treated, 125 μg/mL for 16 h), respectively. The molecular mechanistic explanation in the apoptosis inducing property of BG-4 is due to reduced expression of Bcl-2 and increased expression of Bax leading to increased expression of caspase-3 and affecting the expression of cell cycle proteins p21 and CDK2. This is the first report on the anti-cancer potential of a novel bioactive peptide isolated from Momordica charantia in vitro supporting the potential therapeutic property of BG-4 against colon cancer that must be addressed using in vivo models of colon carcinogenesis.","author":[{"dropping-particle":"","family":"Dia","given":"Vermont P.","non-dropping-particle":"","parse-names":false,"suffix":""},{"dropping-particle":"","family":"Krishnan","given":"Hari B.","non-dropping-particle":"","parse-names":false,"suffix":""}],"container-title":"Scientific Reports","id":"ITEM-1","issue":"June","issued":{"date-parts":[["2016"]]},"page":"1-12","publisher":"Nature Publishing Group","title":"BG-4, a novel anticancer peptide from bitter gourd (Momordica charantia), promotes apoptosis in human colon cancer cells","type":"article-journal","volume":"6"},"uris":["http://www.mendeley.com/documents/?uuid=264bd390-f415-4c36-9c69-f06913bf545e"]}],"mendeley":{"formattedCitation":"[116]","plainTextFormattedCitation":"[116]","previouslyFormattedCitation":"[116]"},"properties":{"noteIndex":0},"schema":"https://github.com/citation-style-language/schema/raw/master/csl-citation.json"}</w:instrText>
      </w:r>
      <w:r>
        <w:rPr>
          <w:color w:val="000000" w:themeColor="text1"/>
          <w:lang w:val="es-CO"/>
        </w:rPr>
        <w:fldChar w:fldCharType="separate"/>
      </w:r>
      <w:r w:rsidR="00BA0E53" w:rsidRPr="00BA0E53">
        <w:rPr>
          <w:noProof/>
          <w:color w:val="000000" w:themeColor="text1"/>
        </w:rPr>
        <w:t>[116]</w:t>
      </w:r>
      <w:r>
        <w:rPr>
          <w:color w:val="000000" w:themeColor="text1"/>
          <w:lang w:val="es-CO"/>
        </w:rPr>
        <w:fldChar w:fldCharType="end"/>
      </w:r>
      <w:r>
        <w:rPr>
          <w:color w:val="000000" w:themeColor="text1"/>
        </w:rPr>
        <w:t xml:space="preserve">. The fact that these two compounds exhibited similar adverse effects that seemed proportional to their protease inhibitory activity suggests that the utilization of preparations with high protease inhibitory activity in the context of IBD may not be beneficial. </w:t>
      </w:r>
    </w:p>
    <w:p w14:paraId="59C62DFA" w14:textId="77777777" w:rsidR="00943C22" w:rsidRDefault="00943C22" w:rsidP="00DD0AC8">
      <w:pPr>
        <w:pStyle w:val="Heading2"/>
        <w:numPr>
          <w:ilvl w:val="1"/>
          <w:numId w:val="1"/>
        </w:numPr>
        <w:spacing w:line="480" w:lineRule="auto"/>
      </w:pPr>
      <w:bookmarkStart w:id="11" w:name="_Toc77082095"/>
      <w:bookmarkStart w:id="12" w:name="_Hlk74573235"/>
      <w:r w:rsidRPr="002E0B22">
        <w:t>Hypothesis and objectives</w:t>
      </w:r>
      <w:bookmarkEnd w:id="11"/>
    </w:p>
    <w:bookmarkEnd w:id="12"/>
    <w:p w14:paraId="570D9CCD" w14:textId="03750035" w:rsidR="00BE263D" w:rsidRDefault="00943C22" w:rsidP="00DD0AC8">
      <w:pPr>
        <w:spacing w:line="480" w:lineRule="auto"/>
        <w:ind w:firstLine="480"/>
      </w:pPr>
      <w:r>
        <w:t xml:space="preserve">Over the last two decades, the investigation of the biological activity of lunasin in </w:t>
      </w:r>
      <w:r>
        <w:rPr>
          <w:i/>
          <w:iCs/>
        </w:rPr>
        <w:t>in vivo</w:t>
      </w:r>
      <w:r>
        <w:t xml:space="preserve"> models has shown </w:t>
      </w:r>
      <w:r w:rsidR="00157BE7">
        <w:t>promising</w:t>
      </w:r>
      <w:r>
        <w:t xml:space="preserve"> results. </w:t>
      </w:r>
      <w:r>
        <w:rPr>
          <w:i/>
          <w:iCs/>
        </w:rPr>
        <w:t xml:space="preserve">In vitro </w:t>
      </w:r>
      <w:r>
        <w:t xml:space="preserve">approaches using different cell lines have allowed researchers to gain more insights into the potential mechanisms of action triggered by the peptide. However, the investigation of lunasin has been focused on diseases occurring outside the gastrointestinal </w:t>
      </w:r>
      <w:r w:rsidR="004635FE">
        <w:t>tract, with</w:t>
      </w:r>
      <w:r>
        <w:t xml:space="preserve"> unknown results on whether dietary consumption of lunasin might be beneficial for </w:t>
      </w:r>
      <w:r w:rsidR="00030311">
        <w:t xml:space="preserve">intervention of </w:t>
      </w:r>
      <w:r>
        <w:t>bowel diseases. Recent efforts have been made to understand how gastrointestinal digestion might affect lunasin and its biological properties</w:t>
      </w:r>
      <w:r w:rsidR="00157BE7">
        <w:t>.</w:t>
      </w:r>
      <w:r>
        <w:t xml:space="preserve"> </w:t>
      </w:r>
      <w:r w:rsidR="00157BE7">
        <w:t>T</w:t>
      </w:r>
      <w:r>
        <w:t xml:space="preserve">he possible outcomes of the interaction </w:t>
      </w:r>
      <w:r>
        <w:lastRenderedPageBreak/>
        <w:t>between the peptide and the intestinal mucosa in healthy and inflammatory states</w:t>
      </w:r>
      <w:r w:rsidR="00157BE7">
        <w:t xml:space="preserve"> need</w:t>
      </w:r>
      <w:r w:rsidR="00A830E9">
        <w:t>ed</w:t>
      </w:r>
      <w:r w:rsidR="00157BE7">
        <w:t xml:space="preserve"> to be investigated</w:t>
      </w:r>
      <w:r w:rsidR="008B1D39">
        <w:t>.</w:t>
      </w:r>
    </w:p>
    <w:p w14:paraId="3DB33ADF" w14:textId="10AC13B4" w:rsidR="00943C22" w:rsidRDefault="00943C22" w:rsidP="00DD0AC8">
      <w:pPr>
        <w:spacing w:line="480" w:lineRule="auto"/>
        <w:ind w:firstLine="480"/>
      </w:pPr>
      <w:r>
        <w:rPr>
          <w:color w:val="000000" w:themeColor="text1"/>
        </w:rPr>
        <w:t xml:space="preserve">Therefore, the overall objective of this research was to investigate the biological activity of lunasin against bowel related diseases in </w:t>
      </w:r>
      <w:r>
        <w:rPr>
          <w:i/>
          <w:iCs/>
          <w:color w:val="000000" w:themeColor="text1"/>
        </w:rPr>
        <w:t>in vivo</w:t>
      </w:r>
      <w:r>
        <w:rPr>
          <w:color w:val="000000" w:themeColor="text1"/>
        </w:rPr>
        <w:t xml:space="preserve"> models. The main hypothesis was that lunasin can exert anti-inflammatory properties in the bowel and mitigate inflammation-related diseases. To </w:t>
      </w:r>
      <w:r w:rsidR="00157BE7">
        <w:rPr>
          <w:color w:val="000000" w:themeColor="text1"/>
        </w:rPr>
        <w:t xml:space="preserve">test </w:t>
      </w:r>
      <w:r>
        <w:rPr>
          <w:color w:val="000000" w:themeColor="text1"/>
        </w:rPr>
        <w:t xml:space="preserve">this hypothesis, two different scenarios of IBD were considered: i) chronic inflammation associated with genetic susceptibility, which results in the spontaneous development of the disease, and ii) chronic inflammation triggered by external factors, that progress into colitis-associated colorectal cancer. Attending to the possible variations in biological activity between the synthetic and naturally occurring lunasin, this study pursued the utilization of a purified form of the peptide, using a byproduct of the soybean industry as starting material. </w:t>
      </w:r>
      <w:r>
        <w:t xml:space="preserve">Three specific objectives were pursued:   </w:t>
      </w:r>
    </w:p>
    <w:p w14:paraId="5FC49BB7" w14:textId="09D8CFBA" w:rsidR="00943C22" w:rsidRDefault="00943C22" w:rsidP="00DD0AC8">
      <w:pPr>
        <w:spacing w:line="480" w:lineRule="auto"/>
        <w:ind w:firstLine="480"/>
      </w:pPr>
      <w:bookmarkStart w:id="13" w:name="_Hlk74739099"/>
      <w:r>
        <w:t>The first objective was to design a process for the isolation of lunasin from tofu whey. Tofu whey prepared at laboratory scale was used to establish the isolation conditions.</w:t>
      </w:r>
      <w:r w:rsidR="00BE263D">
        <w:t xml:space="preserve"> The combined use of </w:t>
      </w:r>
      <w:r>
        <w:t>ethanol</w:t>
      </w:r>
      <w:r w:rsidR="00BE263D">
        <w:t>,</w:t>
      </w:r>
      <w:r>
        <w:t xml:space="preserve"> calcium</w:t>
      </w:r>
      <w:r w:rsidR="00BE263D">
        <w:t>,</w:t>
      </w:r>
      <w:r>
        <w:t xml:space="preserve"> and acidification to </w:t>
      </w:r>
      <w:r w:rsidR="00BE263D">
        <w:t>different pH</w:t>
      </w:r>
      <w:r>
        <w:t xml:space="preserve"> were tested to </w:t>
      </w:r>
      <w:r w:rsidR="00BE263D">
        <w:t>obtain</w:t>
      </w:r>
      <w:r>
        <w:t xml:space="preserve"> a solid fraction enriched in lunasin</w:t>
      </w:r>
      <w:r w:rsidR="00BE263D">
        <w:t xml:space="preserve"> from the whey</w:t>
      </w:r>
      <w:r>
        <w:t xml:space="preserve">. Preparative gel filtration chromatography was used for purification, and composition of the mobile phase, injection volume, and preparation grade of the chromatographic column were evaluated. The designed isolation process was then applied to commercially produced tofu whey. The purity and identity of the </w:t>
      </w:r>
      <w:r>
        <w:lastRenderedPageBreak/>
        <w:t xml:space="preserve">final product were established using immunologic and chromatographic techniques, and bioactivity was assessed </w:t>
      </w:r>
      <w:r w:rsidR="00B03A5E">
        <w:t>in</w:t>
      </w:r>
      <w:r>
        <w:t xml:space="preserve"> murine macrophages stimulated into an inflammatory state. </w:t>
      </w:r>
    </w:p>
    <w:p w14:paraId="717DAA5A" w14:textId="01A50F42" w:rsidR="00943C22" w:rsidRDefault="00943C22" w:rsidP="00DD0AC8">
      <w:pPr>
        <w:spacing w:line="480" w:lineRule="auto"/>
        <w:ind w:firstLine="720"/>
      </w:pPr>
      <w:r>
        <w:t xml:space="preserve">The second objective was to evaluate the potential of lunasin isolated from tofu whey to reduce inflammasome-related </w:t>
      </w:r>
      <w:r w:rsidR="00157BE7">
        <w:t>IBD</w:t>
      </w:r>
      <w:r>
        <w:t>. IL-10</w:t>
      </w:r>
      <w:r w:rsidR="00157BE7">
        <w:rPr>
          <w:vertAlign w:val="superscript"/>
        </w:rPr>
        <w:t>-/-</w:t>
      </w:r>
      <w:r>
        <w:t xml:space="preserve"> mice were used as </w:t>
      </w:r>
      <w:r>
        <w:rPr>
          <w:i/>
          <w:iCs/>
        </w:rPr>
        <w:t>in vivo</w:t>
      </w:r>
      <w:r>
        <w:t xml:space="preserve"> model of spontaneous colitis. Manifestations of symptoms and pro-inflammatory markers in different sections of the small and large intestine were assessed in mice left untreated, orally administered with lunasin, or treated with a caspase inhibitor as a control for the blockade of the inflammasome. Human macrophages were used </w:t>
      </w:r>
      <w:r>
        <w:rPr>
          <w:i/>
          <w:iCs/>
        </w:rPr>
        <w:t>in vitro</w:t>
      </w:r>
      <w:r>
        <w:t xml:space="preserve"> to identify the potential mechanism by which lunasin modulates the inflammasome. </w:t>
      </w:r>
    </w:p>
    <w:p w14:paraId="1A1812AB" w14:textId="2D99B0B3" w:rsidR="00943C22" w:rsidRDefault="00943C22" w:rsidP="00DD0AC8">
      <w:pPr>
        <w:spacing w:line="480" w:lineRule="auto"/>
        <w:ind w:firstLine="720"/>
      </w:pPr>
      <w:r>
        <w:t xml:space="preserve">The third objective was to evaluate the ability of lunasin to mitigate chemically induced colitis-associated carcinogenesis. Dextran sulfate sodium and azoxymethane were used to </w:t>
      </w:r>
      <w:r w:rsidR="00157BE7">
        <w:t xml:space="preserve">mimic </w:t>
      </w:r>
      <w:r>
        <w:t xml:space="preserve">relapsing cycles of inflammation and induce colitis-associated </w:t>
      </w:r>
      <w:r w:rsidR="00157BE7">
        <w:t>CRC</w:t>
      </w:r>
      <w:r>
        <w:t xml:space="preserve">. Mice receiving placebo jelly or jelly containing lunasin were monitored for clinical symptoms of the disease. Pro-inflammatory markers, tumor burden, and histopathological assessment for inflammation and dysplasia were </w:t>
      </w:r>
      <w:r w:rsidR="00843C6F">
        <w:t>evaluated</w:t>
      </w:r>
      <w:r>
        <w:t xml:space="preserve"> in the colon. </w:t>
      </w:r>
    </w:p>
    <w:bookmarkEnd w:id="13"/>
    <w:p w14:paraId="585E4A95" w14:textId="65E8425E" w:rsidR="00425921" w:rsidRDefault="00943C22" w:rsidP="00DD0AC8">
      <w:pPr>
        <w:spacing w:line="480" w:lineRule="auto"/>
        <w:ind w:firstLine="720"/>
        <w:rPr>
          <w:bCs/>
          <w:color w:val="000000" w:themeColor="text1"/>
        </w:rPr>
      </w:pPr>
      <w:r>
        <w:t xml:space="preserve">The results of this study are expected to </w:t>
      </w:r>
      <w:r>
        <w:rPr>
          <w:bCs/>
          <w:color w:val="000000" w:themeColor="text1"/>
        </w:rPr>
        <w:t>serve as evidence of the biological activity of lunasin in the bowel, and to indicate its potential utilization to lessen bowel-inflammation related diseases</w:t>
      </w:r>
      <w:r w:rsidR="00A23C2E">
        <w:rPr>
          <w:bCs/>
          <w:color w:val="000000" w:themeColor="text1"/>
        </w:rPr>
        <w:t>. In addition, further</w:t>
      </w:r>
      <w:r>
        <w:rPr>
          <w:bCs/>
          <w:color w:val="000000" w:themeColor="text1"/>
        </w:rPr>
        <w:t xml:space="preserve"> investigation </w:t>
      </w:r>
      <w:r>
        <w:rPr>
          <w:bCs/>
          <w:color w:val="000000" w:themeColor="text1"/>
        </w:rPr>
        <w:lastRenderedPageBreak/>
        <w:t xml:space="preserve">about the inclusion of lunasin as an active </w:t>
      </w:r>
      <w:r w:rsidR="00A23C2E">
        <w:rPr>
          <w:bCs/>
          <w:color w:val="000000" w:themeColor="text1"/>
        </w:rPr>
        <w:t xml:space="preserve">preventive </w:t>
      </w:r>
      <w:r>
        <w:rPr>
          <w:bCs/>
          <w:color w:val="000000" w:themeColor="text1"/>
        </w:rPr>
        <w:t xml:space="preserve">and therapeutic agent in the context of IBD and intestinal cancers. </w:t>
      </w:r>
    </w:p>
    <w:p w14:paraId="34600CF9" w14:textId="77777777" w:rsidR="00425921" w:rsidRDefault="00425921" w:rsidP="00DD0AC8">
      <w:pPr>
        <w:spacing w:line="480" w:lineRule="auto"/>
        <w:rPr>
          <w:bCs/>
          <w:color w:val="000000" w:themeColor="text1"/>
        </w:rPr>
      </w:pPr>
      <w:r>
        <w:rPr>
          <w:bCs/>
          <w:color w:val="000000" w:themeColor="text1"/>
        </w:rPr>
        <w:br w:type="page"/>
      </w:r>
    </w:p>
    <w:p w14:paraId="63DE73F0" w14:textId="77777777" w:rsidR="00943C22" w:rsidRPr="00425921" w:rsidRDefault="00425921" w:rsidP="00390DD1">
      <w:pPr>
        <w:pStyle w:val="Heading2"/>
        <w:spacing w:line="480" w:lineRule="auto"/>
      </w:pPr>
      <w:bookmarkStart w:id="14" w:name="_Toc77082096"/>
      <w:r w:rsidRPr="00425921">
        <w:lastRenderedPageBreak/>
        <w:t>References</w:t>
      </w:r>
      <w:bookmarkEnd w:id="14"/>
    </w:p>
    <w:p w14:paraId="6FE51F41" w14:textId="6895AD39" w:rsidR="00955CB1" w:rsidRPr="00955CB1" w:rsidRDefault="00425921" w:rsidP="00390DD1">
      <w:pPr>
        <w:widowControl w:val="0"/>
        <w:autoSpaceDE w:val="0"/>
        <w:autoSpaceDN w:val="0"/>
        <w:adjustRightInd w:val="0"/>
        <w:spacing w:line="480" w:lineRule="auto"/>
        <w:ind w:left="640" w:hanging="640"/>
        <w:rPr>
          <w:noProof/>
        </w:rPr>
      </w:pPr>
      <w:r>
        <w:rPr>
          <w:color w:val="000000" w:themeColor="text1"/>
        </w:rPr>
        <w:fldChar w:fldCharType="begin" w:fldLock="1"/>
      </w:r>
      <w:r>
        <w:rPr>
          <w:color w:val="000000" w:themeColor="text1"/>
        </w:rPr>
        <w:instrText xml:space="preserve">ADDIN Mendeley Bibliography CSL_BIBLIOGRAPHY </w:instrText>
      </w:r>
      <w:r>
        <w:rPr>
          <w:color w:val="000000" w:themeColor="text1"/>
        </w:rPr>
        <w:fldChar w:fldCharType="separate"/>
      </w:r>
      <w:r w:rsidR="00955CB1" w:rsidRPr="00955CB1">
        <w:rPr>
          <w:noProof/>
        </w:rPr>
        <w:t>[1]</w:t>
      </w:r>
      <w:r w:rsidR="00955CB1" w:rsidRPr="00955CB1">
        <w:rPr>
          <w:noProof/>
        </w:rPr>
        <w:tab/>
        <w:t>C. Nathan, A. Ding, Nonresolving Inflammation, Cell. 140 (2010) 871–882. https://doi.org/10.1016/j.cell.2010.02.029.</w:t>
      </w:r>
    </w:p>
    <w:p w14:paraId="43ECF56D"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[2]</w:t>
      </w:r>
      <w:r w:rsidRPr="00955CB1">
        <w:rPr>
          <w:noProof/>
        </w:rPr>
        <w:tab/>
        <w:t>N.S. Tapias, N. Vergnolle, A. Denadai-Souza, F. Barreau, The Interplay Between Genetic Risk Factors and Proteolytic Dysregulation in the Pathophysiology of Inflammatory Bowel Disease, J. Crohn’s Colitis. 2020 (2020) 1–13. https://doi.org/10.1093/ecco-jcc/jjaa033.</w:t>
      </w:r>
    </w:p>
    <w:p w14:paraId="74903754"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[3]</w:t>
      </w:r>
      <w:r w:rsidRPr="00955CB1">
        <w:rPr>
          <w:noProof/>
        </w:rPr>
        <w:tab/>
        <w:t>H.F. Helander, L. Fändriks, Surface area of the digestive tract-revisited, Scand. J. Gastroenterol. 49 (2014) 681–689. https://doi.org/10.3109/00365521.2014.898326.</w:t>
      </w:r>
    </w:p>
    <w:p w14:paraId="5BA77E76"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[4]</w:t>
      </w:r>
      <w:r w:rsidRPr="00955CB1">
        <w:rPr>
          <w:noProof/>
        </w:rPr>
        <w:tab/>
        <w:t>Crohn’s and Colitis Foundation of America, Crohn’s and Colitis Foundation, Facts about Inflamm. Bowel Dis. (2014) 1–24.</w:t>
      </w:r>
    </w:p>
    <w:p w14:paraId="43AB52E7"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[5]</w:t>
      </w:r>
      <w:r w:rsidRPr="00955CB1">
        <w:rPr>
          <w:noProof/>
        </w:rPr>
        <w:tab/>
        <w:t>M.S. Nadeem, V. Kumar, F.A. Al-Abbasi, M.A. Kamal, F. Anwar, Risk of colorectal cancer in inflammatory bowel diseases, Semin. Cancer Biol. 64 (2020) 51–60. https://doi.org/10.1016/j.semcancer.2019.05.001.</w:t>
      </w:r>
    </w:p>
    <w:p w14:paraId="1E984030"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[6]</w:t>
      </w:r>
      <w:r w:rsidRPr="00955CB1">
        <w:rPr>
          <w:noProof/>
        </w:rPr>
        <w:tab/>
        <w:t>V. Jairath, B.G. Feagan, Global burden of inflammatory bowel disease, Lancet Gastroenterol. Hepatol. 5 (2020) 2–3. https://doi.org/10.1016/S2468-1253(19)30358-9.</w:t>
      </w:r>
    </w:p>
    <w:p w14:paraId="51E323DD"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[7]</w:t>
      </w:r>
      <w:r w:rsidRPr="00955CB1">
        <w:rPr>
          <w:noProof/>
        </w:rPr>
        <w:tab/>
        <w:t xml:space="preserve">S.C. Ng, H.Y. Shi, N. Hamidi, F.E. Underwood, W. Tang, E.I. Benchimol, R. Panaccione, S. Ghosh, J.C.Y. Wu, F.K.L. Chan, J.J.Y. Sung, G.G. Kaplan, Worldwide incidence and prevalence of inflammatory bowel disease in the 21st century: a systematic review of population-based </w:t>
      </w:r>
      <w:r w:rsidRPr="00955CB1">
        <w:rPr>
          <w:noProof/>
        </w:rPr>
        <w:lastRenderedPageBreak/>
        <w:t>studies, Lancet. 390 (2017) 2769–2778. https://doi.org/10.1016/S0140-6736(17)32448-0.</w:t>
      </w:r>
    </w:p>
    <w:p w14:paraId="11E3B87E"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[8]</w:t>
      </w:r>
      <w:r w:rsidRPr="00955CB1">
        <w:rPr>
          <w:noProof/>
        </w:rPr>
        <w:tab/>
        <w:t>K.T. Park, O.G. Ehrlich, J.I. Allen, P. Meadows, E.M. Szigethy, K. Henrichsen, S.C. Kim, R.C. Lawton, S.M. Murphy, M. Regueiro, D.T. Rubin, N.M. Engel-Nitz, C.A. Heller, The Cost of Inflammatory Bowel Disease: An Initiative from the Crohn’s &amp; Colitis Foundation, Inflamm. Bowel Dis. 26 (2020) 1–10. https://doi.org/10.1093/ibd/izz104.</w:t>
      </w:r>
    </w:p>
    <w:p w14:paraId="68298021" w14:textId="77777777" w:rsidR="00955CB1" w:rsidRPr="00343306" w:rsidRDefault="00955CB1" w:rsidP="00390DD1">
      <w:pPr>
        <w:widowControl w:val="0"/>
        <w:autoSpaceDE w:val="0"/>
        <w:autoSpaceDN w:val="0"/>
        <w:adjustRightInd w:val="0"/>
        <w:spacing w:line="480" w:lineRule="auto"/>
        <w:ind w:left="640" w:hanging="640"/>
        <w:rPr>
          <w:noProof/>
          <w:lang w:val="es-CO"/>
        </w:rPr>
      </w:pPr>
      <w:r w:rsidRPr="00955CB1">
        <w:rPr>
          <w:noProof/>
        </w:rPr>
        <w:t>[9]</w:t>
      </w:r>
      <w:r w:rsidRPr="00955CB1">
        <w:rPr>
          <w:noProof/>
        </w:rPr>
        <w:tab/>
        <w:t xml:space="preserve">Q. Guan, A Comprehensive Review and Update on the Pathogenesis of Inflammatory Bowel Disease, J. Immunol. </w:t>
      </w:r>
      <w:r w:rsidRPr="00343306">
        <w:rPr>
          <w:noProof/>
          <w:lang w:val="es-CO"/>
        </w:rPr>
        <w:t>Res. 2019 (2019) 1–16. https://doi.org/10.1155/2019/7247238.</w:t>
      </w:r>
    </w:p>
    <w:p w14:paraId="1B256156" w14:textId="77777777" w:rsidR="00955CB1" w:rsidRPr="00343306" w:rsidRDefault="00955CB1" w:rsidP="00390DD1">
      <w:pPr>
        <w:widowControl w:val="0"/>
        <w:autoSpaceDE w:val="0"/>
        <w:autoSpaceDN w:val="0"/>
        <w:adjustRightInd w:val="0"/>
        <w:spacing w:line="480" w:lineRule="auto"/>
        <w:ind w:left="640" w:hanging="640"/>
        <w:rPr>
          <w:noProof/>
          <w:lang w:val="es-CO"/>
        </w:rPr>
      </w:pPr>
      <w:r w:rsidRPr="00343306">
        <w:rPr>
          <w:noProof/>
          <w:lang w:val="es-CO"/>
        </w:rPr>
        <w:t>[10]</w:t>
      </w:r>
      <w:r w:rsidRPr="00343306">
        <w:rPr>
          <w:noProof/>
          <w:lang w:val="es-CO"/>
        </w:rPr>
        <w:tab/>
        <w:t>E. Cerrillo, E.S. González, G. Bastida, P. Nos, Extraintestinal manifestations in inflammatory bowel disease, Med. 13 (2020) 618–630. https://doi.org/10.1016/j.med.2020.06.013.</w:t>
      </w:r>
    </w:p>
    <w:p w14:paraId="0413D093"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[11]</w:t>
      </w:r>
      <w:r w:rsidRPr="00955CB1">
        <w:rPr>
          <w:noProof/>
        </w:rPr>
        <w:tab/>
        <w:t>P. Wu, F. Jia, B. Zhang, P. Zhang, Risk of cardiovascular disease in inflammatory bowel disease (review), Exp. Ther. Med. 13 (2017) 395–400. https://doi.org/10.3892/etm.2016.3966.</w:t>
      </w:r>
    </w:p>
    <w:p w14:paraId="073550F3"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[12]</w:t>
      </w:r>
      <w:r w:rsidRPr="00955CB1">
        <w:rPr>
          <w:noProof/>
        </w:rPr>
        <w:tab/>
        <w:t>M. Chang, L. Chang, H.M. Chang, F. Chang, Intestinal and Extraintestinal Cancers Associated With Inflammatory Bowel Disease, Clin. Colorectal Cancer. 17 (2018) e29–e37. https://doi.org/10.1016/j.clcc.2017.06.009.</w:t>
      </w:r>
    </w:p>
    <w:p w14:paraId="236F40F0"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[13]</w:t>
      </w:r>
      <w:r w:rsidRPr="00955CB1">
        <w:rPr>
          <w:noProof/>
        </w:rPr>
        <w:tab/>
        <w:t>M. Yashiro, Ulcerative colitis-associated colorectal cancer, World J. Gastroenterol. 20 (2014) 16389–16397. https://doi.org/10.3748/wjg.v20.i44.16389.</w:t>
      </w:r>
    </w:p>
    <w:p w14:paraId="7E1AF5AD"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lastRenderedPageBreak/>
        <w:t>[14]</w:t>
      </w:r>
      <w:r w:rsidRPr="00955CB1">
        <w:rPr>
          <w:noProof/>
        </w:rPr>
        <w:tab/>
        <w:t>K.M. de Lange, J.C. Barrett, Understanding inflammatory bowel disease via immunogenetics, J. Autoimmun. 64 (2015) 91–100. https://doi.org/10.1016/j.jaut.2015.07.013.</w:t>
      </w:r>
    </w:p>
    <w:p w14:paraId="6B4FDA6B"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[15]</w:t>
      </w:r>
      <w:r w:rsidRPr="00955CB1">
        <w:rPr>
          <w:noProof/>
        </w:rPr>
        <w:tab/>
        <w:t>K. Sandberg, E. Yarger, S. Saeed, Updates in diagnosis and management of inflammatory bowel disease, Curr. Probl. Pediatr. Adolesc. Health Care. 50 (2020) 100785. https://doi.org/10.1016/j.cppeds.2020.100785.</w:t>
      </w:r>
    </w:p>
    <w:p w14:paraId="717B1C5A"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[16]</w:t>
      </w:r>
      <w:r w:rsidRPr="00955CB1">
        <w:rPr>
          <w:noProof/>
        </w:rPr>
        <w:tab/>
        <w:t>G. Rogler, Gastrointestinal and liver adverse effects of drugs used for treating IBD, Best Pract. Res. Clin. Gastroenterol. 24 (2010) 157–165. https://doi.org/10.1016/j.bpg.2009.10.011.</w:t>
      </w:r>
    </w:p>
    <w:p w14:paraId="1AFB8EAD"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[17]</w:t>
      </w:r>
      <w:r w:rsidRPr="00955CB1">
        <w:rPr>
          <w:noProof/>
        </w:rPr>
        <w:tab/>
        <w:t>A. Stallmach, S. Hagel, T. Bruns, Adverse effects of biologics used for treating IBD, Best Pract. Res. Clin. Gastroenterol. 24 (2010) 167–182. https://doi.org/10.1016/j.bpg.2010.01.002.</w:t>
      </w:r>
    </w:p>
    <w:p w14:paraId="3F9D3E91"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[18]</w:t>
      </w:r>
      <w:r w:rsidRPr="00955CB1">
        <w:rPr>
          <w:noProof/>
        </w:rPr>
        <w:tab/>
        <w:t>S. Ahlawat, P. Kumar, H. Mohan, S. Goyal, K.K. Sharma, Inflammatory bowel disease: tri-directional relationship between microbiota, immune system and intestinal epithelium, Crit. Rev. Microbiol. 47 (2021) 254–273. https://doi.org/10.1080/1040841X.2021.1876631.</w:t>
      </w:r>
    </w:p>
    <w:p w14:paraId="0E76119A"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[19]</w:t>
      </w:r>
      <w:r w:rsidRPr="00955CB1">
        <w:rPr>
          <w:noProof/>
        </w:rPr>
        <w:tab/>
        <w:t>G.B. Chen, S.H. Lee, M.J.A. Brion, G.W. Montgomery, N.R. Wray, G.L. Radford-Smith, P.M. Visscher, Estimation and partitioning of (co)heritability of inflammatory bowel disease from GWAS and immunochip data, Hum. Mol. Genet. 23 (2014) 4710–4720. https://doi.org/10.1093/hmg/ddu174.</w:t>
      </w:r>
    </w:p>
    <w:p w14:paraId="628DFB03"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[20]</w:t>
      </w:r>
      <w:r w:rsidRPr="00955CB1">
        <w:rPr>
          <w:noProof/>
        </w:rPr>
        <w:tab/>
        <w:t xml:space="preserve">M. Girardelli, S. Arrigo, A. Barabino, C. Loganes, G. Morreale, S. Crovella, A. Tommasini, A.M. Bianco, The diagnostic challenge of very early-onset </w:t>
      </w:r>
      <w:r w:rsidRPr="00955CB1">
        <w:rPr>
          <w:noProof/>
        </w:rPr>
        <w:lastRenderedPageBreak/>
        <w:t>enterocolitis in an infant with XIAP deficiency, BMC Pediatr. 15 (2015) 1–7. https://doi.org/10.1186/s12887-015-0522-5.</w:t>
      </w:r>
    </w:p>
    <w:p w14:paraId="7BE39986"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[21]</w:t>
      </w:r>
      <w:r w:rsidRPr="00955CB1">
        <w:rPr>
          <w:noProof/>
        </w:rPr>
        <w:tab/>
        <w:t>S. Wirtz, M.F. Neurath, Mouse models of inflammatory bowel disease, Adv. Drug Deliv. Rev. 59 (2007) 1073–1083. https://doi.org/10.1016/j.addr.2007.07.003.</w:t>
      </w:r>
    </w:p>
    <w:p w14:paraId="6585980C"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[22]</w:t>
      </w:r>
      <w:r w:rsidRPr="00955CB1">
        <w:rPr>
          <w:noProof/>
        </w:rPr>
        <w:tab/>
        <w:t>B. Khor, A. Gardet, R.J. Xavier, Genetics and pathogenesis of inflammatory bowel disease, Nature. 474 (2011) 307–317. https://doi.org/10.1038/nature10209.</w:t>
      </w:r>
    </w:p>
    <w:p w14:paraId="5126F3A1"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[23]</w:t>
      </w:r>
      <w:r w:rsidRPr="00955CB1">
        <w:rPr>
          <w:noProof/>
        </w:rPr>
        <w:tab/>
        <w:t>A.D. Kostic, R.J. Xavier, D. Gevers, The microbiome in inflammatory bowel disease: Current status and the future ahead, Gastroenterology. 146 (2014) 1489–1499. https://doi.org/10.1053/j.gastro.2014.02.009.</w:t>
      </w:r>
    </w:p>
    <w:p w14:paraId="5E5D3736"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[24]</w:t>
      </w:r>
      <w:r w:rsidRPr="00955CB1">
        <w:rPr>
          <w:noProof/>
        </w:rPr>
        <w:tab/>
        <w:t>K. Head, J. Jurenka, Inflammatory bowel disease part I: Ulcerative Colitis - pathophysiology and conventional and alternative treatment options, Altern. Med. 8 (2003) 247–283.</w:t>
      </w:r>
    </w:p>
    <w:p w14:paraId="391BF6A6"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[25]</w:t>
      </w:r>
      <w:r w:rsidRPr="00955CB1">
        <w:rPr>
          <w:noProof/>
        </w:rPr>
        <w:tab/>
        <w:t>A.N. Anbazhagan, S. Priyamvada, W.A. Alrefai, P.K. Dudeja, Pathophysiology of IBD associated diarrhea, Tissue Barriers. 6 (2018). https://doi.org/10.1080/21688370.2018.1463897.</w:t>
      </w:r>
    </w:p>
    <w:p w14:paraId="00D20497"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[26]</w:t>
      </w:r>
      <w:r w:rsidRPr="00955CB1">
        <w:rPr>
          <w:noProof/>
        </w:rPr>
        <w:tab/>
        <w:t>M. Schnoor, E-cadherin Is Important for the Maintenance of Intestinal Epithelial Homeostasis Under Basal and Inflammatory Conditions, Dig. Dis. Sci. 60 (2015) 816–818. https://doi.org/10.1007/s10620-015-3622-z.</w:t>
      </w:r>
    </w:p>
    <w:p w14:paraId="1406D6DF"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[27]</w:t>
      </w:r>
      <w:r w:rsidRPr="00955CB1">
        <w:rPr>
          <w:noProof/>
        </w:rPr>
        <w:tab/>
        <w:t xml:space="preserve">W.S. Garrett, J.I. Gordon, L.H. Glimcher, Homeostasis and Inflammation in the Intestine, Cell. 140 (2010) 859–870. </w:t>
      </w:r>
      <w:r w:rsidRPr="00955CB1">
        <w:rPr>
          <w:noProof/>
        </w:rPr>
        <w:lastRenderedPageBreak/>
        <w:t>https://doi.org/10.1016/j.cell.2010.01.023.</w:t>
      </w:r>
    </w:p>
    <w:p w14:paraId="656DDD76"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[28]</w:t>
      </w:r>
      <w:r w:rsidRPr="00955CB1">
        <w:rPr>
          <w:noProof/>
        </w:rPr>
        <w:tab/>
        <w:t>A.C. Daulagala, M.C. Bridges, A. Kourtidis, E-cadherin beyond structure: A signaling hub in colon homeostasis and disease, Int. J. Mol. Sci. 20 (2019) 2756. https://doi.org/10.3390/ijms20112756.</w:t>
      </w:r>
    </w:p>
    <w:p w14:paraId="42D5E2E7"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[29]</w:t>
      </w:r>
      <w:r w:rsidRPr="00955CB1">
        <w:rPr>
          <w:noProof/>
        </w:rPr>
        <w:tab/>
        <w:t>T. Goretsky, R. Dirisina, P. Sinh, N. Mittal, E. Managlia, D.B. Williams, D. Posca, H. Ryu, R.B. Katzman, T.A. Barrett, P53 mediates TNF-induced epithelial cell apoptosis in IBD, Am. J. Pathol. 181 (2012) 1306–1315. https://doi.org/10.1016/j.ajpath.2012.06.016.</w:t>
      </w:r>
    </w:p>
    <w:p w14:paraId="226E90C9"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[30]</w:t>
      </w:r>
      <w:r w:rsidRPr="00955CB1">
        <w:rPr>
          <w:noProof/>
        </w:rPr>
        <w:tab/>
        <w:t>R. Ahmad, M.F. Sorrell, S.K. Batra, P. Dhawan, A.B. Singh, Gut permeability and mucosal inflammation: Bad, good or context dependent, Mucosal Immunol. 10 (2017) 307–317. https://doi.org/10.1038/mi.2016.128.</w:t>
      </w:r>
    </w:p>
    <w:p w14:paraId="06B532D5"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[31]</w:t>
      </w:r>
      <w:r w:rsidRPr="00955CB1">
        <w:rPr>
          <w:noProof/>
        </w:rPr>
        <w:tab/>
        <w:t>A.N. Ananthakrishnan, C.N. Bernstein, D. Iliopoulos, A. Macpherson, M.F. Neurath, R.A. Raja Ali, S.R. Vavricka, C. Fiocchi, Environmental triggers in IBD: a review of progress and evidence, Nat. Rev. Gastroenterol. Hepatol. 15 (2018) 39. https://doi.org/10.1038/nrgastro.2017.136.</w:t>
      </w:r>
    </w:p>
    <w:p w14:paraId="706BD79D"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[32]</w:t>
      </w:r>
      <w:r w:rsidRPr="00955CB1">
        <w:rPr>
          <w:noProof/>
        </w:rPr>
        <w:tab/>
        <w:t>M.F. Neurath, Cytokines in inflammatory bowel disease, Nat. Rev. Immunol. 14 (2014) 329–342. https://doi.org/10.1038/nri3661.</w:t>
      </w:r>
    </w:p>
    <w:p w14:paraId="743B91C0"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[33]</w:t>
      </w:r>
      <w:r w:rsidRPr="00955CB1">
        <w:rPr>
          <w:noProof/>
        </w:rPr>
        <w:tab/>
        <w:t>W. Strober, I.J. Fuss, Proinflammatory cytokines in the pathogenesis of inflammatory bowel diseases, Gastroenterology. 140 (2011) 1756-1767.e1. https://doi.org/10.1053/j.gastro.2011.02.016.</w:t>
      </w:r>
    </w:p>
    <w:p w14:paraId="2C536C5C"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[34]</w:t>
      </w:r>
      <w:r w:rsidRPr="00955CB1">
        <w:rPr>
          <w:noProof/>
        </w:rPr>
        <w:tab/>
        <w:t xml:space="preserve">W. Reinisch, D.W. Hommes, G. Van Assche, J.F. Colombel, J.P. Gendre, </w:t>
      </w:r>
      <w:r w:rsidRPr="00955CB1">
        <w:rPr>
          <w:noProof/>
        </w:rPr>
        <w:lastRenderedPageBreak/>
        <w:t>B. Oldenburg, A. Teml, K. Geboes, H. Ding, L. Zhang, M. Tang, M. Cheng, S.J.H. Van Deventer, P. Rutgeerts, T. Pearce, A dose escalating, placebo controlled, double blind, single dose and multidose, safety and tolerability study of fontolizumab, a humanised anti-interferon γ antibody, in patients with moderate to severe Crohn’s disease, Gut. 55 (2006) 1138–1144. https://doi.org/10.1136/gut.2005.079434.</w:t>
      </w:r>
    </w:p>
    <w:p w14:paraId="1770D7C5"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[35]</w:t>
      </w:r>
      <w:r w:rsidRPr="00955CB1">
        <w:rPr>
          <w:noProof/>
        </w:rPr>
        <w:tab/>
        <w:t>W. Hueber, B.E. Sands, S. Lewitzky, M. Vandemeulebroecke, W. Reinisch, P.D.R. Higgins, J. Wehkamp, B.G. Feagan, M.D. Yao, M. Karczewski, J. Karczewski, N. Pezous, S. Bek, G. Bruin, B. Mellgard, C. Berger, M. Londei, A.P. Bertolino, G. Tougas, S.P.L. Travis, Secukinumab, a human anti-IL-17A monoclonal antibody, for moderate to severe Crohn’s disease: Unexpected results of a randomised, double-blindplacebo- controlled trial, Gut. 61 (2012) 1693–1700. https://doi.org/10.1136/gutjnl-2011-301668.</w:t>
      </w:r>
    </w:p>
    <w:p w14:paraId="5F126BF1"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[36]</w:t>
      </w:r>
      <w:r w:rsidRPr="00955CB1">
        <w:rPr>
          <w:noProof/>
        </w:rPr>
        <w:tab/>
        <w:t>S. Danese, J. Rudziński, W. Brandt, J.L. Dupas, L. Peyrin-Biroulet, Y. Bouhnik, D. Kleczkowski, P. Uebel, M. Lukas, M. Knutsson, F. Erlandsson, M.B. Hansen, S. Keshav, Tralokinumab for moderate-to-severe UC: A randomised, double-blind, placebo-controlled, phase IIa study, Gut. 64 (2015) 243–249. https://doi.org/10.1136/gutjnl-2014-308004.</w:t>
      </w:r>
    </w:p>
    <w:p w14:paraId="60C3F269"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[37]</w:t>
      </w:r>
      <w:r w:rsidRPr="00955CB1">
        <w:rPr>
          <w:noProof/>
        </w:rPr>
        <w:tab/>
        <w:t>G. McCormack, D. Moriarty, D.P. O’Donoghue, P.A. McCormick, K. Sheahan, A.W. Baird, Tissue cytokine and chemokine expression in inflammatory bowel disease, Inflamm. Res. 50 (2001) 491–495. https://doi.org/10.1007/PL00000223.</w:t>
      </w:r>
    </w:p>
    <w:p w14:paraId="58379BA2"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lastRenderedPageBreak/>
        <w:t>[38]</w:t>
      </w:r>
      <w:r w:rsidRPr="00955CB1">
        <w:rPr>
          <w:noProof/>
        </w:rPr>
        <w:tab/>
        <w:t>R. Francescone, V. Hou, S.I. Grivennikov, Cytokines, IBD, and colitis-associated cancer, Inflamm. Bowel Dis. 21 (2015) 409–418. https://doi.org/10.1097/MIB.0000000000000236.</w:t>
      </w:r>
    </w:p>
    <w:p w14:paraId="685A687F"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[39]</w:t>
      </w:r>
      <w:r w:rsidRPr="00955CB1">
        <w:rPr>
          <w:noProof/>
        </w:rPr>
        <w:tab/>
        <w:t>G. Germano, P. Allavena, A. Mantovani, Cytokines as a key component of cancer-related inflammation, Cytokine. 43 (2008) 374–379. https://doi.org/10.1016/j.cyto.2008.07.014.</w:t>
      </w:r>
    </w:p>
    <w:p w14:paraId="6F67B763"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[40]</w:t>
      </w:r>
      <w:r w:rsidRPr="00955CB1">
        <w:rPr>
          <w:noProof/>
        </w:rPr>
        <w:tab/>
        <w:t>Z. Wang, S. Zhang, Y. Xiao, W. Zhang, S. Wu, T. Qin, Y. Yue, W. Qian, L. Li, NLRP3 Inflammasome and Inflammatory Diseases, Oxid. Med. Cell. Longev. 2020 (2020). https://doi.org/10.1155/2020/4063562.</w:t>
      </w:r>
    </w:p>
    <w:p w14:paraId="78F33657"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[41]</w:t>
      </w:r>
      <w:r w:rsidRPr="00955CB1">
        <w:rPr>
          <w:noProof/>
        </w:rPr>
        <w:tab/>
        <w:t>B. Siegmund, H.A. Lehr, G. Fantuzzi, C.A. Dinarello, IL-1β-converting enzyme (caspase-1) in intestinal inflammation, Proc. Natl. Acad. Sci. U. S. A. 98 (2001) 13249–13254. https://doi.org/10.1073/pnas.231473998.</w:t>
      </w:r>
    </w:p>
    <w:p w14:paraId="25789EAB"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[42]</w:t>
      </w:r>
      <w:r w:rsidRPr="00955CB1">
        <w:rPr>
          <w:noProof/>
        </w:rPr>
        <w:tab/>
        <w:t>Q.L. Chen, H.R. Yin, Q.Y. He, Y. Wang, Targeting the NLRP3 inflammasome as new therapeutic avenue for inflammatory bowel disease, Biomed. Pharmacother. 138 (2021) 111442. https://doi.org/10.1016/j.biopha.2021.111442.</w:t>
      </w:r>
    </w:p>
    <w:p w14:paraId="1F6BD1BA"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[43]</w:t>
      </w:r>
      <w:r w:rsidRPr="00955CB1">
        <w:rPr>
          <w:noProof/>
        </w:rPr>
        <w:tab/>
        <w:t>S.C. Park, Y.T. Jeen, Current and emerging biologics for ulcerative colitis, Gut Liver. 9 (2015) 18–27. https://doi.org/10.5009/gnl14226.</w:t>
      </w:r>
    </w:p>
    <w:p w14:paraId="06598A9D"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[44]</w:t>
      </w:r>
      <w:r w:rsidRPr="00955CB1">
        <w:rPr>
          <w:noProof/>
        </w:rPr>
        <w:tab/>
        <w:t>F. Sanchez-Muñoz, A. Dominguez-Lopez, J.K. Yamamoto-Furusho, Role of cytokines in inflammatory bowel disease, World J. Gastroenterol. 14 (2008) 4280–4288. https://doi.org/10.3748/wjg.14.4280.</w:t>
      </w:r>
    </w:p>
    <w:p w14:paraId="34276BCC"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[45]</w:t>
      </w:r>
      <w:r w:rsidRPr="00955CB1">
        <w:rPr>
          <w:noProof/>
        </w:rPr>
        <w:tab/>
        <w:t xml:space="preserve">P. Rutgeerts, G. Van Assche, S. Vermeire, Optimizing Anti-TNF treatment </w:t>
      </w:r>
      <w:r w:rsidRPr="00955CB1">
        <w:rPr>
          <w:noProof/>
        </w:rPr>
        <w:lastRenderedPageBreak/>
        <w:t>in inflammatory bowel disease, Gastroenterology. 126 (2004) 1593–1610. https://doi.org/10.1053/j.gastro.2004.02.070.</w:t>
      </w:r>
    </w:p>
    <w:p w14:paraId="675F44E1"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[46]</w:t>
      </w:r>
      <w:r w:rsidRPr="00955CB1">
        <w:rPr>
          <w:noProof/>
        </w:rPr>
        <w:tab/>
        <w:t>L. Xu, P. Lochhead, Y. Ko, B. Claggett, R.W. Leong, A.N. Ananthakrishnan, Systematic review with meta-analysis: breastfeeding and the risk of Crohn’s disease and ulcerative colitis, Aliment. Pharmacol. Ther. 46 (2017) 780–789. https://doi.org/10.1111/apt.14291.</w:t>
      </w:r>
    </w:p>
    <w:p w14:paraId="4CE2486D"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[47]</w:t>
      </w:r>
      <w:r w:rsidRPr="00955CB1">
        <w:rPr>
          <w:noProof/>
        </w:rPr>
        <w:tab/>
        <w:t>L.A. David, C.F. Maurice, R.N. Carmody, D.B. Gootenberg, J.E. Button, B.E. Wolfe, A. V. Ling, A.S. Devlin, Y. Varma, M.A. Fischbach, S.B. Biddinger, R.J. Dutton, P.J. Turnbaugh, Diet rapidly and reproducibly alters the human gut microbiome, Nature. 505 (2014) 559–563. https://doi.org/10.1038/nature12820.</w:t>
      </w:r>
    </w:p>
    <w:p w14:paraId="20014B86"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[48]</w:t>
      </w:r>
      <w:r w:rsidRPr="00955CB1">
        <w:rPr>
          <w:noProof/>
        </w:rPr>
        <w:tab/>
        <w:t>S. Devkota, E.B. Chang, Interactions between diet, bile acid metabolism, gut microbiota, and inflammatory bowel diseases, in: Dig. Dis., S. Karger AG, 2015: pp. 351–356. https://doi.org/10.1159/000371687.</w:t>
      </w:r>
    </w:p>
    <w:p w14:paraId="6CBB29EB"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[49]</w:t>
      </w:r>
      <w:r w:rsidRPr="00955CB1">
        <w:rPr>
          <w:noProof/>
        </w:rPr>
        <w:tab/>
        <w:t>B. Senghor, C. Sokhna, R. Ruimy, J.C. Lagier, Gut microbiota diversity according to dietary habits and geographical provenance, Hum. Microbiome J. 7–8 (2018) 1–9. https://doi.org/10.1016/j.humic.2018.01.001.</w:t>
      </w:r>
    </w:p>
    <w:p w14:paraId="63441F32"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[50]</w:t>
      </w:r>
      <w:r w:rsidRPr="00955CB1">
        <w:rPr>
          <w:noProof/>
        </w:rPr>
        <w:tab/>
        <w:t>G. Rizzo, L. Baroni, Soy, soy foods and their role in vegetarian diets, Nutrients. 10 (2018) 43. https://doi.org/10.3390/nu10010043.</w:t>
      </w:r>
    </w:p>
    <w:p w14:paraId="476DA0B3"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[51]</w:t>
      </w:r>
      <w:r w:rsidRPr="00955CB1">
        <w:rPr>
          <w:noProof/>
        </w:rPr>
        <w:tab/>
        <w:t xml:space="preserve">A. Raffner Basson, A. Gomez-Nguyen, A. LaSalla, L. Buttó, D. Kulpins, A. Warner, L. Di Martino, G. Ponzani, A. Osme, A. Rodriguez-Palacios, F. </w:t>
      </w:r>
      <w:r w:rsidRPr="00955CB1">
        <w:rPr>
          <w:noProof/>
        </w:rPr>
        <w:lastRenderedPageBreak/>
        <w:t>Cominelli, Replacing Animal Protein with Soy-Pea Protein in an “American Diet” Controls Murine Crohn Disease-Like Ileitis Regardless of Firmicutes: Bacteroidetes Ratio, J. Nutr. 151 (2021) 579–590. https://doi.org/10.1093/jn/nxaa386.</w:t>
      </w:r>
    </w:p>
    <w:p w14:paraId="53BABD35"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[52]</w:t>
      </w:r>
      <w:r w:rsidRPr="00955CB1">
        <w:rPr>
          <w:noProof/>
        </w:rPr>
        <w:tab/>
        <w:t>A.F. Juritsch, R. Moreau, Role of soybean-derived bioactive compounds in inflammatory bowel disease, Nutr. Rev. 76 (2018) 618–638. https://doi.org/10.1093/nutrit/nuy021.</w:t>
      </w:r>
    </w:p>
    <w:p w14:paraId="3DF96D5A"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[53]</w:t>
      </w:r>
      <w:r w:rsidRPr="00955CB1">
        <w:rPr>
          <w:noProof/>
        </w:rPr>
        <w:tab/>
        <w:t>E. Lee, E.H. Barnes, S. Mehr, D.E. Campbell, An exploration of factors associated with food protein-induced enterocolitis syndrome: Birth, infant feeding and food triggers, Pediatr. Allergy Immunol. 32 (2021) 742–749. https://doi.org/10.1111/pai.13448.</w:t>
      </w:r>
    </w:p>
    <w:p w14:paraId="24E4DA08"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[54]</w:t>
      </w:r>
      <w:r w:rsidRPr="00955CB1">
        <w:rPr>
          <w:noProof/>
        </w:rPr>
        <w:tab/>
        <w:t>U.S. Food &amp; Drug Administration, Food Allergen Labeling and Consumer Protection Act of 2004 (FALCPA), Food Allergens/Gluten-Free Guid. Doc. Regul. Inf. (2004). https://www.fda.gov/food/food-allergensgluten-free-guidance-documents-regulatory-information/food-allergen-labeling-and-consumer-protection-act-2004-falcpa (accessed June 11, 2021).</w:t>
      </w:r>
    </w:p>
    <w:p w14:paraId="7A8D318E"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[55]</w:t>
      </w:r>
      <w:r w:rsidRPr="00955CB1">
        <w:rPr>
          <w:noProof/>
        </w:rPr>
        <w:tab/>
        <w:t>Centers for Disease Control and Prevention, Food Allergies, Div. Popul. Heal. Natl. Cent. Chronic Dis. Prev. Heal. Promot. (2020). https://www.cdc.gov/healthyschools/foodallergies/ (accessed June 11, 2021).</w:t>
      </w:r>
    </w:p>
    <w:p w14:paraId="15B30DD3"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[56]</w:t>
      </w:r>
      <w:r w:rsidRPr="00955CB1">
        <w:rPr>
          <w:noProof/>
        </w:rPr>
        <w:tab/>
        <w:t xml:space="preserve">C.T. Cordle, Soy Protein Allergy: Incidence and Relative Severity, in: J. Nutr., American Institute of Nutrition, 2004: pp. 1213–1219. </w:t>
      </w:r>
      <w:r w:rsidRPr="00955CB1">
        <w:rPr>
          <w:noProof/>
        </w:rPr>
        <w:lastRenderedPageBreak/>
        <w:t>https://doi.org/10.1093/jn/134.5.1213s.</w:t>
      </w:r>
    </w:p>
    <w:p w14:paraId="1126073C"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[57]</w:t>
      </w:r>
      <w:r w:rsidRPr="00955CB1">
        <w:rPr>
          <w:noProof/>
        </w:rPr>
        <w:tab/>
        <w:t>S. Fernández-Tomé, B. Hernández-Ledesma, Current state of art after twenty years of the discovery of bioactive peptide lunasin, Food Res. Int. 116 (2019) 71–78. https://doi.org/10.1016/j.foodres.2018.12.029.</w:t>
      </w:r>
    </w:p>
    <w:p w14:paraId="7AF04962"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[58]</w:t>
      </w:r>
      <w:r w:rsidRPr="00955CB1">
        <w:rPr>
          <w:noProof/>
        </w:rPr>
        <w:tab/>
        <w:t>L.E. Seber, B.W. Barnett, E.J. McConnell, S.D. Hume, J. Cai, K. Boles, K.R. Davis, Scalable Purification and Characterization of the Anticancer Lunasin Peptide from Soybean, PLoS One. 7 (2012) e35409. https://doi.org/10.1371/journal.pone.0035409.</w:t>
      </w:r>
    </w:p>
    <w:p w14:paraId="6F3C2478"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[59]</w:t>
      </w:r>
      <w:r w:rsidRPr="00955CB1">
        <w:rPr>
          <w:noProof/>
        </w:rPr>
        <w:tab/>
        <w:t>S.B. Vuyyuri, C. Shidal, K.R. Davis, Development of the plant-derived peptide lunasin as an anticancer agent, Curr. Opin. Pharmacol. 41 (2018) 27–33. https://doi.org/10.1016/j.coph.2018.04.006.</w:t>
      </w:r>
    </w:p>
    <w:p w14:paraId="714FF0C6"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[60]</w:t>
      </w:r>
      <w:r w:rsidRPr="00955CB1">
        <w:rPr>
          <w:noProof/>
        </w:rPr>
        <w:tab/>
        <w:t>S. Fernández-Tomé, J. Sanchón, I. Recio, B. Hernández-Ledesma, Transepithelial transport of lunasin and derived peptides: Inhibitory effects on the gastrointestinal cancer cells viability, J. Food Compos. Anal. 68 (2018) 101–110. https://doi.org/10.1016/j.jfca.2017.01.011.</w:t>
      </w:r>
    </w:p>
    <w:p w14:paraId="22D4CC66"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[61]</w:t>
      </w:r>
      <w:r w:rsidRPr="00955CB1">
        <w:rPr>
          <w:noProof/>
        </w:rPr>
        <w:tab/>
        <w:t>C.C. Hsieh, C. Martínez-Villaluenga, B.O. de Lumen, B. Hernández-Ledesma, Updating the research on the chemopreventive and therapeutic role of the peptide lunasin, J. Sci. Food Agric. 98 (2018) 2070–2079. https://doi.org/10.1002/jsfa.8719.</w:t>
      </w:r>
    </w:p>
    <w:p w14:paraId="58B23141"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[62]</w:t>
      </w:r>
      <w:r w:rsidRPr="00955CB1">
        <w:rPr>
          <w:noProof/>
        </w:rPr>
        <w:tab/>
        <w:t xml:space="preserve">E.G. De Mejia, M. Vásconez, B.O. De Lumen, R. Nelson, Lunasin concentration in different soybean genotypes, commercial soy protein, and isoflavone products, J. Agric. Food Chem. 52 (2004) 5882–5887. </w:t>
      </w:r>
      <w:r w:rsidRPr="00955CB1">
        <w:rPr>
          <w:noProof/>
        </w:rPr>
        <w:lastRenderedPageBreak/>
        <w:t>https://doi.org/10.1021/jf0496752.</w:t>
      </w:r>
    </w:p>
    <w:p w14:paraId="47188067"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[63]</w:t>
      </w:r>
      <w:r w:rsidRPr="00955CB1">
        <w:rPr>
          <w:noProof/>
        </w:rPr>
        <w:tab/>
        <w:t>A. Cavazos, E. Morales, V.P. Dia, E.G. De Mejia, Analysis of Lunasin in Commercial and Pilot Plant Produced Soybean Products and an Improved Method of Lunasin Purification, J. Food Sci. 77 (2012). https://doi.org/10.1111/j.1750-3841.2012.02676.x.</w:t>
      </w:r>
    </w:p>
    <w:p w14:paraId="1202B794"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[64]</w:t>
      </w:r>
      <w:r w:rsidRPr="00955CB1">
        <w:rPr>
          <w:noProof/>
        </w:rPr>
        <w:tab/>
        <w:t>H.J. Jeong, J.R. Lee, J.B. Jeong, J.H. Park, Y. Cheong, B.O. de Lumen, The Cancer Preventive Seed Peptide Lunasin From Rye Is Bioavailable and Bioactive, Nutr. Cancer. 61 (2009) 680–686. https://doi.org/10.1080/01635580902850082.</w:t>
      </w:r>
    </w:p>
    <w:p w14:paraId="0D49592C"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[65]</w:t>
      </w:r>
      <w:r w:rsidRPr="00955CB1">
        <w:rPr>
          <w:noProof/>
        </w:rPr>
        <w:tab/>
        <w:t>I. Nakurte, I. Kirhnere, J. Namniece, K. Saleniece, L. Krigere, P. Mekss, Z. Vicupe, M. Bleidere, L. Legzdina, R. Muceniece, Detection of the lunasin peptide in oats (Avena sativa L), J. Cereal Sci. 57 (2013) 319–324. https://doi.org/10.1016/j.jcs.2012.12.008.</w:t>
      </w:r>
    </w:p>
    <w:p w14:paraId="51EEAD7F"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[66]</w:t>
      </w:r>
      <w:r w:rsidRPr="00955CB1">
        <w:rPr>
          <w:noProof/>
        </w:rPr>
        <w:tab/>
        <w:t>M.E. Galbas, F. Porzucek, M. Selwet, A. Nowak, R. Slomski, Lunasin – a bioactive peptide from triticale (X triticosecale wittmack) seeds, inhibits proliferation of cancer HeLa and SK-OV-3 cells, Biotechnologia. 98 (2017) 219–224. https://doi.org/10.5114/bta.2017.70800.</w:t>
      </w:r>
    </w:p>
    <w:p w14:paraId="4C82CA09"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[67]</w:t>
      </w:r>
      <w:r w:rsidRPr="00955CB1">
        <w:rPr>
          <w:noProof/>
        </w:rPr>
        <w:tab/>
        <w:t>H.J. Jeong, J.B. Jeong, C.C. Hsieh, B. Hernández-Ledesma, B.O. de Lumen, Lunasin Is Prevalent in Barley and Is Bioavailable and Bioactive in In Vivo and In Vitro Studies, Nutr. Cancer. 62 (2010) 1113–1119. https://doi.org/10.1080/01635581.2010.515529.</w:t>
      </w:r>
    </w:p>
    <w:p w14:paraId="508DA07F"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[68]</w:t>
      </w:r>
      <w:r w:rsidRPr="00955CB1">
        <w:rPr>
          <w:noProof/>
        </w:rPr>
        <w:tab/>
        <w:t xml:space="preserve">H.J. Jeong, J.B. Jeong, D.S. Kim, J.H. Park, J.B. Lee, D.H. Kweon, G.Y. </w:t>
      </w:r>
      <w:r w:rsidRPr="00955CB1">
        <w:rPr>
          <w:noProof/>
        </w:rPr>
        <w:lastRenderedPageBreak/>
        <w:t>Chung, E.W. Seo, B.O. de Lumen, The cancer preventive peptide lunasin from wheat inhibits core histone acetylation, Cancer Lett. 255 (2007) 42–48. https://doi.org/10.1016/j.canlet.2007.03.022.</w:t>
      </w:r>
    </w:p>
    <w:p w14:paraId="6453112F"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[69]</w:t>
      </w:r>
      <w:r w:rsidRPr="00955CB1">
        <w:rPr>
          <w:noProof/>
        </w:rPr>
        <w:tab/>
        <w:t>J. Boo Jeong, H. Jin Jeong, J.H. Park, S. Hee Lee, J. Rak Lee, H. Kyeong Lee, G. Young Chung, J. Doo Choi, B.O. De Lumen, B.J. Jin, J.J. Hyung, H.P. Jae, H.L. Sun, R.L. Jeong, K.L. Hee, Y.C. Gyu, D.C. Jeong, B.O. De Lumen, Cancer-Preventive Peptide Lunasin from Solanum nigrum L. Inhibits Acetylation of Core Histones H3 and H4 and Phosphorylation of Retinoblastoma Protein (Rb), J. Agric. Food Chem. 55 (2007) 10707–10713. https://doi.org/10.1021/jf072363p.</w:t>
      </w:r>
    </w:p>
    <w:p w14:paraId="61C72B3D" w14:textId="77777777" w:rsidR="00955CB1" w:rsidRPr="00343306" w:rsidRDefault="00955CB1" w:rsidP="00390DD1">
      <w:pPr>
        <w:widowControl w:val="0"/>
        <w:autoSpaceDE w:val="0"/>
        <w:autoSpaceDN w:val="0"/>
        <w:adjustRightInd w:val="0"/>
        <w:spacing w:line="480" w:lineRule="auto"/>
        <w:ind w:left="640" w:hanging="640"/>
        <w:rPr>
          <w:noProof/>
          <w:lang w:val="es-CO"/>
        </w:rPr>
      </w:pPr>
      <w:r w:rsidRPr="00955CB1">
        <w:rPr>
          <w:noProof/>
        </w:rPr>
        <w:t>[70]</w:t>
      </w:r>
      <w:r w:rsidRPr="00955CB1">
        <w:rPr>
          <w:noProof/>
        </w:rPr>
        <w:tab/>
        <w:t xml:space="preserve">G. Ren, Y. Zhu, Z. Shi, J. Li, Detection of lunasin in quinoa ( </w:t>
      </w:r>
      <w:r w:rsidRPr="00955CB1">
        <w:rPr>
          <w:i/>
          <w:iCs/>
          <w:noProof/>
        </w:rPr>
        <w:t>Chenopodium quinoa</w:t>
      </w:r>
      <w:r w:rsidRPr="00955CB1">
        <w:rPr>
          <w:noProof/>
        </w:rPr>
        <w:t xml:space="preserve"> Willd.) and the </w:t>
      </w:r>
      <w:r w:rsidRPr="00955CB1">
        <w:rPr>
          <w:i/>
          <w:iCs/>
          <w:noProof/>
        </w:rPr>
        <w:t>in vitro</w:t>
      </w:r>
      <w:r w:rsidRPr="00955CB1">
        <w:rPr>
          <w:noProof/>
        </w:rPr>
        <w:t xml:space="preserve"> evaluation of its antioxidant and anti-inflammatory activities, J. Sci. </w:t>
      </w:r>
      <w:r w:rsidRPr="00343306">
        <w:rPr>
          <w:noProof/>
          <w:lang w:val="es-CO"/>
        </w:rPr>
        <w:t>Food Agric. 97 (2017) 4110–4116. https://doi.org/10.1002/jsfa.8278.</w:t>
      </w:r>
    </w:p>
    <w:p w14:paraId="30D2A3F8" w14:textId="77777777" w:rsidR="00955CB1" w:rsidRPr="00955CB1" w:rsidRDefault="00955CB1" w:rsidP="00390DD1">
      <w:pPr>
        <w:widowControl w:val="0"/>
        <w:autoSpaceDE w:val="0"/>
        <w:autoSpaceDN w:val="0"/>
        <w:adjustRightInd w:val="0"/>
        <w:spacing w:line="480" w:lineRule="auto"/>
        <w:ind w:left="640" w:hanging="640"/>
        <w:rPr>
          <w:noProof/>
        </w:rPr>
      </w:pPr>
      <w:r w:rsidRPr="00343306">
        <w:rPr>
          <w:noProof/>
          <w:lang w:val="es-CO"/>
        </w:rPr>
        <w:t>[71]</w:t>
      </w:r>
      <w:r w:rsidRPr="00343306">
        <w:rPr>
          <w:noProof/>
          <w:lang w:val="es-CO"/>
        </w:rPr>
        <w:tab/>
        <w:t xml:space="preserve">C. Silva-Sánchez, A.P. Barba De La Rosa, M.F. León-Galván, B.O. De Lumen, A. De León-Rodríguez, E. González De Mejía, Bioactive peptides in amaranth (Amaranthus hypochondriacus) seed, J. Agric. </w:t>
      </w:r>
      <w:r w:rsidRPr="00955CB1">
        <w:rPr>
          <w:noProof/>
        </w:rPr>
        <w:t>Food Chem. 56 (2008) 1233–1240. https://doi.org/10.1021/jf072911z.</w:t>
      </w:r>
    </w:p>
    <w:p w14:paraId="1BE92EA6"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[72]</w:t>
      </w:r>
      <w:r w:rsidRPr="00955CB1">
        <w:rPr>
          <w:noProof/>
        </w:rPr>
        <w:tab/>
        <w:t>J.H. Park, J.B. Jeong, J.R. Lee, B.O. De Lumen, H.J. Jeong, Effect of Lunasin Extracted from Millet (Panicum miliaceum) on the Activity of Histone Acetyltransferases, yGCN5 and p/CAF, Korean J. Plant Res. 22 (2009) 203–208.</w:t>
      </w:r>
    </w:p>
    <w:p w14:paraId="5BAF49B4"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lastRenderedPageBreak/>
        <w:t>[73]</w:t>
      </w:r>
      <w:r w:rsidRPr="00955CB1">
        <w:rPr>
          <w:noProof/>
        </w:rPr>
        <w:tab/>
        <w:t>O.J. Ramos Herrera’, G. Sepulveda Jimenez’’, A. Rosa, L. Laredo4, B. Hernandez-Ledesma2, C.-C. Hsieh3, B. 0 De Lumen3, K.B. Torres4, Identification of chemopreventive peptide lunasin in some lupinus species, in: ’Lupin Crop. - an Oppor. Today, a Promise Futur. Proc. 13th Int. Lupin Conf., Canterbury, New Zealand, 2011: pp. 185–189.</w:t>
      </w:r>
    </w:p>
    <w:p w14:paraId="6EAB6F74"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[74]</w:t>
      </w:r>
      <w:r w:rsidRPr="00955CB1">
        <w:rPr>
          <w:noProof/>
        </w:rPr>
        <w:tab/>
        <w:t>R.A.C. Mitchell, A. Lovegrove, P.R. Shewry, Lunasin in cereal seeds: What is the origin?, J. Cereal Sci. 57 (2013) 267–269. https://doi.org/10.1016/j.jcs.2013.01.013.</w:t>
      </w:r>
    </w:p>
    <w:p w14:paraId="41DFB904"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[75]</w:t>
      </w:r>
      <w:r w:rsidRPr="00955CB1">
        <w:rPr>
          <w:noProof/>
        </w:rPr>
        <w:tab/>
        <w:t>G. Dinelli, V. Bregola, S. Bosi, J. Fiori, R. Gotti, E. Simonetti, C. Trozzi, E. Leoncini, C. Prata, L. Massaccesi, M. Malaguti, R. Quinn, S. Hrelia, Lunasin in wheat: A chemical and molecular study on its presence or absence, Food Chem. 151 (2014) 520–525. https://doi.org/10.1016/j.foodchem.2013.11.119.</w:t>
      </w:r>
    </w:p>
    <w:p w14:paraId="3EC99C4E"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[76]</w:t>
      </w:r>
      <w:r w:rsidRPr="00955CB1">
        <w:rPr>
          <w:noProof/>
        </w:rPr>
        <w:tab/>
        <w:t>A.A. Alaswad, H.B. Krishnan, Immunological Investigation for the Presence of Lunasin, a Chemopreventive Soybean Peptide, in the Seeds of Diverse Plants, J. Agric. Food Chem. 64 (2016) 2901–2909. https://doi.org/10.1021/acs.jafc.6b00445.</w:t>
      </w:r>
    </w:p>
    <w:p w14:paraId="577E2B9C"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[77]</w:t>
      </w:r>
      <w:r w:rsidRPr="00955CB1">
        <w:rPr>
          <w:noProof/>
        </w:rPr>
        <w:tab/>
        <w:t>H.J. Jeong, J.H. Park, Y. Lam, B.O. De Lumen, Characterization of Lunasin Isolated from Soybean, J. Agric. Food Chem. 51 (2003) 7901–7906. https://doi.org/10.1021/jf034460y.</w:t>
      </w:r>
    </w:p>
    <w:p w14:paraId="1E5BE042"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[78]</w:t>
      </w:r>
      <w:r w:rsidRPr="00955CB1">
        <w:rPr>
          <w:noProof/>
        </w:rPr>
        <w:tab/>
        <w:t xml:space="preserve">V.P. Dia, W. Wang, V.L. Oh, B.O. De Lumen, E.G. De Mejia, Isolation, purification and characterisation of lunasin from defatted soybean flour and </w:t>
      </w:r>
      <w:r w:rsidRPr="00955CB1">
        <w:rPr>
          <w:noProof/>
        </w:rPr>
        <w:lastRenderedPageBreak/>
        <w:t>in vitro evaluation of its anti-inflammatory activity, Food Chem. 114 (2009) 108–115. https://doi.org/10.1016/j.foodchem.2008.09.023.</w:t>
      </w:r>
    </w:p>
    <w:p w14:paraId="45B6FC9F"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[79]</w:t>
      </w:r>
      <w:r w:rsidRPr="00955CB1">
        <w:rPr>
          <w:noProof/>
        </w:rPr>
        <w:tab/>
        <w:t>Y. Lam, A. Galvez, B.O. De Lumen, Lunasin</w:t>
      </w:r>
      <w:r w:rsidRPr="00955CB1">
        <w:rPr>
          <w:noProof/>
          <w:vertAlign w:val="superscript"/>
        </w:rPr>
        <w:t>TM</w:t>
      </w:r>
      <w:r w:rsidRPr="00955CB1">
        <w:rPr>
          <w:noProof/>
        </w:rPr>
        <w:t xml:space="preserve"> Suppresses E1A-Mediated Transformation of Mammalian Cells but Does Not Inhibit Growth of Immortalized and Established Cancer Cell Lines, Nutr. Cancer. 47 (2003) 88–94. https://doi.org/10.1207/s15327914nc4701_11.</w:t>
      </w:r>
    </w:p>
    <w:p w14:paraId="180645E4"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[80]</w:t>
      </w:r>
      <w:r w:rsidRPr="00955CB1">
        <w:rPr>
          <w:noProof/>
        </w:rPr>
        <w:tab/>
        <w:t>A.F. Galvez, N. Chen, J. Macasieb, B.O. De Lumen, Chemopreventive Property of a Soybean Peptide (Lunasin) That Binds to Deacetylated Histones and Inhibits Acetylation 1, Cancer Res. 61 (2001) 7473–7478.</w:t>
      </w:r>
    </w:p>
    <w:p w14:paraId="43B40568"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[81]</w:t>
      </w:r>
      <w:r w:rsidRPr="00955CB1">
        <w:rPr>
          <w:noProof/>
        </w:rPr>
        <w:tab/>
        <w:t>H.J. Jeong, Y.I. Lam, B.O. De Lumen, Barley Lunasin Suppresses ras-Induced Colony Formation and Inhibits Core Histone Acetylation in Mammalian Cells, J. Agric. Food Chem. 50 (2002) 5903–5908. https://doi.org/10.1021/jf0256945.</w:t>
      </w:r>
    </w:p>
    <w:p w14:paraId="6C404EDB"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[82]</w:t>
      </w:r>
      <w:r w:rsidRPr="00955CB1">
        <w:rPr>
          <w:noProof/>
        </w:rPr>
        <w:tab/>
        <w:t>C.C. Hsieh, B. Hernández-Ledesma, B.O. de Lumen, Lunasin-Aspirin Combination Against NIH/3T3 Cells Transformation Induced by Chemical Carcinogens, Plant Foods Hum. Nutr. 66 (2011) 107–113. https://doi.org/10.1007/s11130-011-0229-1.</w:t>
      </w:r>
    </w:p>
    <w:p w14:paraId="7A1E0CDC"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[83]</w:t>
      </w:r>
      <w:r w:rsidRPr="00955CB1">
        <w:rPr>
          <w:noProof/>
        </w:rPr>
        <w:tab/>
        <w:t>E. Gonzalez de Mejia, W. Wang, V.P. Dia, Lunasin, with an arginine-glycine-aspartic acid motif, causes apoptosis to L1210 leukemia cells by activation of caspase-3, Mol. Nutr. Food Res. 54 (2010) 406–414. https://doi.org/10.1002/mnfr.200900073.</w:t>
      </w:r>
    </w:p>
    <w:p w14:paraId="6DE043F0"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[84]</w:t>
      </w:r>
      <w:r w:rsidRPr="00955CB1">
        <w:rPr>
          <w:noProof/>
        </w:rPr>
        <w:tab/>
        <w:t xml:space="preserve">V.P. Dia, E.G. de Mejia, Lunasin promotes apoptosis in human colon </w:t>
      </w:r>
      <w:r w:rsidRPr="00955CB1">
        <w:rPr>
          <w:noProof/>
        </w:rPr>
        <w:lastRenderedPageBreak/>
        <w:t>cancer cells by mitochondrial pathway activation and induction of nuclear clusterin expression, Cancer Lett. 295 (2010) 44–53. https://doi.org/10.1016/j.canlet.2010.02.010.</w:t>
      </w:r>
    </w:p>
    <w:p w14:paraId="4F9B3D4E"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[85]</w:t>
      </w:r>
      <w:r w:rsidRPr="00955CB1">
        <w:rPr>
          <w:noProof/>
        </w:rPr>
        <w:tab/>
        <w:t>V.P. Dia, E.G. De Mejia, Lunasin induces apoptosis and modifies the expression of genes associated with extracellular matrix and cell adhesion in human metastatic colon cancer cells, Mol. Nutr. Food Res. 55 (2011) 623–634. https://doi.org/10.1002/mnfr.201000419.</w:t>
      </w:r>
    </w:p>
    <w:p w14:paraId="118BC190"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[86]</w:t>
      </w:r>
      <w:r w:rsidRPr="00955CB1">
        <w:rPr>
          <w:noProof/>
        </w:rPr>
        <w:tab/>
        <w:t>S. Fernández-tomé, F. Xu, Y. Han, B. Hernández-ledesma, H. Xiao, Inhibitory effects of peptide lunasin in colorectal cancer hct-116 cells and their tumorsphere- derived subpopulation, Int. J. Mol. Sci. 21 (2020). https://doi.org/10.3390/ijms21020537.</w:t>
      </w:r>
    </w:p>
    <w:p w14:paraId="398D7E31"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[87]</w:t>
      </w:r>
      <w:r w:rsidRPr="00955CB1">
        <w:rPr>
          <w:noProof/>
        </w:rPr>
        <w:tab/>
        <w:t>J.M.P. Pabona, B. Dave, Y. Su, M.T.E. Montales, B.O. De Lumen, E.G. De Mejia, O.M. Rahal, R.C.M. Simmen, The soybean peptide lunasin promotes apoptosis of mammary epithelial cells via induction of tumor suppressor PTEN: Similarities and distinct actions from soy isoflavone genistein, Genes Nutr. 8 (2013) 79–90. https://doi.org/10.1007/s12263-012-0307-5.</w:t>
      </w:r>
    </w:p>
    <w:p w14:paraId="042EDF38"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[88]</w:t>
      </w:r>
      <w:r w:rsidRPr="00955CB1">
        <w:rPr>
          <w:noProof/>
        </w:rPr>
        <w:tab/>
        <w:t>C. Shidal, N. Al-Rayyan, K. Yaddanapudi, K.R. Davis, Lunasin is a novel therapeutic agent for targeting melanoma cancer stem cells, Oncotarget. 7 (2016) 84128–84141. https://doi.org/10.18632/oncotarget.11554.</w:t>
      </w:r>
    </w:p>
    <w:p w14:paraId="15360A6A"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[89]</w:t>
      </w:r>
      <w:r w:rsidRPr="00955CB1">
        <w:rPr>
          <w:noProof/>
        </w:rPr>
        <w:tab/>
        <w:t xml:space="preserve">C. Shidal, J.I. Inaba, K. Yaddanapudi, K.R. Davis, The soy-derived peptide Lunasin inhibits invasive potential of melanoma initiating cells, Oncotarget. </w:t>
      </w:r>
      <w:r w:rsidRPr="00955CB1">
        <w:rPr>
          <w:noProof/>
        </w:rPr>
        <w:lastRenderedPageBreak/>
        <w:t>8 (2017) 25525–25541. https://doi.org/10.18632/oncotarget.16066.</w:t>
      </w:r>
    </w:p>
    <w:p w14:paraId="553A3848"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[90]</w:t>
      </w:r>
      <w:r w:rsidRPr="00955CB1">
        <w:rPr>
          <w:noProof/>
        </w:rPr>
        <w:tab/>
        <w:t>E.J. McConnell, B. Devapatla, K. Yaddanapudi, K.R. Davis, The soybean-derived peptide lunasin inhibits non-small cell lung cancer cell proliferation by suppressing phosphorylation of the retinoblastoma protein, Oncotarget. 6 (2015) 4649–4662. https://doi.org/10.18632/oncotarget.3080.</w:t>
      </w:r>
    </w:p>
    <w:p w14:paraId="358E0FB4"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[91]</w:t>
      </w:r>
      <w:r w:rsidRPr="00955CB1">
        <w:rPr>
          <w:noProof/>
        </w:rPr>
        <w:tab/>
        <w:t>C.C. Hsieh, B. Hernández-Ledesma, B.O. De Lumen, Soybean Peptide Lunasin Suppresses In Vitro and In Vivo 7,12-Dimethylbenz[a]anthracene-Induced Tumorigenesis, J. Food Sci. 75 (2010) H311–H316. https://doi.org/10.1111/j.1750-3841.2010.01861.x.</w:t>
      </w:r>
    </w:p>
    <w:p w14:paraId="25FD354C"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[92]</w:t>
      </w:r>
      <w:r w:rsidRPr="00955CB1">
        <w:rPr>
          <w:noProof/>
        </w:rPr>
        <w:tab/>
        <w:t>E.G. de Mejia, V.P. Dia, Lunasin and lunasin-like peptides inhibit inflammation through suppression of NF-κB pathway in the macrophage, Peptides. 30 (2009) 2388–2398. https://doi.org/10.1016/j.peptides.2009.08.005.</w:t>
      </w:r>
    </w:p>
    <w:p w14:paraId="7DF27454"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[93]</w:t>
      </w:r>
      <w:r w:rsidRPr="00955CB1">
        <w:rPr>
          <w:noProof/>
        </w:rPr>
        <w:tab/>
        <w:t>A. Cam, E.G. de Mejia, RGD-peptide lunasin inhibits Akt-mediated NF-κB activation in human macrophages through interaction with the αVβ3 integrin, Mol. Nutr. Food Res. 56 (2012) 1569–1581. https://doi.org/10.1002/mnfr.201200301.</w:t>
      </w:r>
    </w:p>
    <w:p w14:paraId="5965C4E8"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[94]</w:t>
      </w:r>
      <w:r w:rsidRPr="00955CB1">
        <w:rPr>
          <w:noProof/>
        </w:rPr>
        <w:tab/>
        <w:t>A. Cam, M. Sivaguru, E. Gonzalez de Mejia, Endocytic Mechanism of Internalization of Dietary Peptide Lunasin into Macrophages in Inflammatory Condition Associated with Cardiovascular Disease, PLoS One. 8 (2013) e72115. https://doi.org/10.1371/journal.pone.0072115.</w:t>
      </w:r>
    </w:p>
    <w:p w14:paraId="303FE501"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[95]</w:t>
      </w:r>
      <w:r w:rsidRPr="00955CB1">
        <w:rPr>
          <w:noProof/>
        </w:rPr>
        <w:tab/>
        <w:t xml:space="preserve">S. Jia, S. Zhang, H. Yuan, N. Chen, Lunasin inhibits cell proliferation via </w:t>
      </w:r>
      <w:r w:rsidRPr="00955CB1">
        <w:rPr>
          <w:noProof/>
        </w:rPr>
        <w:lastRenderedPageBreak/>
        <w:t>apoptosis and reduces the production of proinflammatory cytokines in cultured rheumatoid arthritis synovial fibroblasts, Biomed Res. Int. 2015 (2015). https://doi.org/10.1155/2015/346839.</w:t>
      </w:r>
    </w:p>
    <w:p w14:paraId="1E412059"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[96]</w:t>
      </w:r>
      <w:r w:rsidRPr="00955CB1">
        <w:rPr>
          <w:noProof/>
        </w:rPr>
        <w:tab/>
        <w:t>W. Dai, Z. Liang, H. Liu, G. Zhao, C. Ju, Lunasin abrogates the expression of matrix metalloproteinases and reduction of type II collagen, Artif. Cells, Nanomedicine Biotechnol. 47 (2019) 3259–3264. https://doi.org/10.1080/21691401.2019.1623227.</w:t>
      </w:r>
    </w:p>
    <w:p w14:paraId="4382A6A9"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[97]</w:t>
      </w:r>
      <w:r w:rsidRPr="00955CB1">
        <w:rPr>
          <w:noProof/>
        </w:rPr>
        <w:tab/>
        <w:t>C.C. Hsieh, Y.F. Wang, P.Y. Lin, S.H. Peng, M.J. Chou, Seed peptide lunasin ameliorates obesity-induced inflammation and regulates immune responses in C57BL/6J mice fed high-fat diet, Food Chem. Toxicol. 147 (2021) 111908. https://doi.org/10.1016/j.fct.2020.111908.</w:t>
      </w:r>
    </w:p>
    <w:p w14:paraId="0640814E"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[98]</w:t>
      </w:r>
      <w:r w:rsidRPr="00955CB1">
        <w:rPr>
          <w:noProof/>
        </w:rPr>
        <w:tab/>
        <w:t>X. Yang, J. Zhu, C.Y. Tung, G. Gardiner, Q. Wang, H.C. Chang, B. Zhou, Lunasin alleviates allergic airway inflammation while increases antigen-specific Tregs, PLoS One. 10 (2015) e0115330. https://doi.org/10.1371/journal.pone.0115330.</w:t>
      </w:r>
    </w:p>
    <w:p w14:paraId="73AD53FE"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[99]</w:t>
      </w:r>
      <w:r w:rsidRPr="00955CB1">
        <w:rPr>
          <w:noProof/>
        </w:rPr>
        <w:tab/>
        <w:t>B. Hernández-Ledesma, C.C. Hsieh, B.O. de Lumen, Antioxidant and anti-inflammatory properties of cancer preventive peptide lunasin in RAW 264.7 macrophages, Biochem. Biophys. Res. Commun. 390 (2009) 803–808. https://doi.org/10.1016/j.bbrc.2009.10.053.</w:t>
      </w:r>
    </w:p>
    <w:p w14:paraId="5B7C1C20"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[100]</w:t>
      </w:r>
      <w:r w:rsidRPr="00955CB1">
        <w:rPr>
          <w:noProof/>
        </w:rPr>
        <w:tab/>
        <w:t xml:space="preserve">M.J. García-Nebot, I. Recio, B. Hernández-Ledesma, Antioxidant activity and protective effects of peptide lunasin against oxidative stress in intestinal Caco-2 cells, Food Chem. Toxicol. 65 (2014) 155–161. </w:t>
      </w:r>
      <w:r w:rsidRPr="00955CB1">
        <w:rPr>
          <w:noProof/>
        </w:rPr>
        <w:lastRenderedPageBreak/>
        <w:t>https://doi.org/10.1016/j.fct.2013.12.021.</w:t>
      </w:r>
    </w:p>
    <w:p w14:paraId="434FE459"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[101]</w:t>
      </w:r>
      <w:r w:rsidRPr="00955CB1">
        <w:rPr>
          <w:noProof/>
        </w:rPr>
        <w:tab/>
        <w:t>H.P. Jae, J.J. Hyung, B.O. De Lumen, In vitro digestibility of the cancer-preventive soy peptides lunasin and BBI, J. Agric. Food Chem. 55 (2007) 10703–10706. https://doi.org/10.1021/jf072107c.</w:t>
      </w:r>
    </w:p>
    <w:p w14:paraId="6AF7F34F"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[102]</w:t>
      </w:r>
      <w:r w:rsidRPr="00955CB1">
        <w:rPr>
          <w:noProof/>
        </w:rPr>
        <w:tab/>
        <w:t>C.C. Hsieh, B. Hernández-Ledesma, H.J. Jeong, J.H. Park, B.O. De Lumen, Complementary roles in cancer prevention: Protease inhibitor makes the cancer preventive peptide Lunasin bioavailable, PLoS One. 5 (2010). https://doi.org/10.1371/journal.pone.0008890.</w:t>
      </w:r>
    </w:p>
    <w:p w14:paraId="453E1AC1"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[103]</w:t>
      </w:r>
      <w:r w:rsidRPr="00955CB1">
        <w:rPr>
          <w:noProof/>
        </w:rPr>
        <w:tab/>
        <w:t>S.J. Price, P. Pangloli, H.B. Krishnan, V.P. Dia, Kunitz trypsin inhibitor in addition to Bowman-Birk inhibitor influence stability of lunasin against pepsin-pancreatin hydrolysis, Food Res. Int. 90 (2016) 205–215. https://doi.org/10.1016/j.foodres.2016.10.051.</w:t>
      </w:r>
    </w:p>
    <w:p w14:paraId="7A953E18"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[104]</w:t>
      </w:r>
      <w:r w:rsidRPr="00955CB1">
        <w:rPr>
          <w:noProof/>
        </w:rPr>
        <w:tab/>
        <w:t>F. Jamal, P.K. Pandey, D. Singh, M.Y. Khan, Serine protease inhibitors in plants: Nature’s arsenal crafted for insect predators, Phytochem. Rev. 12 (2013) 1–34. https://doi.org/10.1007/s11101-012-9231-y.</w:t>
      </w:r>
    </w:p>
    <w:p w14:paraId="4A7C12B5"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[105]</w:t>
      </w:r>
      <w:r w:rsidRPr="00955CB1">
        <w:rPr>
          <w:noProof/>
        </w:rPr>
        <w:tab/>
        <w:t>V.P. Dia, S. Torres, B.O. De Lumen, J.W. Erdman, E. Gonzalez De Mejia, E.G. De Mejia, Presence of Lunasin in Plasma of Men after Soy Protein Consumption, J. Agric. Food Chem. 57 (2009) 1260–1266. https://doi.org/10.1021/jf803303k.</w:t>
      </w:r>
    </w:p>
    <w:p w14:paraId="14E68A7D"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[106]</w:t>
      </w:r>
      <w:r w:rsidRPr="00955CB1">
        <w:rPr>
          <w:noProof/>
        </w:rPr>
        <w:tab/>
        <w:t xml:space="preserve">E. Cruz-Huerta, S. Fernández-Tomé, M.C. Arques, L. Amigo, I. Recio, A. Clemente, B. Hernández-Ledesma, The protective role of the Bowman-Birk protease inhibitor in soybean lunasin digestion: The effect of released </w:t>
      </w:r>
      <w:r w:rsidRPr="00955CB1">
        <w:rPr>
          <w:noProof/>
        </w:rPr>
        <w:lastRenderedPageBreak/>
        <w:t>peptides on colon cancer growth, Food Funct. 6 (2015) 2626–2635. https://doi.org/10.1039/c5fo00454c.</w:t>
      </w:r>
    </w:p>
    <w:p w14:paraId="6B5BA3FE"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[107]</w:t>
      </w:r>
      <w:r w:rsidRPr="00955CB1">
        <w:rPr>
          <w:noProof/>
        </w:rPr>
        <w:tab/>
        <w:t>P. Indiano-Romacho, S. Fernández-Tomé, L. Amigo, B. Hernández-Ledesma, Multifunctionality of lunasin and peptides released during its simulated gastrointestinal digestion, Food Res. Int. 125 (2019). https://doi.org/10.1016/j.foodres.2019.108513.</w:t>
      </w:r>
    </w:p>
    <w:p w14:paraId="35AF2529"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[108]</w:t>
      </w:r>
      <w:r w:rsidRPr="00955CB1">
        <w:rPr>
          <w:noProof/>
        </w:rPr>
        <w:tab/>
        <w:t>M. González-Montoya, B. Hernández-Ledesma, J.M. Silván, R. Mora-Escobedo, C. Martínez-Villaluenga, Peptides derived from in vitro gastrointestinal digestion of germinated soybean proteins inhibit human colon cancer cells proliferation and inflammation, Food Chem. 242 (2018) 75–82. https://doi.org/10.1016/j.foodchem.2017.09.035.</w:t>
      </w:r>
    </w:p>
    <w:p w14:paraId="1B31604D"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[109]</w:t>
      </w:r>
      <w:r w:rsidRPr="00955CB1">
        <w:rPr>
          <w:noProof/>
        </w:rPr>
        <w:tab/>
        <w:t>V.P. Dia, E. Gonzalez de Mejia, Lunasin potentiates the effect of oxaliplatin preventing outgrowth of colon cancer metastasis, binds to α 5β 1 integrin and suppresses FAK/ERK/NF-κB signaling, Cancer Lett. 313 (2011) 167–180. https://doi.org/10.1016/j.canlet.2011.09.002.</w:t>
      </w:r>
    </w:p>
    <w:p w14:paraId="50482B9C"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[110]</w:t>
      </w:r>
      <w:r w:rsidRPr="00955CB1">
        <w:rPr>
          <w:noProof/>
        </w:rPr>
        <w:tab/>
        <w:t>V.P. Dia, E.G. de Mejia, Potential of Lunasin Orally-Administered in Comparison to Intraperitoneal Injection to Inhibit Colon Cancer Metastasis &amp;lt;i&amp;gt;in Vivo&amp;lt;/i&amp;gt;, J. Cancer Ther. 04 (2013) 34–43. https://doi.org/10.4236/jct.2013.46a2005.</w:t>
      </w:r>
    </w:p>
    <w:p w14:paraId="7BBDDE01"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[111]</w:t>
      </w:r>
      <w:r w:rsidRPr="00955CB1">
        <w:rPr>
          <w:noProof/>
        </w:rPr>
        <w:tab/>
        <w:t>S. Fernández</w:t>
      </w:r>
      <w:r w:rsidRPr="00955CB1">
        <w:rPr>
          <w:rFonts w:ascii="Cambria Math" w:hAnsi="Cambria Math" w:cs="Cambria Math"/>
          <w:noProof/>
        </w:rPr>
        <w:t>‐</w:t>
      </w:r>
      <w:r w:rsidRPr="00955CB1">
        <w:rPr>
          <w:noProof/>
        </w:rPr>
        <w:t>Tomé, P. Indiano</w:t>
      </w:r>
      <w:r w:rsidRPr="00955CB1">
        <w:rPr>
          <w:rFonts w:ascii="Cambria Math" w:hAnsi="Cambria Math" w:cs="Cambria Math"/>
          <w:noProof/>
        </w:rPr>
        <w:t>‐</w:t>
      </w:r>
      <w:r w:rsidRPr="00955CB1">
        <w:rPr>
          <w:noProof/>
        </w:rPr>
        <w:t>Romacho, I. Mora</w:t>
      </w:r>
      <w:r w:rsidRPr="00955CB1">
        <w:rPr>
          <w:rFonts w:ascii="Cambria Math" w:hAnsi="Cambria Math" w:cs="Cambria Math"/>
          <w:noProof/>
        </w:rPr>
        <w:t>‐</w:t>
      </w:r>
      <w:r w:rsidRPr="00955CB1">
        <w:rPr>
          <w:noProof/>
        </w:rPr>
        <w:t>Gutiérrez, L. Pérez</w:t>
      </w:r>
      <w:r w:rsidRPr="00955CB1">
        <w:rPr>
          <w:rFonts w:ascii="Cambria Math" w:hAnsi="Cambria Math" w:cs="Cambria Math"/>
          <w:noProof/>
        </w:rPr>
        <w:t>‐</w:t>
      </w:r>
      <w:r w:rsidRPr="00955CB1">
        <w:rPr>
          <w:noProof/>
        </w:rPr>
        <w:t>Rodríguez, L.O. Moreno, A.C. Marin, M. Baldán</w:t>
      </w:r>
      <w:r w:rsidRPr="00955CB1">
        <w:rPr>
          <w:rFonts w:ascii="Cambria Math" w:hAnsi="Cambria Math" w:cs="Cambria Math"/>
          <w:noProof/>
        </w:rPr>
        <w:t>‐</w:t>
      </w:r>
      <w:r w:rsidRPr="00955CB1">
        <w:rPr>
          <w:noProof/>
        </w:rPr>
        <w:t>Martín, J.A. Moreno</w:t>
      </w:r>
      <w:r w:rsidRPr="00955CB1">
        <w:rPr>
          <w:rFonts w:ascii="Cambria Math" w:hAnsi="Cambria Math" w:cs="Cambria Math"/>
          <w:noProof/>
        </w:rPr>
        <w:t>‐</w:t>
      </w:r>
      <w:r w:rsidRPr="00955CB1">
        <w:rPr>
          <w:noProof/>
        </w:rPr>
        <w:t>Monteagudo, C. Santander, M. Chaparro, B. Hernández</w:t>
      </w:r>
      <w:r w:rsidRPr="00955CB1">
        <w:rPr>
          <w:rFonts w:ascii="Cambria Math" w:hAnsi="Cambria Math" w:cs="Cambria Math"/>
          <w:noProof/>
        </w:rPr>
        <w:t>‐</w:t>
      </w:r>
      <w:r w:rsidRPr="00955CB1">
        <w:rPr>
          <w:noProof/>
        </w:rPr>
        <w:t xml:space="preserve">Ledesma, J.P. </w:t>
      </w:r>
      <w:r w:rsidRPr="00955CB1">
        <w:rPr>
          <w:noProof/>
        </w:rPr>
        <w:lastRenderedPageBreak/>
        <w:t>Gisbert, D. Bernardo, Lunasin Peptide is a Modulator of the Immune Response in the Human Gastrointestinal Tract, Mol. Nutr. Food Res. (2021) 2001034. https://doi.org/10.1002/mnfr.202001034.</w:t>
      </w:r>
    </w:p>
    <w:p w14:paraId="3DFAC081"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[112]</w:t>
      </w:r>
      <w:r w:rsidRPr="00955CB1">
        <w:rPr>
          <w:noProof/>
        </w:rPr>
        <w:tab/>
        <w:t>H.B. Krishnan, T.T.Y. Wang, An effective and simple procedure to isolate abundant quantities of biologically active chemopreventive Lunasin Protease Inhibitor Concentrate (LPIC) from soybean, Food Chem. 177 (2015) 120–126. https://doi.org/10.1016/j.foodchem.2015.01.006.</w:t>
      </w:r>
    </w:p>
    <w:p w14:paraId="57B7DD51"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[113]</w:t>
      </w:r>
      <w:r w:rsidRPr="00955CB1">
        <w:rPr>
          <w:noProof/>
        </w:rPr>
        <w:tab/>
        <w:t>A. Nieto-Veloza, Z. Wang, D. D’Souza, H.B. Krishnan, Q. Zhong, V.P. Dia, Lunasin protease inhibitor concentrate decreases pro-inflammatory cytokines and improves histopathological markers in dextran sodium sulfate-induced ulcerative colitis, Food Sci. Hum. Wellness. (n.d.).</w:t>
      </w:r>
    </w:p>
    <w:p w14:paraId="43B25F11"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[114]</w:t>
      </w:r>
      <w:r w:rsidRPr="00955CB1">
        <w:rPr>
          <w:noProof/>
        </w:rPr>
        <w:tab/>
        <w:t>L.D. Jones, P. Pangloli, H.B. Krishnan, V.P. Dia, BG-4, a novel bioactive peptide from momordica charantia, inhibits lipopolysaccharide-induced inflammation in THP-1 human macrophages, Phytomedicine. 42 (2018) 226–232. https://doi.org/10.1016/j.phymed.2018.03.047.</w:t>
      </w:r>
    </w:p>
    <w:p w14:paraId="2CF5E592" w14:textId="77777777" w:rsidR="00955CB1" w:rsidRPr="00955CB1" w:rsidRDefault="00955CB1" w:rsidP="00390DD1">
      <w:pPr>
        <w:widowControl w:val="0"/>
        <w:autoSpaceDE w:val="0"/>
        <w:autoSpaceDN w:val="0"/>
        <w:adjustRightInd w:val="0"/>
        <w:spacing w:line="480" w:lineRule="auto"/>
        <w:ind w:left="640" w:hanging="640"/>
        <w:rPr>
          <w:noProof/>
        </w:rPr>
      </w:pPr>
      <w:r w:rsidRPr="00955CB1">
        <w:rPr>
          <w:noProof/>
        </w:rPr>
        <w:t>[115]</w:t>
      </w:r>
      <w:r w:rsidRPr="00955CB1">
        <w:rPr>
          <w:noProof/>
        </w:rPr>
        <w:tab/>
        <w:t>A. Nieto-Veloza, Z. Wang, Q. Zhong, H.B. Krishnan, V.P. Dia, BG-4 from Bitter Gourd (Momordica charantia) Differentially Affects Inflammation In Vitro and In Vivo, Antioxidants. 8 (2019) 175. https://doi.org/10.3390/antiox8060175.</w:t>
      </w:r>
    </w:p>
    <w:p w14:paraId="7074D612" w14:textId="60558D91" w:rsidR="00955CB1" w:rsidRDefault="00955CB1" w:rsidP="00390DD1">
      <w:pPr>
        <w:widowControl w:val="0"/>
        <w:autoSpaceDE w:val="0"/>
        <w:autoSpaceDN w:val="0"/>
        <w:adjustRightInd w:val="0"/>
        <w:spacing w:line="480" w:lineRule="auto"/>
        <w:ind w:left="640" w:hanging="640"/>
        <w:rPr>
          <w:noProof/>
        </w:rPr>
      </w:pPr>
      <w:r w:rsidRPr="00955CB1">
        <w:rPr>
          <w:noProof/>
        </w:rPr>
        <w:t>[116]</w:t>
      </w:r>
      <w:r w:rsidRPr="00955CB1">
        <w:rPr>
          <w:noProof/>
        </w:rPr>
        <w:tab/>
        <w:t>V.P. Dia, H.B. Krishnan, BG-4, a novel anticancer peptide from bitter gourd (Momordica charantia), promotes apoptosis in human colon cancer cells, Sci. Rep. 6 (2016) 1–12. https://doi.org/10.1038/srep33532.</w:t>
      </w:r>
    </w:p>
    <w:p w14:paraId="17D613AA" w14:textId="23304A06" w:rsidR="006041AB" w:rsidRPr="004635FE" w:rsidRDefault="006041AB" w:rsidP="004635FE">
      <w:pPr>
        <w:widowControl w:val="0"/>
        <w:autoSpaceDE w:val="0"/>
        <w:autoSpaceDN w:val="0"/>
        <w:adjustRightInd w:val="0"/>
        <w:spacing w:line="480" w:lineRule="auto"/>
        <w:ind w:left="640" w:hanging="640"/>
        <w:rPr>
          <w:noProof/>
        </w:rPr>
      </w:pPr>
      <w:r w:rsidRPr="004635FE">
        <w:rPr>
          <w:noProof/>
        </w:rPr>
        <w:lastRenderedPageBreak/>
        <w:t>[1</w:t>
      </w:r>
      <w:r>
        <w:rPr>
          <w:noProof/>
        </w:rPr>
        <w:t>17</w:t>
      </w:r>
      <w:r w:rsidRPr="004635FE">
        <w:rPr>
          <w:noProof/>
        </w:rPr>
        <w:t>]</w:t>
      </w:r>
      <w:r w:rsidRPr="004635FE">
        <w:rPr>
          <w:noProof/>
        </w:rPr>
        <w:tab/>
        <w:t>D. A. Martin, B. W. Bolling, A review of the efficacy of dietary polyphenols in experimental models of inflammatory bowel diseases, Food Funct. 6 (2015) 1773–1786. https://doi.org/10.1039/C5FO00202H.</w:t>
      </w:r>
    </w:p>
    <w:p w14:paraId="0ABD0E65" w14:textId="5EDFA3A2" w:rsidR="006041AB" w:rsidRPr="004635FE" w:rsidRDefault="006041AB" w:rsidP="004635FE">
      <w:pPr>
        <w:widowControl w:val="0"/>
        <w:autoSpaceDE w:val="0"/>
        <w:autoSpaceDN w:val="0"/>
        <w:adjustRightInd w:val="0"/>
        <w:spacing w:line="480" w:lineRule="auto"/>
        <w:ind w:left="640" w:hanging="640"/>
        <w:rPr>
          <w:noProof/>
        </w:rPr>
      </w:pPr>
      <w:r w:rsidRPr="004635FE">
        <w:rPr>
          <w:noProof/>
        </w:rPr>
        <w:t>[</w:t>
      </w:r>
      <w:r>
        <w:rPr>
          <w:noProof/>
        </w:rPr>
        <w:t>118</w:t>
      </w:r>
      <w:r w:rsidRPr="004635FE">
        <w:rPr>
          <w:noProof/>
        </w:rPr>
        <w:t>]</w:t>
      </w:r>
      <w:r w:rsidRPr="004635FE">
        <w:rPr>
          <w:noProof/>
        </w:rPr>
        <w:tab/>
        <w:t>M. H. Farzaei, R. Rahimi, M. Abdollahi, The Role of Dietary Polyphenols in the Management of Inflammatory Bowel Disease, Curr. Pharm. Biotechnol. 16 (2015) 196–210.</w:t>
      </w:r>
    </w:p>
    <w:p w14:paraId="4D24CCEA" w14:textId="3FE110F5" w:rsidR="006041AB" w:rsidRDefault="006041AB">
      <w:pPr>
        <w:rPr>
          <w:noProof/>
        </w:rPr>
      </w:pPr>
      <w:r>
        <w:rPr>
          <w:noProof/>
        </w:rPr>
        <w:br w:type="page"/>
      </w:r>
    </w:p>
    <w:p w14:paraId="76882F89" w14:textId="1A46F095" w:rsidR="00425921" w:rsidRDefault="00425921" w:rsidP="00A830E9">
      <w:pPr>
        <w:pStyle w:val="Heading2"/>
        <w:spacing w:line="480" w:lineRule="auto"/>
      </w:pPr>
      <w:r>
        <w:rPr>
          <w:color w:val="000000" w:themeColor="text1"/>
        </w:rPr>
        <w:lastRenderedPageBreak/>
        <w:fldChar w:fldCharType="end"/>
      </w:r>
      <w:bookmarkStart w:id="15" w:name="_Toc77082097"/>
      <w:r>
        <w:t>Appendix</w:t>
      </w:r>
      <w:bookmarkEnd w:id="15"/>
    </w:p>
    <w:p w14:paraId="6194907B" w14:textId="77777777" w:rsidR="00425921" w:rsidRDefault="00425921" w:rsidP="00390DD1">
      <w:pPr>
        <w:spacing w:line="480" w:lineRule="auto"/>
        <w:rPr>
          <w:color w:val="000000" w:themeColor="text1"/>
          <w:lang w:val="es-CO"/>
        </w:rPr>
      </w:pPr>
    </w:p>
    <w:p w14:paraId="5834068E" w14:textId="77777777" w:rsidR="00D901F5" w:rsidRDefault="00425921" w:rsidP="00390DD1">
      <w:pPr>
        <w:keepNext/>
        <w:spacing w:line="480" w:lineRule="auto"/>
        <w:jc w:val="center"/>
      </w:pPr>
      <w:r>
        <w:rPr>
          <w:noProof/>
        </w:rPr>
        <w:drawing>
          <wp:inline distT="0" distB="0" distL="0" distR="0" wp14:anchorId="6253546A" wp14:editId="31DA6031">
            <wp:extent cx="5473065" cy="171958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73065" cy="1719580"/>
                    </a:xfrm>
                    <a:prstGeom prst="rect">
                      <a:avLst/>
                    </a:prstGeom>
                    <a:noFill/>
                    <a:ln>
                      <a:noFill/>
                    </a:ln>
                  </pic:spPr>
                </pic:pic>
              </a:graphicData>
            </a:graphic>
          </wp:inline>
        </w:drawing>
      </w:r>
    </w:p>
    <w:p w14:paraId="5EEC57F7" w14:textId="6F2DCF3D" w:rsidR="00425921" w:rsidRPr="00D901F5" w:rsidRDefault="00D901F5" w:rsidP="00390DD1">
      <w:pPr>
        <w:pStyle w:val="Caption"/>
        <w:spacing w:line="480" w:lineRule="auto"/>
        <w:jc w:val="center"/>
        <w:rPr>
          <w:color w:val="000000" w:themeColor="text1"/>
        </w:rPr>
      </w:pPr>
      <w:bookmarkStart w:id="16" w:name="_Toc77082180"/>
      <w:r>
        <w:t xml:space="preserve">Figure </w:t>
      </w:r>
      <w:fldSimple w:instr=" STYLEREF 1 \s ">
        <w:r w:rsidR="0023061D">
          <w:rPr>
            <w:noProof/>
          </w:rPr>
          <w:t>1</w:t>
        </w:r>
      </w:fldSimple>
      <w:r w:rsidR="00A8604A">
        <w:t>.</w:t>
      </w:r>
      <w:fldSimple w:instr=" SEQ Figure \* ARABIC \s 1 ">
        <w:r w:rsidR="0023061D">
          <w:rPr>
            <w:noProof/>
          </w:rPr>
          <w:t>1</w:t>
        </w:r>
      </w:fldSimple>
      <w:r>
        <w:t xml:space="preserve"> </w:t>
      </w:r>
      <w:r w:rsidRPr="00D901F5">
        <w:rPr>
          <w:b w:val="0"/>
        </w:rPr>
        <w:t>Primary sequence of lunasin indicating the functional regions</w:t>
      </w:r>
      <w:r w:rsidR="00522249">
        <w:rPr>
          <w:b w:val="0"/>
        </w:rPr>
        <w:t>.</w:t>
      </w:r>
      <w:bookmarkEnd w:id="16"/>
    </w:p>
    <w:p w14:paraId="2BF78B87" w14:textId="77777777" w:rsidR="00A72273" w:rsidRDefault="00A72273">
      <w:pPr>
        <w:rPr>
          <w:color w:val="000000" w:themeColor="text1"/>
        </w:rPr>
        <w:sectPr w:rsidR="00A72273" w:rsidSect="00D901F5">
          <w:pgSz w:w="12240" w:h="15840" w:code="1"/>
          <w:pgMar w:top="1440" w:right="1800" w:bottom="1872" w:left="1800" w:header="720" w:footer="1440" w:gutter="0"/>
          <w:pgNumType w:start="1"/>
          <w:cols w:space="720"/>
          <w:noEndnote/>
          <w:docGrid w:linePitch="360"/>
        </w:sectPr>
      </w:pPr>
      <w:r>
        <w:rPr>
          <w:color w:val="000000" w:themeColor="text1"/>
        </w:rPr>
        <w:br w:type="page"/>
      </w:r>
    </w:p>
    <w:p w14:paraId="52B089FE" w14:textId="190D8D56" w:rsidR="00BE42B2" w:rsidRDefault="00BE42B2" w:rsidP="0031604F">
      <w:pPr>
        <w:pStyle w:val="Caption"/>
        <w:spacing w:line="480" w:lineRule="auto"/>
        <w:jc w:val="center"/>
      </w:pPr>
      <w:bookmarkStart w:id="17" w:name="_Toc77082171"/>
      <w:r>
        <w:lastRenderedPageBreak/>
        <w:t xml:space="preserve">Table </w:t>
      </w:r>
      <w:fldSimple w:instr=" STYLEREF 1 \s ">
        <w:r w:rsidR="0023061D">
          <w:rPr>
            <w:noProof/>
          </w:rPr>
          <w:t>1</w:t>
        </w:r>
      </w:fldSimple>
      <w:r w:rsidR="005A09AF">
        <w:t>.</w:t>
      </w:r>
      <w:fldSimple w:instr=" SEQ Table \* ARABIC \s 1 ">
        <w:r w:rsidR="0023061D">
          <w:rPr>
            <w:noProof/>
          </w:rPr>
          <w:t>1</w:t>
        </w:r>
      </w:fldSimple>
      <w:r>
        <w:t xml:space="preserve"> </w:t>
      </w:r>
      <w:r w:rsidRPr="00ED5BCA">
        <w:rPr>
          <w:b w:val="0"/>
        </w:rPr>
        <w:t xml:space="preserve">Summary of reported use of lunasin in </w:t>
      </w:r>
      <w:r w:rsidRPr="00A833A4">
        <w:rPr>
          <w:b w:val="0"/>
          <w:i/>
        </w:rPr>
        <w:t>in vivo</w:t>
      </w:r>
      <w:r w:rsidRPr="00ED5BCA">
        <w:rPr>
          <w:b w:val="0"/>
        </w:rPr>
        <w:t xml:space="preserve"> models of cancer and inflammation</w:t>
      </w:r>
      <w:bookmarkEnd w:id="17"/>
    </w:p>
    <w:tbl>
      <w:tblPr>
        <w:tblStyle w:val="TableNormal1"/>
        <w:tblW w:w="10652" w:type="dxa"/>
        <w:jc w:val="center"/>
        <w:tblInd w:w="0" w:type="dxa"/>
        <w:tblLayout w:type="fixed"/>
        <w:tblCellMar>
          <w:left w:w="70" w:type="dxa"/>
          <w:right w:w="70" w:type="dxa"/>
        </w:tblCellMar>
        <w:tblLook w:val="04A0" w:firstRow="1" w:lastRow="0" w:firstColumn="1" w:lastColumn="0" w:noHBand="0" w:noVBand="1"/>
      </w:tblPr>
      <w:tblGrid>
        <w:gridCol w:w="1584"/>
        <w:gridCol w:w="1871"/>
        <w:gridCol w:w="1871"/>
        <w:gridCol w:w="1871"/>
        <w:gridCol w:w="2735"/>
        <w:gridCol w:w="720"/>
      </w:tblGrid>
      <w:tr w:rsidR="004635FE" w14:paraId="5BC7CFFF" w14:textId="77777777" w:rsidTr="00226CE1">
        <w:trPr>
          <w:trHeight w:val="300"/>
          <w:jc w:val="center"/>
        </w:trPr>
        <w:tc>
          <w:tcPr>
            <w:tcW w:w="1584" w:type="dxa"/>
            <w:tcBorders>
              <w:top w:val="single" w:sz="4" w:space="0" w:color="auto"/>
              <w:left w:val="nil"/>
              <w:bottom w:val="single" w:sz="4" w:space="0" w:color="auto"/>
              <w:right w:val="nil"/>
            </w:tcBorders>
            <w:noWrap/>
            <w:vAlign w:val="center"/>
            <w:hideMark/>
          </w:tcPr>
          <w:p w14:paraId="59AAA7D8" w14:textId="77777777" w:rsidR="004635FE" w:rsidRPr="00226CE1" w:rsidRDefault="004635FE" w:rsidP="004635FE">
            <w:pPr>
              <w:spacing w:after="0" w:line="240" w:lineRule="auto"/>
              <w:jc w:val="center"/>
              <w:rPr>
                <w:rFonts w:eastAsia="Times New Roman"/>
                <w:b/>
                <w:bCs/>
                <w:color w:val="000000"/>
                <w:sz w:val="22"/>
                <w:szCs w:val="22"/>
                <w:lang w:eastAsia="es-CO"/>
              </w:rPr>
            </w:pPr>
            <w:r w:rsidRPr="00226CE1">
              <w:rPr>
                <w:rFonts w:eastAsia="Times New Roman"/>
                <w:b/>
                <w:bCs/>
                <w:color w:val="000000"/>
                <w:sz w:val="22"/>
                <w:szCs w:val="22"/>
                <w:lang w:eastAsia="es-CO"/>
              </w:rPr>
              <w:t>Source</w:t>
            </w:r>
          </w:p>
          <w:p w14:paraId="02F5E9C1" w14:textId="77777777" w:rsidR="004635FE" w:rsidRPr="00226CE1" w:rsidRDefault="004635FE" w:rsidP="004635FE">
            <w:pPr>
              <w:spacing w:after="0" w:line="240" w:lineRule="auto"/>
              <w:jc w:val="center"/>
              <w:rPr>
                <w:rFonts w:eastAsia="Times New Roman"/>
                <w:b/>
                <w:bCs/>
                <w:color w:val="000000"/>
                <w:sz w:val="22"/>
                <w:szCs w:val="22"/>
                <w:lang w:eastAsia="es-CO"/>
              </w:rPr>
            </w:pPr>
            <w:r w:rsidRPr="00226CE1">
              <w:rPr>
                <w:rFonts w:eastAsia="Times New Roman"/>
                <w:b/>
                <w:bCs/>
                <w:color w:val="000000"/>
                <w:sz w:val="22"/>
                <w:szCs w:val="22"/>
                <w:lang w:eastAsia="es-CO"/>
              </w:rPr>
              <w:t>(Purity)</w:t>
            </w:r>
          </w:p>
        </w:tc>
        <w:tc>
          <w:tcPr>
            <w:tcW w:w="1871" w:type="dxa"/>
            <w:tcBorders>
              <w:top w:val="single" w:sz="4" w:space="0" w:color="auto"/>
              <w:left w:val="nil"/>
              <w:bottom w:val="single" w:sz="4" w:space="0" w:color="auto"/>
              <w:right w:val="nil"/>
            </w:tcBorders>
            <w:noWrap/>
            <w:vAlign w:val="center"/>
            <w:hideMark/>
          </w:tcPr>
          <w:p w14:paraId="2F155440" w14:textId="77777777" w:rsidR="004635FE" w:rsidRPr="00226CE1" w:rsidRDefault="004635FE" w:rsidP="004635FE">
            <w:pPr>
              <w:spacing w:after="0" w:line="240" w:lineRule="auto"/>
              <w:jc w:val="center"/>
              <w:rPr>
                <w:rFonts w:eastAsia="Times New Roman"/>
                <w:b/>
                <w:bCs/>
                <w:color w:val="000000"/>
                <w:sz w:val="22"/>
                <w:szCs w:val="22"/>
                <w:lang w:val="es-CO" w:eastAsia="es-CO"/>
              </w:rPr>
            </w:pPr>
            <w:r w:rsidRPr="00226CE1">
              <w:rPr>
                <w:rFonts w:eastAsia="Times New Roman"/>
                <w:b/>
                <w:bCs/>
                <w:color w:val="000000"/>
                <w:sz w:val="22"/>
                <w:szCs w:val="22"/>
                <w:lang w:val="es-CO" w:eastAsia="es-CO"/>
              </w:rPr>
              <w:t>Disease Model</w:t>
            </w:r>
          </w:p>
        </w:tc>
        <w:tc>
          <w:tcPr>
            <w:tcW w:w="1871" w:type="dxa"/>
            <w:tcBorders>
              <w:top w:val="single" w:sz="4" w:space="0" w:color="auto"/>
              <w:left w:val="nil"/>
              <w:bottom w:val="single" w:sz="4" w:space="0" w:color="auto"/>
              <w:right w:val="nil"/>
            </w:tcBorders>
            <w:noWrap/>
            <w:vAlign w:val="center"/>
            <w:hideMark/>
          </w:tcPr>
          <w:p w14:paraId="30627D3A" w14:textId="77777777" w:rsidR="004635FE" w:rsidRPr="00226CE1" w:rsidRDefault="004635FE" w:rsidP="004635FE">
            <w:pPr>
              <w:spacing w:after="0" w:line="240" w:lineRule="auto"/>
              <w:jc w:val="center"/>
              <w:rPr>
                <w:rFonts w:eastAsia="Times New Roman"/>
                <w:b/>
                <w:bCs/>
                <w:color w:val="000000"/>
                <w:sz w:val="22"/>
                <w:szCs w:val="22"/>
                <w:lang w:val="es-CO" w:eastAsia="es-CO"/>
              </w:rPr>
            </w:pPr>
            <w:r w:rsidRPr="00226CE1">
              <w:rPr>
                <w:rFonts w:eastAsia="Times New Roman"/>
                <w:b/>
                <w:bCs/>
                <w:color w:val="000000"/>
                <w:sz w:val="22"/>
                <w:szCs w:val="22"/>
                <w:lang w:val="es-CO" w:eastAsia="es-CO"/>
              </w:rPr>
              <w:t>Route of administration</w:t>
            </w:r>
          </w:p>
        </w:tc>
        <w:tc>
          <w:tcPr>
            <w:tcW w:w="1871" w:type="dxa"/>
            <w:tcBorders>
              <w:top w:val="single" w:sz="4" w:space="0" w:color="auto"/>
              <w:left w:val="nil"/>
              <w:bottom w:val="single" w:sz="4" w:space="0" w:color="auto"/>
              <w:right w:val="nil"/>
            </w:tcBorders>
            <w:noWrap/>
            <w:vAlign w:val="center"/>
            <w:hideMark/>
          </w:tcPr>
          <w:p w14:paraId="4D6ADF87" w14:textId="77777777" w:rsidR="004635FE" w:rsidRPr="00226CE1" w:rsidRDefault="004635FE" w:rsidP="004635FE">
            <w:pPr>
              <w:spacing w:after="0" w:line="240" w:lineRule="auto"/>
              <w:jc w:val="center"/>
              <w:rPr>
                <w:rFonts w:eastAsia="Times New Roman"/>
                <w:b/>
                <w:bCs/>
                <w:color w:val="000000"/>
                <w:sz w:val="22"/>
                <w:szCs w:val="22"/>
                <w:lang w:val="es-CO" w:eastAsia="es-CO"/>
              </w:rPr>
            </w:pPr>
            <w:r w:rsidRPr="00226CE1">
              <w:rPr>
                <w:rFonts w:eastAsia="Times New Roman"/>
                <w:b/>
                <w:bCs/>
                <w:color w:val="000000"/>
                <w:sz w:val="22"/>
                <w:szCs w:val="22"/>
                <w:lang w:val="es-CO" w:eastAsia="es-CO"/>
              </w:rPr>
              <w:t>Dosage</w:t>
            </w:r>
          </w:p>
        </w:tc>
        <w:tc>
          <w:tcPr>
            <w:tcW w:w="2735" w:type="dxa"/>
            <w:tcBorders>
              <w:top w:val="single" w:sz="4" w:space="0" w:color="auto"/>
              <w:left w:val="nil"/>
              <w:bottom w:val="single" w:sz="4" w:space="0" w:color="auto"/>
              <w:right w:val="nil"/>
            </w:tcBorders>
            <w:noWrap/>
            <w:vAlign w:val="center"/>
            <w:hideMark/>
          </w:tcPr>
          <w:p w14:paraId="180E267F" w14:textId="77777777" w:rsidR="004635FE" w:rsidRPr="00226CE1" w:rsidRDefault="004635FE" w:rsidP="004635FE">
            <w:pPr>
              <w:spacing w:after="0" w:line="240" w:lineRule="auto"/>
              <w:jc w:val="center"/>
              <w:rPr>
                <w:rFonts w:eastAsia="Times New Roman"/>
                <w:b/>
                <w:bCs/>
                <w:color w:val="000000"/>
                <w:sz w:val="22"/>
                <w:szCs w:val="22"/>
                <w:lang w:val="es-CO" w:eastAsia="es-CO"/>
              </w:rPr>
            </w:pPr>
            <w:r w:rsidRPr="00226CE1">
              <w:rPr>
                <w:rFonts w:eastAsia="Times New Roman"/>
                <w:b/>
                <w:bCs/>
                <w:color w:val="000000"/>
                <w:sz w:val="22"/>
                <w:szCs w:val="22"/>
                <w:lang w:val="es-CO" w:eastAsia="es-CO"/>
              </w:rPr>
              <w:t>Observed results</w:t>
            </w:r>
          </w:p>
        </w:tc>
        <w:tc>
          <w:tcPr>
            <w:tcW w:w="720" w:type="dxa"/>
            <w:tcBorders>
              <w:top w:val="single" w:sz="4" w:space="0" w:color="auto"/>
              <w:left w:val="nil"/>
              <w:bottom w:val="single" w:sz="4" w:space="0" w:color="auto"/>
              <w:right w:val="nil"/>
            </w:tcBorders>
            <w:noWrap/>
            <w:vAlign w:val="center"/>
            <w:hideMark/>
          </w:tcPr>
          <w:p w14:paraId="71E7918D" w14:textId="1A200763" w:rsidR="004635FE" w:rsidRPr="00226CE1" w:rsidRDefault="004635FE" w:rsidP="004635FE">
            <w:pPr>
              <w:spacing w:after="0" w:line="240" w:lineRule="auto"/>
              <w:jc w:val="center"/>
              <w:rPr>
                <w:rFonts w:eastAsia="Times New Roman"/>
                <w:b/>
                <w:bCs/>
                <w:color w:val="000000"/>
                <w:sz w:val="22"/>
                <w:szCs w:val="22"/>
                <w:lang w:val="es-CO" w:eastAsia="es-CO"/>
              </w:rPr>
            </w:pPr>
            <w:r w:rsidRPr="00226CE1">
              <w:rPr>
                <w:rFonts w:eastAsia="Times New Roman"/>
                <w:b/>
                <w:bCs/>
                <w:color w:val="000000"/>
                <w:sz w:val="22"/>
                <w:szCs w:val="22"/>
                <w:lang w:val="es-CO" w:eastAsia="es-CO"/>
              </w:rPr>
              <w:t>Ref.</w:t>
            </w:r>
          </w:p>
        </w:tc>
      </w:tr>
      <w:tr w:rsidR="004635FE" w14:paraId="644271A9" w14:textId="77777777" w:rsidTr="00226CE1">
        <w:trPr>
          <w:trHeight w:val="300"/>
          <w:jc w:val="center"/>
        </w:trPr>
        <w:tc>
          <w:tcPr>
            <w:tcW w:w="1584" w:type="dxa"/>
            <w:tcBorders>
              <w:top w:val="single" w:sz="4" w:space="0" w:color="auto"/>
              <w:left w:val="nil"/>
              <w:bottom w:val="single" w:sz="4" w:space="0" w:color="auto"/>
              <w:right w:val="nil"/>
            </w:tcBorders>
            <w:noWrap/>
            <w:vAlign w:val="center"/>
            <w:hideMark/>
          </w:tcPr>
          <w:p w14:paraId="1B835A8E"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Soybeans</w:t>
            </w:r>
          </w:p>
          <w:p w14:paraId="1935C92A"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(&gt;99%)</w:t>
            </w:r>
          </w:p>
        </w:tc>
        <w:tc>
          <w:tcPr>
            <w:tcW w:w="1871" w:type="dxa"/>
            <w:tcBorders>
              <w:top w:val="single" w:sz="4" w:space="0" w:color="auto"/>
              <w:left w:val="nil"/>
              <w:bottom w:val="single" w:sz="4" w:space="0" w:color="auto"/>
              <w:right w:val="nil"/>
            </w:tcBorders>
            <w:noWrap/>
            <w:vAlign w:val="center"/>
            <w:hideMark/>
          </w:tcPr>
          <w:p w14:paraId="3F72FFFD"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Melanoma and non-small cell lung cancer</w:t>
            </w:r>
          </w:p>
        </w:tc>
        <w:tc>
          <w:tcPr>
            <w:tcW w:w="1871" w:type="dxa"/>
            <w:tcBorders>
              <w:top w:val="single" w:sz="4" w:space="0" w:color="auto"/>
              <w:left w:val="nil"/>
              <w:bottom w:val="single" w:sz="4" w:space="0" w:color="auto"/>
              <w:right w:val="nil"/>
            </w:tcBorders>
            <w:noWrap/>
            <w:vAlign w:val="center"/>
            <w:hideMark/>
          </w:tcPr>
          <w:p w14:paraId="7C6798F2" w14:textId="77777777" w:rsidR="004635FE" w:rsidRPr="00226CE1" w:rsidRDefault="004635FE" w:rsidP="004635FE">
            <w:pPr>
              <w:spacing w:after="0" w:line="240" w:lineRule="auto"/>
              <w:jc w:val="center"/>
              <w:rPr>
                <w:rFonts w:eastAsia="Times New Roman"/>
                <w:color w:val="000000"/>
                <w:sz w:val="22"/>
                <w:szCs w:val="22"/>
                <w:lang w:val="es-CO" w:eastAsia="es-CO"/>
              </w:rPr>
            </w:pPr>
            <w:r w:rsidRPr="00226CE1">
              <w:rPr>
                <w:rFonts w:eastAsia="Times New Roman"/>
                <w:color w:val="000000"/>
                <w:sz w:val="22"/>
                <w:szCs w:val="22"/>
                <w:lang w:eastAsia="es-CO"/>
              </w:rPr>
              <w:t>Intraperitoneal injection</w:t>
            </w:r>
          </w:p>
        </w:tc>
        <w:tc>
          <w:tcPr>
            <w:tcW w:w="1871" w:type="dxa"/>
            <w:tcBorders>
              <w:top w:val="single" w:sz="4" w:space="0" w:color="auto"/>
              <w:left w:val="nil"/>
              <w:bottom w:val="single" w:sz="4" w:space="0" w:color="auto"/>
              <w:right w:val="nil"/>
            </w:tcBorders>
            <w:noWrap/>
            <w:vAlign w:val="center"/>
            <w:hideMark/>
          </w:tcPr>
          <w:p w14:paraId="2D638423"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10 or 30 mg/kg bw daily</w:t>
            </w:r>
          </w:p>
        </w:tc>
        <w:tc>
          <w:tcPr>
            <w:tcW w:w="2735" w:type="dxa"/>
            <w:tcBorders>
              <w:top w:val="single" w:sz="4" w:space="0" w:color="auto"/>
              <w:left w:val="nil"/>
              <w:bottom w:val="single" w:sz="4" w:space="0" w:color="auto"/>
              <w:right w:val="nil"/>
            </w:tcBorders>
            <w:noWrap/>
            <w:vAlign w:val="center"/>
            <w:hideMark/>
          </w:tcPr>
          <w:p w14:paraId="5DD0EEE1" w14:textId="16F472E9"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Significant reduction of tumor size over time.</w:t>
            </w:r>
          </w:p>
        </w:tc>
        <w:tc>
          <w:tcPr>
            <w:tcW w:w="720" w:type="dxa"/>
            <w:tcBorders>
              <w:top w:val="single" w:sz="4" w:space="0" w:color="auto"/>
              <w:left w:val="nil"/>
              <w:bottom w:val="single" w:sz="4" w:space="0" w:color="auto"/>
              <w:right w:val="nil"/>
            </w:tcBorders>
            <w:noWrap/>
            <w:vAlign w:val="center"/>
            <w:hideMark/>
          </w:tcPr>
          <w:p w14:paraId="33692879" w14:textId="6BF6E4F9" w:rsidR="004635FE" w:rsidRPr="00226CE1" w:rsidRDefault="004635FE" w:rsidP="004635FE">
            <w:pPr>
              <w:spacing w:after="0" w:line="240" w:lineRule="auto"/>
              <w:jc w:val="center"/>
              <w:rPr>
                <w:rFonts w:eastAsia="Times New Roman"/>
                <w:color w:val="000000"/>
                <w:sz w:val="22"/>
                <w:szCs w:val="22"/>
                <w:lang w:eastAsia="es-CO"/>
              </w:rPr>
            </w:pPr>
            <w:r w:rsidRPr="00226CE1">
              <w:rPr>
                <w:color w:val="000000"/>
                <w:sz w:val="22"/>
                <w:szCs w:val="22"/>
                <w:lang w:eastAsia="es-CO"/>
              </w:rPr>
              <w:fldChar w:fldCharType="begin" w:fldLock="1"/>
            </w:r>
            <w:r w:rsidRPr="00226CE1">
              <w:rPr>
                <w:rFonts w:eastAsia="Times New Roman"/>
                <w:color w:val="000000"/>
                <w:sz w:val="22"/>
                <w:szCs w:val="22"/>
                <w:lang w:eastAsia="es-CO"/>
              </w:rPr>
              <w:instrText>ADDIN CSL_CITATION {"citationItems":[{"id":"ITEM-1","itemData":{"DOI":"10.12688/f1000research.9661.1","ISSN":"2046-1402","abstract":"  Background  : Lunasin is a naturally occurring peptide present in soybean that has both chemopreventive and therapeutic activities that can prevent cellular transformation and inhibit the growth of several human cancer types. Recent studies indicate that Lunasin has several distinct potential modes of action including suppressing integrin signaling and epigenetic effects driven by modulation of histone acetylation. In addition to direct effects on cancer cells, Lunasin also has effects on innate immunity that may contribute to its ability to inhibit tumor growth in vivo .   Methods  : Standard assays for cell proliferation and colony formation were used to assess Lunasin’s in vitro activity against murine Lewis lung carcinoma (LLC) and B16-F0 melanoma cells.  Lunasin’s in vivo activity was assessed by comparing the growth of tumors initiated by subcutaneous implantation of LLC or B16-F0 cells in Lunasin-treated and untreated C57BL/6 mice.   Results  : Lunasin was found to inhibit growth of murine LLC cells and murine B16-F0 melanoma cells in vitro and in wild-type C57BL/6 mice.  The effects of Lunasin in these two mouse models were very similar to those previously observed in studies of human non-small cell lung cancer and melanoma cell lines.   Conclusions  : We have now validated two established syngeneic mouse models as being responsive to Lunasin treatment.  The validation of these two in vivo syngeneic models will allow detailed studies on the combined therapeutic and immune effects of Lunasin in a fully immunocompetent mouse model. ","author":[{"dropping-particle":"","family":"Devapatla","given":"Bharat","non-dropping-particle":"","parse-names":false,"suffix":""},{"dropping-particle":"","family":"Shidal","given":"Chris","non-dropping-particle":"","parse-names":false,"suffix":""},{"dropping-particle":"","family":"Yaddanapudi","given":"Kavitha","non-dropping-particle":"","parse-names":false,"suffix":""},{"dropping-particle":"","family":"Davis","given":"Keith R.","non-dropping-particle":"","parse-names":false,"suffix":""}],"container-title":"F1000Research","id":"ITEM-1","issue":"0","issued":{"date-parts":[["2016"]]},"page":"2432","title":"Validation of syngeneic mouse models of melanoma and non-small cell lung cancer for investigating the anticancer effects of the soy-derived peptide Lunasin","type":"article-journal","volume":"5"},"uris":["http://www.mendeley.com/documents/?uuid=27b42bd1-91fe-440a-8472-dd1bc362c77a"]}],"mendeley":{"formattedCitation":"[117]","plainTextFormattedCitation":"[117]","previouslyFormattedCitation":"[117]"},"properties":{"noteIndex":0},"schema":"https://github.com/citation-style-language/schema/raw/master/csl-citation.json"}</w:instrText>
            </w:r>
            <w:r w:rsidRPr="00226CE1">
              <w:rPr>
                <w:color w:val="000000"/>
                <w:sz w:val="22"/>
                <w:szCs w:val="22"/>
                <w:lang w:eastAsia="es-CO"/>
              </w:rPr>
              <w:fldChar w:fldCharType="separate"/>
            </w:r>
            <w:r w:rsidRPr="00226CE1">
              <w:rPr>
                <w:rFonts w:eastAsia="Times New Roman"/>
                <w:noProof/>
                <w:color w:val="000000"/>
                <w:sz w:val="22"/>
                <w:szCs w:val="22"/>
                <w:lang w:eastAsia="es-CO"/>
              </w:rPr>
              <w:t>[117]</w:t>
            </w:r>
            <w:r w:rsidRPr="00226CE1">
              <w:rPr>
                <w:color w:val="000000"/>
                <w:sz w:val="22"/>
                <w:szCs w:val="22"/>
                <w:lang w:eastAsia="es-CO"/>
              </w:rPr>
              <w:fldChar w:fldCharType="end"/>
            </w:r>
          </w:p>
        </w:tc>
      </w:tr>
      <w:tr w:rsidR="004635FE" w14:paraId="181CEE21" w14:textId="77777777" w:rsidTr="00226CE1">
        <w:trPr>
          <w:trHeight w:val="300"/>
          <w:jc w:val="center"/>
        </w:trPr>
        <w:tc>
          <w:tcPr>
            <w:tcW w:w="1584" w:type="dxa"/>
            <w:tcBorders>
              <w:top w:val="single" w:sz="4" w:space="0" w:color="auto"/>
              <w:left w:val="nil"/>
              <w:bottom w:val="single" w:sz="4" w:space="0" w:color="auto"/>
              <w:right w:val="nil"/>
            </w:tcBorders>
            <w:noWrap/>
            <w:vAlign w:val="center"/>
            <w:hideMark/>
          </w:tcPr>
          <w:p w14:paraId="640F5A14"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Soybeans</w:t>
            </w:r>
          </w:p>
          <w:p w14:paraId="3BFF8A81"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(&gt;99%)</w:t>
            </w:r>
          </w:p>
        </w:tc>
        <w:tc>
          <w:tcPr>
            <w:tcW w:w="1871" w:type="dxa"/>
            <w:tcBorders>
              <w:top w:val="single" w:sz="4" w:space="0" w:color="auto"/>
              <w:left w:val="nil"/>
              <w:bottom w:val="single" w:sz="4" w:space="0" w:color="auto"/>
              <w:right w:val="nil"/>
            </w:tcBorders>
            <w:noWrap/>
            <w:vAlign w:val="center"/>
            <w:hideMark/>
          </w:tcPr>
          <w:p w14:paraId="55715D84"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Melanoma</w:t>
            </w:r>
          </w:p>
        </w:tc>
        <w:tc>
          <w:tcPr>
            <w:tcW w:w="1871" w:type="dxa"/>
            <w:tcBorders>
              <w:top w:val="single" w:sz="4" w:space="0" w:color="auto"/>
              <w:left w:val="nil"/>
              <w:bottom w:val="single" w:sz="4" w:space="0" w:color="auto"/>
              <w:right w:val="nil"/>
            </w:tcBorders>
            <w:noWrap/>
            <w:vAlign w:val="center"/>
            <w:hideMark/>
          </w:tcPr>
          <w:p w14:paraId="77B68981"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Intraperitoneal injection</w:t>
            </w:r>
          </w:p>
        </w:tc>
        <w:tc>
          <w:tcPr>
            <w:tcW w:w="1871" w:type="dxa"/>
            <w:tcBorders>
              <w:top w:val="single" w:sz="4" w:space="0" w:color="auto"/>
              <w:left w:val="nil"/>
              <w:bottom w:val="single" w:sz="4" w:space="0" w:color="auto"/>
              <w:right w:val="nil"/>
            </w:tcBorders>
            <w:noWrap/>
            <w:vAlign w:val="center"/>
            <w:hideMark/>
          </w:tcPr>
          <w:p w14:paraId="30C601CA" w14:textId="3AE90B6B"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30 mg/kg bw daily</w:t>
            </w:r>
          </w:p>
        </w:tc>
        <w:tc>
          <w:tcPr>
            <w:tcW w:w="2735" w:type="dxa"/>
            <w:tcBorders>
              <w:top w:val="single" w:sz="4" w:space="0" w:color="auto"/>
              <w:left w:val="nil"/>
              <w:bottom w:val="single" w:sz="4" w:space="0" w:color="auto"/>
              <w:right w:val="nil"/>
            </w:tcBorders>
            <w:noWrap/>
            <w:vAlign w:val="center"/>
            <w:hideMark/>
          </w:tcPr>
          <w:p w14:paraId="373F79D3"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Significant reduction of tumor size and weight, and delayed detection of palpable tumors</w:t>
            </w:r>
          </w:p>
        </w:tc>
        <w:tc>
          <w:tcPr>
            <w:tcW w:w="720" w:type="dxa"/>
            <w:tcBorders>
              <w:top w:val="single" w:sz="4" w:space="0" w:color="auto"/>
              <w:left w:val="nil"/>
              <w:bottom w:val="single" w:sz="4" w:space="0" w:color="auto"/>
              <w:right w:val="nil"/>
            </w:tcBorders>
            <w:noWrap/>
            <w:vAlign w:val="center"/>
            <w:hideMark/>
          </w:tcPr>
          <w:p w14:paraId="19316C85" w14:textId="606EF245" w:rsidR="004635FE" w:rsidRPr="00226CE1" w:rsidRDefault="004635FE" w:rsidP="004635FE">
            <w:pPr>
              <w:spacing w:after="0" w:line="240" w:lineRule="auto"/>
              <w:jc w:val="center"/>
              <w:rPr>
                <w:rFonts w:eastAsia="Times New Roman"/>
                <w:color w:val="000000"/>
                <w:sz w:val="22"/>
                <w:szCs w:val="22"/>
                <w:lang w:eastAsia="es-CO"/>
              </w:rPr>
            </w:pPr>
            <w:r w:rsidRPr="00226CE1">
              <w:rPr>
                <w:color w:val="000000"/>
                <w:sz w:val="22"/>
                <w:szCs w:val="22"/>
                <w:lang w:eastAsia="es-CO"/>
              </w:rPr>
              <w:fldChar w:fldCharType="begin" w:fldLock="1"/>
            </w:r>
            <w:r w:rsidRPr="00226CE1">
              <w:rPr>
                <w:rFonts w:eastAsia="Times New Roman"/>
                <w:color w:val="000000"/>
                <w:sz w:val="22"/>
                <w:szCs w:val="22"/>
                <w:lang w:eastAsia="es-CO"/>
              </w:rPr>
              <w:instrText>ADDIN CSL_CITATION {"citationItems":[{"id":"ITEM-1","itemData":{"DOI":"10.18632/oncotarget.11554","ISSN":"19492553","PMID":"27566591","abstract":"Recent studies provide compelling evidence that melanoma is initiated and maintained by a small population of malignant cells called cancer-initiating cells (CICs) that exhibit stem-cell-like properties. Observations that CICs have a distinct biology when compared to that of the bulk tumor cells and, importantly, are resistant to chemotherapies and radiation, suggest that CICs are involved in invasion, metastasis, and ultimately relapse. Lunasin, a bioactive peptide present in soybean, has both chemopreventive activity and chemotherapeutic activity against multiple cancer types. In this study, we tested the potential of Lunasin to specifically target CICs in melanoma tumor cell populations. In vitro studies using human melanoma cell lines showed that Lunasin treatment decreased the size of a subpopulation of melanoma cells expressing the surrogate CIC marker, Aldehyde Dehydrogenase, concomitant with a reduction in the ability to form colonies in soft agar assays, and reduced tumor growth in mouse xenografts. Similarly, Lunasin inhibited colony formation by isolated melanoma CICs in soft agar and reduced oncosphere formation in vitro and substantially inhibited tumor growth in mouse xenografts. Mechanistic studies revealed that Lunasin treatment of isolated melanoma CICs induced expression of the melanocyte-associated differentiation markers Tyrosinase and Microphthalmiaassociated Transcription Factor concomitant with reduced expression of the stemness factor NANOG. These findings document for the first time that Lunasin has significant therapeutic activity against melanoma by specifically targeting melanoma CICs, and inducing a more differentiated, non-CIC phenotype. Thus, Lunasin may represent a novel therapeutic option for both chemoresistant and advanced metastatic melanoma management.","author":[{"dropping-particle":"","family":"Shidal","given":"Chris","non-dropping-particle":"","parse-names":false,"suffix":""},{"dropping-particle":"","family":"Al-Rayyan","given":"Numan","non-dropping-particle":"","parse-names":false,"suffix":""},{"dropping-particle":"","family":"Yaddanapudi","given":"Kavitha","non-dropping-particle":"","parse-names":false,"suffix":""},{"dropping-particle":"","family":"Davis","given":"Keith R.","non-dropping-particle":"","parse-names":false,"suffix":""}],"container-title":"Oncotarget","id":"ITEM-1","issue":"51","issued":{"date-parts":[["2016"]]},"page":"84128-84141","title":"Lunasin is a novel therapeutic agent for targeting melanoma cancer stem cells","type":"article-journal","volume":"7"},"uris":["http://www.mendeley.com/documents/?uuid=380cc8d6-378f-46e4-acca-70adc74f4665"]}],"mendeley":{"formattedCitation":"[88]","plainTextFormattedCitation":"[88]","previouslyFormattedCitation":"[88]"},"properties":{"noteIndex":0},"schema":"https://github.com/citation-style-language/schema/raw/master/csl-citation.json"}</w:instrText>
            </w:r>
            <w:r w:rsidRPr="00226CE1">
              <w:rPr>
                <w:color w:val="000000"/>
                <w:sz w:val="22"/>
                <w:szCs w:val="22"/>
                <w:lang w:eastAsia="es-CO"/>
              </w:rPr>
              <w:fldChar w:fldCharType="separate"/>
            </w:r>
            <w:r w:rsidRPr="00226CE1">
              <w:rPr>
                <w:rFonts w:eastAsia="Times New Roman"/>
                <w:noProof/>
                <w:color w:val="000000"/>
                <w:sz w:val="22"/>
                <w:szCs w:val="22"/>
                <w:lang w:eastAsia="es-CO"/>
              </w:rPr>
              <w:t>[88]</w:t>
            </w:r>
            <w:r w:rsidRPr="00226CE1">
              <w:rPr>
                <w:color w:val="000000"/>
                <w:sz w:val="22"/>
                <w:szCs w:val="22"/>
                <w:lang w:eastAsia="es-CO"/>
              </w:rPr>
              <w:fldChar w:fldCharType="end"/>
            </w:r>
          </w:p>
        </w:tc>
      </w:tr>
      <w:tr w:rsidR="004635FE" w14:paraId="4B79A59E" w14:textId="77777777" w:rsidTr="00226CE1">
        <w:trPr>
          <w:trHeight w:val="300"/>
          <w:jc w:val="center"/>
        </w:trPr>
        <w:tc>
          <w:tcPr>
            <w:tcW w:w="1584" w:type="dxa"/>
            <w:tcBorders>
              <w:top w:val="single" w:sz="4" w:space="0" w:color="auto"/>
              <w:left w:val="nil"/>
              <w:bottom w:val="single" w:sz="4" w:space="0" w:color="auto"/>
              <w:right w:val="nil"/>
            </w:tcBorders>
            <w:noWrap/>
            <w:vAlign w:val="center"/>
            <w:hideMark/>
          </w:tcPr>
          <w:p w14:paraId="28E82A3A"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Soybeans</w:t>
            </w:r>
          </w:p>
          <w:p w14:paraId="6DA8BC6C"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(&gt;95%)</w:t>
            </w:r>
          </w:p>
        </w:tc>
        <w:tc>
          <w:tcPr>
            <w:tcW w:w="1871" w:type="dxa"/>
            <w:tcBorders>
              <w:top w:val="single" w:sz="4" w:space="0" w:color="auto"/>
              <w:left w:val="nil"/>
              <w:bottom w:val="single" w:sz="4" w:space="0" w:color="auto"/>
              <w:right w:val="nil"/>
            </w:tcBorders>
            <w:noWrap/>
            <w:vAlign w:val="center"/>
            <w:hideMark/>
          </w:tcPr>
          <w:p w14:paraId="7D5174C4"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Metastatic Melanoma</w:t>
            </w:r>
          </w:p>
        </w:tc>
        <w:tc>
          <w:tcPr>
            <w:tcW w:w="1871" w:type="dxa"/>
            <w:tcBorders>
              <w:top w:val="single" w:sz="4" w:space="0" w:color="auto"/>
              <w:left w:val="nil"/>
              <w:bottom w:val="single" w:sz="4" w:space="0" w:color="auto"/>
              <w:right w:val="nil"/>
            </w:tcBorders>
            <w:noWrap/>
            <w:vAlign w:val="center"/>
            <w:hideMark/>
          </w:tcPr>
          <w:p w14:paraId="550B175C"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Intraperitoneal injection</w:t>
            </w:r>
          </w:p>
        </w:tc>
        <w:tc>
          <w:tcPr>
            <w:tcW w:w="1871" w:type="dxa"/>
            <w:tcBorders>
              <w:top w:val="single" w:sz="4" w:space="0" w:color="auto"/>
              <w:left w:val="nil"/>
              <w:bottom w:val="single" w:sz="4" w:space="0" w:color="auto"/>
              <w:right w:val="nil"/>
            </w:tcBorders>
            <w:noWrap/>
            <w:vAlign w:val="center"/>
            <w:hideMark/>
          </w:tcPr>
          <w:p w14:paraId="258BF665" w14:textId="1967D93F"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30 mg/kg bw daily</w:t>
            </w:r>
          </w:p>
        </w:tc>
        <w:tc>
          <w:tcPr>
            <w:tcW w:w="2735" w:type="dxa"/>
            <w:tcBorders>
              <w:top w:val="single" w:sz="4" w:space="0" w:color="auto"/>
              <w:left w:val="nil"/>
              <w:bottom w:val="single" w:sz="4" w:space="0" w:color="auto"/>
              <w:right w:val="nil"/>
            </w:tcBorders>
            <w:noWrap/>
            <w:vAlign w:val="center"/>
            <w:hideMark/>
          </w:tcPr>
          <w:p w14:paraId="05784F98"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Reduced number of macro-metastatic outgrowths, and lower area of micrometastatic lesions to the lungs</w:t>
            </w:r>
          </w:p>
        </w:tc>
        <w:tc>
          <w:tcPr>
            <w:tcW w:w="720" w:type="dxa"/>
            <w:tcBorders>
              <w:top w:val="single" w:sz="4" w:space="0" w:color="auto"/>
              <w:left w:val="nil"/>
              <w:bottom w:val="single" w:sz="4" w:space="0" w:color="auto"/>
              <w:right w:val="nil"/>
            </w:tcBorders>
            <w:noWrap/>
            <w:vAlign w:val="center"/>
            <w:hideMark/>
          </w:tcPr>
          <w:p w14:paraId="739237F5" w14:textId="60BF8496" w:rsidR="004635FE" w:rsidRPr="00226CE1" w:rsidRDefault="004635FE" w:rsidP="004635FE">
            <w:pPr>
              <w:spacing w:after="0" w:line="240" w:lineRule="auto"/>
              <w:jc w:val="center"/>
              <w:rPr>
                <w:rFonts w:eastAsia="Times New Roman"/>
                <w:color w:val="000000"/>
                <w:sz w:val="22"/>
                <w:szCs w:val="22"/>
                <w:lang w:eastAsia="es-CO"/>
              </w:rPr>
            </w:pPr>
            <w:r w:rsidRPr="00226CE1">
              <w:rPr>
                <w:color w:val="000000"/>
                <w:sz w:val="22"/>
                <w:szCs w:val="22"/>
                <w:lang w:eastAsia="es-CO"/>
              </w:rPr>
              <w:fldChar w:fldCharType="begin" w:fldLock="1"/>
            </w:r>
            <w:r w:rsidRPr="00226CE1">
              <w:rPr>
                <w:rFonts w:eastAsia="Times New Roman"/>
                <w:color w:val="000000"/>
                <w:sz w:val="22"/>
                <w:szCs w:val="22"/>
                <w:lang w:eastAsia="es-CO"/>
              </w:rPr>
              <w:instrText>ADDIN CSL_CITATION {"citationItems":[{"id":"ITEM-1","itemData":{"DOI":"10.18632/oncotarget.16066","ISSN":"19492553","abstract":"Lunasin is a 44 amino acid peptide with multiple functional domains including an aspartic acid tail, an RGD domain, and a chromatin-binding helical domain. We recently showed that Lunasin induced a phenotype switch of cancer initiating cells (CIC) out of the stem compartment by inducing melanocyte-associated differentiation markers while simultaneously reducing stem-cell-associated transcription factors. In the present study, we advance the hypothesis that Lunasin can reduce pools of melanoma cells with stem cell-like properties, and demonstrate that Lunasin treatment effectively inhibits the invasive potential of CICs in vitro as well as in vivo in a mouse experimental metastasis model. Mice receiving Lunasin treatment had significantly reduced pulmonary colonization after injection of highly metastatic B16-F10 melanoma cells compared to mice in the control group. Mechanistic studies demonstrate that Lunasin reduced activating phosphorylations of the intracellular kinases FAK and AKT as well as reduced histone acetylation of lysine residues in H3 and H4 histones. Using peptides with mutated activity domains, we functionally demonstrated that the RGD domain is necessary for Lunasin uptake and its ability to inhibit oncosphere formation by CICs, thus confirming that Lunasin's ability to affect CICs is at least in part due to the suppression of integrin signaling. Our studies suggest that Lunasin represents a unique anticancer agent that could be developed to help prevent metastasis and patient relapse by reducing the activity of CICs which are known to be resistant to current chemotherapies.","author":[{"dropping-particle":"","family":"Shidal","given":"Chris","non-dropping-particle":"","parse-names":false,"suffix":""},{"dropping-particle":"","family":"Inaba","given":"Jun Ichi","non-dropping-particle":"","parse-names":false,"suffix":""},{"dropping-particle":"","family":"Yaddanapudi","given":"Kavitha","non-dropping-particle":"","parse-names":false,"suffix":""},{"dropping-particle":"","family":"Davis","given":"Keith R.","non-dropping-particle":"","parse-names":false,"suffix":""}],"container-title":"Oncotarget","id":"ITEM-1","issue":"15","issued":{"date-parts":[["2017"]]},"page":"25525-25541","title":"The soy-derived peptide Lunasin inhibits invasive potential of melanoma initiating cells","type":"article-journal","volume":"8"},"uris":["http://www.mendeley.com/documents/?uuid=e5f64483-96e2-4d27-8403-b76059385616"]}],"mendeley":{"formattedCitation":"[89]","plainTextFormattedCitation":"[89]","previouslyFormattedCitation":"[89]"},"properties":{"noteIndex":0},"schema":"https://github.com/citation-style-language/schema/raw/master/csl-citation.json"}</w:instrText>
            </w:r>
            <w:r w:rsidRPr="00226CE1">
              <w:rPr>
                <w:color w:val="000000"/>
                <w:sz w:val="22"/>
                <w:szCs w:val="22"/>
                <w:lang w:eastAsia="es-CO"/>
              </w:rPr>
              <w:fldChar w:fldCharType="separate"/>
            </w:r>
            <w:r w:rsidRPr="00226CE1">
              <w:rPr>
                <w:rFonts w:eastAsia="Times New Roman"/>
                <w:noProof/>
                <w:color w:val="000000"/>
                <w:sz w:val="22"/>
                <w:szCs w:val="22"/>
                <w:lang w:eastAsia="es-CO"/>
              </w:rPr>
              <w:t>[89]</w:t>
            </w:r>
            <w:r w:rsidRPr="00226CE1">
              <w:rPr>
                <w:color w:val="000000"/>
                <w:sz w:val="22"/>
                <w:szCs w:val="22"/>
                <w:lang w:eastAsia="es-CO"/>
              </w:rPr>
              <w:fldChar w:fldCharType="end"/>
            </w:r>
          </w:p>
        </w:tc>
      </w:tr>
      <w:tr w:rsidR="004635FE" w:rsidRPr="00756F41" w14:paraId="72571504" w14:textId="77777777" w:rsidTr="00226CE1">
        <w:trPr>
          <w:trHeight w:val="300"/>
          <w:jc w:val="center"/>
        </w:trPr>
        <w:tc>
          <w:tcPr>
            <w:tcW w:w="1584" w:type="dxa"/>
            <w:tcBorders>
              <w:top w:val="single" w:sz="4" w:space="0" w:color="auto"/>
              <w:left w:val="nil"/>
              <w:bottom w:val="single" w:sz="4" w:space="0" w:color="auto"/>
              <w:right w:val="nil"/>
            </w:tcBorders>
            <w:noWrap/>
            <w:vAlign w:val="center"/>
            <w:hideMark/>
          </w:tcPr>
          <w:p w14:paraId="14D382BB"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Synthetic</w:t>
            </w:r>
          </w:p>
          <w:p w14:paraId="114AFBBB"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(NR)</w:t>
            </w:r>
          </w:p>
        </w:tc>
        <w:tc>
          <w:tcPr>
            <w:tcW w:w="1871" w:type="dxa"/>
            <w:tcBorders>
              <w:top w:val="single" w:sz="4" w:space="0" w:color="auto"/>
              <w:left w:val="nil"/>
              <w:bottom w:val="single" w:sz="4" w:space="0" w:color="auto"/>
              <w:right w:val="nil"/>
            </w:tcBorders>
            <w:noWrap/>
            <w:vAlign w:val="center"/>
            <w:hideMark/>
          </w:tcPr>
          <w:p w14:paraId="04A7E677"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Skin tumorigenesis</w:t>
            </w:r>
          </w:p>
        </w:tc>
        <w:tc>
          <w:tcPr>
            <w:tcW w:w="1871" w:type="dxa"/>
            <w:tcBorders>
              <w:top w:val="single" w:sz="4" w:space="0" w:color="auto"/>
              <w:left w:val="nil"/>
              <w:bottom w:val="single" w:sz="4" w:space="0" w:color="auto"/>
              <w:right w:val="nil"/>
            </w:tcBorders>
            <w:noWrap/>
            <w:vAlign w:val="center"/>
            <w:hideMark/>
          </w:tcPr>
          <w:p w14:paraId="3FD1A861"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Topic</w:t>
            </w:r>
          </w:p>
        </w:tc>
        <w:tc>
          <w:tcPr>
            <w:tcW w:w="1871" w:type="dxa"/>
            <w:tcBorders>
              <w:top w:val="single" w:sz="4" w:space="0" w:color="auto"/>
              <w:left w:val="nil"/>
              <w:bottom w:val="single" w:sz="4" w:space="0" w:color="auto"/>
              <w:right w:val="nil"/>
            </w:tcBorders>
            <w:noWrap/>
            <w:vAlign w:val="center"/>
            <w:hideMark/>
          </w:tcPr>
          <w:p w14:paraId="69356BD3"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2.5, 25 and 250 µg/week dissolved in ethanol twice a week</w:t>
            </w:r>
          </w:p>
        </w:tc>
        <w:tc>
          <w:tcPr>
            <w:tcW w:w="2735" w:type="dxa"/>
            <w:tcBorders>
              <w:top w:val="single" w:sz="4" w:space="0" w:color="auto"/>
              <w:left w:val="nil"/>
              <w:bottom w:val="single" w:sz="4" w:space="0" w:color="auto"/>
              <w:right w:val="nil"/>
            </w:tcBorders>
            <w:noWrap/>
            <w:vAlign w:val="center"/>
            <w:hideMark/>
          </w:tcPr>
          <w:p w14:paraId="41766EA5"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The highest dose reduced skin tumor incidence and delayed the appearance of tumors.</w:t>
            </w:r>
          </w:p>
        </w:tc>
        <w:tc>
          <w:tcPr>
            <w:tcW w:w="720" w:type="dxa"/>
            <w:tcBorders>
              <w:top w:val="single" w:sz="4" w:space="0" w:color="auto"/>
              <w:left w:val="nil"/>
              <w:bottom w:val="single" w:sz="4" w:space="0" w:color="auto"/>
              <w:right w:val="nil"/>
            </w:tcBorders>
            <w:noWrap/>
            <w:vAlign w:val="center"/>
            <w:hideMark/>
          </w:tcPr>
          <w:p w14:paraId="777F867B" w14:textId="40060367" w:rsidR="004635FE" w:rsidRPr="00226CE1" w:rsidRDefault="004635FE" w:rsidP="004635FE">
            <w:pPr>
              <w:spacing w:after="0" w:line="240" w:lineRule="auto"/>
              <w:jc w:val="center"/>
              <w:rPr>
                <w:rFonts w:eastAsia="Times New Roman"/>
                <w:color w:val="000000"/>
                <w:sz w:val="22"/>
                <w:szCs w:val="22"/>
                <w:lang w:val="es-CO" w:eastAsia="es-CO"/>
              </w:rPr>
            </w:pPr>
            <w:r w:rsidRPr="00226CE1">
              <w:rPr>
                <w:color w:val="000000"/>
                <w:sz w:val="22"/>
                <w:szCs w:val="22"/>
                <w:lang w:eastAsia="es-CO"/>
              </w:rPr>
              <w:fldChar w:fldCharType="begin" w:fldLock="1"/>
            </w:r>
            <w:r w:rsidRPr="00226CE1">
              <w:rPr>
                <w:rFonts w:eastAsia="Times New Roman"/>
                <w:color w:val="000000"/>
                <w:sz w:val="22"/>
                <w:szCs w:val="22"/>
                <w:lang w:val="es-CO" w:eastAsia="es-CO"/>
              </w:rPr>
              <w:instrText>ADDIN CSL_CITATION {"citationItems":[{"id":"ITEM-1","itemData":{"abstract":"Lunasin is a unique 43-amino acid soybean peptide that contains at its carboxyl end: (a) nine Asp (D) residues; (b) an Arg-Gly-Asp (RGD) cell adhesion motif; and (c) a predicted helix with structural homology to a conserved region of chromatin-binding proteins. We demonstrated previously that transfection of mammalian cells with the lunasin gene arrests mitosis, leading to cell death. Here we show that exogenous application of the lunasin peptide inhibits chemical carcinogen-induced transformation of murine fibroblast cells to cancerous foci. To elucidate its mechanism of action, we show that lunasin: (a) internalizes in the cell through the RGD cell adhesion motif; (b) colocalizes with hypoacetylated chromatin; (c) binds preferentially to deacetylated histone H4 in vitro; and (d) inhibits histone H3 and H4 acetylation in vivo in the presence of a histone deacety-lase inhibitor. These results suggest a mechanism whereby lunasin selectively induces apoptosis, mostly in cells undergoing transformation, by preventing histone acetylation. In support of this, lunasin selectively induces apoptosis in E1A-transfected cells but not in nontransformed cells. Finally, in the SENCAR mouse skin cancer model, dermal application of lunasin (250 g/week) reduces skin tumor incidence by 70%, decreases tumor yield/mouse, and delays the appearance of tumors by 2 weeks relative to the positive control. These results point to the role of lunasin as a new chemopreventive agent that functions possibly via a chromatin modification mechanism.","author":[{"dropping-particle":"","family":"Galvez","given":"Alfredo F","non-dropping-particle":"","parse-names":false,"suffix":""},{"dropping-particle":"","family":"Chen","given":"Na","non-dropping-particle":"","parse-names":false,"suffix":""},{"dropping-particle":"","family":"Macasieb","given":"Janet","non-dropping-particle":"","parse-names":false,"suffix":""},{"dropping-particle":"","family":"Lumen","given":"Ben O","non-dropping-particle":"De","parse-names":false,"suffix":""}],"container-title":"Cancer Research","id":"ITEM-1","issued":{"date-parts":[["2001"]]},"page":"7473-7478","title":"Chemopreventive Property of a Soybean Peptide (Lunasin) That Binds to Deacetylated Histones and Inhibits Acetylation 1","type":"article-journal","volume":"61"},"uris":["http://www.mendeley.com/documents/?uuid=b3ae1f44-9d15-3e68-adf7-1e12cf86a93b"]}],"mendeley":{"formattedCitation":"[80]","plainTextFormattedCitation":"[80]","previouslyFormattedCitation":"[80]"},"properties":{"noteIndex":0},"schema":"https://github.com/citation-style-language/schema/raw/master/csl-citation.json"}</w:instrText>
            </w:r>
            <w:r w:rsidRPr="00226CE1">
              <w:rPr>
                <w:color w:val="000000"/>
                <w:sz w:val="22"/>
                <w:szCs w:val="22"/>
                <w:lang w:eastAsia="es-CO"/>
              </w:rPr>
              <w:fldChar w:fldCharType="separate"/>
            </w:r>
            <w:r w:rsidRPr="00226CE1">
              <w:rPr>
                <w:rFonts w:eastAsia="Times New Roman"/>
                <w:noProof/>
                <w:color w:val="000000"/>
                <w:sz w:val="22"/>
                <w:szCs w:val="22"/>
                <w:lang w:val="es-CO" w:eastAsia="es-CO"/>
              </w:rPr>
              <w:t>[80]</w:t>
            </w:r>
            <w:r w:rsidRPr="00226CE1">
              <w:rPr>
                <w:color w:val="000000"/>
                <w:sz w:val="22"/>
                <w:szCs w:val="22"/>
                <w:lang w:eastAsia="es-CO"/>
              </w:rPr>
              <w:fldChar w:fldCharType="end"/>
            </w:r>
          </w:p>
        </w:tc>
      </w:tr>
      <w:tr w:rsidR="004635FE" w14:paraId="2A969A0C" w14:textId="77777777" w:rsidTr="00226CE1">
        <w:trPr>
          <w:trHeight w:val="300"/>
          <w:jc w:val="center"/>
        </w:trPr>
        <w:tc>
          <w:tcPr>
            <w:tcW w:w="1584" w:type="dxa"/>
            <w:tcBorders>
              <w:top w:val="single" w:sz="4" w:space="0" w:color="auto"/>
              <w:left w:val="nil"/>
              <w:bottom w:val="single" w:sz="4" w:space="0" w:color="auto"/>
              <w:right w:val="nil"/>
            </w:tcBorders>
            <w:noWrap/>
            <w:vAlign w:val="center"/>
            <w:hideMark/>
          </w:tcPr>
          <w:p w14:paraId="11CE2FDE"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Soybeans</w:t>
            </w:r>
          </w:p>
          <w:p w14:paraId="2E0F2367"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(&gt;95%)</w:t>
            </w:r>
          </w:p>
        </w:tc>
        <w:tc>
          <w:tcPr>
            <w:tcW w:w="1871" w:type="dxa"/>
            <w:tcBorders>
              <w:top w:val="single" w:sz="4" w:space="0" w:color="auto"/>
              <w:left w:val="nil"/>
              <w:bottom w:val="single" w:sz="4" w:space="0" w:color="auto"/>
              <w:right w:val="nil"/>
            </w:tcBorders>
            <w:noWrap/>
            <w:vAlign w:val="center"/>
            <w:hideMark/>
          </w:tcPr>
          <w:p w14:paraId="15CDF266" w14:textId="77777777" w:rsidR="004635FE" w:rsidRPr="00226CE1" w:rsidRDefault="004635FE" w:rsidP="004635FE">
            <w:pPr>
              <w:spacing w:after="0" w:line="240" w:lineRule="auto"/>
              <w:jc w:val="center"/>
              <w:rPr>
                <w:rFonts w:eastAsia="Times New Roman"/>
                <w:color w:val="000000"/>
                <w:sz w:val="22"/>
                <w:szCs w:val="22"/>
                <w:lang w:val="es-CO" w:eastAsia="es-CO"/>
              </w:rPr>
            </w:pPr>
            <w:r w:rsidRPr="00226CE1">
              <w:rPr>
                <w:rFonts w:eastAsia="Times New Roman"/>
                <w:color w:val="000000"/>
                <w:sz w:val="22"/>
                <w:szCs w:val="22"/>
                <w:lang w:eastAsia="es-CO"/>
              </w:rPr>
              <w:t>Metastatic colorectal cancer</w:t>
            </w:r>
          </w:p>
        </w:tc>
        <w:tc>
          <w:tcPr>
            <w:tcW w:w="1871" w:type="dxa"/>
            <w:tcBorders>
              <w:top w:val="single" w:sz="4" w:space="0" w:color="auto"/>
              <w:left w:val="nil"/>
              <w:bottom w:val="single" w:sz="4" w:space="0" w:color="auto"/>
              <w:right w:val="nil"/>
            </w:tcBorders>
            <w:noWrap/>
            <w:vAlign w:val="center"/>
            <w:hideMark/>
          </w:tcPr>
          <w:p w14:paraId="551EF4EC"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Intraperitoneal injection vs. Oral gavage</w:t>
            </w:r>
          </w:p>
        </w:tc>
        <w:tc>
          <w:tcPr>
            <w:tcW w:w="1871" w:type="dxa"/>
            <w:tcBorders>
              <w:top w:val="single" w:sz="4" w:space="0" w:color="auto"/>
              <w:left w:val="nil"/>
              <w:bottom w:val="single" w:sz="4" w:space="0" w:color="auto"/>
              <w:right w:val="nil"/>
            </w:tcBorders>
            <w:noWrap/>
            <w:vAlign w:val="center"/>
            <w:hideMark/>
          </w:tcPr>
          <w:p w14:paraId="1FA6D761" w14:textId="41BD6521"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Intraperitoneal: 4 mg/kg daily.</w:t>
            </w:r>
          </w:p>
          <w:p w14:paraId="5EA16F51"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Oral: 8 and 20 mg/kg bw daily</w:t>
            </w:r>
          </w:p>
        </w:tc>
        <w:tc>
          <w:tcPr>
            <w:tcW w:w="2735" w:type="dxa"/>
            <w:tcBorders>
              <w:top w:val="single" w:sz="4" w:space="0" w:color="auto"/>
              <w:left w:val="nil"/>
              <w:bottom w:val="single" w:sz="4" w:space="0" w:color="auto"/>
              <w:right w:val="nil"/>
            </w:tcBorders>
            <w:noWrap/>
            <w:vAlign w:val="center"/>
            <w:hideMark/>
          </w:tcPr>
          <w:p w14:paraId="72385069"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Significant reduction of metastasis to the liver by IP but not by oral administration.</w:t>
            </w:r>
          </w:p>
        </w:tc>
        <w:tc>
          <w:tcPr>
            <w:tcW w:w="720" w:type="dxa"/>
            <w:tcBorders>
              <w:top w:val="single" w:sz="4" w:space="0" w:color="auto"/>
              <w:left w:val="nil"/>
              <w:bottom w:val="single" w:sz="4" w:space="0" w:color="auto"/>
              <w:right w:val="nil"/>
            </w:tcBorders>
            <w:noWrap/>
            <w:vAlign w:val="center"/>
            <w:hideMark/>
          </w:tcPr>
          <w:p w14:paraId="7571D21D" w14:textId="08034E56" w:rsidR="004635FE" w:rsidRPr="00226CE1" w:rsidRDefault="004635FE" w:rsidP="004635FE">
            <w:pPr>
              <w:spacing w:after="0" w:line="240" w:lineRule="auto"/>
              <w:jc w:val="center"/>
              <w:rPr>
                <w:rFonts w:eastAsia="Times New Roman"/>
                <w:color w:val="000000"/>
                <w:sz w:val="22"/>
                <w:szCs w:val="22"/>
                <w:lang w:eastAsia="es-CO"/>
              </w:rPr>
            </w:pPr>
            <w:r w:rsidRPr="00226CE1">
              <w:rPr>
                <w:color w:val="000000"/>
                <w:sz w:val="22"/>
                <w:szCs w:val="22"/>
                <w:lang w:eastAsia="es-CO"/>
              </w:rPr>
              <w:fldChar w:fldCharType="begin" w:fldLock="1"/>
            </w:r>
            <w:r w:rsidRPr="00226CE1">
              <w:rPr>
                <w:rFonts w:eastAsia="Times New Roman"/>
                <w:color w:val="000000"/>
                <w:sz w:val="22"/>
                <w:szCs w:val="22"/>
                <w:lang w:eastAsia="es-CO"/>
              </w:rPr>
              <w:instrText>ADDIN CSL_CITATION {"citationItems":[{"id":"ITEM-1","itemData":{"DOI":"10.4236/jct.2013.46a2005","ISSN":"2151-1934","abstract":"Lunasin is a bioactive peptide originally isolated from soybean and has demonstrated chemopreventive and anti-cancer properties against skin, colon and breast cancers. The objective of the study was to evaluate the capability of intraperi- toneally and orally-administered soybean-derived peptide lunasin to inhibit KM12L4 human colon cancer cell metasta- sis in a mouse model. Intraperitoneal (i.p.) injection of lunasin (4 mg/kg bw/day) reduced the number of liver metastasis by 50% (P = 0.047) and the liver weight/body weight ratio by 23% (P = 0.039). Oral administration of lunasin reduced the number of liver metastasis by 56% (8 mg/kg bw/day, P = 0.293) and 94% (20 mg/kg bw/day, P = 0.247). Immuno- histochemical staining of the liver-tissue section showed that lunasin at 20 mg/kg bw dose did not significantly reduce the expression of proliferating cell nuclear antigen, increased the expression of proapoptotic Bax by 2.7-fold but also increased the expression of the antiapoptotic Bcl-2 by 3.8-fold. Regarding epigenetic markers, H3K18 was not signifi-cantly affected by either oral dose while H4K8 was dose dependently increased by 2.3-fold (P = 0.001, 8 mg/kg bw) and 2.7-fold (P &lt; 0.001, 20 mg/kg bw). On the other hand, i.p. injection of lunasin reduced both histone acetylation markers significantly. The difference on the effects can be attributed to the different routes of administration used lead-ing to digestion of lunasin when given by oral gavage. In conclusion, lunasin reduced colon cancer metastasis in vivo; however, more studies are needed to determine the oral dose of lunasin and prevent colon cancer metastasis.","author":[{"dropping-particle":"","family":"Dia","given":"Vermont P.","non-dropping-particle":"","parse-names":false,"suffix":""},{"dropping-particle":"de","family":"Mejia","given":"Elvira Gonzalez","non-dropping-particle":"","parse-names":false,"suffix":""}],"container-title":"Journal of Cancer Therapy","id":"ITEM-1","issue":"06","issued":{"date-parts":[["2013","7","5"]]},"page":"34-43","publisher":"Scientific Research Publishing, Inc,","title":"Potential of Lunasin Orally-Administered in Comparison to Intraperitoneal Injection to Inhibit Colon Cancer Metastasis &amp;lt;i&amp;gt;in Vivo&amp;lt;/i&amp;gt;","type":"article-journal","volume":"04"},"uris":["http://www.mendeley.com/documents/?uuid=abfd06cf-91bd-3253-bd22-f92da020eff8"]}],"mendeley":{"formattedCitation":"[110]","plainTextFormattedCitation":"[110]","previouslyFormattedCitation":"[110]"},"properties":{"noteIndex":0},"schema":"https://github.com/citation-style-language/schema/raw/master/csl-citation.json"}</w:instrText>
            </w:r>
            <w:r w:rsidRPr="00226CE1">
              <w:rPr>
                <w:color w:val="000000"/>
                <w:sz w:val="22"/>
                <w:szCs w:val="22"/>
                <w:lang w:eastAsia="es-CO"/>
              </w:rPr>
              <w:fldChar w:fldCharType="separate"/>
            </w:r>
            <w:r w:rsidRPr="00226CE1">
              <w:rPr>
                <w:rFonts w:eastAsia="Times New Roman"/>
                <w:noProof/>
                <w:color w:val="000000"/>
                <w:sz w:val="22"/>
                <w:szCs w:val="22"/>
                <w:lang w:eastAsia="es-CO"/>
              </w:rPr>
              <w:t>[110]</w:t>
            </w:r>
            <w:r w:rsidRPr="00226CE1">
              <w:rPr>
                <w:color w:val="000000"/>
                <w:sz w:val="22"/>
                <w:szCs w:val="22"/>
                <w:lang w:eastAsia="es-CO"/>
              </w:rPr>
              <w:fldChar w:fldCharType="end"/>
            </w:r>
          </w:p>
        </w:tc>
      </w:tr>
      <w:tr w:rsidR="004635FE" w14:paraId="0977FA35" w14:textId="77777777" w:rsidTr="00226CE1">
        <w:trPr>
          <w:trHeight w:val="300"/>
          <w:jc w:val="center"/>
        </w:trPr>
        <w:tc>
          <w:tcPr>
            <w:tcW w:w="1584" w:type="dxa"/>
            <w:tcBorders>
              <w:top w:val="single" w:sz="4" w:space="0" w:color="auto"/>
              <w:left w:val="nil"/>
              <w:bottom w:val="single" w:sz="4" w:space="0" w:color="auto"/>
              <w:right w:val="nil"/>
            </w:tcBorders>
            <w:noWrap/>
            <w:vAlign w:val="center"/>
            <w:hideMark/>
          </w:tcPr>
          <w:p w14:paraId="6EA08D68"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Soybeans</w:t>
            </w:r>
          </w:p>
          <w:p w14:paraId="205DC0D3" w14:textId="77777777" w:rsidR="004635FE" w:rsidRPr="00226CE1" w:rsidRDefault="004635FE" w:rsidP="004635FE">
            <w:pPr>
              <w:spacing w:after="0" w:line="240" w:lineRule="auto"/>
              <w:jc w:val="center"/>
              <w:rPr>
                <w:rFonts w:eastAsia="Times New Roman"/>
                <w:color w:val="000000"/>
                <w:sz w:val="22"/>
                <w:szCs w:val="22"/>
                <w:lang w:val="es-CO" w:eastAsia="es-CO"/>
              </w:rPr>
            </w:pPr>
            <w:r w:rsidRPr="00226CE1">
              <w:rPr>
                <w:rFonts w:eastAsia="Times New Roman"/>
                <w:color w:val="000000"/>
                <w:sz w:val="22"/>
                <w:szCs w:val="22"/>
                <w:lang w:eastAsia="es-CO"/>
              </w:rPr>
              <w:t>(&gt;95%)</w:t>
            </w:r>
          </w:p>
        </w:tc>
        <w:tc>
          <w:tcPr>
            <w:tcW w:w="1871" w:type="dxa"/>
            <w:tcBorders>
              <w:top w:val="single" w:sz="4" w:space="0" w:color="auto"/>
              <w:left w:val="nil"/>
              <w:bottom w:val="single" w:sz="4" w:space="0" w:color="auto"/>
              <w:right w:val="nil"/>
            </w:tcBorders>
            <w:noWrap/>
            <w:vAlign w:val="center"/>
            <w:hideMark/>
          </w:tcPr>
          <w:p w14:paraId="47BB23D0"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Non-small cell lung cancer</w:t>
            </w:r>
          </w:p>
          <w:p w14:paraId="7159AF23"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(NSCLC)</w:t>
            </w:r>
          </w:p>
        </w:tc>
        <w:tc>
          <w:tcPr>
            <w:tcW w:w="1871" w:type="dxa"/>
            <w:tcBorders>
              <w:top w:val="single" w:sz="4" w:space="0" w:color="auto"/>
              <w:left w:val="nil"/>
              <w:bottom w:val="single" w:sz="4" w:space="0" w:color="auto"/>
              <w:right w:val="nil"/>
            </w:tcBorders>
            <w:noWrap/>
            <w:vAlign w:val="center"/>
            <w:hideMark/>
          </w:tcPr>
          <w:p w14:paraId="6A8B4E2C" w14:textId="77777777" w:rsidR="004635FE" w:rsidRPr="00226CE1" w:rsidRDefault="004635FE" w:rsidP="004635FE">
            <w:pPr>
              <w:spacing w:after="0" w:line="240" w:lineRule="auto"/>
              <w:jc w:val="center"/>
              <w:rPr>
                <w:rFonts w:eastAsia="Times New Roman"/>
                <w:color w:val="000000"/>
                <w:sz w:val="22"/>
                <w:szCs w:val="22"/>
                <w:lang w:val="es-CO" w:eastAsia="es-CO"/>
              </w:rPr>
            </w:pPr>
            <w:r w:rsidRPr="00226CE1">
              <w:rPr>
                <w:rFonts w:eastAsia="Times New Roman"/>
                <w:color w:val="000000"/>
                <w:sz w:val="22"/>
                <w:szCs w:val="22"/>
                <w:lang w:eastAsia="es-CO"/>
              </w:rPr>
              <w:t>Intraperitoneal injection</w:t>
            </w:r>
          </w:p>
        </w:tc>
        <w:tc>
          <w:tcPr>
            <w:tcW w:w="1871" w:type="dxa"/>
            <w:tcBorders>
              <w:top w:val="single" w:sz="4" w:space="0" w:color="auto"/>
              <w:left w:val="nil"/>
              <w:bottom w:val="single" w:sz="4" w:space="0" w:color="auto"/>
              <w:right w:val="nil"/>
            </w:tcBorders>
            <w:noWrap/>
            <w:vAlign w:val="center"/>
            <w:hideMark/>
          </w:tcPr>
          <w:p w14:paraId="7D42CD97" w14:textId="19DD6D3F"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30 mg/kg bw daily</w:t>
            </w:r>
          </w:p>
        </w:tc>
        <w:tc>
          <w:tcPr>
            <w:tcW w:w="2735" w:type="dxa"/>
            <w:tcBorders>
              <w:top w:val="single" w:sz="4" w:space="0" w:color="auto"/>
              <w:left w:val="nil"/>
              <w:bottom w:val="single" w:sz="4" w:space="0" w:color="auto"/>
              <w:right w:val="nil"/>
            </w:tcBorders>
            <w:noWrap/>
            <w:vAlign w:val="center"/>
            <w:hideMark/>
          </w:tcPr>
          <w:p w14:paraId="06D6115F" w14:textId="77777777" w:rsidR="004635FE" w:rsidRPr="00226CE1" w:rsidRDefault="004635FE" w:rsidP="004635FE">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Significant reduction of tumor size over time.</w:t>
            </w:r>
          </w:p>
        </w:tc>
        <w:tc>
          <w:tcPr>
            <w:tcW w:w="720" w:type="dxa"/>
            <w:tcBorders>
              <w:top w:val="single" w:sz="4" w:space="0" w:color="auto"/>
              <w:left w:val="nil"/>
              <w:bottom w:val="single" w:sz="4" w:space="0" w:color="auto"/>
              <w:right w:val="nil"/>
            </w:tcBorders>
            <w:noWrap/>
            <w:vAlign w:val="center"/>
            <w:hideMark/>
          </w:tcPr>
          <w:p w14:paraId="5D651232" w14:textId="2AA90E1B" w:rsidR="004635FE" w:rsidRPr="00226CE1" w:rsidRDefault="004635FE" w:rsidP="004635FE">
            <w:pPr>
              <w:spacing w:after="0" w:line="240" w:lineRule="auto"/>
              <w:jc w:val="center"/>
              <w:rPr>
                <w:rFonts w:eastAsia="Times New Roman"/>
                <w:color w:val="000000"/>
                <w:sz w:val="22"/>
                <w:szCs w:val="22"/>
                <w:lang w:eastAsia="es-CO"/>
              </w:rPr>
            </w:pPr>
            <w:r w:rsidRPr="00226CE1">
              <w:rPr>
                <w:color w:val="000000"/>
                <w:sz w:val="22"/>
                <w:szCs w:val="22"/>
                <w:lang w:eastAsia="es-CO"/>
              </w:rPr>
              <w:fldChar w:fldCharType="begin" w:fldLock="1"/>
            </w:r>
            <w:r w:rsidRPr="00226CE1">
              <w:rPr>
                <w:rFonts w:eastAsia="Times New Roman"/>
                <w:color w:val="000000"/>
                <w:sz w:val="22"/>
                <w:szCs w:val="22"/>
                <w:lang w:eastAsia="es-CO"/>
              </w:rPr>
              <w:instrText>ADDIN CSL_CITATION {"citationItems":[{"id":"ITEM-1","itemData":{"DOI":"10.18632/oncotarget.3080","ISSN":"19492553","PMID":"25609198","abstract":"Lunasin, a soybean bioactive peptide, has both chemopreventive and chemotherapeutic activities. The aim of this study was to determine the chemotherapeutic potential of lunasin against human lung cancer. Treatment of non-small cell lung cancer (NSCLC) cells with highly purified soybean-derived lunasin caused limited, cell-line specific anti-proliferative effects on anchoragedependent growth whereas two normal bronchial epithelial cell lines were unaffected. Lunasin's antiproliferative effects were potentiated upon utilization of anchorageindependent conditions. Furthermore, NSCLC cell lines that were unaffected by lunasin in anchorage-dependent assays exhibited a dose-dependent inhibition in colony formation or colony size. Mouse xenograft studies revealed that 30 mg lunasin/kg body weight per day decreased NSCLC H1299 tumor volume by 63.0% at day 32. Mechanistic studies using cultured NSCLC H661 cells showed that lunasin inhibited cell cycle progression at the G1/S phase interface without inducing apoptosis. Immunoblot analyses of key cell-cycle proteins demonstrated that lunasin altered the expression of the G1 specific cyclin-dependent kinase complex components, increased levels of p27Kip1, reduced levels of phosphorylated Akt, and ultimately inhibited the sequential phosphorylation of the retinoblastoma protein (RB). These results establish for the first time that lunasin can inhibit NSCLC proliferation by suppressing cell-cycle dependent phosphorylation of RB.","author":[{"dropping-particle":"","family":"McConnell","given":"Elizabeth J.","non-dropping-particle":"","parse-names":false,"suffix":""},{"dropping-particle":"","family":"Devapatla","given":"Bharat","non-dropping-particle":"","parse-names":false,"suffix":""},{"dropping-particle":"","family":"Yaddanapudi","given":"Kavitha","non-dropping-particle":"","parse-names":false,"suffix":""},{"dropping-particle":"","family":"Davis","given":"Keith R.","non-dropping-particle":"","parse-names":false,"suffix":""}],"container-title":"Oncotarget","id":"ITEM-1","issue":"7","issued":{"date-parts":[["2015"]]},"page":"4649-4662","title":"The soybean-derived peptide lunasin inhibits non-small cell lung cancer cell proliferation by suppressing phosphorylation of the retinoblastoma protein","type":"article-journal","volume":"6"},"uris":["http://www.mendeley.com/documents/?uuid=9fb0e240-71cd-471a-a5d9-71b80da57c3f"]}],"mendeley":{"formattedCitation":"[90]","plainTextFormattedCitation":"[90]","previouslyFormattedCitation":"[90]"},"properties":{"noteIndex":0},"schema":"https://github.com/citation-style-language/schema/raw/master/csl-citation.json"}</w:instrText>
            </w:r>
            <w:r w:rsidRPr="00226CE1">
              <w:rPr>
                <w:color w:val="000000"/>
                <w:sz w:val="22"/>
                <w:szCs w:val="22"/>
                <w:lang w:eastAsia="es-CO"/>
              </w:rPr>
              <w:fldChar w:fldCharType="separate"/>
            </w:r>
            <w:r w:rsidRPr="00226CE1">
              <w:rPr>
                <w:rFonts w:eastAsia="Times New Roman"/>
                <w:noProof/>
                <w:color w:val="000000"/>
                <w:sz w:val="22"/>
                <w:szCs w:val="22"/>
                <w:lang w:eastAsia="es-CO"/>
              </w:rPr>
              <w:t>[90]</w:t>
            </w:r>
            <w:r w:rsidRPr="00226CE1">
              <w:rPr>
                <w:color w:val="000000"/>
                <w:sz w:val="22"/>
                <w:szCs w:val="22"/>
                <w:lang w:eastAsia="es-CO"/>
              </w:rPr>
              <w:fldChar w:fldCharType="end"/>
            </w:r>
          </w:p>
        </w:tc>
      </w:tr>
    </w:tbl>
    <w:p w14:paraId="6A710D36" w14:textId="08C237F2" w:rsidR="00226CE1" w:rsidRDefault="00226CE1"/>
    <w:p w14:paraId="1DE8E534" w14:textId="77777777" w:rsidR="00226CE1" w:rsidRDefault="00226CE1">
      <w:r>
        <w:br w:type="page"/>
      </w:r>
    </w:p>
    <w:p w14:paraId="7FAF7256" w14:textId="07CE284A" w:rsidR="00226CE1" w:rsidRDefault="00226CE1" w:rsidP="00226CE1">
      <w:pPr>
        <w:spacing w:line="480" w:lineRule="auto"/>
        <w:jc w:val="center"/>
      </w:pPr>
      <w:r w:rsidRPr="00226CE1">
        <w:rPr>
          <w:b/>
          <w:bCs/>
        </w:rPr>
        <w:lastRenderedPageBreak/>
        <w:t>Table 1.1</w:t>
      </w:r>
      <w:r>
        <w:t xml:space="preserve"> Continued</w:t>
      </w:r>
    </w:p>
    <w:tbl>
      <w:tblPr>
        <w:tblStyle w:val="TableNormal1"/>
        <w:tblW w:w="10652" w:type="dxa"/>
        <w:jc w:val="center"/>
        <w:tblInd w:w="0" w:type="dxa"/>
        <w:tblLayout w:type="fixed"/>
        <w:tblCellMar>
          <w:left w:w="70" w:type="dxa"/>
          <w:right w:w="70" w:type="dxa"/>
        </w:tblCellMar>
        <w:tblLook w:val="04A0" w:firstRow="1" w:lastRow="0" w:firstColumn="1" w:lastColumn="0" w:noHBand="0" w:noVBand="1"/>
      </w:tblPr>
      <w:tblGrid>
        <w:gridCol w:w="1584"/>
        <w:gridCol w:w="1871"/>
        <w:gridCol w:w="1871"/>
        <w:gridCol w:w="1871"/>
        <w:gridCol w:w="2735"/>
        <w:gridCol w:w="720"/>
      </w:tblGrid>
      <w:tr w:rsidR="004635FE" w:rsidRPr="00226CE1" w14:paraId="6B2C9578" w14:textId="77777777" w:rsidTr="00226CE1">
        <w:trPr>
          <w:trHeight w:val="300"/>
          <w:jc w:val="center"/>
        </w:trPr>
        <w:tc>
          <w:tcPr>
            <w:tcW w:w="1584" w:type="dxa"/>
            <w:tcBorders>
              <w:top w:val="single" w:sz="4" w:space="0" w:color="auto"/>
              <w:left w:val="nil"/>
              <w:bottom w:val="single" w:sz="4" w:space="0" w:color="auto"/>
              <w:right w:val="nil"/>
            </w:tcBorders>
            <w:noWrap/>
            <w:vAlign w:val="center"/>
            <w:hideMark/>
          </w:tcPr>
          <w:p w14:paraId="5AC68843" w14:textId="77777777" w:rsidR="004635FE" w:rsidRPr="00226CE1" w:rsidRDefault="004635FE" w:rsidP="00226CE1">
            <w:pPr>
              <w:spacing w:after="0" w:line="240" w:lineRule="auto"/>
              <w:jc w:val="center"/>
              <w:rPr>
                <w:rFonts w:eastAsia="Times New Roman"/>
                <w:b/>
                <w:bCs/>
                <w:color w:val="000000"/>
                <w:sz w:val="22"/>
                <w:szCs w:val="22"/>
                <w:lang w:eastAsia="es-CO"/>
              </w:rPr>
            </w:pPr>
            <w:r w:rsidRPr="00226CE1">
              <w:rPr>
                <w:rFonts w:eastAsia="Times New Roman"/>
                <w:b/>
                <w:bCs/>
                <w:color w:val="000000"/>
                <w:sz w:val="22"/>
                <w:szCs w:val="22"/>
                <w:lang w:eastAsia="es-CO"/>
              </w:rPr>
              <w:t>Source</w:t>
            </w:r>
          </w:p>
          <w:p w14:paraId="0D665759" w14:textId="77777777" w:rsidR="004635FE" w:rsidRPr="00226CE1" w:rsidRDefault="004635FE" w:rsidP="00226CE1">
            <w:pPr>
              <w:spacing w:after="0" w:line="240" w:lineRule="auto"/>
              <w:jc w:val="center"/>
              <w:rPr>
                <w:rFonts w:eastAsia="Times New Roman"/>
                <w:b/>
                <w:bCs/>
                <w:color w:val="000000"/>
                <w:sz w:val="22"/>
                <w:szCs w:val="22"/>
                <w:lang w:eastAsia="es-CO"/>
              </w:rPr>
            </w:pPr>
            <w:r w:rsidRPr="00226CE1">
              <w:rPr>
                <w:rFonts w:eastAsia="Times New Roman"/>
                <w:b/>
                <w:bCs/>
                <w:color w:val="000000"/>
                <w:sz w:val="22"/>
                <w:szCs w:val="22"/>
                <w:lang w:eastAsia="es-CO"/>
              </w:rPr>
              <w:t>(Purity)</w:t>
            </w:r>
          </w:p>
        </w:tc>
        <w:tc>
          <w:tcPr>
            <w:tcW w:w="1871" w:type="dxa"/>
            <w:tcBorders>
              <w:top w:val="single" w:sz="4" w:space="0" w:color="auto"/>
              <w:left w:val="nil"/>
              <w:bottom w:val="single" w:sz="4" w:space="0" w:color="auto"/>
              <w:right w:val="nil"/>
            </w:tcBorders>
            <w:noWrap/>
            <w:vAlign w:val="center"/>
            <w:hideMark/>
          </w:tcPr>
          <w:p w14:paraId="2A319F1D" w14:textId="77777777" w:rsidR="004635FE" w:rsidRPr="00226CE1" w:rsidRDefault="004635FE" w:rsidP="00226CE1">
            <w:pPr>
              <w:spacing w:after="0" w:line="240" w:lineRule="auto"/>
              <w:jc w:val="center"/>
              <w:rPr>
                <w:rFonts w:eastAsia="Times New Roman"/>
                <w:b/>
                <w:bCs/>
                <w:color w:val="000000"/>
                <w:sz w:val="22"/>
                <w:szCs w:val="22"/>
                <w:lang w:val="es-CO" w:eastAsia="es-CO"/>
              </w:rPr>
            </w:pPr>
            <w:r w:rsidRPr="00226CE1">
              <w:rPr>
                <w:rFonts w:eastAsia="Times New Roman"/>
                <w:b/>
                <w:bCs/>
                <w:color w:val="000000"/>
                <w:sz w:val="22"/>
                <w:szCs w:val="22"/>
                <w:lang w:val="es-CO" w:eastAsia="es-CO"/>
              </w:rPr>
              <w:t>Disease Model</w:t>
            </w:r>
          </w:p>
        </w:tc>
        <w:tc>
          <w:tcPr>
            <w:tcW w:w="1871" w:type="dxa"/>
            <w:tcBorders>
              <w:top w:val="single" w:sz="4" w:space="0" w:color="auto"/>
              <w:left w:val="nil"/>
              <w:bottom w:val="single" w:sz="4" w:space="0" w:color="auto"/>
              <w:right w:val="nil"/>
            </w:tcBorders>
            <w:noWrap/>
            <w:vAlign w:val="center"/>
            <w:hideMark/>
          </w:tcPr>
          <w:p w14:paraId="01DC5C3D" w14:textId="77777777" w:rsidR="004635FE" w:rsidRPr="00226CE1" w:rsidRDefault="004635FE" w:rsidP="00226CE1">
            <w:pPr>
              <w:spacing w:after="0" w:line="240" w:lineRule="auto"/>
              <w:jc w:val="center"/>
              <w:rPr>
                <w:rFonts w:eastAsia="Times New Roman"/>
                <w:b/>
                <w:bCs/>
                <w:color w:val="000000"/>
                <w:sz w:val="22"/>
                <w:szCs w:val="22"/>
                <w:lang w:val="es-CO" w:eastAsia="es-CO"/>
              </w:rPr>
            </w:pPr>
            <w:r w:rsidRPr="00226CE1">
              <w:rPr>
                <w:rFonts w:eastAsia="Times New Roman"/>
                <w:b/>
                <w:bCs/>
                <w:color w:val="000000"/>
                <w:sz w:val="22"/>
                <w:szCs w:val="22"/>
                <w:lang w:val="es-CO" w:eastAsia="es-CO"/>
              </w:rPr>
              <w:t>Route of administration</w:t>
            </w:r>
          </w:p>
        </w:tc>
        <w:tc>
          <w:tcPr>
            <w:tcW w:w="1871" w:type="dxa"/>
            <w:tcBorders>
              <w:top w:val="single" w:sz="4" w:space="0" w:color="auto"/>
              <w:left w:val="nil"/>
              <w:bottom w:val="single" w:sz="4" w:space="0" w:color="auto"/>
              <w:right w:val="nil"/>
            </w:tcBorders>
            <w:noWrap/>
            <w:vAlign w:val="center"/>
            <w:hideMark/>
          </w:tcPr>
          <w:p w14:paraId="7DCB34A6" w14:textId="77777777" w:rsidR="004635FE" w:rsidRPr="00226CE1" w:rsidRDefault="004635FE" w:rsidP="00226CE1">
            <w:pPr>
              <w:spacing w:after="0" w:line="240" w:lineRule="auto"/>
              <w:jc w:val="center"/>
              <w:rPr>
                <w:rFonts w:eastAsia="Times New Roman"/>
                <w:b/>
                <w:bCs/>
                <w:color w:val="000000"/>
                <w:sz w:val="22"/>
                <w:szCs w:val="22"/>
                <w:lang w:val="es-CO" w:eastAsia="es-CO"/>
              </w:rPr>
            </w:pPr>
            <w:r w:rsidRPr="00226CE1">
              <w:rPr>
                <w:rFonts w:eastAsia="Times New Roman"/>
                <w:b/>
                <w:bCs/>
                <w:color w:val="000000"/>
                <w:sz w:val="22"/>
                <w:szCs w:val="22"/>
                <w:lang w:val="es-CO" w:eastAsia="es-CO"/>
              </w:rPr>
              <w:t>Dosage</w:t>
            </w:r>
          </w:p>
        </w:tc>
        <w:tc>
          <w:tcPr>
            <w:tcW w:w="2735" w:type="dxa"/>
            <w:tcBorders>
              <w:top w:val="single" w:sz="4" w:space="0" w:color="auto"/>
              <w:left w:val="nil"/>
              <w:bottom w:val="single" w:sz="4" w:space="0" w:color="auto"/>
              <w:right w:val="nil"/>
            </w:tcBorders>
            <w:noWrap/>
            <w:vAlign w:val="center"/>
            <w:hideMark/>
          </w:tcPr>
          <w:p w14:paraId="77AFAFC0" w14:textId="77777777" w:rsidR="004635FE" w:rsidRPr="00226CE1" w:rsidRDefault="004635FE" w:rsidP="00226CE1">
            <w:pPr>
              <w:spacing w:after="0" w:line="240" w:lineRule="auto"/>
              <w:jc w:val="center"/>
              <w:rPr>
                <w:rFonts w:eastAsia="Times New Roman"/>
                <w:b/>
                <w:bCs/>
                <w:color w:val="000000"/>
                <w:sz w:val="22"/>
                <w:szCs w:val="22"/>
                <w:lang w:val="es-CO" w:eastAsia="es-CO"/>
              </w:rPr>
            </w:pPr>
            <w:r w:rsidRPr="00226CE1">
              <w:rPr>
                <w:rFonts w:eastAsia="Times New Roman"/>
                <w:b/>
                <w:bCs/>
                <w:color w:val="000000"/>
                <w:sz w:val="22"/>
                <w:szCs w:val="22"/>
                <w:lang w:val="es-CO" w:eastAsia="es-CO"/>
              </w:rPr>
              <w:t>Observed results</w:t>
            </w:r>
          </w:p>
        </w:tc>
        <w:tc>
          <w:tcPr>
            <w:tcW w:w="720" w:type="dxa"/>
            <w:tcBorders>
              <w:top w:val="single" w:sz="4" w:space="0" w:color="auto"/>
              <w:left w:val="nil"/>
              <w:bottom w:val="single" w:sz="4" w:space="0" w:color="auto"/>
              <w:right w:val="nil"/>
            </w:tcBorders>
            <w:noWrap/>
            <w:vAlign w:val="center"/>
            <w:hideMark/>
          </w:tcPr>
          <w:p w14:paraId="29F65BCD" w14:textId="2C5F36BC" w:rsidR="004635FE" w:rsidRPr="00226CE1" w:rsidRDefault="004635FE" w:rsidP="00226CE1">
            <w:pPr>
              <w:spacing w:after="0" w:line="240" w:lineRule="auto"/>
              <w:jc w:val="center"/>
              <w:rPr>
                <w:rFonts w:eastAsia="Times New Roman"/>
                <w:b/>
                <w:bCs/>
                <w:color w:val="000000"/>
                <w:sz w:val="22"/>
                <w:szCs w:val="22"/>
                <w:lang w:val="es-CO" w:eastAsia="es-CO"/>
              </w:rPr>
            </w:pPr>
            <w:r w:rsidRPr="00226CE1">
              <w:rPr>
                <w:rFonts w:eastAsia="Times New Roman"/>
                <w:b/>
                <w:bCs/>
                <w:color w:val="000000"/>
                <w:sz w:val="22"/>
                <w:szCs w:val="22"/>
                <w:lang w:val="es-CO" w:eastAsia="es-CO"/>
              </w:rPr>
              <w:t>Ref.</w:t>
            </w:r>
          </w:p>
        </w:tc>
      </w:tr>
      <w:tr w:rsidR="004635FE" w:rsidRPr="00226CE1" w14:paraId="221C1CF1" w14:textId="77777777" w:rsidTr="00226CE1">
        <w:trPr>
          <w:trHeight w:val="300"/>
          <w:jc w:val="center"/>
        </w:trPr>
        <w:tc>
          <w:tcPr>
            <w:tcW w:w="1584" w:type="dxa"/>
            <w:tcBorders>
              <w:top w:val="single" w:sz="4" w:space="0" w:color="auto"/>
              <w:left w:val="nil"/>
              <w:bottom w:val="single" w:sz="4" w:space="0" w:color="auto"/>
              <w:right w:val="nil"/>
            </w:tcBorders>
            <w:noWrap/>
            <w:vAlign w:val="center"/>
            <w:hideMark/>
          </w:tcPr>
          <w:p w14:paraId="286F202B" w14:textId="77777777"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Soybeans</w:t>
            </w:r>
          </w:p>
          <w:p w14:paraId="4A31E9F6" w14:textId="77777777"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(&gt;90%)</w:t>
            </w:r>
          </w:p>
        </w:tc>
        <w:tc>
          <w:tcPr>
            <w:tcW w:w="1871" w:type="dxa"/>
            <w:tcBorders>
              <w:top w:val="single" w:sz="4" w:space="0" w:color="auto"/>
              <w:left w:val="nil"/>
              <w:bottom w:val="single" w:sz="4" w:space="0" w:color="auto"/>
              <w:right w:val="nil"/>
            </w:tcBorders>
            <w:noWrap/>
            <w:vAlign w:val="center"/>
            <w:hideMark/>
          </w:tcPr>
          <w:p w14:paraId="77E9621F" w14:textId="77777777"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Metastatic colorectal cancer</w:t>
            </w:r>
          </w:p>
        </w:tc>
        <w:tc>
          <w:tcPr>
            <w:tcW w:w="1871" w:type="dxa"/>
            <w:tcBorders>
              <w:top w:val="single" w:sz="4" w:space="0" w:color="auto"/>
              <w:left w:val="nil"/>
              <w:bottom w:val="single" w:sz="4" w:space="0" w:color="auto"/>
              <w:right w:val="nil"/>
            </w:tcBorders>
            <w:noWrap/>
            <w:vAlign w:val="center"/>
            <w:hideMark/>
          </w:tcPr>
          <w:p w14:paraId="2166C0ED" w14:textId="77777777"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Intraperitoneal injection</w:t>
            </w:r>
          </w:p>
        </w:tc>
        <w:tc>
          <w:tcPr>
            <w:tcW w:w="1871" w:type="dxa"/>
            <w:tcBorders>
              <w:top w:val="single" w:sz="4" w:space="0" w:color="auto"/>
              <w:left w:val="nil"/>
              <w:bottom w:val="single" w:sz="4" w:space="0" w:color="auto"/>
              <w:right w:val="nil"/>
            </w:tcBorders>
            <w:noWrap/>
            <w:vAlign w:val="center"/>
            <w:hideMark/>
          </w:tcPr>
          <w:p w14:paraId="7E041085" w14:textId="77777777"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4 mg/kg bw alone daily or with oxaliplatin twice a week</w:t>
            </w:r>
          </w:p>
        </w:tc>
        <w:tc>
          <w:tcPr>
            <w:tcW w:w="2735" w:type="dxa"/>
            <w:tcBorders>
              <w:top w:val="single" w:sz="4" w:space="0" w:color="auto"/>
              <w:left w:val="nil"/>
              <w:bottom w:val="single" w:sz="4" w:space="0" w:color="auto"/>
              <w:right w:val="nil"/>
            </w:tcBorders>
            <w:noWrap/>
            <w:vAlign w:val="center"/>
            <w:hideMark/>
          </w:tcPr>
          <w:p w14:paraId="7CFAC901" w14:textId="7BD5C060"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Inhibition of metastasis to the liver and potentiated effect of oxaliplatin</w:t>
            </w:r>
          </w:p>
        </w:tc>
        <w:tc>
          <w:tcPr>
            <w:tcW w:w="720" w:type="dxa"/>
            <w:tcBorders>
              <w:top w:val="single" w:sz="4" w:space="0" w:color="auto"/>
              <w:left w:val="nil"/>
              <w:bottom w:val="single" w:sz="4" w:space="0" w:color="auto"/>
              <w:right w:val="nil"/>
            </w:tcBorders>
            <w:noWrap/>
            <w:vAlign w:val="center"/>
            <w:hideMark/>
          </w:tcPr>
          <w:p w14:paraId="3BFE33F5" w14:textId="3FA61AE4" w:rsidR="004635FE" w:rsidRPr="00226CE1" w:rsidRDefault="004635FE" w:rsidP="00226CE1">
            <w:pPr>
              <w:spacing w:after="0" w:line="240" w:lineRule="auto"/>
              <w:jc w:val="center"/>
              <w:rPr>
                <w:rFonts w:eastAsia="Times New Roman"/>
                <w:color w:val="000000"/>
                <w:sz w:val="22"/>
                <w:szCs w:val="22"/>
                <w:lang w:eastAsia="es-CO"/>
              </w:rPr>
            </w:pPr>
            <w:r w:rsidRPr="00226CE1">
              <w:rPr>
                <w:color w:val="000000"/>
                <w:sz w:val="22"/>
                <w:szCs w:val="22"/>
                <w:lang w:eastAsia="es-CO"/>
              </w:rPr>
              <w:fldChar w:fldCharType="begin" w:fldLock="1"/>
            </w:r>
            <w:r w:rsidRPr="00226CE1">
              <w:rPr>
                <w:rFonts w:eastAsia="Times New Roman"/>
                <w:color w:val="000000"/>
                <w:sz w:val="22"/>
                <w:szCs w:val="22"/>
                <w:lang w:eastAsia="es-CO"/>
              </w:rPr>
              <w:instrText>ADDIN CSL_CITATION {"citationItems":[{"id":"ITEM-1","itemData":{"DOI":"10.1016/j.canlet.2011.09.002","ISSN":"03043835","PMID":"21963225","abstract":"The effect of lunasin on colon cancer metastasis was studied using three human colon cancer cell lines in vitro and a liver metastasis model of colon cancer in vivo. Lunasin bound with α 5β 1 integrin and internalized into the nucleus of KM12L4 human colon cancer cells. Lunasin (10μM) inhibited the activation of focal adhesion kinase (FAK) by 28%, 39% and 60% in RKO, HCT-116 and KM12L4 human colon cancer cells, respectively. Lunasin caused an increase in the expression of the inhibitor of kappa B alpha (IκB-α), a decrease in nuclear p50 NF-κB and a reduction in the migration of cancer cells. Lunasin (4mg/kg bw) inhibited metastasis and potentiated the effect of oxaliplatin by reducing the expression of proliferating cell nuclear antigen. Liver metastatic nodules were reduced from 28 (PBS) to 14 (lunasin, P=0.047) while combination of lunasin and oxaliplatin to 5 (P=0.004). The tumor burden was reduced from 0.13 (PBS) to 0.10 (lunasin, P=0.039) to 0.04 (lunasin+oxaliplatin, P&lt;0.0001). Moreover, lunasin potentiated the effect of oxaliplatin in modifying expression of proteins involved in apoptosis and metastasis including Bax, Bcl-2, IKK-α and p-p65. Lunasin inhibited metastasis of human colon cancer cells by direct binding with α 5β 1 integrin suppressing FAK/ERK/NF-κB signaling, and potentiated the effect of oxaliplatin in preventing the outgrowth of metastasis. © 2011 Elsevier Ireland Ltd.","author":[{"dropping-particle":"","family":"Dia","given":"Vermont P.","non-dropping-particle":"","parse-names":false,"suffix":""},{"dropping-particle":"","family":"Gonzalez de Mejia","given":"Elvira","non-dropping-particle":"","parse-names":false,"suffix":""}],"container-title":"Cancer Letters","id":"ITEM-1","issue":"2","issued":{"date-parts":[["2011","12","27"]]},"page":"167-180","publisher":"Elsevier","title":"Lunasin potentiates the effect of oxaliplatin preventing outgrowth of colon cancer metastasis, binds to α 5β 1 integrin and suppresses FAK/ERK/NF-κB signaling","type":"article-journal","volume":"313"},"uris":["http://www.mendeley.com/documents/?uuid=71d1b443-faab-3d4f-b6fd-77f2a2e08952"]}],"mendeley":{"formattedCitation":"[109]","plainTextFormattedCitation":"[109]","previouslyFormattedCitation":"[109]"},"properties":{"noteIndex":0},"schema":"https://github.com/citation-style-language/schema/raw/master/csl-citation.json"}</w:instrText>
            </w:r>
            <w:r w:rsidRPr="00226CE1">
              <w:rPr>
                <w:color w:val="000000"/>
                <w:sz w:val="22"/>
                <w:szCs w:val="22"/>
                <w:lang w:eastAsia="es-CO"/>
              </w:rPr>
              <w:fldChar w:fldCharType="separate"/>
            </w:r>
            <w:r w:rsidRPr="00226CE1">
              <w:rPr>
                <w:rFonts w:eastAsia="Times New Roman"/>
                <w:noProof/>
                <w:color w:val="000000"/>
                <w:sz w:val="22"/>
                <w:szCs w:val="22"/>
                <w:lang w:eastAsia="es-CO"/>
              </w:rPr>
              <w:t>[109]</w:t>
            </w:r>
            <w:r w:rsidRPr="00226CE1">
              <w:rPr>
                <w:color w:val="000000"/>
                <w:sz w:val="22"/>
                <w:szCs w:val="22"/>
                <w:lang w:eastAsia="es-CO"/>
              </w:rPr>
              <w:fldChar w:fldCharType="end"/>
            </w:r>
          </w:p>
        </w:tc>
      </w:tr>
      <w:tr w:rsidR="004635FE" w:rsidRPr="00226CE1" w14:paraId="0AA8897A" w14:textId="77777777" w:rsidTr="00226CE1">
        <w:trPr>
          <w:trHeight w:val="615"/>
          <w:jc w:val="center"/>
        </w:trPr>
        <w:tc>
          <w:tcPr>
            <w:tcW w:w="1584" w:type="dxa"/>
            <w:tcBorders>
              <w:top w:val="single" w:sz="4" w:space="0" w:color="auto"/>
              <w:left w:val="nil"/>
              <w:bottom w:val="single" w:sz="4" w:space="0" w:color="auto"/>
              <w:right w:val="nil"/>
            </w:tcBorders>
            <w:noWrap/>
            <w:vAlign w:val="center"/>
            <w:hideMark/>
          </w:tcPr>
          <w:p w14:paraId="2B8F0259" w14:textId="77777777"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Aqueous extraction of soy protein concentrate</w:t>
            </w:r>
          </w:p>
          <w:p w14:paraId="2859DE09" w14:textId="77777777"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(0.23% w/w)</w:t>
            </w:r>
          </w:p>
        </w:tc>
        <w:tc>
          <w:tcPr>
            <w:tcW w:w="1871" w:type="dxa"/>
            <w:tcBorders>
              <w:top w:val="single" w:sz="4" w:space="0" w:color="auto"/>
              <w:left w:val="nil"/>
              <w:bottom w:val="single" w:sz="4" w:space="0" w:color="auto"/>
              <w:right w:val="nil"/>
            </w:tcBorders>
            <w:noWrap/>
            <w:vAlign w:val="center"/>
            <w:hideMark/>
          </w:tcPr>
          <w:p w14:paraId="1AA7C09C" w14:textId="77777777" w:rsidR="004635FE" w:rsidRPr="00226CE1" w:rsidRDefault="004635FE" w:rsidP="00226CE1">
            <w:pPr>
              <w:spacing w:after="0" w:line="240" w:lineRule="auto"/>
              <w:jc w:val="center"/>
              <w:rPr>
                <w:rFonts w:eastAsia="Times New Roman"/>
                <w:color w:val="000000"/>
                <w:sz w:val="22"/>
                <w:szCs w:val="22"/>
                <w:lang w:val="es-CO" w:eastAsia="es-CO"/>
              </w:rPr>
            </w:pPr>
            <w:r w:rsidRPr="00226CE1">
              <w:rPr>
                <w:rFonts w:eastAsia="Times New Roman"/>
                <w:color w:val="000000"/>
                <w:sz w:val="22"/>
                <w:szCs w:val="22"/>
                <w:lang w:val="es-CO" w:eastAsia="es-CO"/>
              </w:rPr>
              <w:t>Breast cancer</w:t>
            </w:r>
          </w:p>
        </w:tc>
        <w:tc>
          <w:tcPr>
            <w:tcW w:w="1871" w:type="dxa"/>
            <w:tcBorders>
              <w:top w:val="single" w:sz="4" w:space="0" w:color="auto"/>
              <w:left w:val="nil"/>
              <w:bottom w:val="single" w:sz="4" w:space="0" w:color="auto"/>
              <w:right w:val="nil"/>
            </w:tcBorders>
            <w:noWrap/>
            <w:vAlign w:val="center"/>
            <w:hideMark/>
          </w:tcPr>
          <w:p w14:paraId="5ADA6D9C" w14:textId="77777777" w:rsidR="004635FE" w:rsidRPr="00226CE1" w:rsidRDefault="004635FE" w:rsidP="00226CE1">
            <w:pPr>
              <w:spacing w:after="0" w:line="240" w:lineRule="auto"/>
              <w:jc w:val="center"/>
              <w:rPr>
                <w:rFonts w:eastAsia="Times New Roman"/>
                <w:color w:val="000000"/>
                <w:sz w:val="22"/>
                <w:szCs w:val="22"/>
                <w:lang w:val="es-CO" w:eastAsia="es-CO"/>
              </w:rPr>
            </w:pPr>
            <w:r w:rsidRPr="00226CE1">
              <w:rPr>
                <w:rFonts w:eastAsia="Times New Roman"/>
                <w:color w:val="000000"/>
                <w:sz w:val="22"/>
                <w:szCs w:val="22"/>
                <w:lang w:val="es-CO" w:eastAsia="es-CO"/>
              </w:rPr>
              <w:t>Oral via diet</w:t>
            </w:r>
          </w:p>
        </w:tc>
        <w:tc>
          <w:tcPr>
            <w:tcW w:w="1871" w:type="dxa"/>
            <w:tcBorders>
              <w:top w:val="single" w:sz="4" w:space="0" w:color="auto"/>
              <w:left w:val="nil"/>
              <w:bottom w:val="single" w:sz="4" w:space="0" w:color="auto"/>
              <w:right w:val="nil"/>
            </w:tcBorders>
            <w:noWrap/>
            <w:vAlign w:val="center"/>
            <w:hideMark/>
          </w:tcPr>
          <w:p w14:paraId="08ABE6D9" w14:textId="77777777"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0.15% or 0.23% lunasin in the diet + 0.6% BBI</w:t>
            </w:r>
          </w:p>
        </w:tc>
        <w:tc>
          <w:tcPr>
            <w:tcW w:w="2735" w:type="dxa"/>
            <w:tcBorders>
              <w:top w:val="single" w:sz="4" w:space="0" w:color="auto"/>
              <w:left w:val="nil"/>
              <w:bottom w:val="single" w:sz="4" w:space="0" w:color="auto"/>
              <w:right w:val="nil"/>
            </w:tcBorders>
            <w:noWrap/>
            <w:vAlign w:val="center"/>
            <w:hideMark/>
          </w:tcPr>
          <w:p w14:paraId="45C3B8E5" w14:textId="3530B782"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Non-significant reduction in tumor incidence in high-dose diet only.</w:t>
            </w:r>
          </w:p>
        </w:tc>
        <w:tc>
          <w:tcPr>
            <w:tcW w:w="720" w:type="dxa"/>
            <w:tcBorders>
              <w:top w:val="single" w:sz="4" w:space="0" w:color="auto"/>
              <w:left w:val="nil"/>
              <w:bottom w:val="single" w:sz="4" w:space="0" w:color="auto"/>
              <w:right w:val="nil"/>
            </w:tcBorders>
            <w:noWrap/>
            <w:vAlign w:val="center"/>
            <w:hideMark/>
          </w:tcPr>
          <w:p w14:paraId="00990D86" w14:textId="7D96B3A2" w:rsidR="004635FE" w:rsidRPr="00226CE1" w:rsidRDefault="004635FE" w:rsidP="00226CE1">
            <w:pPr>
              <w:spacing w:after="0" w:line="240" w:lineRule="auto"/>
              <w:jc w:val="center"/>
              <w:rPr>
                <w:rFonts w:eastAsia="Times New Roman"/>
                <w:color w:val="000000"/>
                <w:sz w:val="22"/>
                <w:szCs w:val="22"/>
                <w:lang w:val="es-CO" w:eastAsia="es-CO"/>
              </w:rPr>
            </w:pPr>
            <w:r w:rsidRPr="00226CE1">
              <w:rPr>
                <w:color w:val="000000"/>
                <w:sz w:val="22"/>
                <w:szCs w:val="22"/>
                <w:lang w:eastAsia="es-CO"/>
              </w:rPr>
              <w:fldChar w:fldCharType="begin" w:fldLock="1"/>
            </w:r>
            <w:r w:rsidRPr="00226CE1">
              <w:rPr>
                <w:rFonts w:eastAsia="Times New Roman"/>
                <w:color w:val="000000"/>
                <w:sz w:val="22"/>
                <w:szCs w:val="22"/>
                <w:lang w:val="es-CO" w:eastAsia="es-CO"/>
              </w:rPr>
              <w:instrText>ADDIN CSL_CITATION {"citationItems":[{"id":"ITEM-1","itemData":{"DOI":"10.1111/j.1750-3841.2010.01861.x","ISSN":"00221147","PMID":"21535606","abstract":"Abstract: Lunasin is a novel peptide identified in soybean and other seeds. This study evaluated the anti-tumorigenic effects of lunasin on 7,12-dimethylbenz(a)anthracene (DMBA) and 3-methylcholanthrene-treated (MCA) fibroblast NIH/3T3 cells. Lunasin significantly inhibited cell proliferation and cancerous foci formation in these 2 chemical carcinogens-treated cells. An in vivo SENCAR mouse model induced with DMBA was used to study the mammary cancer preventive properties of dietary lunasin contained in soy protein. Tumor incidence was 67% and 50%, and the tumor generation was 1.88 ± 0.48 and 1.17 ± 0.17, respectively, for the mice fed control diet and experimental diet obtained after AIN-93G supplementation with lunasin-enriched soy protein concentrate (containing 0.23% lunasin). However, no effects were observed in mice fed AIN-93G supplemented with soy protein concentrate (containing 0.15% lunasin). The data provided illustrate the anticancer potential of lunasin both in vitro and in vivo and supports the recommendation of soy protein as a dietary component that may aid in the prevention of mammary cancer.Practical Application: Daily intake of lunasin-enriched soy protein is introduced as a promising strategy to prevent chemical carcinogens-induced mammary tumors. © 2010 Institute of Food Technologists®.","author":[{"dropping-particle":"","family":"Hsieh","given":"Chia Chien","non-dropping-particle":"","parse-names":false,"suffix":""},{"dropping-particle":"","family":"Hernández-Ledesma","given":"Blanca","non-dropping-particle":"","parse-names":false,"suffix":""},{"dropping-particle":"","family":"Lumen","given":"Ben O.","non-dropping-particle":"De","parse-names":false,"suffix":""}],"container-title":"Journal of Food Science","id":"ITEM-1","issue":"9","issued":{"date-parts":[["2010","11","1"]]},"page":"H311-H316","publisher":"John Wiley &amp; Sons, Ltd","title":"Soybean Peptide Lunasin Suppresses In Vitro and In Vivo 7,12-Dimethylbenz[a]anthracene-Induced Tumorigenesis","type":"article-journal","volume":"75"},"uris":["http://www.mendeley.com/documents/?uuid=91b482ed-2bc1-391c-b009-be1ad9a3f651"]}],"mendeley":{"formattedCitation":"[91]","plainTextFormattedCitation":"[91]","previouslyFormattedCitation":"[91]"},"properties":{"noteIndex":0},"schema":"https://github.com/citation-style-language/schema/raw/master/csl-citation.json"}</w:instrText>
            </w:r>
            <w:r w:rsidRPr="00226CE1">
              <w:rPr>
                <w:color w:val="000000"/>
                <w:sz w:val="22"/>
                <w:szCs w:val="22"/>
                <w:lang w:eastAsia="es-CO"/>
              </w:rPr>
              <w:fldChar w:fldCharType="separate"/>
            </w:r>
            <w:r w:rsidRPr="00226CE1">
              <w:rPr>
                <w:rFonts w:eastAsia="Times New Roman"/>
                <w:noProof/>
                <w:color w:val="000000"/>
                <w:sz w:val="22"/>
                <w:szCs w:val="22"/>
                <w:lang w:val="es-CO" w:eastAsia="es-CO"/>
              </w:rPr>
              <w:t>[91]</w:t>
            </w:r>
            <w:r w:rsidRPr="00226CE1">
              <w:rPr>
                <w:color w:val="000000"/>
                <w:sz w:val="22"/>
                <w:szCs w:val="22"/>
                <w:lang w:eastAsia="es-CO"/>
              </w:rPr>
              <w:fldChar w:fldCharType="end"/>
            </w:r>
          </w:p>
        </w:tc>
      </w:tr>
      <w:tr w:rsidR="004635FE" w:rsidRPr="00226CE1" w14:paraId="5ACD0C7D" w14:textId="77777777" w:rsidTr="00226CE1">
        <w:trPr>
          <w:trHeight w:val="300"/>
          <w:jc w:val="center"/>
        </w:trPr>
        <w:tc>
          <w:tcPr>
            <w:tcW w:w="1584" w:type="dxa"/>
            <w:tcBorders>
              <w:top w:val="single" w:sz="4" w:space="0" w:color="auto"/>
              <w:left w:val="nil"/>
              <w:bottom w:val="single" w:sz="4" w:space="0" w:color="auto"/>
              <w:right w:val="nil"/>
            </w:tcBorders>
            <w:noWrap/>
            <w:vAlign w:val="center"/>
            <w:hideMark/>
          </w:tcPr>
          <w:p w14:paraId="7EAEBED8" w14:textId="77777777"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Synthetic</w:t>
            </w:r>
          </w:p>
          <w:p w14:paraId="10DC72A6" w14:textId="77777777" w:rsidR="004635FE" w:rsidRPr="00226CE1" w:rsidRDefault="004635FE" w:rsidP="00226CE1">
            <w:pPr>
              <w:spacing w:after="0" w:line="240" w:lineRule="auto"/>
              <w:jc w:val="center"/>
              <w:rPr>
                <w:rFonts w:eastAsia="Times New Roman"/>
                <w:color w:val="000000"/>
                <w:sz w:val="22"/>
                <w:szCs w:val="22"/>
                <w:lang w:val="es-CO" w:eastAsia="es-CO"/>
              </w:rPr>
            </w:pPr>
            <w:r w:rsidRPr="00226CE1">
              <w:rPr>
                <w:rFonts w:eastAsia="Times New Roman"/>
                <w:color w:val="000000"/>
                <w:sz w:val="22"/>
                <w:szCs w:val="22"/>
                <w:lang w:eastAsia="es-CO"/>
              </w:rPr>
              <w:t>(No Report)</w:t>
            </w:r>
          </w:p>
        </w:tc>
        <w:tc>
          <w:tcPr>
            <w:tcW w:w="1871" w:type="dxa"/>
            <w:tcBorders>
              <w:top w:val="single" w:sz="4" w:space="0" w:color="auto"/>
              <w:left w:val="nil"/>
              <w:bottom w:val="single" w:sz="4" w:space="0" w:color="auto"/>
              <w:right w:val="nil"/>
            </w:tcBorders>
            <w:noWrap/>
            <w:vAlign w:val="center"/>
            <w:hideMark/>
          </w:tcPr>
          <w:p w14:paraId="74270412" w14:textId="77777777" w:rsidR="004635FE" w:rsidRPr="00226CE1" w:rsidRDefault="004635FE" w:rsidP="00226CE1">
            <w:pPr>
              <w:spacing w:after="0" w:line="240" w:lineRule="auto"/>
              <w:jc w:val="center"/>
              <w:rPr>
                <w:rFonts w:eastAsia="Times New Roman"/>
                <w:color w:val="000000"/>
                <w:sz w:val="22"/>
                <w:szCs w:val="22"/>
                <w:lang w:val="es-CO" w:eastAsia="es-CO"/>
              </w:rPr>
            </w:pPr>
            <w:r w:rsidRPr="00226CE1">
              <w:rPr>
                <w:rFonts w:eastAsia="Times New Roman"/>
                <w:color w:val="000000"/>
                <w:sz w:val="22"/>
                <w:szCs w:val="22"/>
                <w:lang w:val="es-CO" w:eastAsia="es-CO"/>
              </w:rPr>
              <w:t>Breast cancer</w:t>
            </w:r>
          </w:p>
        </w:tc>
        <w:tc>
          <w:tcPr>
            <w:tcW w:w="1871" w:type="dxa"/>
            <w:tcBorders>
              <w:top w:val="single" w:sz="4" w:space="0" w:color="auto"/>
              <w:left w:val="nil"/>
              <w:bottom w:val="single" w:sz="4" w:space="0" w:color="auto"/>
              <w:right w:val="nil"/>
            </w:tcBorders>
            <w:noWrap/>
            <w:vAlign w:val="center"/>
            <w:hideMark/>
          </w:tcPr>
          <w:p w14:paraId="412135DF" w14:textId="77777777" w:rsidR="004635FE" w:rsidRPr="00226CE1" w:rsidRDefault="004635FE" w:rsidP="00226CE1">
            <w:pPr>
              <w:spacing w:after="0" w:line="240" w:lineRule="auto"/>
              <w:jc w:val="center"/>
              <w:rPr>
                <w:rFonts w:eastAsia="Times New Roman"/>
                <w:color w:val="000000"/>
                <w:sz w:val="22"/>
                <w:szCs w:val="22"/>
                <w:lang w:val="es-CO" w:eastAsia="es-CO"/>
              </w:rPr>
            </w:pPr>
            <w:r w:rsidRPr="00226CE1">
              <w:rPr>
                <w:rFonts w:eastAsia="Times New Roman"/>
                <w:color w:val="000000"/>
                <w:sz w:val="22"/>
                <w:szCs w:val="22"/>
                <w:lang w:eastAsia="es-CO"/>
              </w:rPr>
              <w:t>Intraperitoneal injection</w:t>
            </w:r>
          </w:p>
        </w:tc>
        <w:tc>
          <w:tcPr>
            <w:tcW w:w="1871" w:type="dxa"/>
            <w:tcBorders>
              <w:top w:val="single" w:sz="4" w:space="0" w:color="auto"/>
              <w:left w:val="nil"/>
              <w:bottom w:val="single" w:sz="4" w:space="0" w:color="auto"/>
              <w:right w:val="nil"/>
            </w:tcBorders>
            <w:noWrap/>
            <w:vAlign w:val="center"/>
            <w:hideMark/>
          </w:tcPr>
          <w:p w14:paraId="321C8148" w14:textId="77777777"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4 and 20 mg/kw bw three times a week</w:t>
            </w:r>
          </w:p>
        </w:tc>
        <w:tc>
          <w:tcPr>
            <w:tcW w:w="2735" w:type="dxa"/>
            <w:tcBorders>
              <w:top w:val="single" w:sz="4" w:space="0" w:color="auto"/>
              <w:left w:val="nil"/>
              <w:bottom w:val="single" w:sz="4" w:space="0" w:color="auto"/>
              <w:right w:val="nil"/>
            </w:tcBorders>
            <w:noWrap/>
            <w:vAlign w:val="center"/>
            <w:hideMark/>
          </w:tcPr>
          <w:p w14:paraId="0A9875C2" w14:textId="77777777"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Equal decreased tumor incidence with the two doses.</w:t>
            </w:r>
          </w:p>
        </w:tc>
        <w:tc>
          <w:tcPr>
            <w:tcW w:w="720" w:type="dxa"/>
            <w:tcBorders>
              <w:top w:val="single" w:sz="4" w:space="0" w:color="auto"/>
              <w:left w:val="nil"/>
              <w:bottom w:val="single" w:sz="4" w:space="0" w:color="auto"/>
              <w:right w:val="nil"/>
            </w:tcBorders>
            <w:noWrap/>
            <w:vAlign w:val="center"/>
            <w:hideMark/>
          </w:tcPr>
          <w:p w14:paraId="15EA5BB6" w14:textId="771BC85F" w:rsidR="004635FE" w:rsidRPr="00226CE1" w:rsidRDefault="004635FE" w:rsidP="00226CE1">
            <w:pPr>
              <w:spacing w:after="0" w:line="240" w:lineRule="auto"/>
              <w:jc w:val="center"/>
              <w:rPr>
                <w:rFonts w:eastAsia="Times New Roman"/>
                <w:color w:val="000000"/>
                <w:sz w:val="22"/>
                <w:szCs w:val="22"/>
                <w:lang w:eastAsia="es-CO"/>
              </w:rPr>
            </w:pPr>
            <w:r w:rsidRPr="00226CE1">
              <w:rPr>
                <w:color w:val="000000"/>
                <w:sz w:val="22"/>
                <w:szCs w:val="22"/>
                <w:lang w:eastAsia="es-CO"/>
              </w:rPr>
              <w:fldChar w:fldCharType="begin" w:fldLock="1"/>
            </w:r>
            <w:r w:rsidRPr="00226CE1">
              <w:rPr>
                <w:rFonts w:eastAsia="Times New Roman"/>
                <w:color w:val="000000"/>
                <w:sz w:val="22"/>
                <w:szCs w:val="22"/>
                <w:lang w:eastAsia="es-CO"/>
              </w:rPr>
              <w:instrText>ADDIN CSL_CITATION {"citationItems":[{"id":"ITEM-1","itemData":{"DOI":"10.1371/journal.pone.0008890","ISSN":"19326203","PMID":"20126654","abstract":"Background: The lower incidence of breast cancer among Asian women compared with Western countries has been partly attributed to soy in the Asian diet, leading to efforts to identify the bioactive components that are responsible. Soy Bowman Birk Inhibitor Concentrate (BBIC) is a known cancer preventive agent now in human clinical trials. Methodology/Principal Findings: The objectives of this work are to establish the presence and delineate the in vitro activity of lunasin and BBI found in BBIC, and study their bioavailability after oral administration to mice and rats. We report that lunasin and BBI are the two main bioactive ingredients of BBIC based on inhibition of foci formation, lunasin being more efficacious than BBI on an equimolar basis. BBI and soy Kunitz Trypsin Inhibitor protect lunasin from in vitro digestion with pancreatin. Oral administration of 3H-labeled lunasin with lunasin-enriched soy results in 30% of the peptide reaching target tissues in an intact and bioactive form. In a xenograft model of nude mice transplanted with human breast cancer MDA-MB-231 cells, intraperitoneal injections of lunasin, at 20 mg/kg and 4 mg/kg body weight, decrease tumor incidence by 49% and 33%, respectively, compared with the vehicle-treated group. In contrast, injection with BBI at 20 mg/kg body weight shows no effect on tumor incidence. Tumor generation is significantly reduced with the two doses of lunasin, while BBI is ineffective. Lunasin inhibits cell proliferation and induces cell death in the breast tumor sections. Conclusions/Significance: We conclude that lunasin is actually the bioactive cancer preventive agent in BBIC, and BBI simply protects lunasin from digestion when soybean and other seed foods are eaten by humans. © 2010 Hsieh et al.","author":[{"dropping-particle":"","family":"Hsieh","given":"Chia Chien","non-dropping-particle":"","parse-names":false,"suffix":""},{"dropping-particle":"","family":"Hernández-Ledesma","given":"Blanca","non-dropping-particle":"","parse-names":false,"suffix":""},{"dropping-particle":"","family":"Jeong","given":"Hyun Jin","non-dropping-particle":"","parse-names":false,"suffix":""},{"dropping-particle":"","family":"Park","given":"Jae Ho","non-dropping-particle":"","parse-names":false,"suffix":""},{"dropping-particle":"","family":"Lumen","given":"Ben O.","non-dropping-particle":"De","parse-names":false,"suffix":""}],"container-title":"PLoS ONE","id":"ITEM-1","issue":"1","issued":{"date-parts":[["2010","1","26"]]},"publisher":"Public Library of Science","title":"Complementary roles in cancer prevention: Protease inhibitor makes the cancer preventive peptide Lunasin bioavailable","type":"article-journal","volume":"5"},"uris":["http://www.mendeley.com/documents/?uuid=00d5bd45-c680-372d-bbcb-c38111263cb6"]}],"mendeley":{"formattedCitation":"[102]","plainTextFormattedCitation":"[102]","previouslyFormattedCitation":"[102]"},"properties":{"noteIndex":0},"schema":"https://github.com/citation-style-language/schema/raw/master/csl-citation.json"}</w:instrText>
            </w:r>
            <w:r w:rsidRPr="00226CE1">
              <w:rPr>
                <w:color w:val="000000"/>
                <w:sz w:val="22"/>
                <w:szCs w:val="22"/>
                <w:lang w:eastAsia="es-CO"/>
              </w:rPr>
              <w:fldChar w:fldCharType="separate"/>
            </w:r>
            <w:r w:rsidRPr="00226CE1">
              <w:rPr>
                <w:rFonts w:eastAsia="Times New Roman"/>
                <w:noProof/>
                <w:color w:val="000000"/>
                <w:sz w:val="22"/>
                <w:szCs w:val="22"/>
                <w:lang w:eastAsia="es-CO"/>
              </w:rPr>
              <w:t>[102]</w:t>
            </w:r>
            <w:r w:rsidRPr="00226CE1">
              <w:rPr>
                <w:color w:val="000000"/>
                <w:sz w:val="22"/>
                <w:szCs w:val="22"/>
                <w:lang w:eastAsia="es-CO"/>
              </w:rPr>
              <w:fldChar w:fldCharType="end"/>
            </w:r>
          </w:p>
        </w:tc>
      </w:tr>
      <w:tr w:rsidR="004635FE" w:rsidRPr="00226CE1" w14:paraId="72950D5E" w14:textId="77777777" w:rsidTr="00226CE1">
        <w:trPr>
          <w:trHeight w:val="300"/>
          <w:jc w:val="center"/>
        </w:trPr>
        <w:tc>
          <w:tcPr>
            <w:tcW w:w="1584" w:type="dxa"/>
            <w:tcBorders>
              <w:top w:val="single" w:sz="4" w:space="0" w:color="auto"/>
              <w:left w:val="nil"/>
              <w:bottom w:val="single" w:sz="4" w:space="0" w:color="auto"/>
              <w:right w:val="nil"/>
            </w:tcBorders>
            <w:noWrap/>
            <w:vAlign w:val="center"/>
            <w:hideMark/>
          </w:tcPr>
          <w:p w14:paraId="0764FA2B" w14:textId="77777777"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Synthetic</w:t>
            </w:r>
          </w:p>
          <w:p w14:paraId="47DE0688" w14:textId="77777777"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(&gt;95%)</w:t>
            </w:r>
          </w:p>
        </w:tc>
        <w:tc>
          <w:tcPr>
            <w:tcW w:w="1871" w:type="dxa"/>
            <w:tcBorders>
              <w:top w:val="single" w:sz="4" w:space="0" w:color="auto"/>
              <w:left w:val="nil"/>
              <w:bottom w:val="single" w:sz="4" w:space="0" w:color="auto"/>
              <w:right w:val="nil"/>
            </w:tcBorders>
            <w:noWrap/>
            <w:vAlign w:val="center"/>
            <w:hideMark/>
          </w:tcPr>
          <w:p w14:paraId="2BAD711D" w14:textId="77777777"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Obesity-induced inflammation</w:t>
            </w:r>
          </w:p>
        </w:tc>
        <w:tc>
          <w:tcPr>
            <w:tcW w:w="1871" w:type="dxa"/>
            <w:tcBorders>
              <w:top w:val="single" w:sz="4" w:space="0" w:color="auto"/>
              <w:left w:val="nil"/>
              <w:bottom w:val="single" w:sz="4" w:space="0" w:color="auto"/>
              <w:right w:val="nil"/>
            </w:tcBorders>
            <w:noWrap/>
            <w:vAlign w:val="center"/>
            <w:hideMark/>
          </w:tcPr>
          <w:p w14:paraId="239220DC" w14:textId="77777777"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Intraperitoneal injection</w:t>
            </w:r>
          </w:p>
        </w:tc>
        <w:tc>
          <w:tcPr>
            <w:tcW w:w="1871" w:type="dxa"/>
            <w:tcBorders>
              <w:top w:val="single" w:sz="4" w:space="0" w:color="auto"/>
              <w:left w:val="nil"/>
              <w:bottom w:val="single" w:sz="4" w:space="0" w:color="auto"/>
              <w:right w:val="nil"/>
            </w:tcBorders>
            <w:noWrap/>
            <w:vAlign w:val="center"/>
            <w:hideMark/>
          </w:tcPr>
          <w:p w14:paraId="3803671F" w14:textId="77777777"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20 mg/kg bw daily</w:t>
            </w:r>
          </w:p>
        </w:tc>
        <w:tc>
          <w:tcPr>
            <w:tcW w:w="2735" w:type="dxa"/>
            <w:tcBorders>
              <w:top w:val="single" w:sz="4" w:space="0" w:color="auto"/>
              <w:left w:val="nil"/>
              <w:bottom w:val="single" w:sz="4" w:space="0" w:color="auto"/>
              <w:right w:val="nil"/>
            </w:tcBorders>
            <w:noWrap/>
            <w:vAlign w:val="center"/>
            <w:hideMark/>
          </w:tcPr>
          <w:p w14:paraId="7597E9DF" w14:textId="77777777"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Females: reduced IL-1β, TNF-α, MCP-1, serum leptin, and malondialdehyde.</w:t>
            </w:r>
          </w:p>
          <w:p w14:paraId="5FF41981" w14:textId="77777777"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Males: Inhibition of spleen enlargement and IL-6, promotion of IL-2 and INF-γ.</w:t>
            </w:r>
          </w:p>
        </w:tc>
        <w:tc>
          <w:tcPr>
            <w:tcW w:w="720" w:type="dxa"/>
            <w:tcBorders>
              <w:top w:val="single" w:sz="4" w:space="0" w:color="auto"/>
              <w:left w:val="nil"/>
              <w:bottom w:val="single" w:sz="4" w:space="0" w:color="auto"/>
              <w:right w:val="nil"/>
            </w:tcBorders>
            <w:noWrap/>
            <w:vAlign w:val="center"/>
            <w:hideMark/>
          </w:tcPr>
          <w:p w14:paraId="32834FB1" w14:textId="780FB7BE" w:rsidR="004635FE" w:rsidRPr="00226CE1" w:rsidRDefault="004635FE" w:rsidP="00226CE1">
            <w:pPr>
              <w:spacing w:after="0" w:line="240" w:lineRule="auto"/>
              <w:jc w:val="center"/>
              <w:rPr>
                <w:rFonts w:eastAsia="Times New Roman"/>
                <w:color w:val="000000"/>
                <w:sz w:val="22"/>
                <w:szCs w:val="22"/>
                <w:lang w:eastAsia="es-CO"/>
              </w:rPr>
            </w:pPr>
            <w:r w:rsidRPr="00226CE1">
              <w:rPr>
                <w:color w:val="000000"/>
                <w:sz w:val="22"/>
                <w:szCs w:val="22"/>
                <w:lang w:eastAsia="es-CO"/>
              </w:rPr>
              <w:fldChar w:fldCharType="begin" w:fldLock="1"/>
            </w:r>
            <w:r w:rsidRPr="00226CE1">
              <w:rPr>
                <w:rFonts w:eastAsia="Times New Roman"/>
                <w:color w:val="000000"/>
                <w:sz w:val="22"/>
                <w:szCs w:val="22"/>
                <w:lang w:eastAsia="es-CO"/>
              </w:rPr>
              <w:instrText>ADDIN CSL_CITATION {"citationItems":[{"id":"ITEM-1","itemData":{"DOI":"10.1016/j.fct.2020.111908","ISSN":"18736351","PMID":"33290807","abstract":"Obesity causes immune cells to infiltrate into adipose tissues and secrete proinflammatory mediators, promoting the development of chronic diseases. The seed peptide lunasin has been reported to have several bioactivities. We aimed to investigate the immunomodulatory properties of lunasin in obese models. Female and male C57BL/6J mice were divided into three groups: low-fat diet (LF), high-fat diet (HF), and HF with an intraperitoneal injection of lunasin (HFL). In females, lunasin decreased the levels of monocyte chemoattractant protein-1 (MCP-1), interleukin (IL)-1β, and tumor necrosis factor (TNF-α) produced in peritoneal macrophages, indicating a decrease in F4/80+ macrophage infiltration, especially the CD11c + M1 phenotype. Serum leptin and tissue-oxidized lipid malondialdehyde levels were decreased in the HFL group. In males, lunasin normalized the obesity-induced increase in spleen size and splenocyte numbers. Moreover, lunasin inhibited IL-6 secretion while promoting interferon gamma (IFN-γ) and IL-2 production in the splenocytes. In vitro, lunasin increased EL-4 T-cell proliferation and IL-2 production in activated T cells under obese conditions. Thus, lunasin is a potential natural compound that promotes immunomodulation in both female and male obese mice in a sex-dependent manner. Furthermore, lunasin mediates the anti-inflammatory response and enhances the T helper type 1 cell response to obesity-related immune disorders.","author":[{"dropping-particle":"","family":"Hsieh","given":"Chia Chien","non-dropping-particle":"","parse-names":false,"suffix":""},{"dropping-particle":"","family":"Wang","given":"Yen Fang","non-dropping-particle":"","parse-names":false,"suffix":""},{"dropping-particle":"","family":"Lin","given":"Pin Yu","non-dropping-particle":"","parse-names":false,"suffix":""},{"dropping-particle":"","family":"Peng","given":"Shih Han","non-dropping-particle":"","parse-names":false,"suffix":""},{"dropping-particle":"","family":"Chou","given":"Mei Jia","non-dropping-particle":"","parse-names":false,"suffix":""}],"container-title":"Food and Chemical Toxicology","id":"ITEM-1","issued":{"date-parts":[["2021","1","1"]]},"page":"111908","publisher":"Elsevier Ltd","title":"Seed peptide lunasin ameliorates obesity-induced inflammation and regulates immune responses in C57BL/6J mice fed high-fat diet","type":"article-journal","volume":"147"},"uris":["http://www.mendeley.com/documents/?uuid=e27caee5-90f5-3f42-be25-1a6a0dab22df"]}],"mendeley":{"formattedCitation":"[97]","plainTextFormattedCitation":"[97]","previouslyFormattedCitation":"[97]"},"properties":{"noteIndex":0},"schema":"https://github.com/citation-style-language/schema/raw/master/csl-citation.json"}</w:instrText>
            </w:r>
            <w:r w:rsidRPr="00226CE1">
              <w:rPr>
                <w:color w:val="000000"/>
                <w:sz w:val="22"/>
                <w:szCs w:val="22"/>
                <w:lang w:eastAsia="es-CO"/>
              </w:rPr>
              <w:fldChar w:fldCharType="separate"/>
            </w:r>
            <w:r w:rsidRPr="00226CE1">
              <w:rPr>
                <w:rFonts w:eastAsia="Times New Roman"/>
                <w:noProof/>
                <w:color w:val="000000"/>
                <w:sz w:val="22"/>
                <w:szCs w:val="22"/>
                <w:lang w:eastAsia="es-CO"/>
              </w:rPr>
              <w:t>[97]</w:t>
            </w:r>
            <w:r w:rsidRPr="00226CE1">
              <w:rPr>
                <w:color w:val="000000"/>
                <w:sz w:val="22"/>
                <w:szCs w:val="22"/>
                <w:lang w:eastAsia="es-CO"/>
              </w:rPr>
              <w:fldChar w:fldCharType="end"/>
            </w:r>
          </w:p>
        </w:tc>
      </w:tr>
      <w:tr w:rsidR="004635FE" w:rsidRPr="00226CE1" w14:paraId="4F95B806" w14:textId="77777777" w:rsidTr="00226CE1">
        <w:trPr>
          <w:trHeight w:val="300"/>
          <w:jc w:val="center"/>
        </w:trPr>
        <w:tc>
          <w:tcPr>
            <w:tcW w:w="1584" w:type="dxa"/>
            <w:tcBorders>
              <w:top w:val="single" w:sz="4" w:space="0" w:color="auto"/>
              <w:left w:val="nil"/>
              <w:bottom w:val="single" w:sz="4" w:space="0" w:color="auto"/>
              <w:right w:val="nil"/>
            </w:tcBorders>
            <w:noWrap/>
            <w:vAlign w:val="center"/>
            <w:hideMark/>
          </w:tcPr>
          <w:p w14:paraId="5B2EC7B5" w14:textId="77777777"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Synthetic</w:t>
            </w:r>
          </w:p>
          <w:p w14:paraId="2CB04EA3" w14:textId="77777777"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(&gt;95%)</w:t>
            </w:r>
          </w:p>
        </w:tc>
        <w:tc>
          <w:tcPr>
            <w:tcW w:w="1871" w:type="dxa"/>
            <w:tcBorders>
              <w:top w:val="single" w:sz="4" w:space="0" w:color="auto"/>
              <w:left w:val="nil"/>
              <w:bottom w:val="single" w:sz="4" w:space="0" w:color="auto"/>
              <w:right w:val="nil"/>
            </w:tcBorders>
            <w:noWrap/>
            <w:vAlign w:val="center"/>
            <w:hideMark/>
          </w:tcPr>
          <w:p w14:paraId="02C57B91" w14:textId="77777777"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Asthma</w:t>
            </w:r>
          </w:p>
        </w:tc>
        <w:tc>
          <w:tcPr>
            <w:tcW w:w="1871" w:type="dxa"/>
            <w:tcBorders>
              <w:top w:val="single" w:sz="4" w:space="0" w:color="auto"/>
              <w:left w:val="nil"/>
              <w:bottom w:val="single" w:sz="4" w:space="0" w:color="auto"/>
              <w:right w:val="nil"/>
            </w:tcBorders>
            <w:noWrap/>
            <w:vAlign w:val="center"/>
            <w:hideMark/>
          </w:tcPr>
          <w:p w14:paraId="4E6F4DBE" w14:textId="77777777"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Intranasal</w:t>
            </w:r>
          </w:p>
        </w:tc>
        <w:tc>
          <w:tcPr>
            <w:tcW w:w="1871" w:type="dxa"/>
            <w:tcBorders>
              <w:top w:val="single" w:sz="4" w:space="0" w:color="auto"/>
              <w:left w:val="nil"/>
              <w:bottom w:val="single" w:sz="4" w:space="0" w:color="auto"/>
              <w:right w:val="nil"/>
            </w:tcBorders>
            <w:noWrap/>
            <w:vAlign w:val="center"/>
            <w:hideMark/>
          </w:tcPr>
          <w:p w14:paraId="1F064951" w14:textId="77777777"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20 µg/mouse on specific days</w:t>
            </w:r>
          </w:p>
        </w:tc>
        <w:tc>
          <w:tcPr>
            <w:tcW w:w="2735" w:type="dxa"/>
            <w:tcBorders>
              <w:top w:val="single" w:sz="4" w:space="0" w:color="auto"/>
              <w:left w:val="nil"/>
              <w:bottom w:val="single" w:sz="4" w:space="0" w:color="auto"/>
              <w:right w:val="nil"/>
            </w:tcBorders>
            <w:noWrap/>
            <w:vAlign w:val="center"/>
            <w:hideMark/>
          </w:tcPr>
          <w:p w14:paraId="4F37735A" w14:textId="77777777" w:rsidR="004635FE" w:rsidRPr="00226CE1" w:rsidRDefault="004635FE" w:rsidP="00226CE1">
            <w:pPr>
              <w:spacing w:after="0" w:line="240" w:lineRule="auto"/>
              <w:jc w:val="center"/>
              <w:rPr>
                <w:rFonts w:eastAsia="Times New Roman"/>
                <w:color w:val="000000"/>
                <w:sz w:val="22"/>
                <w:szCs w:val="22"/>
                <w:lang w:eastAsia="es-CO"/>
              </w:rPr>
            </w:pPr>
            <w:r w:rsidRPr="00226CE1">
              <w:rPr>
                <w:rFonts w:eastAsia="Times New Roman"/>
                <w:color w:val="000000"/>
                <w:sz w:val="22"/>
                <w:szCs w:val="22"/>
                <w:lang w:eastAsia="es-CO"/>
              </w:rPr>
              <w:t>Reduced cells infiltration, goblet cell metaplasia and IL-4 production, increased regulatory T cells</w:t>
            </w:r>
          </w:p>
        </w:tc>
        <w:tc>
          <w:tcPr>
            <w:tcW w:w="720" w:type="dxa"/>
            <w:tcBorders>
              <w:top w:val="single" w:sz="4" w:space="0" w:color="auto"/>
              <w:left w:val="nil"/>
              <w:bottom w:val="single" w:sz="4" w:space="0" w:color="auto"/>
              <w:right w:val="nil"/>
            </w:tcBorders>
            <w:noWrap/>
            <w:vAlign w:val="center"/>
            <w:hideMark/>
          </w:tcPr>
          <w:p w14:paraId="1D51361D" w14:textId="7DC71805" w:rsidR="004635FE" w:rsidRPr="00226CE1" w:rsidRDefault="004635FE" w:rsidP="00226CE1">
            <w:pPr>
              <w:spacing w:after="0" w:line="240" w:lineRule="auto"/>
              <w:jc w:val="center"/>
              <w:rPr>
                <w:rFonts w:eastAsia="Times New Roman"/>
                <w:color w:val="000000"/>
                <w:sz w:val="22"/>
                <w:szCs w:val="22"/>
                <w:lang w:eastAsia="es-CO"/>
              </w:rPr>
            </w:pPr>
            <w:r w:rsidRPr="00226CE1">
              <w:rPr>
                <w:color w:val="000000"/>
                <w:sz w:val="22"/>
                <w:szCs w:val="22"/>
                <w:lang w:eastAsia="es-CO"/>
              </w:rPr>
              <w:fldChar w:fldCharType="begin" w:fldLock="1"/>
            </w:r>
            <w:r w:rsidRPr="00226CE1">
              <w:rPr>
                <w:rFonts w:eastAsia="Times New Roman"/>
                <w:color w:val="000000"/>
                <w:sz w:val="22"/>
                <w:szCs w:val="22"/>
                <w:lang w:eastAsia="es-CO"/>
              </w:rPr>
              <w:instrText>ADDIN CSL_CITATION {"citationItems":[{"id":"ITEM-1","itemData":{"DOI":"10.1371/journal.pone.0115330","ISSN":"19326203","PMID":"25646897","abstract":"Lunasin is a naturally occurring peptide isolated from soybeans and has been explored in cancer treatment. Lunasin inhibits NF-κB activation and thus pro-inflammatory cytokine and mediator production in macrophages. In this study we demonstrate that lunasin can effectively suppress allergic airway inflammation in two murine models of asthma. In an OVA +Alum sensitization model, intranasal lunasin treatment at the time of OVA challenges significantly reduced total cells counts in bronchoalveolar lavage (BAL) fluid and eosinophilia, peribronchiolar inflammatory infiltration, goblet cell metaplasia and airway IL-4 production. In an OVA+LPS intranasal sensitization model, lunasin treatment either at the time of sensitization or challenge has similar effects in suppress allergic airway inflammation including significantly reduced total cell and eosinophil counts in BAL fluid, inflammatory gene Fizz1 expression in the lung, and IL-4 production by OVA re-stimulated cells from mediastinal lymph nodes. We further show that intranasal instillation of OVA+lunasin significantly increases OVA-specific regulatory T cell (Treg) accumulation in the lung comparing to OVA only treatment. Taken together, our results suggest lunasin as an anti-inflammatory agent can be potentially used in asthma therapy or as an adjuvant to enhance the induction of antigen-specific Tregs and thus boost the efficacy of allergy immunotherapy.","author":[{"dropping-particle":"","family":"Yang","given":"Xiaowei","non-dropping-particle":"","parse-names":false,"suffix":""},{"dropping-particle":"","family":"Zhu","given":"Jingjing","non-dropping-particle":"","parse-names":false,"suffix":""},{"dropping-particle":"","family":"Tung","given":"Chun Yu","non-dropping-particle":"","parse-names":false,"suffix":""},{"dropping-particle":"","family":"Gardiner","given":"Gail","non-dropping-particle":"","parse-names":false,"suffix":""},{"dropping-particle":"","family":"Wang","given":"Qun","non-dropping-particle":"","parse-names":false,"suffix":""},{"dropping-particle":"","family":"Chang","given":"Hua Chen","non-dropping-particle":"","parse-names":false,"suffix":""},{"dropping-particle":"","family":"Zhou","given":"Baohua","non-dropping-particle":"","parse-names":false,"suffix":""}],"container-title":"PLoS ONE","id":"ITEM-1","issue":"2","issued":{"date-parts":[["2015","2","3"]]},"page":"e0115330","publisher":"Public Library of Science","title":"Lunasin alleviates allergic airway inflammation while increases antigen-specific Tregs","type":"article-journal","volume":"10"},"uris":["http://www.mendeley.com/documents/?uuid=10adedac-53f4-3744-8ede-b7df7426cf83"]}],"mendeley":{"formattedCitation":"[98]","plainTextFormattedCitation":"[98]","previouslyFormattedCitation":"[98]"},"properties":{"noteIndex":0},"schema":"https://github.com/citation-style-language/schema/raw/master/csl-citation.json"}</w:instrText>
            </w:r>
            <w:r w:rsidRPr="00226CE1">
              <w:rPr>
                <w:color w:val="000000"/>
                <w:sz w:val="22"/>
                <w:szCs w:val="22"/>
                <w:lang w:eastAsia="es-CO"/>
              </w:rPr>
              <w:fldChar w:fldCharType="separate"/>
            </w:r>
            <w:r w:rsidRPr="00226CE1">
              <w:rPr>
                <w:rFonts w:eastAsia="Times New Roman"/>
                <w:noProof/>
                <w:color w:val="000000"/>
                <w:sz w:val="22"/>
                <w:szCs w:val="22"/>
                <w:lang w:eastAsia="es-CO"/>
              </w:rPr>
              <w:t>[98]</w:t>
            </w:r>
            <w:r w:rsidRPr="00226CE1">
              <w:rPr>
                <w:color w:val="000000"/>
                <w:sz w:val="22"/>
                <w:szCs w:val="22"/>
                <w:lang w:eastAsia="es-CO"/>
              </w:rPr>
              <w:fldChar w:fldCharType="end"/>
            </w:r>
          </w:p>
        </w:tc>
      </w:tr>
    </w:tbl>
    <w:p w14:paraId="3DC18E94" w14:textId="77777777" w:rsidR="00A72273" w:rsidRDefault="00A72273" w:rsidP="00425921">
      <w:pPr>
        <w:jc w:val="center"/>
        <w:rPr>
          <w:color w:val="000000" w:themeColor="text1"/>
        </w:rPr>
        <w:sectPr w:rsidR="00A72273" w:rsidSect="00D901F5">
          <w:pgSz w:w="15840" w:h="12240" w:orient="landscape" w:code="1"/>
          <w:pgMar w:top="1800" w:right="1872" w:bottom="1800" w:left="1440" w:header="720" w:footer="1440" w:gutter="0"/>
          <w:cols w:space="720"/>
          <w:noEndnote/>
          <w:docGrid w:linePitch="360"/>
        </w:sectPr>
      </w:pPr>
    </w:p>
    <w:p w14:paraId="458799C9" w14:textId="72C85B06" w:rsidR="003617B3" w:rsidRPr="009F52DD" w:rsidRDefault="00373063" w:rsidP="00A25C25">
      <w:pPr>
        <w:pStyle w:val="Heading1"/>
        <w:numPr>
          <w:ilvl w:val="0"/>
          <w:numId w:val="10"/>
        </w:numPr>
        <w:spacing w:line="480" w:lineRule="auto"/>
      </w:pPr>
      <w:bookmarkStart w:id="18" w:name="_Toc77082098"/>
      <w:r w:rsidRPr="004223BD">
        <w:rPr>
          <w:caps w:val="0"/>
        </w:rPr>
        <w:lastRenderedPageBreak/>
        <w:t>UTILIZATION OF TOFU PROCESSING WASTEWATER AS A SOURCE OF THE BIOACTIVE PEPTIDE LUNASIN</w:t>
      </w:r>
      <w:bookmarkEnd w:id="18"/>
    </w:p>
    <w:p w14:paraId="7E237B93" w14:textId="77777777" w:rsidR="00FF1665" w:rsidRDefault="00FF1665" w:rsidP="0031604F">
      <w:pPr>
        <w:spacing w:line="480" w:lineRule="auto"/>
      </w:pPr>
    </w:p>
    <w:p w14:paraId="3248A227" w14:textId="77777777" w:rsidR="00FF1665" w:rsidRDefault="00FF1665" w:rsidP="00B71C67"/>
    <w:p w14:paraId="27816D70" w14:textId="77777777" w:rsidR="00A833A4" w:rsidRDefault="00003F6A" w:rsidP="00F62846">
      <w:pPr>
        <w:pStyle w:val="Heading3"/>
        <w:sectPr w:rsidR="00A833A4" w:rsidSect="00A833A4">
          <w:pgSz w:w="12240" w:h="15840" w:code="1"/>
          <w:pgMar w:top="1440" w:right="1800" w:bottom="1872" w:left="1800" w:header="720" w:footer="1440" w:gutter="0"/>
          <w:cols w:space="720"/>
          <w:vAlign w:val="center"/>
          <w:noEndnote/>
          <w:docGrid w:linePitch="360"/>
        </w:sectPr>
      </w:pPr>
      <w:r w:rsidRPr="00334400">
        <w:br w:type="page"/>
      </w:r>
      <w:bookmarkStart w:id="19" w:name="_Toc289175826"/>
    </w:p>
    <w:p w14:paraId="5CBC03B9" w14:textId="77777777" w:rsidR="0031604F" w:rsidRDefault="00B71C67" w:rsidP="0031604F">
      <w:pPr>
        <w:spacing w:line="480" w:lineRule="auto"/>
        <w:ind w:firstLine="720"/>
      </w:pPr>
      <w:r w:rsidRPr="00BA2B3A">
        <w:lastRenderedPageBreak/>
        <w:t xml:space="preserve">A version of this chapter was originally published by </w:t>
      </w:r>
      <w:bookmarkStart w:id="20" w:name="bau005"/>
      <w:r w:rsidR="00DE6545" w:rsidRPr="00BA2B3A">
        <w:fldChar w:fldCharType="begin"/>
      </w:r>
      <w:r w:rsidR="00DE6545" w:rsidRPr="00BA2B3A">
        <w:instrText xml:space="preserve"> HYPERLINK "https://www.sciencedirect.com/science/article/pii/S0308814621012267?CMX_ID=&amp;SIS_ID=&amp;dgcid=STMJ_AUTH_SERV_PUBLISHED&amp;utm_acid=117813781&amp;utm_campaign=STMJ_AUTH_SERV_PUBLISHED&amp;utm_in=DM154458&amp;utm_medium=email&amp;utm_source=AC_" \l "!" </w:instrText>
      </w:r>
      <w:r w:rsidR="00DE6545" w:rsidRPr="00BA2B3A">
        <w:fldChar w:fldCharType="separate"/>
      </w:r>
      <w:r w:rsidR="00DE6545" w:rsidRPr="00BA2B3A">
        <w:t>Andrea Nieto-Veloza</w:t>
      </w:r>
      <w:r w:rsidR="00DE6545" w:rsidRPr="00BA2B3A">
        <w:fldChar w:fldCharType="end"/>
      </w:r>
      <w:bookmarkStart w:id="21" w:name="bau010"/>
      <w:bookmarkEnd w:id="20"/>
      <w:r w:rsidR="00DE6545" w:rsidRPr="00BA2B3A">
        <w:t>, Qixin Zhong</w:t>
      </w:r>
      <w:bookmarkStart w:id="22" w:name="bau015"/>
      <w:bookmarkEnd w:id="21"/>
      <w:r w:rsidR="00DE6545" w:rsidRPr="00BA2B3A">
        <w:t xml:space="preserve">, </w:t>
      </w:r>
      <w:hyperlink r:id="rId18" w:anchor="!" w:history="1">
        <w:r w:rsidR="00DE6545" w:rsidRPr="00BA2B3A">
          <w:t>Won-Seok Kim</w:t>
        </w:r>
      </w:hyperlink>
      <w:bookmarkStart w:id="23" w:name="bau020"/>
      <w:bookmarkEnd w:id="22"/>
      <w:r w:rsidR="00DE6545" w:rsidRPr="00BA2B3A">
        <w:t xml:space="preserve">, </w:t>
      </w:r>
      <w:hyperlink r:id="rId19" w:anchor="!" w:history="1">
        <w:r w:rsidR="00DE6545" w:rsidRPr="00BA2B3A">
          <w:t xml:space="preserve">Doris D'Souza, </w:t>
        </w:r>
      </w:hyperlink>
      <w:bookmarkStart w:id="24" w:name="bau025"/>
      <w:bookmarkEnd w:id="23"/>
      <w:r w:rsidR="00DE6545" w:rsidRPr="00BA2B3A">
        <w:fldChar w:fldCharType="begin"/>
      </w:r>
      <w:r w:rsidR="00DE6545" w:rsidRPr="00BA2B3A">
        <w:instrText xml:space="preserve"> HYPERLINK "https://www.sciencedirect.com/science/article/pii/S0308814621012267?CMX_ID=&amp;SIS_ID=&amp;dgcid=STMJ_AUTH_SERV_PUBLISHED&amp;utm_acid=117813781&amp;utm_campaign=STMJ_AUTH_SERV_PUBLISHED&amp;utm_in=DM154458&amp;utm_medium=email&amp;utm_source=AC_" \l "!" </w:instrText>
      </w:r>
      <w:r w:rsidR="00DE6545" w:rsidRPr="00BA2B3A">
        <w:fldChar w:fldCharType="separate"/>
      </w:r>
      <w:r w:rsidR="00DE6545" w:rsidRPr="00BA2B3A">
        <w:t xml:space="preserve">Hari B. Krishnan, </w:t>
      </w:r>
      <w:r w:rsidR="00DE6545" w:rsidRPr="00BA2B3A">
        <w:fldChar w:fldCharType="end"/>
      </w:r>
      <w:bookmarkStart w:id="25" w:name="bau030"/>
      <w:bookmarkEnd w:id="24"/>
      <w:r w:rsidR="00DE6545" w:rsidRPr="00BA2B3A">
        <w:t xml:space="preserve">and </w:t>
      </w:r>
      <w:hyperlink r:id="rId20" w:anchor="!" w:history="1">
        <w:r w:rsidR="00DE6545" w:rsidRPr="00BA2B3A">
          <w:t>Vermont P. Dia</w:t>
        </w:r>
      </w:hyperlink>
      <w:bookmarkEnd w:id="25"/>
      <w:r w:rsidR="00DE6545" w:rsidRPr="00BA2B3A">
        <w:t>.</w:t>
      </w:r>
    </w:p>
    <w:p w14:paraId="0D1CB4EA" w14:textId="2613B2B8" w:rsidR="001055EC" w:rsidRDefault="001055EC" w:rsidP="0031604F">
      <w:pPr>
        <w:spacing w:line="480" w:lineRule="auto"/>
        <w:ind w:firstLine="720"/>
      </w:pPr>
      <w:r>
        <w:t xml:space="preserve">Nieto-Veloza, Q. Zhong, W.-S. Kim, D. D’Souza, H.B. Krishnan, V.P. Dia, “Utilization of tofu processing wastewater as a source of the bioactive peptide lunasin” Food Chem. 362 (2021) 130220. </w:t>
      </w:r>
    </w:p>
    <w:p w14:paraId="5B7D6907" w14:textId="19C38224" w:rsidR="005C49B3" w:rsidRDefault="005C49B3" w:rsidP="0031604F">
      <w:pPr>
        <w:spacing w:line="480" w:lineRule="auto"/>
        <w:ind w:firstLine="720"/>
      </w:pPr>
      <w:r w:rsidRPr="005C49B3">
        <w:t>My primary contributions to the paper include</w:t>
      </w:r>
      <w:r>
        <w:t>:</w:t>
      </w:r>
      <w:r w:rsidRPr="005C49B3">
        <w:t xml:space="preserve"> </w:t>
      </w:r>
      <w:r>
        <w:t xml:space="preserve">1) </w:t>
      </w:r>
      <w:r w:rsidRPr="005C49B3">
        <w:t xml:space="preserve">conceptualization of the problem, </w:t>
      </w:r>
      <w:r>
        <w:t xml:space="preserve">2) </w:t>
      </w:r>
      <w:r w:rsidRPr="005C49B3">
        <w:t xml:space="preserve">experimental design, </w:t>
      </w:r>
      <w:r>
        <w:t xml:space="preserve">3) </w:t>
      </w:r>
      <w:r w:rsidRPr="005C49B3">
        <w:t xml:space="preserve">performance of experimental work, </w:t>
      </w:r>
      <w:r>
        <w:t xml:space="preserve">4) </w:t>
      </w:r>
      <w:r w:rsidRPr="005C49B3">
        <w:t xml:space="preserve">collection, analysis, and interpretation of data, </w:t>
      </w:r>
      <w:r>
        <w:t xml:space="preserve">5) </w:t>
      </w:r>
      <w:r w:rsidRPr="005C49B3">
        <w:t xml:space="preserve">writing original draft and </w:t>
      </w:r>
      <w:r>
        <w:t xml:space="preserve">6) </w:t>
      </w:r>
      <w:r w:rsidRPr="005C49B3">
        <w:t>editing of the manuscript based on co-authors contributions</w:t>
      </w:r>
      <w:r>
        <w:t xml:space="preserve"> and peer reviewer comments</w:t>
      </w:r>
      <w:r w:rsidRPr="005C49B3">
        <w:t xml:space="preserve">.  </w:t>
      </w:r>
    </w:p>
    <w:p w14:paraId="0050B3BC" w14:textId="73C554B4" w:rsidR="0000789E" w:rsidRDefault="0000789E" w:rsidP="0031604F">
      <w:pPr>
        <w:spacing w:line="480" w:lineRule="auto"/>
      </w:pPr>
    </w:p>
    <w:p w14:paraId="67A18E22" w14:textId="0F8AFA08" w:rsidR="0031604F" w:rsidRDefault="0031604F" w:rsidP="0031604F">
      <w:pPr>
        <w:spacing w:line="480" w:lineRule="auto"/>
      </w:pPr>
      <w:r>
        <w:br w:type="page"/>
      </w:r>
    </w:p>
    <w:p w14:paraId="7533156B" w14:textId="3BD689EA" w:rsidR="00FA75A5" w:rsidRDefault="003617B3" w:rsidP="003F461D">
      <w:pPr>
        <w:pStyle w:val="Heading2"/>
        <w:spacing w:line="480" w:lineRule="auto"/>
      </w:pPr>
      <w:bookmarkStart w:id="26" w:name="_Toc77082099"/>
      <w:r>
        <w:lastRenderedPageBreak/>
        <w:t xml:space="preserve">2.1 </w:t>
      </w:r>
      <w:r w:rsidR="00FA75A5">
        <w:t>A</w:t>
      </w:r>
      <w:r w:rsidR="00FF1665">
        <w:t>bstract</w:t>
      </w:r>
      <w:bookmarkEnd w:id="19"/>
      <w:bookmarkEnd w:id="26"/>
      <w:r w:rsidR="003C7FC5">
        <w:tab/>
      </w:r>
    </w:p>
    <w:p w14:paraId="6FBF1B40" w14:textId="1A97BD8F" w:rsidR="003F461D" w:rsidRPr="00E80703" w:rsidRDefault="00FF1665" w:rsidP="003F461D">
      <w:pPr>
        <w:spacing w:line="480" w:lineRule="auto"/>
      </w:pPr>
      <w:r w:rsidRPr="005E54E2">
        <w:tab/>
      </w:r>
      <w:bookmarkStart w:id="27" w:name="_Toc289175827"/>
      <w:r w:rsidR="00B71C67">
        <w:t xml:space="preserve">Tofu whey is </w:t>
      </w:r>
      <w:r w:rsidR="00963212">
        <w:t>a</w:t>
      </w:r>
      <w:r w:rsidR="00B71C67">
        <w:t xml:space="preserve"> waste </w:t>
      </w:r>
      <w:r w:rsidR="00963212">
        <w:t>by</w:t>
      </w:r>
      <w:r w:rsidR="00B71C67">
        <w:t xml:space="preserve">product generated </w:t>
      </w:r>
      <w:r w:rsidR="00963212">
        <w:t xml:space="preserve">in large quantities </w:t>
      </w:r>
      <w:r w:rsidR="00B71C67">
        <w:t>during tofu manufacturing. Lunasin is a naturally occurring peptide present in soybeans with</w:t>
      </w:r>
      <w:r w:rsidR="00963212">
        <w:t xml:space="preserve"> biological properties of remarkable interest for human health. A</w:t>
      </w:r>
      <w:r w:rsidR="00115CE1" w:rsidRPr="00E80703">
        <w:t xml:space="preserve"> simple and feasible method to </w:t>
      </w:r>
      <w:r w:rsidR="00963212">
        <w:t>isolate bioactive</w:t>
      </w:r>
      <w:r w:rsidR="00115CE1" w:rsidRPr="00E80703">
        <w:t xml:space="preserve"> lunasin from tofu whey wastewater</w:t>
      </w:r>
      <w:r w:rsidR="00963212">
        <w:t xml:space="preserve"> was designed</w:t>
      </w:r>
      <w:r w:rsidR="00115CE1" w:rsidRPr="00E80703">
        <w:t xml:space="preserve">. A combination of alcoholic precipitation of high-molecular weight proteins from the whey, isoelectric precipitation of lunasin enriched material, and purification via gel filtration chromatography was selected as the best approach using tofu whey prepared at the laboratory scale. This process was applied to tofu whey produced by a local tofu factory and 773 mg of 80% purity lunasin was obtained per kg of dry tofu whey. Significant reduction of nitric oxide, and pro-inflammatory cytokines TNF-α and IL-6 over lipopolysaccharide activated murine macrophages </w:t>
      </w:r>
      <w:r w:rsidR="005A00F5">
        <w:t>confirm</w:t>
      </w:r>
      <w:r w:rsidR="005A00F5" w:rsidRPr="00E80703">
        <w:t xml:space="preserve"> </w:t>
      </w:r>
      <w:r w:rsidR="00115CE1" w:rsidRPr="00E80703">
        <w:t xml:space="preserve">its biological activity. Our three-step process is not only simpler and faster than the previously reported methods to obtain lunasin but </w:t>
      </w:r>
      <w:bookmarkStart w:id="28" w:name="_Hlk60209598"/>
      <w:r w:rsidR="00115CE1" w:rsidRPr="00E80703">
        <w:t xml:space="preserve">provides a sustainable approach for the valorization of a waste product, promoting the better utilization of soybean nutrients and active compounds. </w:t>
      </w:r>
    </w:p>
    <w:p w14:paraId="34C8FFB0" w14:textId="77777777" w:rsidR="00FF1665" w:rsidRDefault="003617B3" w:rsidP="003F461D">
      <w:pPr>
        <w:pStyle w:val="Heading2"/>
        <w:spacing w:line="480" w:lineRule="auto"/>
      </w:pPr>
      <w:bookmarkStart w:id="29" w:name="_Toc77082100"/>
      <w:bookmarkEnd w:id="27"/>
      <w:bookmarkEnd w:id="28"/>
      <w:r>
        <w:t xml:space="preserve">2.2 </w:t>
      </w:r>
      <w:r w:rsidR="00704AB3">
        <w:t>Introduction</w:t>
      </w:r>
      <w:bookmarkEnd w:id="29"/>
    </w:p>
    <w:p w14:paraId="171EC016" w14:textId="77777777" w:rsidR="003F461D" w:rsidRDefault="003F461D" w:rsidP="003F461D">
      <w:pPr>
        <w:spacing w:line="480" w:lineRule="auto"/>
        <w:ind w:firstLine="720"/>
      </w:pPr>
      <w:r w:rsidRPr="00E80703">
        <w:t xml:space="preserve">Tofu is a cheese-like product obtained from soybeans. Lactose intolerance, celiac disease, increased health awareness and interest in vegetarian and vegan lifestyles have positioned tofu as a globally growing market </w:t>
      </w:r>
      <w:r w:rsidRPr="00E80703">
        <w:fldChar w:fldCharType="begin" w:fldLock="1"/>
      </w:r>
      <w:r>
        <w:instrText>ADDIN CSL_CITATION {"citationItems":[{"id":"ITEM-1","itemData":{"author":[{"dropping-particle":"","family":"Grand View Research","given":"","non-dropping-particle":"","parse-names":false,"suffix":""}],"id":"ITEM-1","issued":{"date-parts":[["2019"]]},"number-of-pages":"110","title":"Tofu Market Size, Share &amp; Trends Analysis Report By Distribution Channel (Supermarkets &amp; Hypermarkets, Grocery Stores, Online, Specialty Stores), By Region, And Segment Forecasts, 2019 - 2025","type":"report"},"uris":["http://www.mendeley.com/documents/?uuid=70fe5fb1-0699-47bb-85b3-53f17f1336bb"]}],"mendeley":{"formattedCitation":"[1]","plainTextFormattedCitation":"[1]","previouslyFormattedCitation":"[1]"},"properties":{"noteIndex":0},"schema":"https://github.com/citation-style-language/schema/raw/master/csl-citation.json"}</w:instrText>
      </w:r>
      <w:r w:rsidRPr="00E80703">
        <w:fldChar w:fldCharType="separate"/>
      </w:r>
      <w:r w:rsidRPr="00C8126B">
        <w:rPr>
          <w:noProof/>
        </w:rPr>
        <w:t>[1]</w:t>
      </w:r>
      <w:r w:rsidRPr="00E80703">
        <w:fldChar w:fldCharType="end"/>
      </w:r>
      <w:r w:rsidRPr="00E80703">
        <w:t xml:space="preserve">. Tofu production involves the grinding of hydrated soybeans to obtain soymilk, </w:t>
      </w:r>
      <w:r w:rsidRPr="00E80703">
        <w:lastRenderedPageBreak/>
        <w:t xml:space="preserve">which is then coagulated to form the tofu curd. During the process, two waste by-products are obtained in large quantities: okara and tofu whey. Tofu whey is the liquid waste fraction that remains after the curd formation and pressing </w:t>
      </w:r>
      <w:r w:rsidRPr="00E80703">
        <w:fldChar w:fldCharType="begin" w:fldLock="1"/>
      </w:r>
      <w:r>
        <w:instrText>ADDIN CSL_CITATION {"citationItems":[{"id":"ITEM-1","itemData":{"abstract":"The wide range of functional properties of soy protein and its high nutritive value makes it base of a novel food platform. Various products are in the market like soy protein isolate, soy protein concentrate, tofu, soymilk which are well accepted by the consumers. Nevertheless, soybean processing operations generate a large proportion of liquid effluent termed as soybean whey. This yellowish liquid waste can be functionally and nutritionally valuable because of their nutrient composition. Discarded whey is not only accountable for pollution problem, but also represents an economic and nutritional penalty in this era. Till now, there are only few reports on effective use of soybean whey, for this reason the present article emphasis to summarize all the extensive research developed for its utilization, so that soybean whey can be well recognized as a potential feedstock both for the microbial and enzymatic intervention.","author":[{"dropping-particle":"","family":"Singh","given":"Anshu","non-dropping-particle":"","parse-names":false,"suffix":""},{"dropping-particle":"","family":"Banerjee","given":"Rintu","non-dropping-particle":"","parse-names":false,"suffix":""}],"container-title":"Indian Journal of Biotechnology","id":"ITEM-1","issued":{"date-parts":[["2018"]]},"number-of-pages":"397-401","title":"Value addition to soybean whey through microbial and enzymatic intervention","type":"report","volume":"17"},"uris":["http://www.mendeley.com/documents/?uuid=559c7fde-9901-4417-9a4c-22ec317f1e51"]}],"mendeley":{"formattedCitation":"[2]","plainTextFormattedCitation":"[2]","previouslyFormattedCitation":"[2]"},"properties":{"noteIndex":0},"schema":"https://github.com/citation-style-language/schema/raw/master/csl-citation.json"}</w:instrText>
      </w:r>
      <w:r w:rsidRPr="00E80703">
        <w:fldChar w:fldCharType="separate"/>
      </w:r>
      <w:r w:rsidRPr="00C8126B">
        <w:rPr>
          <w:noProof/>
        </w:rPr>
        <w:t>[2]</w:t>
      </w:r>
      <w:r w:rsidRPr="00E80703">
        <w:fldChar w:fldCharType="end"/>
      </w:r>
      <w:r w:rsidRPr="00E80703">
        <w:t xml:space="preserve">. About 9 kg of whey, containing up to 1%  carbohydrates, 1% fats, 0.8% proteins, and 0.4% minerals, are produced per kg of soybeans used to make tofu </w:t>
      </w:r>
      <w:r w:rsidRPr="00E80703">
        <w:fldChar w:fldCharType="begin" w:fldLock="1"/>
      </w:r>
      <w:r>
        <w:instrText>ADDIN CSL_CITATION {"citationItems":[{"id":"ITEM-1","itemData":{"DOI":"10.1016/j.tifs.2019.06.016","ISSN":"09242244","abstract":"Background: Soy whey is a by-product generated from both tofu and soy protein isolate production. This by-product contains a substantial amount of nutrients consisting of proteins, simple sugars, oligosaccharides, minerals, and soy isoflavones. Soy whey is commonly disposed of into the sewage after it is generated, and this pollutes water bodies. Scope and approach: Researchers from various countries have explored the valorization of soy whey for value-add or value creation in addition to mitigate the environmental pollution. This review article aims to evaluate the current status of soy whey valorization research and the learning points that can be adapted from the dairy whey valorization research which are more extensively studied than soy whey valorization research. Various methods of soy whey utilization are discussed, which can be broadly classified into two categories: physical and microbiological/enzymatic. Physical methods include the recovery of the nutrients (eg. isoflavone, protein and minerals) and the production of various functional ingredients (eg. emulsifiers), whereas microbiological/enzymatic methods include the production of functional ingredients using microorganisms and enzymes (eg. prebiotic and citric acid), propagation of microorganisms (eg. probiotics) as well as biofuel production. Key findings and conclusions: Even though there have been various efforts in valorizing soy whey, most of these studies still generate a significant amount of waste at the end of the processes. Therefore, there is a need to find an efficient method to significantly valorize soy whey without significant residual waste or generation of new waste and dairy whey valorization technologies may serve as a template for efficient soy whey valorization.","author":[{"dropping-particle":"","family":"Chua","given":"Jian Yong","non-dropping-particle":"","parse-names":false,"suffix":""},{"dropping-particle":"","family":"Liu","given":"Shao Quan","non-dropping-particle":"","parse-names":false,"suffix":""}],"container-title":"Trends in Food Science and Technology","id":"ITEM-1","issued":{"date-parts":[["2019","9","1"]]},"page":"24-32","publisher":"Elsevier Ltd","title":"Soy whey: More than just wastewater from tofu and soy protein isolate industry","type":"article","volume":"91"},"uris":["http://www.mendeley.com/documents/?uuid=7a7d0b87-4d38-3b24-9792-b797d5f06099"]}],"mendeley":{"formattedCitation":"[3]","plainTextFormattedCitation":"[3]","previouslyFormattedCitation":"[3]"},"properties":{"noteIndex":0},"schema":"https://github.com/citation-style-language/schema/raw/master/csl-citation.json"}</w:instrText>
      </w:r>
      <w:r w:rsidRPr="00E80703">
        <w:fldChar w:fldCharType="separate"/>
      </w:r>
      <w:r w:rsidRPr="00C8126B">
        <w:rPr>
          <w:noProof/>
        </w:rPr>
        <w:t>[3]</w:t>
      </w:r>
      <w:r w:rsidRPr="00E80703">
        <w:fldChar w:fldCharType="end"/>
      </w:r>
      <w:r w:rsidRPr="00E80703">
        <w:t xml:space="preserve">. </w:t>
      </w:r>
      <w:r>
        <w:t>R</w:t>
      </w:r>
      <w:r w:rsidRPr="00E80703">
        <w:t>ecovery of nutrients and bioactive compounds</w:t>
      </w:r>
      <w:r>
        <w:t>,</w:t>
      </w:r>
      <w:r w:rsidRPr="00E80703">
        <w:t xml:space="preserve"> </w:t>
      </w:r>
      <w:r>
        <w:t xml:space="preserve"> t</w:t>
      </w:r>
      <w:r w:rsidRPr="00E80703">
        <w:t xml:space="preserve">ransformation into functional and alcoholic beverages, and utilization as a growth media for the propagation of biomass are the most commonly studied applications of this by-product </w:t>
      </w:r>
      <w:r w:rsidRPr="00E80703">
        <w:fldChar w:fldCharType="begin" w:fldLock="1"/>
      </w:r>
      <w:r>
        <w:instrText>ADDIN CSL_CITATION {"citationItems":[{"id":"ITEM-1","itemData":{"abstract":"The wide range of functional properties of soy protein and its high nutritive value makes it base of a novel food platform. Various products are in the market like soy protein isolate, soy protein concentrate, tofu, soymilk which are well accepted by the consumers. Nevertheless, soybean processing operations generate a large proportion of liquid effluent termed as soybean whey. This yellowish liquid waste can be functionally and nutritionally valuable because of their nutrient composition. Discarded whey is not only accountable for pollution problem, but also represents an economic and nutritional penalty in this era. Till now, there are only few reports on effective use of soybean whey, for this reason the present article emphasis to summarize all the extensive research developed for its utilization, so that soybean whey can be well recognized as a potential feedstock both for the microbial and enzymatic intervention.","author":[{"dropping-particle":"","family":"Singh","given":"Anshu","non-dropping-particle":"","parse-names":false,"suffix":""},{"dropping-particle":"","family":"Banerjee","given":"Rintu","non-dropping-particle":"","parse-names":false,"suffix":""}],"container-title":"Indian Journal of Biotechnology","id":"ITEM-1","issued":{"date-parts":[["2018"]]},"number-of-pages":"397-401","title":"Value addition to soybean whey through microbial and enzymatic intervention","type":"report","volume":"17"},"uris":["http://www.mendeley.com/documents/?uuid=559c7fde-9901-4417-9a4c-22ec317f1e51"]},{"id":"ITEM-2","itemData":{"DOI":"10.1016/j.tifs.2019.06.016","ISSN":"09242244","abstract":"Background: Soy whey is a by-product generated from both tofu and soy protein isolate production. This by-product contains a substantial amount of nutrients consisting of proteins, simple sugars, oligosaccharides, minerals, and soy isoflavones. Soy whey is commonly disposed of into the sewage after it is generated, and this pollutes water bodies. Scope and approach: Researchers from various countries have explored the valorization of soy whey for value-add or value creation in addition to mitigate the environmental pollution. This review article aims to evaluate the current status of soy whey valorization research and the learning points that can be adapted from the dairy whey valorization research which are more extensively studied than soy whey valorization research. Various methods of soy whey utilization are discussed, which can be broadly classified into two categories: physical and microbiological/enzymatic. Physical methods include the recovery of the nutrients (eg. isoflavone, protein and minerals) and the production of various functional ingredients (eg. emulsifiers), whereas microbiological/enzymatic methods include the production of functional ingredients using microorganisms and enzymes (eg. prebiotic and citric acid), propagation of microorganisms (eg. probiotics) as well as biofuel production. Key findings and conclusions: Even though there have been various efforts in valorizing soy whey, most of these studies still generate a significant amount of waste at the end of the processes. Therefore, there is a need to find an efficient method to significantly valorize soy whey without significant residual waste or generation of new waste and dairy whey valorization technologies may serve as a template for efficient soy whey valorization.","author":[{"dropping-particle":"","family":"Chua","given":"Jian Yong","non-dropping-particle":"","parse-names":false,"suffix":""},{"dropping-particle":"","family":"Liu","given":"Shao Quan","non-dropping-particle":"","parse-names":false,"suffix":""}],"container-title":"Trends in Food Science and Technology","id":"ITEM-2","issued":{"date-parts":[["2019","9","1"]]},"page":"24-32","publisher":"Elsevier Ltd","title":"Soy whey: More than just wastewater from tofu and soy protein isolate industry","type":"article","volume":"91"},"uris":["http://www.mendeley.com/documents/?uuid=7a7d0b87-4d38-3b24-9792-b797d5f06099"]}],"mendeley":{"formattedCitation":"[2,3]","plainTextFormattedCitation":"[2,3]","previouslyFormattedCitation":"[2,3]"},"properties":{"noteIndex":0},"schema":"https://github.com/citation-style-language/schema/raw/master/csl-citation.json"}</w:instrText>
      </w:r>
      <w:r w:rsidRPr="00E80703">
        <w:fldChar w:fldCharType="separate"/>
      </w:r>
      <w:r w:rsidRPr="00C8126B">
        <w:rPr>
          <w:noProof/>
        </w:rPr>
        <w:t>[2,3]</w:t>
      </w:r>
      <w:r w:rsidRPr="00E80703">
        <w:fldChar w:fldCharType="end"/>
      </w:r>
      <w:r w:rsidRPr="00E80703">
        <w:t xml:space="preserve">.  However, whey continues being mostly discarded into the sewage or soil, posing an environmental threat due to its high biological and chemical oxygen demand (BOD: 6000 – 8000 mg/L; COD: 7,500 – 26,000 mg/L) </w:t>
      </w:r>
      <w:r w:rsidRPr="00E80703">
        <w:fldChar w:fldCharType="begin" w:fldLock="1"/>
      </w:r>
      <w:r>
        <w:instrText>ADDIN CSL_CITATION {"citationItems":[{"id":"ITEM-1","itemData":{"DOI":"10.1016/j.tifs.2019.06.016","ISSN":"09242244","abstract":"Background: Soy whey is a by-product generated from both tofu and soy protein isolate production. This by-product contains a substantial amount of nutrients consisting of proteins, simple sugars, oligosaccharides, minerals, and soy isoflavones. Soy whey is commonly disposed of into the sewage after it is generated, and this pollutes water bodies. Scope and approach: Researchers from various countries have explored the valorization of soy whey for value-add or value creation in addition to mitigate the environmental pollution. This review article aims to evaluate the current status of soy whey valorization research and the learning points that can be adapted from the dairy whey valorization research which are more extensively studied than soy whey valorization research. Various methods of soy whey utilization are discussed, which can be broadly classified into two categories: physical and microbiological/enzymatic. Physical methods include the recovery of the nutrients (eg. isoflavone, protein and minerals) and the production of various functional ingredients (eg. emulsifiers), whereas microbiological/enzymatic methods include the production of functional ingredients using microorganisms and enzymes (eg. prebiotic and citric acid), propagation of microorganisms (eg. probiotics) as well as biofuel production. Key findings and conclusions: Even though there have been various efforts in valorizing soy whey, most of these studies still generate a significant amount of waste at the end of the processes. Therefore, there is a need to find an efficient method to significantly valorize soy whey without significant residual waste or generation of new waste and dairy whey valorization technologies may serve as a template for efficient soy whey valorization.","author":[{"dropping-particle":"","family":"Chua","given":"Jian Yong","non-dropping-particle":"","parse-names":false,"suffix":""},{"dropping-particle":"","family":"Liu","given":"Shao Quan","non-dropping-particle":"","parse-names":false,"suffix":""}],"container-title":"Trends in Food Science and Technology","id":"ITEM-1","issued":{"date-parts":[["2019","9","1"]]},"page":"24-32","publisher":"Elsevier Ltd","title":"Soy whey: More than just wastewater from tofu and soy protein isolate industry","type":"article","volume":"91"},"uris":["http://www.mendeley.com/documents/?uuid=7a7d0b87-4d38-3b24-9792-b797d5f06099"]}],"mendeley":{"formattedCitation":"[3]","plainTextFormattedCitation":"[3]","previouslyFormattedCitation":"[3]"},"properties":{"noteIndex":0},"schema":"https://github.com/citation-style-language/schema/raw/master/csl-citation.json"}</w:instrText>
      </w:r>
      <w:r w:rsidRPr="00E80703">
        <w:fldChar w:fldCharType="separate"/>
      </w:r>
      <w:r w:rsidRPr="00C8126B">
        <w:rPr>
          <w:noProof/>
        </w:rPr>
        <w:t>[3]</w:t>
      </w:r>
      <w:r w:rsidRPr="00E80703">
        <w:fldChar w:fldCharType="end"/>
      </w:r>
      <w:r w:rsidRPr="00CB7FED">
        <w:t xml:space="preserve">.  </w:t>
      </w:r>
    </w:p>
    <w:p w14:paraId="6F13FD91" w14:textId="6DB8E2AC" w:rsidR="003F461D" w:rsidRDefault="003F461D" w:rsidP="003F461D">
      <w:pPr>
        <w:spacing w:line="480" w:lineRule="auto"/>
        <w:ind w:firstLine="720"/>
      </w:pPr>
      <w:bookmarkStart w:id="30" w:name="_Hlk69113637"/>
      <w:r w:rsidRPr="00E80703">
        <w:t xml:space="preserve">Lunasin is a 5 kDa soy-derived peptide </w:t>
      </w:r>
      <w:r>
        <w:t>that</w:t>
      </w:r>
      <w:r w:rsidRPr="00E80703">
        <w:t xml:space="preserve"> has </w:t>
      </w:r>
      <w:r>
        <w:t>raised</w:t>
      </w:r>
      <w:r w:rsidRPr="00E80703">
        <w:t xml:space="preserve"> interest </w:t>
      </w:r>
      <w:r w:rsidR="005A00F5">
        <w:t>i</w:t>
      </w:r>
      <w:r w:rsidRPr="00E80703">
        <w:t xml:space="preserve">n its potential application as a dietary supplement for the prevention of several chronic and degenerative diseases. This is due to the increasing body of evidence that supports its chemopreventive, anti-inflammatory, antioxidant, anti-hypertensive, cholesterol-regulating, neuroprotective and immunomodulatory properties </w:t>
      </w:r>
      <w:r w:rsidRPr="00E80703">
        <w:fldChar w:fldCharType="begin" w:fldLock="1"/>
      </w:r>
      <w:r>
        <w:instrText>ADDIN CSL_CITATION {"citationItems":[{"id":"ITEM-1","itemData":{"DOI":"10.1016/j.foodres.2018.12.029","ISSN":"18737145","abstract":"Non-communicable diseases have become the medical challenge of the 21st century because of their high incidence and mortality rates. Accumulating evidence has suggested that the modulation of diet and other lifestyle habits is the best strategy for the prevention of these diseases. An increasing number of dietary compounds have been found to exert health promoting benefits beyond their nutritional effects. Among them, lunasin is considered one of the most studied bioactive peptides. Since its discovery in soybean twenty years ago, many researchers around the world have focused their studies on demonstrating the chemopreventive and chemotherapeutic activity of lunasin. Moreover, in the last years, promising protective effects of this peptide against hypercholesterolemia, obesity, metabolic syndrome and associated cardiovascular disorders, and inflammatory and immune-regulated diseases have been described. This review summarizes recent remarkable advances on the use of peptide lunasin as a potential functional ingredient to provide health benefits. Moreover, novel aspects related to the influence of lunasin's digestion and bioavailability, the mechanisms of action proposed to explain the underlying biological properties, and the incorporation of this peptide into nutritional supplements are critically discussed.","author":[{"dropping-particle":"","family":"Fernández-Tomé","given":"Samuel","non-dropping-particle":"","parse-names":false,"suffix":""},{"dropping-particle":"","family":"Hernández-Ledesma","given":"Blanca","non-dropping-particle":"","parse-names":false,"suffix":""}],"container-title":"Food Research International","id":"ITEM-1","issued":{"date-parts":[["2019"]]},"page":"71-78","publisher":"Elsevier Ltd","title":"Current state of art after twenty years of the discovery of bioactive peptide lunasin","type":"article","volume":"116"},"uris":["http://www.mendeley.com/documents/?uuid=28a91601-fb3a-3c60-91ff-6497604da759"]}],"mendeley":{"formattedCitation":"[4]","plainTextFormattedCitation":"[4]","previouslyFormattedCitation":"[4]"},"properties":{"noteIndex":0},"schema":"https://github.com/citation-style-language/schema/raw/master/csl-citation.json"}</w:instrText>
      </w:r>
      <w:r w:rsidRPr="00E80703">
        <w:fldChar w:fldCharType="separate"/>
      </w:r>
      <w:r w:rsidRPr="00C8126B">
        <w:rPr>
          <w:noProof/>
        </w:rPr>
        <w:t>[4]</w:t>
      </w:r>
      <w:r w:rsidRPr="00E80703">
        <w:fldChar w:fldCharType="end"/>
      </w:r>
      <w:r w:rsidRPr="00E80703">
        <w:t xml:space="preserve">.  The ability of lunasin to inhibit tumor growth and invasiveness of cancer cells has been demonstrated </w:t>
      </w:r>
      <w:r w:rsidRPr="00E80703">
        <w:rPr>
          <w:i/>
          <w:iCs/>
        </w:rPr>
        <w:t>in vitro</w:t>
      </w:r>
      <w:r w:rsidRPr="00E80703">
        <w:t xml:space="preserve"> and </w:t>
      </w:r>
      <w:r w:rsidRPr="00E80703">
        <w:rPr>
          <w:i/>
          <w:iCs/>
        </w:rPr>
        <w:t>in vivo</w:t>
      </w:r>
      <w:r w:rsidRPr="00E80703">
        <w:t xml:space="preserve"> for melanoma, breast, lung, and colorectal cancer </w:t>
      </w:r>
      <w:r w:rsidRPr="00E80703">
        <w:fldChar w:fldCharType="begin" w:fldLock="1"/>
      </w:r>
      <w:r>
        <w:instrText>ADDIN CSL_CITATION {"citationItems":[{"id":"ITEM-1","itemData":{"DOI":"10.3892/ol.2017.6017","ISSN":"17921082","abstract":"Strategies for the treatment of cancer remain unsatisfactory due to the poor understanding of the complicated underlying molecular mechanisms of carcinogenesis. A number of types of cancer exhibit a marked association with dietary habits and lifestyles. Therefore, the modulation of dietary habits or lifestyles may be an effective strategy for preventing the formation and progression of cancer. Proteins and polypeptides from soybean have been developed as healthcare products due to their marked activity in inhibiting the progression of cancer at various stages. Lunasin, containing 43 amino acid residues, is one such example of a soybean-derived polypeptide that has been demonstrated to exhibit marked anti-cancer activity. In the present review, studies of the underlying molecular mechanisms and potential advantages of lunasin in the prevention and treatment of cancer have been examined, to provide a theoretical reference for the development of natural product-based agents or healthcare products for the prevention and treatment of cancer.","author":[{"dropping-particle":"","family":"Wan","given":"Xing","non-dropping-particle":"","parse-names":false,"suffix":""},{"dropping-particle":"","family":"Liu","given":"Hong","non-dropping-particle":"","parse-names":false,"suffix":""},{"dropping-particle":"","family":"Sun","given":"Yong","non-dropping-particle":"","parse-names":false,"suffix":""},{"dropping-particle":"","family":"Zhang","given":"Jinlan","non-dropping-particle":"","parse-names":false,"suffix":""},{"dropping-particle":"","family":"Chen","given":"Xianbing","non-dropping-particle":"","parse-names":false,"suffix":""},{"dropping-particle":"","family":"Chen","given":"Ning","non-dropping-particle":"","parse-names":false,"suffix":""}],"container-title":"Oncology Letters","id":"ITEM-1","issue":"6","issued":{"date-parts":[["2017","6","1"]]},"page":"3997-4001","publisher":"Spandidos Publications","title":"Lunasin: A promising polypeptide for the prevention and treatment of cancer","type":"article","volume":"13"},"uris":["http://www.mendeley.com/documents/?uuid=e7845505-deea-38b0-a38c-f14580ababd5"]}],"mendeley":{"formattedCitation":"[5]","plainTextFormattedCitation":"[5]","previouslyFormattedCitation":"[5]"},"properties":{"noteIndex":0},"schema":"https://github.com/citation-style-language/schema/raw/master/csl-citation.json"}</w:instrText>
      </w:r>
      <w:r w:rsidRPr="00E80703">
        <w:fldChar w:fldCharType="separate"/>
      </w:r>
      <w:r w:rsidRPr="00C8126B">
        <w:rPr>
          <w:noProof/>
        </w:rPr>
        <w:t>[5]</w:t>
      </w:r>
      <w:r w:rsidRPr="00E80703">
        <w:fldChar w:fldCharType="end"/>
      </w:r>
      <w:r w:rsidRPr="00E80703">
        <w:t xml:space="preserve">, while the anti-inflammatory potential have been mostly studied </w:t>
      </w:r>
      <w:r w:rsidRPr="00E80703">
        <w:rPr>
          <w:i/>
          <w:iCs/>
        </w:rPr>
        <w:t>in vitro</w:t>
      </w:r>
      <w:r w:rsidRPr="00E80703">
        <w:t xml:space="preserve"> and is associated with the reduction of pro-inflammatory molecules such as nitric oxide (NO), TNF-α and PGE</w:t>
      </w:r>
      <w:r w:rsidRPr="00E80703">
        <w:rPr>
          <w:vertAlign w:val="subscript"/>
        </w:rPr>
        <w:t xml:space="preserve">2 </w:t>
      </w:r>
      <w:r w:rsidRPr="00E80703">
        <w:fldChar w:fldCharType="begin" w:fldLock="1"/>
      </w:r>
      <w:r>
        <w:instrText>ADDIN CSL_CITATION {"citationItems":[{"id":"ITEM-1","itemData":{"DOI":"10.1002/jsfa.8719","ISSN":"10970010","PMID":"28990666","abstract":"Chronic diseases have become the medical challenge of the 21st century because of their high incidence and mortality rates. Modulation of diet and lifestyle habits is considered as the best strategy for the prevention of these disorders. Health promoting benefits beyond their nutritional effects have been described for multiple dietary compounds. Among these compounds, the peptide lunasin is considered as one of the most promising. Naturally present in soybean, lunasin has been extensively studied in the last two decades because of its potential against chronic diseases such as cancer, cardiovascular and immunological disorders. The purpose of this article is to summarise the evidence on the presence of lunasin in soybean and derived foods, and its bioavailability once it is orally ingested. The protective and therapeutic effects of this peptide against cancer, oxidative stress, inflammation, and high cholesterol levels as well as the molecular mechanisms of action involved in these effects are also described in this review. © 2017 Society of Chemical Industry.","author":[{"dropping-particle":"","family":"Hsieh","given":"Chia Chien","non-dropping-particle":"","parse-names":false,"suffix":""},{"dropping-particle":"","family":"Martínez-Villaluenga","given":"Cristina","non-dropping-particle":"","parse-names":false,"suffix":""},{"dropping-particle":"","family":"Lumen","given":"Ben O.","non-dropping-particle":"de","parse-names":false,"suffix":""},{"dropping-particle":"","family":"Hernández-Ledesma","given":"Blanca","non-dropping-particle":"","parse-names":false,"suffix":""}],"container-title":"Journal of the Science of Food and Agriculture","id":"ITEM-1","issue":"6","issued":{"date-parts":[["2018"]]},"page":"2070-2079","title":"Updating the research on the chemopreventive and therapeutic role of the peptide lunasin","type":"article-journal","volume":"98"},"uris":["http://www.mendeley.com/documents/?uuid=43cbf670-6d8c-4843-bcf8-2b316f46d901"]}],"mendeley":{"formattedCitation":"[6]","plainTextFormattedCitation":"[6]","previouslyFormattedCitation":"[6]"},"properties":{"noteIndex":0},"schema":"https://github.com/citation-style-language/schema/raw/master/csl-citation.json"}</w:instrText>
      </w:r>
      <w:r w:rsidRPr="00E80703">
        <w:fldChar w:fldCharType="separate"/>
      </w:r>
      <w:r w:rsidRPr="00C8126B">
        <w:rPr>
          <w:noProof/>
        </w:rPr>
        <w:t>[6]</w:t>
      </w:r>
      <w:r w:rsidRPr="00E80703">
        <w:fldChar w:fldCharType="end"/>
      </w:r>
      <w:r w:rsidRPr="00E80703">
        <w:t xml:space="preserve">. Most of these properties seem to be modulated at the epigenetic level by particular amino acid sequences present in the lunasin </w:t>
      </w:r>
      <w:r w:rsidRPr="00E80703">
        <w:lastRenderedPageBreak/>
        <w:t>structure: a polyaspartic acid tail that can inhibit acetylation of core histones H3 and H4, an RGD domain that modulate integrin signaling and mediate</w:t>
      </w:r>
      <w:r w:rsidR="0018339E">
        <w:t>s</w:t>
      </w:r>
      <w:r w:rsidRPr="00E80703">
        <w:t xml:space="preserve"> cellular internalization, and a chromatin-binding region that provides immunomodulatory functions </w:t>
      </w:r>
      <w:r w:rsidRPr="00E80703">
        <w:fldChar w:fldCharType="begin" w:fldLock="1"/>
      </w:r>
      <w:r>
        <w:instrText>ADDIN CSL_CITATION {"citationItems":[{"id":"ITEM-1","itemData":{"DOI":"10.1016/j.coph.2018.04.006","ISSN":"14714973","PMID":"29679803","abstract":"The health benefits of soy consumption have long been recognized. An important potential benefit is the linkage of soy consumption with reduced cancer risk. One emerging factor that may confer the anticancer effects of soy is the peptide lunasin. Lunasin has both chemopreventive and therapeutic activities against a variety of carcinogens and cancer types. A novel feature of lunasin is that it contains multiple functional domains that can modulate gene expression through effects on histone acetylation and integrin signaling. Recent studies suggest that lunasin effects on integrin signaling in cancer stem cells reduce expression of stemness factors with a concomitant reduction in metastatic potential. Here, we highlight recent studies of the potential use of lunasin as an anticancer agent and its mode of action.","author":[{"dropping-particle":"","family":"Vuyyuri","given":"Saleha B.","non-dropping-particle":"","parse-names":false,"suffix":""},{"dropping-particle":"","family":"Shidal","given":"Chris","non-dropping-particle":"","parse-names":false,"suffix":""},{"dropping-particle":"","family":"Davis","given":"Keith R.","non-dropping-particle":"","parse-names":false,"suffix":""}],"container-title":"Current Opinion in Pharmacology","id":"ITEM-1","issued":{"date-parts":[["2018","8","1"]]},"page":"27-33","publisher":"Elsevier Ltd","title":"Development of the plant-derived peptide lunasin as an anticancer agent","type":"article-journal","volume":"41"},"uris":["http://www.mendeley.com/documents/?uuid=2b299980-0978-40b3-acd5-3c7df9dd371d"]}],"mendeley":{"formattedCitation":"[7]","plainTextFormattedCitation":"[7]","previouslyFormattedCitation":"[7]"},"properties":{"noteIndex":0},"schema":"https://github.com/citation-style-language/schema/raw/master/csl-citation.json"}</w:instrText>
      </w:r>
      <w:r w:rsidRPr="00E80703">
        <w:fldChar w:fldCharType="separate"/>
      </w:r>
      <w:r w:rsidRPr="00C8126B">
        <w:rPr>
          <w:noProof/>
        </w:rPr>
        <w:t>[7]</w:t>
      </w:r>
      <w:r w:rsidRPr="00E80703">
        <w:fldChar w:fldCharType="end"/>
      </w:r>
      <w:r w:rsidRPr="00E80703">
        <w:t xml:space="preserve">.   </w:t>
      </w:r>
    </w:p>
    <w:bookmarkEnd w:id="30"/>
    <w:p w14:paraId="59308881" w14:textId="7C6DF410" w:rsidR="003F461D" w:rsidRDefault="003F461D" w:rsidP="003F461D">
      <w:pPr>
        <w:spacing w:line="480" w:lineRule="auto"/>
        <w:ind w:firstLine="720"/>
      </w:pPr>
      <w:r w:rsidRPr="00E80703">
        <w:t xml:space="preserve">The high cost associated with the utilization of synthetic lunasin has led to the formulation of several approaches to isolate the peptide from natural sources. </w:t>
      </w:r>
      <w:bookmarkStart w:id="31" w:name="_Hlk69113813"/>
      <w:r w:rsidRPr="00E80703">
        <w:t xml:space="preserve">Krishnan and coworkers developed a simple procedure to isolate a protein fraction from soybeans highly enriched in lunasin, Bowman Birk </w:t>
      </w:r>
      <w:r w:rsidR="00BC7657">
        <w:t>i</w:t>
      </w:r>
      <w:r w:rsidRPr="00E80703">
        <w:t xml:space="preserve">nhibitor and Kunitz Trypsin </w:t>
      </w:r>
      <w:r w:rsidR="00BC7657">
        <w:t>i</w:t>
      </w:r>
      <w:r w:rsidRPr="00E80703">
        <w:t xml:space="preserve">nhibitor via aqueous ethanol extraction and calcium precipitation </w:t>
      </w:r>
      <w:r w:rsidRPr="00E80703">
        <w:fldChar w:fldCharType="begin" w:fldLock="1"/>
      </w:r>
      <w:r>
        <w:instrText>ADDIN CSL_CITATION {"citationItems":[{"id":"ITEM-1","itemData":{"DOI":"10.1016/j.foodchem.2015.01.006","ISSN":"18737072","abstract":"Lunasin is a 5-kDa soybean bioactive peptide with demonstrated anti-cancer and anti-inflammatory properties. Recently, purification methods have been developed to obtain gram quantities of lunasin. However, these methods are cumbersome, time consuming and cost-prohibitive. To overcome these constrains we have developed a novel method which involves extraction of soybean flour with 30% ethanol followed by preferential precipitation of lunasin and protease inhibitors by calcium. The calcium precipitated protein fraction, which we termed as Lunasin Protease Inhibitor Concentrate (LPIC), contains three abundant proteins with molecular weights of 21, 14 and 5 kDa. This simple procedure yields 3.2 g of LPIC from 100 g of soybean flour and the entire isolation procedure can be completed in less than 2 h. Treatment of THP-1 human monocyte cell lines with LPIC resulted in suppression of lipopolysaccharide-stimulated cytokine expression, demonstrating that the LPIC isolated by our simple procedure is biologically active.","author":[{"dropping-particle":"","family":"Krishnan","given":"Hari B.","non-dropping-particle":"","parse-names":false,"suffix":""},{"dropping-particle":"","family":"Wang","given":"Thomas T.Y.","non-dropping-particle":"","parse-names":false,"suffix":""}],"container-title":"Food Chemistry","id":"ITEM-1","issued":{"date-parts":[["2015","6","15"]]},"page":"120-126","publisher":"Elsevier Ltd","title":"An effective and simple procedure to isolate abundant quantities of biologically active chemopreventive Lunasin Protease Inhibitor Concentrate (LPIC) from soybean","type":"article-journal","volume":"177"},"uris":["http://www.mendeley.com/documents/?uuid=445a7486-73ab-39c0-b9c9-f987cb47ae0a"]}],"mendeley":{"formattedCitation":"[8]","plainTextFormattedCitation":"[8]","previouslyFormattedCitation":"[8]"},"properties":{"noteIndex":0},"schema":"https://github.com/citation-style-language/schema/raw/master/csl-citation.json"}</w:instrText>
      </w:r>
      <w:r w:rsidRPr="00E80703">
        <w:fldChar w:fldCharType="separate"/>
      </w:r>
      <w:r w:rsidRPr="00C8126B">
        <w:rPr>
          <w:noProof/>
        </w:rPr>
        <w:t>[8]</w:t>
      </w:r>
      <w:r w:rsidRPr="00E80703">
        <w:fldChar w:fldCharType="end"/>
      </w:r>
      <w:r w:rsidRPr="00E80703">
        <w:t xml:space="preserve">. The three peptides combined account for 60% of the total protein content in the final product based on densitometric analysis, or up to 80% if anion-exchange chromatography is used for further purification. Seber </w:t>
      </w:r>
      <w:r w:rsidRPr="00E80703">
        <w:rPr>
          <w:i/>
          <w:iCs/>
        </w:rPr>
        <w:t>et al</w:t>
      </w:r>
      <w:r w:rsidRPr="00E80703">
        <w:t xml:space="preserve">. designed a six-step isolation process involving PBS extraction, ionic exchange chromatography (IEC), treatment with a reducing agent, ultrafiltration, reverse phase chromatography, and ultrafiltration, using defatted soy white flakes as starting material and yielding a product with &gt;99% purity based on densitometric analysis </w:t>
      </w:r>
      <w:r w:rsidRPr="00E80703">
        <w:fldChar w:fldCharType="begin" w:fldLock="1"/>
      </w:r>
      <w:r>
        <w:instrText>ADDIN CSL_CITATION {"citationItems":[{"id":"ITEM-1","itemData":{"DOI":"10.1371/journal.pone.0035409","ISSN":"1932-6203","abstract":"Lunasin is a peptide derived from the soybean 2S albumin seed protein that has both anticancer and anti-inflammatory activities. Large-scale animal studies and human clinical trials to determine the efficacy of lunasin in vivo have been hampered by the cost of synthetic lunasin and the lack of a method for obtaining gram quantities of highly purified lunasin from plant sources. The goal of this study was to develop a large-scale method to generate highly purified lunasin from defatted soy flour. A scalable method was developed that utilizes the sequential application of anion-exchange chromatography, ultrafiltration, and reversed-phase chromatography. This method generates lunasin preparations of &gt;99% purity with a yield of 442 mg/kg defatted soy flour. Mass spectrometry of the purified lunasin revealed that the peptide is 44 amino acids in length and represents the original published sequence of lunasin with an additional C-terminal asparagine residue. Histone-binding assays demonstrated that the biological activity of the purified lunasin was similar to that of synthetic lunasin. This study provides a robust method for purifying commercial-scale quantities of biologically-active lunasin and clearly identifies the predominant form of lunasin in soy flour. This method will greatly facilitate the development of lunasin as a potential nutraceutical or therapeutic anticancer agent. © 2012 Seber et al.","author":[{"dropping-particle":"","family":"Seber","given":"Lauren E.","non-dropping-particle":"","parse-names":false,"suffix":""},{"dropping-particle":"","family":"Barnett","given":"Brian W.","non-dropping-particle":"","parse-names":false,"suffix":""},{"dropping-particle":"","family":"McConnell","given":"Elizabeth J.","non-dropping-particle":"","parse-names":false,"suffix":""},{"dropping-particle":"","family":"Hume","given":"Steven D.","non-dropping-particle":"","parse-names":false,"suffix":""},{"dropping-particle":"","family":"Cai","given":"Jian","non-dropping-particle":"","parse-names":false,"suffix":""},{"dropping-particle":"","family":"Boles","given":"Kati","non-dropping-particle":"","parse-names":false,"suffix":""},{"dropping-particle":"","family":"Davis","given":"Keith R.","non-dropping-particle":"","parse-names":false,"suffix":""}],"container-title":"PLoS ONE","editor":[{"dropping-particle":"","family":"Antopolsky","given":"Maxim","non-dropping-particle":"","parse-names":false,"suffix":""}],"id":"ITEM-1","issue":"4","issued":{"date-parts":[["2012","4","13"]]},"page":"e35409","publisher":"Public Library of Science","title":"Scalable Purification and Characterization of the Anticancer Lunasin Peptide from Soybean","type":"article-journal","volume":"7"},"uris":["http://www.mendeley.com/documents/?uuid=84033bd8-ad6d-3db1-b722-b75d1f034b12"]}],"mendeley":{"formattedCitation":"[9]","plainTextFormattedCitation":"[9]","previouslyFormattedCitation":"[9]"},"properties":{"noteIndex":0},"schema":"https://github.com/citation-style-language/schema/raw/master/csl-citation.json"}</w:instrText>
      </w:r>
      <w:r w:rsidRPr="00E80703">
        <w:fldChar w:fldCharType="separate"/>
      </w:r>
      <w:r w:rsidRPr="00C8126B">
        <w:rPr>
          <w:noProof/>
        </w:rPr>
        <w:t>[9]</w:t>
      </w:r>
      <w:r w:rsidRPr="00E80703">
        <w:fldChar w:fldCharType="end"/>
      </w:r>
      <w:r w:rsidRPr="00E80703">
        <w:t xml:space="preserve">. The purity reported for these isolation techniques indicate the relative abundance of the active peptide only as a ratio to other peptides and proteins that are revealed during the electrophoretic separation, while the presence of other non-peptide components in the final product was not considered. Dia </w:t>
      </w:r>
      <w:r w:rsidRPr="00E80703">
        <w:rPr>
          <w:i/>
          <w:iCs/>
        </w:rPr>
        <w:t>et al.</w:t>
      </w:r>
      <w:r w:rsidRPr="00E80703">
        <w:t xml:space="preserve"> developed a four-steps process that involved aqueous extraction of defatted soy flour, IEC, ultrafiltration, and gel filtration </w:t>
      </w:r>
      <w:r w:rsidRPr="00E80703">
        <w:lastRenderedPageBreak/>
        <w:t xml:space="preserve">chromatography achieving 80% purity of lunasin in the final product as assayed via HPLC </w:t>
      </w:r>
      <w:r w:rsidRPr="00E80703">
        <w:fldChar w:fldCharType="begin" w:fldLock="1"/>
      </w:r>
      <w:r>
        <w:instrText>ADDIN CSL_CITATION {"citationItems":[{"id":"ITEM-1","itemData":{"DOI":"10.1016/j.foodchem.2008.09.023","ISSN":"03088146","abstract":"Lunasin is a chemopreventive peptide present in soybean and other plant sources. The high cost involved in obtaining synthetic lunasin limits its application in chemopreventive and nutritional interventions. The objective of this study was to isolate, purify and characterise lunasin from defatted soybean flour and determine its in vitro anti-inflammatory activity using RAW 264.7 macrophages. Isolation and purification was achieved by ion-exchange chromatography, ultrafiltration and size exclusion chromatography. The identity of lunasin was established by Western blot, HPLC, MALDI-TOF and LC/MS-MS. The results showed that lunasin eluted from a DEAE anion exchange column at 0.15 M NaCl, and after 1.5 void volumes from size exclusion chromatography. Fractions from both chromatographic techniques consistently showed three peptides with positive immunoreactivity against lunasin mouse monoclonal antibody corresponding to 5, 8 and 14 kDa. LC/MS-MS analysis of the three immunoreactive peptides showed that 5 and 14 kDa bands contained the lunasin epitope, RGDDDDDD DDD while 8 kDa band showed high homology with 2 S soy albumin, a lunasin precursor. This is the first report on the potential anti-inflammatory activity of lunasin. Treatment of RAW 264.7 macrophage with 100 μM lunasin decreased the production of NO (92.6 ± 0.8%) and PGE2 (10.1 ± 4.5%), and the expression of iNOS (27.8 ± 2.1%) and COX-2 (41.4 ± 16.7%). We concluded that combination of ion-exchange chromatography, ultrafiltration and size exclusion chromatography represents a feasible process for the production of purified lunasin, which was also found to inhibit COX-2/PGE2 and iNOS/NO pathways. This newly discovered property of lunasin might contribute to the suppression of inflammation in vivo. © 2008 Elsevier Ltd. All rights reserved.","author":[{"dropping-particle":"","family":"Dia","given":"V. P.","non-dropping-particle":"","parse-names":false,"suffix":""},{"dropping-particle":"","family":"Wang","given":"W.","non-dropping-particle":"","parse-names":false,"suffix":""},{"dropping-particle":"","family":"Oh","given":"V. L.","non-dropping-particle":"","parse-names":false,"suffix":""},{"dropping-particle":"","family":"Lumen","given":"B. O.","non-dropping-particle":"De","parse-names":false,"suffix":""},{"dropping-particle":"","family":"Mejia","given":"E. Gonzalez","non-dropping-particle":"De","parse-names":false,"suffix":""}],"container-title":"Food Chemistry","id":"ITEM-1","issue":"1","issued":{"date-parts":[["2009","5","1"]]},"page":"108-115","publisher":"Elsevier","title":"Isolation, purification and characterisation of lunasin from defatted soybean flour and in vitro evaluation of its anti-inflammatory activity","type":"article-journal","volume":"114"},"uris":["http://www.mendeley.com/documents/?uuid=62081100-263e-3ce5-b7ff-c8b164e67e30"]}],"mendeley":{"formattedCitation":"[10]","plainTextFormattedCitation":"[10]","previouslyFormattedCitation":"[10]"},"properties":{"noteIndex":0},"schema":"https://github.com/citation-style-language/schema/raw/master/csl-citation.json"}</w:instrText>
      </w:r>
      <w:r w:rsidRPr="00E80703">
        <w:fldChar w:fldCharType="separate"/>
      </w:r>
      <w:r w:rsidRPr="00C8126B">
        <w:rPr>
          <w:noProof/>
        </w:rPr>
        <w:t>[10]</w:t>
      </w:r>
      <w:r w:rsidRPr="00E80703">
        <w:fldChar w:fldCharType="end"/>
      </w:r>
      <w:r w:rsidRPr="00E80703">
        <w:t xml:space="preserve">. </w:t>
      </w:r>
      <w:bookmarkEnd w:id="31"/>
      <w:r w:rsidRPr="00E80703">
        <w:t xml:space="preserve">These methods are complicated and costly, as they deal with the complete and complex protein composition of soybeans. </w:t>
      </w:r>
    </w:p>
    <w:p w14:paraId="0F381430" w14:textId="0A2F0537" w:rsidR="003F461D" w:rsidRPr="00E80703" w:rsidRDefault="003F461D" w:rsidP="003F461D">
      <w:pPr>
        <w:spacing w:line="480" w:lineRule="auto"/>
        <w:ind w:firstLine="720"/>
      </w:pPr>
      <w:r w:rsidRPr="00E80703">
        <w:t xml:space="preserve">Lunasin has been found in several commercially available soybean products, including soymilk and tofu </w:t>
      </w:r>
      <w:r w:rsidRPr="00E80703">
        <w:fldChar w:fldCharType="begin" w:fldLock="1"/>
      </w:r>
      <w:r>
        <w:instrText>ADDIN CSL_CITATION {"citationItems":[{"id":"ITEM-1","itemData":{"DOI":"10.1111/j.1750-3841.2012.02676.x","ISSN":"00221147","abstract":"Lunasin is a bioactive peptide present in soybean. It is important to quantify lunasin concentration in soy products to assess its potential impact as functional food. The objectives of this study were to analyze lunasin in commercial soymilk products and implement an efficient method to isolate and purify it from defatted soybean flour. Defatted soybean flour was suspended in water, and the extract was loaded in a pre-equilibrated diethylaminoethyl column and bound proteins eluted using a step gradient of salt. Most lunasin was eluted from the column at 0.2 to 0.4M NaCl as quantified by immunoassays and purified using ultracentrifugation and ultrafiltration techniques. Lunasin purity was ≥90% and a standard curve was used to quantify its concentration in soymilk products. Concentration of lunasin in soy products, including organic soymilk, soy protein shakes, and soy infant formulas, ranged from 1.78 to 9.26 mg lunasin/100 g product. The concentration per serving ranged from 1.59 ± 0.01 to 22.23 ± 0.74 mg lunasin with variability depending on brand and size per serving. Steam-ground-cooked soy had the highest concentration of lunasin (22.23 ± 0.74 mg/serving), similar to some commercial products. Ground-cooked soymilk contained roughly half the concentration of lunasin (14.39 ± 1.4 mg/serving). Soy infant formulas that used soy protein isolate revealed lower concentrations of lunasin (P &lt; 0.05). It was concluded that all soymilk products analyzed contained lunasin, and a more efficient method to isolate lunasin with higher purity was developed. © 2012 Institute of Food Technologists®.","author":[{"dropping-particle":"","family":"Cavazos","given":"Ariel","non-dropping-particle":"","parse-names":false,"suffix":""},{"dropping-particle":"","family":"Morales","given":"Elsy","non-dropping-particle":"","parse-names":false,"suffix":""},{"dropping-particle":"","family":"Dia","given":"Vermont P.","non-dropping-particle":"","parse-names":false,"suffix":""},{"dropping-particle":"","family":"Mejia","given":"Elvira Gonzalez","non-dropping-particle":"De","parse-names":false,"suffix":""}],"container-title":"Journal of Food Science","id":"ITEM-1","issue":"5","issued":{"date-parts":[["2012","5"]]},"publisher":"J Food Sci","title":"Analysis of Lunasin in Commercial and Pilot Plant Produced Soybean Products and an Improved Method of Lunasin Purification","type":"article-journal","volume":"77"},"uris":["http://www.mendeley.com/documents/?uuid=21e0da8d-70ee-39a9-85d8-cc1826808c96"]},{"id":"ITEM-2","itemData":{"DOI":"10.1016/j.foodchem.2008.12.054","ISSN":"03088146","abstract":"The inverse association between the intake of soybean foods and cancer incidence and mortality rates supported by published literature has led to studies on identifying bioactive components. The cancer preventive properties of the soybean peptides lunasin and Bowman-Birk protease inhibitor (BBI) have been demonstrated by in vitro and in vivo assays. Since there is no comprehensive information on the concentrations of these two peptides, US commercially available soy foods, including soy milk, soy-based infant formula, tofu, bean curd, soybean cake, tempeh, natto, miso and su-jae samples, were analyzed for lunasin and BBI. Both peptides were present in most of the products, in varying concentrations, depending mainly on the soybean variety and the manufacturing process. Lunasin and BBI were absent in the fermentation products natto and miso, suggesting that fermentation destroys both peptides. To study the bioavailability of lunasin and BBI, three soy milk samples with different concentrations of these peptides were subjected to an enzymatic hydrolysis process simulating physiological digestion. The results confirm the important role BBI plays in the protection of lunasin from digestion by pepsin and pancreatin.","author":[{"dropping-particle":"","family":"Hernández-Ledesma","given":"Blanca","non-dropping-particle":"","parse-names":false,"suffix":""},{"dropping-particle":"","family":"Hsieh","given":"Chia Chien","non-dropping-particle":"","parse-names":false,"suffix":""},{"dropping-particle":"","family":"Lumen","given":"Ben O.","non-dropping-particle":"de","parse-names":false,"suffix":""}],"container-title":"Food Chemistry","id":"ITEM-2","issue":"2","issued":{"date-parts":[["2009","7","15"]]},"page":"574-580","publisher":"Elsevier","title":"Lunasin and Bowman-Birk protease inhibitor (BBI) in US commercial soy foods","type":"article-journal","volume":"115"},"uris":["http://www.mendeley.com/documents/?uuid=078bfdc8-28c2-3e94-9dc2-6a6ba1269edf"]}],"mendeley":{"formattedCitation":"[11,12]","plainTextFormattedCitation":"[11,12]","previouslyFormattedCitation":"[11,12]"},"properties":{"noteIndex":0},"schema":"https://github.com/citation-style-language/schema/raw/master/csl-citation.json"}</w:instrText>
      </w:r>
      <w:r w:rsidRPr="00E80703">
        <w:fldChar w:fldCharType="separate"/>
      </w:r>
      <w:r w:rsidRPr="00C8126B">
        <w:rPr>
          <w:noProof/>
        </w:rPr>
        <w:t>[11,12]</w:t>
      </w:r>
      <w:r w:rsidRPr="00E80703">
        <w:fldChar w:fldCharType="end"/>
      </w:r>
      <w:r w:rsidRPr="00785176">
        <w:t xml:space="preserve">. </w:t>
      </w:r>
      <w:r w:rsidRPr="00E80703">
        <w:t xml:space="preserve">Then it is reasonable to hypothesize that tofu by-products, may contain remaining fractions of lunasin and can serve as alternative sources of the bioactive peptide. So far, there have been no attempts to identify or isolate lunasin from soymilk or tofu waste by-products. </w:t>
      </w:r>
      <w:bookmarkStart w:id="32" w:name="_Hlk69114043"/>
      <w:r w:rsidRPr="00E80703">
        <w:t xml:space="preserve">Our objective was to design a simple and feasible method to isolate lunasin from tofu whey wastewater. In addition, the </w:t>
      </w:r>
      <w:r w:rsidRPr="00E80703">
        <w:rPr>
          <w:i/>
          <w:iCs/>
        </w:rPr>
        <w:t>in vitro</w:t>
      </w:r>
      <w:r w:rsidRPr="00E80703">
        <w:t xml:space="preserve"> anti-inflammatory properties of lunasin were assessed to corroborate that the isolated lunasin maintain</w:t>
      </w:r>
      <w:r w:rsidR="00BC7657">
        <w:t>s</w:t>
      </w:r>
      <w:r w:rsidRPr="00E80703">
        <w:t xml:space="preserve"> its bioactive properties. </w:t>
      </w:r>
    </w:p>
    <w:p w14:paraId="756B319A" w14:textId="77777777" w:rsidR="003F461D" w:rsidRPr="00704AB3" w:rsidRDefault="003F461D" w:rsidP="003F461D">
      <w:pPr>
        <w:pStyle w:val="Heading2"/>
        <w:spacing w:line="480" w:lineRule="auto"/>
      </w:pPr>
      <w:bookmarkStart w:id="33" w:name="_Toc77082101"/>
      <w:bookmarkEnd w:id="32"/>
      <w:r>
        <w:t xml:space="preserve">2.3 </w:t>
      </w:r>
      <w:r w:rsidRPr="00704AB3">
        <w:t>Materials and Methods</w:t>
      </w:r>
      <w:bookmarkEnd w:id="33"/>
    </w:p>
    <w:p w14:paraId="2C5ADBAE" w14:textId="77777777" w:rsidR="003F461D" w:rsidRPr="00943C22" w:rsidRDefault="003F461D" w:rsidP="003F461D">
      <w:pPr>
        <w:pStyle w:val="Heading3"/>
        <w:spacing w:line="480" w:lineRule="auto"/>
        <w:rPr>
          <w:i w:val="0"/>
        </w:rPr>
      </w:pPr>
      <w:bookmarkStart w:id="34" w:name="_Toc77082102"/>
      <w:r w:rsidRPr="00943C22">
        <w:rPr>
          <w:i w:val="0"/>
        </w:rPr>
        <w:t>2.3.1 Materials</w:t>
      </w:r>
      <w:bookmarkEnd w:id="34"/>
    </w:p>
    <w:p w14:paraId="351B00B3" w14:textId="2C1CBB6E" w:rsidR="003F461D" w:rsidRPr="00E80703" w:rsidRDefault="003F461D" w:rsidP="001311E7">
      <w:pPr>
        <w:spacing w:line="480" w:lineRule="auto"/>
        <w:ind w:firstLine="720"/>
      </w:pPr>
      <w:r w:rsidRPr="00E80703">
        <w:t xml:space="preserve">Non-GMO soybeans (Newest Crop) and food-grade calcium sulfate tofu coagulant (Terra Alba) were obtained from Soymerica. Industrially produced tofu whey was kindly provided by a local tofu manufacturer located in Summertown, TN, USA. Lunasin polyclonal antibody was raised in rabbits using the 15 amino acid sequence corresponding to the C-terminus of lunasin and was produced by ProteinTech Group (Chicago, IL). Lunasin standard was synthesized by LifeTein LLC (Somerset, NJ), soybean Kunitz trypsin inhibitor (KTI) and Bowman-Birk </w:t>
      </w:r>
      <w:r w:rsidRPr="00E80703">
        <w:lastRenderedPageBreak/>
        <w:t>inhibitor (BBI) standards were from VWR International LLC (Atlanta, GA) and Sigma-Aldrich Corp. (St. Louis, MO), respectively. SDS-PAGE and Western blot gels, membrane transfer kits, reagents, and goat-antirabbit secondary antibody were obtained from Bio-Rad Laboratories (Hercules, CA). All other chemical and biological substances were purchased from VWR International, Sigma-Aldrich, and Thermo Fisher Scientific unless otherwise specified.</w:t>
      </w:r>
    </w:p>
    <w:p w14:paraId="79F54652" w14:textId="77777777" w:rsidR="003F461D" w:rsidRPr="00943C22" w:rsidRDefault="003F461D" w:rsidP="001311E7">
      <w:pPr>
        <w:pStyle w:val="Heading3"/>
        <w:spacing w:before="0" w:after="0" w:line="480" w:lineRule="auto"/>
        <w:rPr>
          <w:i w:val="0"/>
        </w:rPr>
      </w:pPr>
      <w:bookmarkStart w:id="35" w:name="_Toc77082103"/>
      <w:r w:rsidRPr="00943C22">
        <w:rPr>
          <w:i w:val="0"/>
        </w:rPr>
        <w:t>2.3.2 Laboratory scale preparation of tofu whey</w:t>
      </w:r>
      <w:bookmarkEnd w:id="35"/>
    </w:p>
    <w:p w14:paraId="7B026CF5" w14:textId="23CA7047" w:rsidR="003F461D" w:rsidRPr="00E80703" w:rsidRDefault="003F461D" w:rsidP="001311E7">
      <w:pPr>
        <w:spacing w:line="480" w:lineRule="auto"/>
        <w:ind w:firstLine="720"/>
      </w:pPr>
      <w:r w:rsidRPr="00E80703">
        <w:t xml:space="preserve">Tofu whey was prepared at the laboratory scale and used to design the isolation method. Briefly, 100 g of soybeans were soaked overnight. Excess water was drained, and fresh water added to a final ratio of 1:9 dry </w:t>
      </w:r>
      <w:r w:rsidR="00FB3D1C" w:rsidRPr="00E80703">
        <w:t>beans: water</w:t>
      </w:r>
      <w:r w:rsidRPr="00E80703">
        <w:t>. The mixture was blended for 3 min and the solid fiber (okara) was separated from the liquid fraction (soymilk) using a cheesecloth. Soymilk was boiled for 10 min, allowed to cool down to 70°C, and 3 g of calcium sulfate suspended in water were added to promote formation of tofu curd. Tofu was separated from the whey by applying a constant pressure of about 1360 Pa over the curd using a regular kitchen tofu press unti</w:t>
      </w:r>
      <w:r w:rsidR="001311E7">
        <w:t>l dripping of the whey stopped.</w:t>
      </w:r>
    </w:p>
    <w:p w14:paraId="10419F7F" w14:textId="77777777" w:rsidR="003F461D" w:rsidRPr="00943C22" w:rsidRDefault="003F461D" w:rsidP="001311E7">
      <w:pPr>
        <w:pStyle w:val="Heading3"/>
        <w:spacing w:before="0" w:after="0" w:line="480" w:lineRule="auto"/>
        <w:rPr>
          <w:i w:val="0"/>
        </w:rPr>
      </w:pPr>
      <w:bookmarkStart w:id="36" w:name="_Toc77082104"/>
      <w:r w:rsidRPr="00943C22">
        <w:rPr>
          <w:i w:val="0"/>
        </w:rPr>
        <w:t>2.3.3 Lunasin enrichment</w:t>
      </w:r>
      <w:bookmarkEnd w:id="36"/>
    </w:p>
    <w:p w14:paraId="509D823E" w14:textId="1FAEB8C8" w:rsidR="003F461D" w:rsidRPr="00E80703" w:rsidRDefault="003F461D" w:rsidP="001311E7">
      <w:pPr>
        <w:spacing w:line="480" w:lineRule="auto"/>
        <w:ind w:firstLine="720"/>
      </w:pPr>
      <w:r w:rsidRPr="00E80703">
        <w:t xml:space="preserve">Different volumes of ethanol were added to the whey to reach a final concentration of 20, 30, 40, or 50% ethanol v/v.  Samples were stirred for 10 min, centrifuged at 15,800 </w:t>
      </w:r>
      <w:r w:rsidRPr="00E80703">
        <w:rPr>
          <w:i/>
        </w:rPr>
        <w:t>g</w:t>
      </w:r>
      <w:r w:rsidRPr="00E80703">
        <w:t xml:space="preserve"> for 15 min, and precipitates and supernatants were used to identify the effect of increasing concentrations of ethanol in the protein profile and the presence of lunasin in the soluble and non-soluble fractions. Treatment </w:t>
      </w:r>
      <w:r w:rsidRPr="00E80703">
        <w:lastRenderedPageBreak/>
        <w:t xml:space="preserve">of the whey using a final concentration of 30% v/v ethanol was chosen for further analysis.  To induce the precipitation of soluble proteins, the alcoholic supernatant, after centrifugation, was adjusted to pH 4.5, 5.5 or calcium chloride was added to a final concentration of 20 mM. Samples were centrifuged and the precipitates were freeze dried, pulverized using mortar and pestle, and used to identify the effect of the three precipitation techniques over the protein profile and the presence of lunasin. Bioactivity of the three final pre-enriched products was assessed by evaluating anti-inflammatory properties.  </w:t>
      </w:r>
    </w:p>
    <w:p w14:paraId="425B511F" w14:textId="77777777" w:rsidR="003F461D" w:rsidRPr="00943C22" w:rsidRDefault="003F461D" w:rsidP="001311E7">
      <w:pPr>
        <w:pStyle w:val="Heading3"/>
        <w:spacing w:before="0" w:after="0" w:line="480" w:lineRule="auto"/>
        <w:rPr>
          <w:i w:val="0"/>
        </w:rPr>
      </w:pPr>
      <w:bookmarkStart w:id="37" w:name="_Toc77082105"/>
      <w:r w:rsidRPr="00943C22">
        <w:rPr>
          <w:i w:val="0"/>
        </w:rPr>
        <w:t>2.3.4 Adjustment of preparative gel filtration chromatography parameters</w:t>
      </w:r>
      <w:bookmarkEnd w:id="37"/>
      <w:r w:rsidRPr="00943C22">
        <w:rPr>
          <w:i w:val="0"/>
        </w:rPr>
        <w:t xml:space="preserve"> </w:t>
      </w:r>
    </w:p>
    <w:p w14:paraId="7AE4AC15" w14:textId="10BE3612" w:rsidR="003F461D" w:rsidRPr="00E80703" w:rsidRDefault="003F461D" w:rsidP="001311E7">
      <w:pPr>
        <w:spacing w:line="480" w:lineRule="auto"/>
        <w:ind w:firstLine="720"/>
      </w:pPr>
      <w:r w:rsidRPr="00E80703">
        <w:rPr>
          <w:bCs/>
          <w:iCs/>
        </w:rPr>
        <w:t xml:space="preserve">Preparative gel filtration chromatography was used for final purification of lunasin. </w:t>
      </w:r>
      <w:r w:rsidRPr="00E80703">
        <w:t>Evaluation of the chromatographic parameters was performed using an ÄKTA pure protein purification system (</w:t>
      </w:r>
      <w:r w:rsidRPr="00C335C8">
        <w:rPr>
          <w:color w:val="000000" w:themeColor="text1"/>
        </w:rPr>
        <w:t>GE</w:t>
      </w:r>
      <w:r>
        <w:rPr>
          <w:color w:val="000000" w:themeColor="text1"/>
        </w:rPr>
        <w:t xml:space="preserve"> Healthcare Life Sciences</w:t>
      </w:r>
      <w:r w:rsidRPr="00C335C8">
        <w:rPr>
          <w:color w:val="000000" w:themeColor="text1"/>
        </w:rPr>
        <w:t xml:space="preserve">, </w:t>
      </w:r>
      <w:r>
        <w:rPr>
          <w:color w:val="000000" w:themeColor="text1"/>
        </w:rPr>
        <w:t>Piscataway, NJ</w:t>
      </w:r>
      <w:r w:rsidRPr="00E80703">
        <w:t>) equipped with sample pump and UV-detector (280 nm).</w:t>
      </w:r>
      <w:r w:rsidRPr="00E80703">
        <w:rPr>
          <w:bCs/>
          <w:iCs/>
        </w:rPr>
        <w:t xml:space="preserve">The following chromatographic parameters were evaluated: i) composition of the mobile phase, </w:t>
      </w:r>
      <w:bookmarkStart w:id="38" w:name="_Hlk69115314"/>
      <w:r w:rsidRPr="00E80703">
        <w:t>20 mM Tris-HCl buffer + 0.15 M NaCl, pH 7.6 vs. 100 mM ammonium bicarbonate (NH</w:t>
      </w:r>
      <w:r w:rsidRPr="00E80703">
        <w:rPr>
          <w:vertAlign w:val="subscript"/>
        </w:rPr>
        <w:t>4</w:t>
      </w:r>
      <w:r w:rsidRPr="00E80703">
        <w:t>HCO</w:t>
      </w:r>
      <w:r w:rsidRPr="00E80703">
        <w:rPr>
          <w:vertAlign w:val="subscript"/>
        </w:rPr>
        <w:t>3</w:t>
      </w:r>
      <w:r w:rsidRPr="00E80703">
        <w:t>), pH 7.8</w:t>
      </w:r>
      <w:bookmarkEnd w:id="38"/>
      <w:r w:rsidRPr="00E80703">
        <w:t>, ii) porosity of the packed bed in the chromatographic column, also referred as preparation grade (pg), pg 30 vs. pg 75, and iii) volume of sample injected, 0.5 mL vs. 3 mL. A HiLoad 16/600 Superdex column containing the indicated packed bed (30 or 75 pg) was equilibrated with 3.0 column volumes (CV) of the indicated mobile phase (Tris-HCl or NH</w:t>
      </w:r>
      <w:r w:rsidRPr="00E80703">
        <w:rPr>
          <w:vertAlign w:val="subscript"/>
        </w:rPr>
        <w:t>4</w:t>
      </w:r>
      <w:r w:rsidRPr="00E80703">
        <w:t>HCO</w:t>
      </w:r>
      <w:r w:rsidRPr="00E80703">
        <w:rPr>
          <w:vertAlign w:val="subscript"/>
        </w:rPr>
        <w:t>3</w:t>
      </w:r>
      <w:r w:rsidRPr="00E80703">
        <w:t xml:space="preserve">). Laboratory prepared </w:t>
      </w:r>
      <w:r w:rsidRPr="00E80703">
        <w:rPr>
          <w:bCs/>
          <w:iCs/>
        </w:rPr>
        <w:t xml:space="preserve">whey was freeze dried and resuspended in the appropriate mobile phase at a concentration of 120 mg/mL. The indicated </w:t>
      </w:r>
      <w:r w:rsidRPr="00E80703">
        <w:rPr>
          <w:bCs/>
          <w:iCs/>
        </w:rPr>
        <w:lastRenderedPageBreak/>
        <w:t xml:space="preserve">sample volume (0.5 or 3 mL) was injected in the column. Elution was performed using </w:t>
      </w:r>
      <w:r w:rsidRPr="00E80703">
        <w:t>3.0 CV of the appropriate mobile phase at 1 mL/min. Ten-mL fractions were collected during the elution phase and analyzed for protein, lunasin and total carbohydrate contents, and optical density at 400 nm. Base conditions were established performing a chromatographic run using NH</w:t>
      </w:r>
      <w:r w:rsidRPr="00E80703">
        <w:rPr>
          <w:vertAlign w:val="subscript"/>
        </w:rPr>
        <w:t>4</w:t>
      </w:r>
      <w:r w:rsidRPr="00E80703">
        <w:t>HCO</w:t>
      </w:r>
      <w:r w:rsidRPr="00E80703">
        <w:rPr>
          <w:vertAlign w:val="subscript"/>
        </w:rPr>
        <w:t xml:space="preserve">3 </w:t>
      </w:r>
      <w:r w:rsidRPr="00E80703">
        <w:t>mobile phase, 30pg column and 0.5 mL of sample injection.</w:t>
      </w:r>
    </w:p>
    <w:p w14:paraId="31AA9A57" w14:textId="459A53CC" w:rsidR="003F461D" w:rsidRPr="00943C22" w:rsidRDefault="003F461D" w:rsidP="001311E7">
      <w:pPr>
        <w:pStyle w:val="Heading3"/>
        <w:numPr>
          <w:ilvl w:val="0"/>
          <w:numId w:val="0"/>
        </w:numPr>
        <w:spacing w:before="0" w:after="0" w:line="480" w:lineRule="auto"/>
        <w:rPr>
          <w:i w:val="0"/>
        </w:rPr>
      </w:pPr>
      <w:bookmarkStart w:id="39" w:name="_Toc77082106"/>
      <w:r w:rsidRPr="00943C22">
        <w:rPr>
          <w:i w:val="0"/>
        </w:rPr>
        <w:t>2.3.5 Isolation of lunasin from industrially produced tofu whey</w:t>
      </w:r>
      <w:r>
        <w:rPr>
          <w:i w:val="0"/>
        </w:rPr>
        <w:t>.</w:t>
      </w:r>
      <w:bookmarkEnd w:id="39"/>
    </w:p>
    <w:p w14:paraId="6F4DFA4F" w14:textId="2007EE93" w:rsidR="003F461D" w:rsidRPr="004B51C7" w:rsidRDefault="003F461D" w:rsidP="001311E7">
      <w:pPr>
        <w:spacing w:line="480" w:lineRule="auto"/>
        <w:ind w:firstLine="720"/>
      </w:pPr>
      <w:r w:rsidRPr="00E80703">
        <w:t xml:space="preserve">Industrially produced tofu whey was collected and frozen </w:t>
      </w:r>
      <w:r w:rsidR="00BC7657">
        <w:t xml:space="preserve">for up to one month, </w:t>
      </w:r>
      <w:r w:rsidRPr="00E80703">
        <w:t xml:space="preserve">at -80 °C until use. After thawing at room temperature, suspended solids were removed using a </w:t>
      </w:r>
      <w:r w:rsidR="00BC7657">
        <w:t xml:space="preserve">cheese </w:t>
      </w:r>
      <w:r w:rsidRPr="00E80703">
        <w:t>cloth. The whey was divided into three fractions: the first fraction was freeze-dried, the second was spray-dried using a Buchi-B290 Mini Spray dryer (BÜCHI Corporation, Switzerland) at 40% pump flow rate and 170°C inlet temperature, and the third fraction was treated with our designed lunasin enrichment method described in Section 2.3.</w:t>
      </w:r>
      <w:r>
        <w:t>3</w:t>
      </w:r>
      <w:r w:rsidRPr="00E80703">
        <w:t xml:space="preserve"> Briefly, ethanol was added to the whey to a final concentration of 30% v/v, followed by stirring and centrifugation as described above. The supernatant was adjusted to pH 4.5 and after centrifugation, the precipitate was freeze-dried overnight. Approximately 2.0 mg ± 0.1 of dry lunasin enriched material was obtained per mL of industrial whey. Spray-dried whey (SDW), freeze-dried whey (SDW) and lunasin enriched material were used for chromatographic purification. This approach allowed the comparison of our designed lunasin enrichment method with conventional hot (spray drying) and cold (freeze-drying) drying mechanisms. To inject samples </w:t>
      </w:r>
      <w:r w:rsidRPr="00E80703">
        <w:lastRenderedPageBreak/>
        <w:t>with equivalent protein content 120 mg/mL of SDW or FW, or 60 mg/mL of lunasin enriched material were resuspended in 100 mM NH</w:t>
      </w:r>
      <w:r w:rsidRPr="00E80703">
        <w:rPr>
          <w:vertAlign w:val="subscript"/>
        </w:rPr>
        <w:t>4</w:t>
      </w:r>
      <w:r w:rsidRPr="00E80703">
        <w:t>HCO</w:t>
      </w:r>
      <w:r w:rsidRPr="00E80703">
        <w:rPr>
          <w:vertAlign w:val="subscript"/>
        </w:rPr>
        <w:t xml:space="preserve">3 </w:t>
      </w:r>
      <w:r w:rsidRPr="00E80703">
        <w:t xml:space="preserve">by vortexing horizontally for 15 min. After centrifugation at 30,000 g, the supernatant was </w:t>
      </w:r>
      <w:r w:rsidR="00FB3D1C" w:rsidRPr="00E80703">
        <w:t>filtered,</w:t>
      </w:r>
      <w:r w:rsidRPr="00E80703">
        <w:t xml:space="preserve"> and 3 mL were injected in a HiLoad 16/600 75 pg Superdex column. Elution was performed as described </w:t>
      </w:r>
      <w:r w:rsidRPr="004B51C7">
        <w:t>above using 100 mM NH</w:t>
      </w:r>
      <w:r w:rsidRPr="004B51C7">
        <w:rPr>
          <w:vertAlign w:val="subscript"/>
        </w:rPr>
        <w:t>4</w:t>
      </w:r>
      <w:r w:rsidRPr="004B51C7">
        <w:t>HCO</w:t>
      </w:r>
      <w:r w:rsidRPr="004B51C7">
        <w:rPr>
          <w:vertAlign w:val="subscript"/>
        </w:rPr>
        <w:t>3</w:t>
      </w:r>
      <w:r w:rsidRPr="004B51C7">
        <w:t>. Aliquots of the collected fractions were analyzed for lunasin, optical density at 400 nm, and carbohydrates content. Fractions containing a significant amount of lunasin were placed in a shaking water bath, brought to 40 °C for 5 min to remove any remaining NH</w:t>
      </w:r>
      <w:r w:rsidRPr="004B51C7">
        <w:rPr>
          <w:vertAlign w:val="subscript"/>
        </w:rPr>
        <w:t>4</w:t>
      </w:r>
      <w:r w:rsidRPr="004B51C7">
        <w:t>HCO</w:t>
      </w:r>
      <w:r w:rsidRPr="004B51C7">
        <w:rPr>
          <w:vertAlign w:val="subscript"/>
        </w:rPr>
        <w:t xml:space="preserve">3 </w:t>
      </w:r>
      <w:r w:rsidRPr="004B51C7">
        <w:t xml:space="preserve">and then freeze-dried. </w:t>
      </w:r>
    </w:p>
    <w:p w14:paraId="1FF6E287" w14:textId="77777777" w:rsidR="003F461D" w:rsidRPr="00943C22" w:rsidRDefault="003F461D" w:rsidP="001311E7">
      <w:pPr>
        <w:pStyle w:val="Heading3"/>
        <w:spacing w:before="0" w:after="0" w:line="480" w:lineRule="auto"/>
        <w:rPr>
          <w:i w:val="0"/>
        </w:rPr>
      </w:pPr>
      <w:bookmarkStart w:id="40" w:name="_Toc77082107"/>
      <w:r w:rsidRPr="00943C22">
        <w:rPr>
          <w:i w:val="0"/>
        </w:rPr>
        <w:t>2.3.6 Analytical methods for the characterization of lunasin</w:t>
      </w:r>
      <w:bookmarkEnd w:id="40"/>
    </w:p>
    <w:p w14:paraId="562DBBB4" w14:textId="1D888ED4" w:rsidR="003F461D" w:rsidRPr="00454FA7" w:rsidRDefault="003F461D" w:rsidP="003F461D">
      <w:pPr>
        <w:spacing w:line="480" w:lineRule="auto"/>
        <w:rPr>
          <w:bCs/>
          <w:i/>
        </w:rPr>
      </w:pPr>
      <w:r w:rsidRPr="00454FA7">
        <w:rPr>
          <w:bCs/>
          <w:i/>
        </w:rPr>
        <w:t>2.3.6.1 SDS-PAGE and Immunoblotting</w:t>
      </w:r>
    </w:p>
    <w:p w14:paraId="0885B257" w14:textId="69D719FA" w:rsidR="003F461D" w:rsidRPr="004B51C7" w:rsidRDefault="003F461D" w:rsidP="001311E7">
      <w:pPr>
        <w:spacing w:line="480" w:lineRule="auto"/>
        <w:ind w:firstLine="720"/>
      </w:pPr>
      <w:r w:rsidRPr="004B51C7">
        <w:t xml:space="preserve">Samples were denatured and reduced in the presence of sodium dodecyl sulfate and β-mercaptoethanol in boiling water for 5 min and electrophoretic separation was performed at 400 mA for 35 min in a Mini-PROTEAN tetra vertical electrophoresis cell (Bio-Rad). The gel was stained with Coomassie Blue G-250 for 1 h, destained with water, and imaged using a ChemiDoc Touch Imaging System (Bio-Rad). For immunoblotting, non-fixed gels after SDS-PAGE were transferred to PVDF-membranes using a Trans-Blot Turbo transfer system (Bio-Rad), blocked with 5% non-fat dry milk in 0.01% </w:t>
      </w:r>
      <w:r w:rsidR="00BC7657">
        <w:t>t</w:t>
      </w:r>
      <w:r w:rsidRPr="004B51C7">
        <w:t xml:space="preserve">ween 20 Tris-buffered saline (TBST) for 1 h at room temperature. The membrane was incubated with 1:1000 lunasin, soybean KTI or BBI </w:t>
      </w:r>
      <w:r w:rsidRPr="004B51C7">
        <w:fldChar w:fldCharType="begin" w:fldLock="1"/>
      </w:r>
      <w:r>
        <w:instrText>ADDIN CSL_CITATION {"citationItems":[{"id":"ITEM-1","itemData":{"DOI":"10.1021/jf505220p","ISSN":"15205118","PMID":"25608918","abstract":"Soybean seed contains antinutritional compounds that inactivate digestive proteases, principally corresponding to two families: Kunitz trypsin inhibitors (KTi) and Bowman-Birk inhibitors (BBI). High levels of raw soybean/soybean meal in feed mixtures can cause poor weight gain and pancreatic abnormalities via inactivation of trypsin/chymotrypsin enzymes. Soybean protein meal is routinely heat-treated to inactivate inhibitors, a practice that is energy-intensive and costly and can degrade certain essential amino acids. In this work, we screened seed from 520 soybean accessions, using a combination of sodium dodecyl sulfate-polyacrylamide gel electrophoresis (SDS-PAGE) and immunoblots with anti-Kunitz trypsin inhibitor antibodies. A soybean germplasm accession was identified with a mutation affecting an isoform annotated as nonfunctional (KTi1), which was determined to be synergistic with a previously identified mutation (KTi3-). We observed significant proteome rebalancing in all KTi mutant lines, resulting in dramatically increased BBI protein levels.","author":[{"dropping-particle":"","family":"Gillman","given":"Jason D.","non-dropping-particle":"","parse-names":false,"suffix":""},{"dropping-particle":"","family":"Kim","given":"Won Seok","non-dropping-particle":"","parse-names":false,"suffix":""},{"dropping-particle":"","family":"Krishnan","given":"Hari B.","non-dropping-particle":"","parse-names":false,"suffix":""}],"container-title":"Journal of Agricultural and Food Chemistry","id":"ITEM-1","issue":"5","issued":{"date-parts":[["2015","2","11"]]},"page":"1352-1359","publisher":"American Chemical Society","title":"Identification of a new soybean Kunitz trypsin inhibitor mutation and its effect on bowman-birk protease inhibitor content in soybean seed","type":"article-journal","volume":"63"},"uris":["http://www.mendeley.com/documents/?uuid=3c953990-3a52-39e2-a773-72efcee8369b"]}],"mendeley":{"formattedCitation":"[13]","plainTextFormattedCitation":"[13]","previouslyFormattedCitation":"[13]"},"properties":{"noteIndex":0},"schema":"https://github.com/citation-style-language/schema/raw/master/csl-citation.json"}</w:instrText>
      </w:r>
      <w:r w:rsidRPr="004B51C7">
        <w:fldChar w:fldCharType="separate"/>
      </w:r>
      <w:r w:rsidRPr="00C8126B">
        <w:rPr>
          <w:noProof/>
        </w:rPr>
        <w:t>[13]</w:t>
      </w:r>
      <w:r w:rsidRPr="004B51C7">
        <w:fldChar w:fldCharType="end"/>
      </w:r>
      <w:r w:rsidRPr="004B51C7">
        <w:t xml:space="preserve"> primary antibodies raised in rabbits for 1.5 h at room temperature. After three 10-min washing with TBST, goat-antirabbit </w:t>
      </w:r>
      <w:r w:rsidRPr="004B51C7">
        <w:lastRenderedPageBreak/>
        <w:t>secondary antibody was added and incubated for 2 h at room temperature, followed by another cycle of TBST washings. Immunoreactive bands were visualized via chemiluminescence in a C-Digit Blot scanner (</w:t>
      </w:r>
      <w:bookmarkStart w:id="41" w:name="_Hlk73383375"/>
      <w:r w:rsidRPr="004B51C7">
        <w:t>LI-COR Biosciences, Lincoln, NE</w:t>
      </w:r>
      <w:bookmarkEnd w:id="41"/>
      <w:r w:rsidRPr="004B51C7">
        <w:t>) using Image Studio</w:t>
      </w:r>
      <w:r w:rsidRPr="004B51C7">
        <w:rPr>
          <w:vertAlign w:val="superscript"/>
        </w:rPr>
        <w:t>TM</w:t>
      </w:r>
      <w:r w:rsidRPr="004B51C7">
        <w:t xml:space="preserve"> software.       </w:t>
      </w:r>
    </w:p>
    <w:p w14:paraId="0C175840" w14:textId="77777777" w:rsidR="003F461D" w:rsidRPr="004B51C7" w:rsidRDefault="003F461D" w:rsidP="003F461D">
      <w:pPr>
        <w:spacing w:line="480" w:lineRule="auto"/>
        <w:rPr>
          <w:bCs/>
          <w:i/>
        </w:rPr>
      </w:pPr>
      <w:r w:rsidRPr="004B51C7">
        <w:rPr>
          <w:bCs/>
          <w:i/>
        </w:rPr>
        <w:t>2.3.6.2 Enzyme-linked immunosorbent assay (ELISA)</w:t>
      </w:r>
    </w:p>
    <w:p w14:paraId="2ABB6371" w14:textId="748BFB74" w:rsidR="003F461D" w:rsidRPr="004B51C7" w:rsidRDefault="003F461D" w:rsidP="001311E7">
      <w:pPr>
        <w:spacing w:line="480" w:lineRule="auto"/>
        <w:ind w:firstLine="720"/>
      </w:pPr>
      <w:r w:rsidRPr="004B51C7">
        <w:t xml:space="preserve">Lunasin content in gel filtration liquid fractions and enriched precipitates were estimated via ELISA as previously described </w:t>
      </w:r>
      <w:r w:rsidRPr="004B51C7">
        <w:fldChar w:fldCharType="begin" w:fldLock="1"/>
      </w:r>
      <w:r>
        <w:instrText>ADDIN CSL_CITATION {"citationItems":[{"id":"ITEM-1","itemData":{"DOI":"10.1016/j.foodchem.2008.09.023","ISSN":"03088146","abstract":"Lunasin is a chemopreventive peptide present in soybean and other plant sources. The high cost involved in obtaining synthetic lunasin limits its application in chemopreventive and nutritional interventions. The objective of this study was to isolate, purify and characterise lunasin from defatted soybean flour and determine its in vitro anti-inflammatory activity using RAW 264.7 macrophages. Isolation and purification was achieved by ion-exchange chromatography, ultrafiltration and size exclusion chromatography. The identity of lunasin was established by Western blot, HPLC, MALDI-TOF and LC/MS-MS. The results showed that lunasin eluted from a DEAE anion exchange column at 0.15 M NaCl, and after 1.5 void volumes from size exclusion chromatography. Fractions from both chromatographic techniques consistently showed three peptides with positive immunoreactivity against lunasin mouse monoclonal antibody corresponding to 5, 8 and 14 kDa. LC/MS-MS analysis of the three immunoreactive peptides showed that 5 and 14 kDa bands contained the lunasin epitope, RGDDDDDD DDD while 8 kDa band showed high homology with 2 S soy albumin, a lunasin precursor. This is the first report on the potential anti-inflammatory activity of lunasin. Treatment of RAW 264.7 macrophage with 100 μM lunasin decreased the production of NO (92.6 ± 0.8%) and PGE2 (10.1 ± 4.5%), and the expression of iNOS (27.8 ± 2.1%) and COX-2 (41.4 ± 16.7%). We concluded that combination of ion-exchange chromatography, ultrafiltration and size exclusion chromatography represents a feasible process for the production of purified lunasin, which was also found to inhibit COX-2/PGE2 and iNOS/NO pathways. This newly discovered property of lunasin might contribute to the suppression of inflammation in vivo. © 2008 Elsevier Ltd. All rights reserved.","author":[{"dropping-particle":"","family":"Dia","given":"V. P.","non-dropping-particle":"","parse-names":false,"suffix":""},{"dropping-particle":"","family":"Wang","given":"W.","non-dropping-particle":"","parse-names":false,"suffix":""},{"dropping-particle":"","family":"Oh","given":"V. L.","non-dropping-particle":"","parse-names":false,"suffix":""},{"dropping-particle":"","family":"Lumen","given":"B. O.","non-dropping-particle":"De","parse-names":false,"suffix":""},{"dropping-particle":"","family":"Mejia","given":"E. Gonzalez","non-dropping-particle":"De","parse-names":false,"suffix":""}],"container-title":"Food Chemistry","id":"ITEM-1","issue":"1","issued":{"date-parts":[["2009","5","1"]]},"page":"108-115","publisher":"Elsevier","title":"Isolation, purification and characterisation of lunasin from defatted soybean flour and in vitro evaluation of its anti-inflammatory activity","type":"article-journal","volume":"114"},"uris":["http://www.mendeley.com/documents/?uuid=62081100-263e-3ce5-b7ff-c8b164e67e30"]}],"mendeley":{"formattedCitation":"[10]","plainTextFormattedCitation":"[10]","previouslyFormattedCitation":"[10]"},"properties":{"noteIndex":0},"schema":"https://github.com/citation-style-language/schema/raw/master/csl-citation.json"}</w:instrText>
      </w:r>
      <w:r w:rsidRPr="004B51C7">
        <w:fldChar w:fldCharType="separate"/>
      </w:r>
      <w:r w:rsidRPr="00C8126B">
        <w:rPr>
          <w:noProof/>
        </w:rPr>
        <w:t>[10]</w:t>
      </w:r>
      <w:r w:rsidRPr="004B51C7">
        <w:fldChar w:fldCharType="end"/>
      </w:r>
      <w:r w:rsidRPr="004B51C7">
        <w:t xml:space="preserve"> with slight modifications: the plate was blocked with 5% bovine serum albumin in 0.5% Tween 20 phosphate-buffered saline, and incubation times with primary and secondary antibodies was 1 h each.  </w:t>
      </w:r>
    </w:p>
    <w:p w14:paraId="2EA536A7" w14:textId="77777777" w:rsidR="003F461D" w:rsidRPr="004B51C7" w:rsidRDefault="003F461D" w:rsidP="003F461D">
      <w:pPr>
        <w:spacing w:line="480" w:lineRule="auto"/>
        <w:rPr>
          <w:bCs/>
          <w:i/>
        </w:rPr>
      </w:pPr>
      <w:r w:rsidRPr="004B51C7">
        <w:rPr>
          <w:bCs/>
          <w:i/>
        </w:rPr>
        <w:t>2.3.6.3 High performance liquid chromatography</w:t>
      </w:r>
    </w:p>
    <w:p w14:paraId="7905DAEA" w14:textId="77777777" w:rsidR="003F461D" w:rsidRPr="004B51C7" w:rsidRDefault="003F461D" w:rsidP="003F461D">
      <w:pPr>
        <w:spacing w:line="480" w:lineRule="auto"/>
        <w:ind w:firstLine="720"/>
      </w:pPr>
      <w:r w:rsidRPr="004B51C7">
        <w:t xml:space="preserve">Molecular weight profile via size exclusion chromatography was analyzed as previously described </w:t>
      </w:r>
      <w:r w:rsidRPr="004B51C7">
        <w:fldChar w:fldCharType="begin" w:fldLock="1"/>
      </w:r>
      <w:r>
        <w:instrText>ADDIN CSL_CITATION {"citationItems":[{"id":"ITEM-1","itemData":{"DOI":"10.1016/j.foodres.2016.10.051","ISSN":"18737145","abstract":"Soybean contains several biologically active components and one of this belongs to the bioactive peptide group. The objectives of this study were to produce different lunasin-enriched preparations (LEP) and determine the effect of Bowman-Birk inhibitor (BBI) and Kunitz trypsin inhibitor (KTI) concentrations on the stability of lunasin against pepsin-pancreatin hydrolysis (PPH). In addition, the effect of KTI mutation on lunasin stability against PPH was determined. LEP were produced by calcium and pH precipitation methods of 30% aqueous ethanol extract from defatted soybean flour. LEP, lunasin-enriched commercially available products and KTI control and mutant flours underwent PPH and samples were taken after pepsin and pepsin-pancreatin hydrolysis. The concentrations of BBI, KTI, and lunasin all decreased after hydrolysis, but they had varying results. BBI concentration ranged from 167.5 to 655.8 μg/g pre-hydrolysis and 171.5 to 250.1 μg/g after hydrolysis. KTI concentrations ranged from 0.3 to 122.3 μg/g pre-hydrolysis and 9.0 to 18.7 μg/g after hydrolysis. Lunasin concentrations ranged from 8.5 to 71.0 μg/g pre-hydrolysis and 4.0 to 13.2 μg/g after hydrolysis. In all products tested, lunasin concentration after PPH significantly correlated with BBI and KTI concentrations. Mutation in two KTI isoforms led to a lower concentration of lunasin after PPH. This is the first report on the potential role of KTI in lunasin stability against PPH and must be considered in designing lunasin-enriched products that could potentially survive digestion after oral ingestion.","author":[{"dropping-particle":"","family":"Price","given":"Samuel J.","non-dropping-particle":"","parse-names":false,"suffix":""},{"dropping-particle":"","family":"Pangloli","given":"Philipus","non-dropping-particle":"","parse-names":false,"suffix":""},{"dropping-particle":"","family":"Krishnan","given":"Hari B.","non-dropping-particle":"","parse-names":false,"suffix":""},{"dropping-particle":"","family":"Dia","given":"Vermont P.","non-dropping-particle":"","parse-names":false,"suffix":""}],"container-title":"Food Research International","id":"ITEM-1","issued":{"date-parts":[["2016","12","1"]]},"page":"205-215","publisher":"Elsevier Ltd","title":"Kunitz trypsin inhibitor in addition to Bowman-Birk inhibitor influence stability of lunasin against pepsin-pancreatin hydrolysis","type":"article-journal","volume":"90"},"uris":["http://www.mendeley.com/documents/?uuid=c2df7252-e65f-32f1-a96a-112ee4175ed3"]}],"mendeley":{"formattedCitation":"[14]","plainTextFormattedCitation":"[14]","previouslyFormattedCitation":"[14]"},"properties":{"noteIndex":0},"schema":"https://github.com/citation-style-language/schema/raw/master/csl-citation.json"}</w:instrText>
      </w:r>
      <w:r w:rsidRPr="004B51C7">
        <w:fldChar w:fldCharType="separate"/>
      </w:r>
      <w:r w:rsidRPr="00C8126B">
        <w:rPr>
          <w:noProof/>
        </w:rPr>
        <w:t>[14]</w:t>
      </w:r>
      <w:r w:rsidRPr="004B51C7">
        <w:fldChar w:fldCharType="end"/>
      </w:r>
      <w:r w:rsidRPr="004B51C7">
        <w:t xml:space="preserve">. For determination of lunasin in purified fractions, 20 µL of the sample was injected into an Agilent (Folsom, CA) 1200 HPLC system equipped with an Eclipse Plus C18 column (4.26 x 250 mm, 5 µm), and diode array detector (215 nm). Elution was performed with acetonitrile (buffer A) and 0.1% trifluoroacetic acid in water (buffer B) as follows: step elution starting at 10% buffer A, with 10% increments up to 50%, holding each condition for 5 min, followed by equilibration of the column with 10% buffer A for 3 min. Quantification of isoflavones was performed according to previously reported protocol </w:t>
      </w:r>
      <w:r w:rsidRPr="004B51C7">
        <w:fldChar w:fldCharType="begin" w:fldLock="1"/>
      </w:r>
      <w:r>
        <w:instrText>ADDIN CSL_CITATION {"citationItems":[{"id":"ITEM-1","itemData":{"DOI":"10.1021/jf301926w","ISSN":"00218561","PMID":"22800092","abstract":"Soybean contains constituents that have antinutritional and bioactive properties. Enzymatic hydrolysis and germination can enhance the biological activity of these compounds in soybean. The objective of this study was to investigate the effect of germination, Alcalase (protease) hydrolysis, and their combination on the concentrations of antinutritional and bioactive compounds in Brazilian soybean cultivar BRS 133. A combination of germination and Alcalase hydrolysis resulted in the degradation of Bowman-Birk inhibitor (BBI), Kunitz trypsin inhibitor (KTI), and lunasin by 96.9, 97.8, and 38.4%. Lectin was not affected by any of the processing treatments when compared to nongerminated and nonhydrolyzed soy protein extract. Total isoflavones (ISF) and total saponins (SAP) increased by 16.2 and 28.7%, respectively, after 18 h of germination, while Alcalase hydrolysis led to the reduction of these compounds. A significant correlation was found between concentrations of BBI and KTI, BBI and lunasin, BBI and ISF, KTI and lunasin, KTI and ISF, KTI and SAP, lunasin and ISF, and ISF and SAP. Germination and Alcalase hydrolysis interacted in reducing BBI, ISF, and SAP. This study presents a process of preparing soy flour ingredients with lower concentrations of antinutritional factors and with biologically active constituents, important for the promotion of health associated with soybean consumption. In conclusion, 18 h of germination and 3 h of Alcalase hydrolysis is recommended for elimination of protease inhibitors, while bioactives are maintained by at least 50% of their original concentrations. © 2012 American Chemical Society.","author":[{"dropping-particle":"","family":"Dia","given":"Vermont P.","non-dropping-particle":"","parse-names":false,"suffix":""},{"dropping-particle":"","family":"Gomez","given":"Tegan","non-dropping-particle":"","parse-names":false,"suffix":""},{"dropping-particle":"","family":"Vernaza","given":"Gabriela","non-dropping-particle":"","parse-names":false,"suffix":""},{"dropping-particle":"","family":"Berhow","given":"Mark","non-dropping-particle":"","parse-names":false,"suffix":""},{"dropping-particle":"","family":"Chang","given":"Yoon Kil","non-dropping-particle":"","parse-names":false,"suffix":""},{"dropping-particle":"","family":"Mejia","given":"Elvira Gonzalez","non-dropping-particle":"De","parse-names":false,"suffix":""}],"container-title":"Journal of Agricultural and Food Chemistry","id":"ITEM-1","issue":"32","issued":{"date-parts":[["2012","8","15"]]},"page":"7886-7894","publisher":"American Chemical Society","title":"Bowman-Birk and Kunitz protease inhibitors among antinutrients and bioactives modified by germination and hydrolysis in Brazilian soybean cultivar brs 133","type":"article-journal","volume":"60"},"uris":["http://www.mendeley.com/documents/?uuid=6a8be6cf-3e17-3a80-8336-012c783fb625"]}],"mendeley":{"formattedCitation":"[15]","plainTextFormattedCitation":"[15]","previouslyFormattedCitation":"[15]"},"properties":{"noteIndex":0},"schema":"https://github.com/citation-style-language/schema/raw/master/csl-citation.json"}</w:instrText>
      </w:r>
      <w:r w:rsidRPr="004B51C7">
        <w:fldChar w:fldCharType="separate"/>
      </w:r>
      <w:r w:rsidRPr="00C8126B">
        <w:rPr>
          <w:noProof/>
        </w:rPr>
        <w:t>[15]</w:t>
      </w:r>
      <w:r w:rsidRPr="004B51C7">
        <w:fldChar w:fldCharType="end"/>
      </w:r>
      <w:r w:rsidRPr="004B51C7">
        <w:t xml:space="preserve"> by injecting 20 µL of the sample in the same column and equipment used for lunasin. </w:t>
      </w:r>
    </w:p>
    <w:p w14:paraId="70AC35B8" w14:textId="77777777" w:rsidR="003F461D" w:rsidRPr="004B51C7" w:rsidRDefault="003F461D" w:rsidP="003F461D">
      <w:pPr>
        <w:spacing w:line="480" w:lineRule="auto"/>
        <w:ind w:firstLine="720"/>
      </w:pPr>
    </w:p>
    <w:p w14:paraId="1995D7A5" w14:textId="77777777" w:rsidR="003F461D" w:rsidRPr="004B51C7" w:rsidRDefault="003F461D" w:rsidP="003F461D">
      <w:pPr>
        <w:spacing w:line="480" w:lineRule="auto"/>
        <w:rPr>
          <w:bCs/>
          <w:i/>
        </w:rPr>
      </w:pPr>
      <w:r w:rsidRPr="004B51C7">
        <w:rPr>
          <w:bCs/>
          <w:i/>
        </w:rPr>
        <w:t xml:space="preserve">2.3.6.4 Total carbohydrates, protein content and trypsin inhibitory activity </w:t>
      </w:r>
    </w:p>
    <w:p w14:paraId="463D3375" w14:textId="59FF800E" w:rsidR="003F461D" w:rsidRPr="001311E7" w:rsidRDefault="003F461D" w:rsidP="001311E7">
      <w:pPr>
        <w:spacing w:line="480" w:lineRule="auto"/>
        <w:ind w:firstLine="720"/>
      </w:pPr>
      <w:r w:rsidRPr="004B51C7">
        <w:t xml:space="preserve">Total carbohydrates were measured in gel filtration chromatography fractions via phenol-sulfuric acid method as described previously </w:t>
      </w:r>
      <w:r w:rsidRPr="004B51C7">
        <w:fldChar w:fldCharType="begin" w:fldLock="1"/>
      </w:r>
      <w:r>
        <w:instrText>ADDIN CSL_CITATION {"citationItems":[{"id":"ITEM-1","itemData":{"DOI":"10.1016/j.ab.2004.12.001","ISSN":"00032697","PMID":"15766712","abstract":"Among many colorimetric methods for carbohydrate analysis, the phenol-sulfuric acid method is the easiest and most reliable method. It has been used for measuring neutral sugars in oligosaccharides, proteoglycans, glycoproteins, and glycolipids. This method is used widely because of its sensitivity and simplicity. In its original form, it required 50-450 nmol of monosaccharides or equivalent for analysis and thus is inadequate for precious samples. A scaled-down version requiring only 10-80 nmol of sugars was reported previously. We have now modified and optimized this method to use 96-well microplates for high throughput, to gain greater sensitivity, and to economize the reagents. This modified and optimized method allows longer linear range (1-150 nmol for Man) and excellent sensitivity. Moreover, our method is more convenient, requiring neither shaking nor covering, and takes less than 15 min to complete. The speed and simplicity of this method would make it most suitable for analyses of large numbers of samples such as chromatographic fractions. © 2004 Elsevier Inc. All rights reserved.","author":[{"dropping-particle":"","family":"Masuko","given":"Tatsuya","non-dropping-particle":"","parse-names":false,"suffix":""},{"dropping-particle":"","family":"Minami","given":"Akio","non-dropping-particle":"","parse-names":false,"suffix":""},{"dropping-particle":"","family":"Iwasaki","given":"Norimasa","non-dropping-particle":"","parse-names":false,"suffix":""},{"dropping-particle":"","family":"Majima","given":"Tokifumi","non-dropping-particle":"","parse-names":false,"suffix":""},{"dropping-particle":"","family":"Nishimura","given":"Shin Ichiro","non-dropping-particle":"","parse-names":false,"suffix":""},{"dropping-particle":"","family":"Lee","given":"Yuan C.","non-dropping-particle":"","parse-names":false,"suffix":""}],"container-title":"Analytical Biochemistry","id":"ITEM-1","issue":"1","issued":{"date-parts":[["2005","4","1"]]},"page":"69-72","publisher":"Academic Press Inc.","title":"Carbohydrate analysis by a phenol-sulfuric acid method in microplate format","type":"article-journal","volume":"339"},"uris":["http://www.mendeley.com/documents/?uuid=a5970732-4ba1-393e-bd4c-3783c2d812fc"]}],"mendeley":{"formattedCitation":"[16]","plainTextFormattedCitation":"[16]","previouslyFormattedCitation":"[16]"},"properties":{"noteIndex":0},"schema":"https://github.com/citation-style-language/schema/raw/master/csl-citation.json"}</w:instrText>
      </w:r>
      <w:r w:rsidRPr="004B51C7">
        <w:fldChar w:fldCharType="separate"/>
      </w:r>
      <w:r w:rsidRPr="00C8126B">
        <w:rPr>
          <w:noProof/>
        </w:rPr>
        <w:t>[16]</w:t>
      </w:r>
      <w:r w:rsidRPr="004B51C7">
        <w:fldChar w:fldCharType="end"/>
      </w:r>
      <w:r w:rsidRPr="004B51C7">
        <w:t>; glucose (0 – 0.5 mg/ml) was used as standard. For gel filtration chromatography fractions, the relative protein content was estimated in µg/mL as A</w:t>
      </w:r>
      <w:r w:rsidRPr="004B51C7">
        <w:rPr>
          <w:vertAlign w:val="subscript"/>
        </w:rPr>
        <w:t>280nm</w:t>
      </w:r>
      <w:r w:rsidRPr="004B51C7">
        <w:t xml:space="preserve">/ε, where ε is the mass attenuation coefficient for the whey, calculated as 0.018 by measuring the absorbance of different dilutions of tofu whey from a stock solution with known protein content. Protein content by Bradford assay and trypsin inhibitory activity using N-α-benzoyl-D, L-arginine 4-nitroanilide substrate were measured as previously described </w:t>
      </w:r>
      <w:r w:rsidRPr="004B51C7">
        <w:fldChar w:fldCharType="begin" w:fldLock="1"/>
      </w:r>
      <w:r>
        <w:instrText>ADDIN CSL_CITATION {"citationItems":[{"id":"ITEM-1","itemData":{"DOI":"10.1016/j.foodres.2016.10.051","ISSN":"18737145","abstract":"Soybean contains several biologically active components and one of this belongs to the bioactive peptide group. The objectives of this study were to produce different lunasin-enriched preparations (LEP) and determine the effect of Bowman-Birk inhibitor (BBI) and Kunitz trypsin inhibitor (KTI) concentrations on the stability of lunasin against pepsin-pancreatin hydrolysis (PPH). In addition, the effect of KTI mutation on lunasin stability against PPH was determined. LEP were produced by calcium and pH precipitation methods of 30% aqueous ethanol extract from defatted soybean flour. LEP, lunasin-enriched commercially available products and KTI control and mutant flours underwent PPH and samples were taken after pepsin and pepsin-pancreatin hydrolysis. The concentrations of BBI, KTI, and lunasin all decreased after hydrolysis, but they had varying results. BBI concentration ranged from 167.5 to 655.8 μg/g pre-hydrolysis and 171.5 to 250.1 μg/g after hydrolysis. KTI concentrations ranged from 0.3 to 122.3 μg/g pre-hydrolysis and 9.0 to 18.7 μg/g after hydrolysis. Lunasin concentrations ranged from 8.5 to 71.0 μg/g pre-hydrolysis and 4.0 to 13.2 μg/g after hydrolysis. In all products tested, lunasin concentration after PPH significantly correlated with BBI and KTI concentrations. Mutation in two KTI isoforms led to a lower concentration of lunasin after PPH. This is the first report on the potential role of KTI in lunasin stability against PPH and must be considered in designing lunasin-enriched products that could potentially survive digestion after oral ingestion.","author":[{"dropping-particle":"","family":"Price","given":"Samuel J.","non-dropping-particle":"","parse-names":false,"suffix":""},{"dropping-particle":"","family":"Pangloli","given":"Philipus","non-dropping-particle":"","parse-names":false,"suffix":""},{"dropping-particle":"","family":"Krishnan","given":"Hari B.","non-dropping-particle":"","parse-names":false,"suffix":""},{"dropping-particle":"","family":"Dia","given":"Vermont P.","non-dropping-particle":"","parse-names":false,"suffix":""}],"container-title":"Food Research International","id":"ITEM-1","issued":{"date-parts":[["2016","12","1"]]},"page":"205-215","publisher":"Elsevier Ltd","title":"Kunitz trypsin inhibitor in addition to Bowman-Birk inhibitor influence stability of lunasin against pepsin-pancreatin hydrolysis","type":"article-journal","volume":"90"},"uris":["http://www.mendeley.com/documents/?uuid=c2df7252-e65f-32f1-a96a-112ee4175ed3"]}],"mendeley":{"formattedCitation":"[14]","plainTextFormattedCitation":"[14]","previouslyFormattedCitation":"[14]"},"properties":{"noteIndex":0},"schema":"https://github.com/citation-style-language/schema/raw/master/csl-citation.json"}</w:instrText>
      </w:r>
      <w:r w:rsidRPr="004B51C7">
        <w:fldChar w:fldCharType="separate"/>
      </w:r>
      <w:r w:rsidRPr="00C8126B">
        <w:rPr>
          <w:noProof/>
        </w:rPr>
        <w:t>[14]</w:t>
      </w:r>
      <w:r w:rsidRPr="004B51C7">
        <w:fldChar w:fldCharType="end"/>
      </w:r>
      <w:r w:rsidRPr="004B51C7">
        <w:t xml:space="preserve">. </w:t>
      </w:r>
    </w:p>
    <w:p w14:paraId="34EBF269" w14:textId="77777777" w:rsidR="003F461D" w:rsidRPr="004B51C7" w:rsidRDefault="003F461D" w:rsidP="003F461D">
      <w:pPr>
        <w:spacing w:line="480" w:lineRule="auto"/>
        <w:rPr>
          <w:bCs/>
          <w:i/>
        </w:rPr>
      </w:pPr>
      <w:r w:rsidRPr="004B51C7">
        <w:rPr>
          <w:bCs/>
          <w:i/>
        </w:rPr>
        <w:t xml:space="preserve">2.3.6.5 Matrix-assisted laser desorption ionization time-of-flight mass spectrometry (MALDI-TOF-MS) analysis. </w:t>
      </w:r>
    </w:p>
    <w:p w14:paraId="2089DACA" w14:textId="114A51EC" w:rsidR="003F461D" w:rsidRPr="004B51C7" w:rsidRDefault="003F461D" w:rsidP="001311E7">
      <w:pPr>
        <w:spacing w:line="480" w:lineRule="auto"/>
        <w:ind w:firstLine="720"/>
      </w:pPr>
      <w:r w:rsidRPr="004B51C7">
        <w:t xml:space="preserve">The 5 kDa protein band was excised from Coomassie-stained SDS-PAGE gel for the identification of lunasin via MALDI-TOF-MS as previously described </w:t>
      </w:r>
      <w:r w:rsidRPr="004B51C7">
        <w:fldChar w:fldCharType="begin" w:fldLock="1"/>
      </w:r>
      <w:r>
        <w:instrText>ADDIN CSL_CITATION {"citationItems":[{"id":"ITEM-1","itemData":{"DOI":"10.1002/pmic.200800875","ISSN":"16159853","abstract":"2-D analysis of plant proteomes containing thousands of proteins has limited dynamic resolution because only abundant proteins can be detected. Proteomic assessment of the non-abundant proteins within seeds is difficult when 60-80% is storage proteins. Resolution can be improved through sample fractionation using separation techniques based upon different physiological or biochemical principles. We have developed a fast and simple fractionation technique using 10mM Ca2+ to precipitate soybean (Glycine max) seed storage globulins, glycinin and β-conglycinin. This method removes 87±4% of the highly abundant seed proteins from the extract, allowing for 541 previously inconspicuous proteins present in soybean seed to be more detectable (volume increase of ≥50%) using fluorescent detection. Of those 541 enhanced spots, 197 increased more than 2.5-fold when visualized with Coomassie. Themajority of those spots were isolated and identified using peptide mass fingerprinting. Fractionation also provided detection of 63 new phosphorylated protein spots and enhanced the visibility of 15 phosphorylated protein spots, using 2-D electrophoretic separation and an in-gel phosphoprotein stain. Application of this methodology toward other legumes, such as peanut, bean, pea, alfalfa and others, also containing high amounts of storage proteins, was examined, and is reported here. © 2009 Wiley-VCH Verlag GmbH &amp; Co. KGaA.","author":[{"dropping-particle":"","family":"Krishnan","given":"Hari B.","non-dropping-particle":"","parse-names":false,"suffix":""},{"dropping-particle":"","family":"Oehrle","given":"Nathan W.","non-dropping-particle":"","parse-names":false,"suffix":""},{"dropping-particle":"","family":"Natarajan","given":"Savithiry S.","non-dropping-particle":"","parse-names":false,"suffix":""}],"container-title":"PROTEOMICS","id":"ITEM-1","issue":"11","issued":{"date-parts":[["2009","6","1"]]},"page":"3174-3188","publisher":"John Wiley &amp; Sons, Ltd","title":"A rapid and simple procedure for the depletion of abundant storage proteins from legume seeds to advance proteome analysis: A case study using Glycine max","type":"article-journal","volume":"9"},"uris":["http://www.mendeley.com/documents/?uuid=81856649-b4a4-4c2c-b4d2-39de2b3c3632"]}],"mendeley":{"formattedCitation":"[17]","plainTextFormattedCitation":"[17]","previouslyFormattedCitation":"[17]"},"properties":{"noteIndex":0},"schema":"https://github.com/citation-style-language/schema/raw/master/csl-citation.json"}</w:instrText>
      </w:r>
      <w:r w:rsidRPr="004B51C7">
        <w:fldChar w:fldCharType="separate"/>
      </w:r>
      <w:r w:rsidRPr="00C8126B">
        <w:rPr>
          <w:noProof/>
        </w:rPr>
        <w:t>[17]</w:t>
      </w:r>
      <w:r w:rsidRPr="004B51C7">
        <w:fldChar w:fldCharType="end"/>
      </w:r>
      <w:r w:rsidRPr="004B51C7">
        <w:t>.</w:t>
      </w:r>
    </w:p>
    <w:p w14:paraId="2FAF72DB" w14:textId="77777777" w:rsidR="003F461D" w:rsidRPr="00943C22" w:rsidRDefault="003F461D" w:rsidP="001311E7">
      <w:pPr>
        <w:pStyle w:val="Heading3"/>
        <w:spacing w:before="0" w:after="0" w:line="480" w:lineRule="auto"/>
        <w:rPr>
          <w:i w:val="0"/>
        </w:rPr>
      </w:pPr>
      <w:bookmarkStart w:id="42" w:name="_Toc77082108"/>
      <w:r w:rsidRPr="00943C22">
        <w:rPr>
          <w:i w:val="0"/>
        </w:rPr>
        <w:t>2.3.7 Biological activity of the isolated lunasin</w:t>
      </w:r>
      <w:bookmarkEnd w:id="42"/>
    </w:p>
    <w:p w14:paraId="45481B06" w14:textId="77777777" w:rsidR="003F461D" w:rsidRPr="004B51C7" w:rsidRDefault="003F461D" w:rsidP="003F461D">
      <w:pPr>
        <w:spacing w:line="480" w:lineRule="auto"/>
        <w:ind w:firstLine="720"/>
      </w:pPr>
      <w:r w:rsidRPr="004B51C7">
        <w:t xml:space="preserve">RAW 264.7 murine macrophages (ATCC, Manassas, VA) were cultured, treated and analyzed as previously described </w:t>
      </w:r>
      <w:r w:rsidRPr="004B51C7">
        <w:fldChar w:fldCharType="begin" w:fldLock="1"/>
      </w:r>
      <w:r>
        <w:instrText>ADDIN CSL_CITATION {"citationItems":[{"id":"ITEM-1","itemData":{"DOI":"10.3390/antiox8060175","ISSN":"2076-3921","abstract":"BG-4 isolated from bitter gourd has been reported for anti-cancer properties. The objective was to evaluate the anti-inflammatory properties of BG-4 in vitro and in vivo. Comparative study of the anti-inflammatory properties of BG-4 in vitro and in vivo was conducted on lipopolysaccharide (LPS)-activated mouse macrophages, and on dextran sodium sulfate (DSS)-induced colitis in mice. BG-4 reduced the production of pro-inflammatory markers in LPS-activated macrophages. On the other hand, intraperitoneal administration of BG-4 in DSS-induced colitis led to colon shortening, elevated neutrophils infiltration and myeloperoxidase activity, presence of blood in the stool, and loss of body weight, with differential systemic and local effects on pro-inflammatory cytokines in vivo. The results demonstrated that BG-4 differentially affected inflammation in vitro and in vivo.","author":[{"dropping-particle":"","family":"Nieto-Veloza","given":"Andrea","non-dropping-particle":"","parse-names":false,"suffix":""},{"dropping-particle":"","family":"Wang","given":"Zhihong","non-dropping-particle":"","parse-names":false,"suffix":""},{"dropping-particle":"","family":"Zhong","given":"Qixin","non-dropping-particle":"","parse-names":false,"suffix":""},{"dropping-particle":"","family":"Krishnan","given":"Hari B.","non-dropping-particle":"","parse-names":false,"suffix":""},{"dropping-particle":"","family":"Dia","given":"Vermont P.","non-dropping-particle":"","parse-names":false,"suffix":""}],"container-title":"Antioxidants","id":"ITEM-1","issue":"6","issued":{"date-parts":[["2019","6","14"]]},"page":"175","publisher":"MDPI AG","title":"BG-4 from Bitter Gourd (Momordica charantia) Differentially Affects Inflammation In Vitro and In Vivo","type":"article-journal","volume":"8"},"uris":["http://www.mendeley.com/documents/?uuid=096f71f8-8446-4a73-a6af-de6ea49a0106"]}],"mendeley":{"formattedCitation":"[18]","plainTextFormattedCitation":"[18]","previouslyFormattedCitation":"[18]"},"properties":{"noteIndex":0},"schema":"https://github.com/citation-style-language/schema/raw/master/csl-citation.json"}</w:instrText>
      </w:r>
      <w:r w:rsidRPr="004B51C7">
        <w:fldChar w:fldCharType="separate"/>
      </w:r>
      <w:r w:rsidRPr="00C8126B">
        <w:rPr>
          <w:noProof/>
        </w:rPr>
        <w:t>[18]</w:t>
      </w:r>
      <w:r w:rsidRPr="004B51C7">
        <w:fldChar w:fldCharType="end"/>
      </w:r>
      <w:r w:rsidRPr="004B51C7">
        <w:t>. Cells were seeded at 5x10</w:t>
      </w:r>
      <w:r w:rsidRPr="004B51C7">
        <w:rPr>
          <w:vertAlign w:val="superscript"/>
        </w:rPr>
        <w:t>3</w:t>
      </w:r>
      <w:r w:rsidRPr="004B51C7">
        <w:t xml:space="preserve"> cells/well in a 96-well plate, allowed to attach overnight, and then treated with lunasin at the indicated concentrations, in the presence of lipopolysaccharide (LPS), for 24 h. Supernatants were collected for analysis of pro-inflammatory </w:t>
      </w:r>
      <w:r w:rsidRPr="004B51C7">
        <w:lastRenderedPageBreak/>
        <w:t xml:space="preserve">cytokines IL-6 and TNF-α by ELISA (BioLegend, San Diego, CA) and nitric oxide (NO) production by Griess reagent assay. MTS assay (Promega, Madison, WI) was used to test cell viability, according to the manufacturer’s protocol.      </w:t>
      </w:r>
    </w:p>
    <w:p w14:paraId="7A418E6B" w14:textId="77777777" w:rsidR="003F461D" w:rsidRPr="00943C22" w:rsidRDefault="003F461D" w:rsidP="003F461D">
      <w:pPr>
        <w:pStyle w:val="Heading3"/>
        <w:spacing w:line="480" w:lineRule="auto"/>
        <w:rPr>
          <w:i w:val="0"/>
        </w:rPr>
      </w:pPr>
      <w:bookmarkStart w:id="43" w:name="_Toc77082109"/>
      <w:r w:rsidRPr="00943C22">
        <w:rPr>
          <w:i w:val="0"/>
        </w:rPr>
        <w:t>2.3.8 Statistical analysis</w:t>
      </w:r>
      <w:bookmarkEnd w:id="43"/>
      <w:r w:rsidRPr="00943C22">
        <w:rPr>
          <w:i w:val="0"/>
        </w:rPr>
        <w:t xml:space="preserve"> </w:t>
      </w:r>
    </w:p>
    <w:p w14:paraId="156C39D4" w14:textId="639B4408" w:rsidR="003F461D" w:rsidRDefault="003F461D" w:rsidP="001311E7">
      <w:pPr>
        <w:spacing w:line="480" w:lineRule="auto"/>
        <w:ind w:firstLine="720"/>
      </w:pPr>
      <w:r w:rsidRPr="004B51C7">
        <w:t xml:space="preserve">Results are reported as mean ± standard deviation for at least three replicates. Data were analyzed for significant differences (p-value &lt;0.05) via ANOVA followed by Tukey posthoc test, using Statgraphics Centurion ® software (Statgraphics Inc, The Plains, VA). </w:t>
      </w:r>
    </w:p>
    <w:p w14:paraId="568DE024" w14:textId="77777777" w:rsidR="003F461D" w:rsidRPr="004B51C7" w:rsidRDefault="003F461D" w:rsidP="001311E7">
      <w:pPr>
        <w:spacing w:line="480" w:lineRule="auto"/>
        <w:ind w:firstLine="720"/>
      </w:pPr>
    </w:p>
    <w:p w14:paraId="73F32CD0" w14:textId="77777777" w:rsidR="003F461D" w:rsidRPr="004B51C7" w:rsidRDefault="003F461D" w:rsidP="001311E7">
      <w:pPr>
        <w:pStyle w:val="Heading2"/>
        <w:spacing w:before="0" w:after="0" w:line="480" w:lineRule="auto"/>
      </w:pPr>
      <w:bookmarkStart w:id="44" w:name="_Toc77082110"/>
      <w:r w:rsidRPr="004B51C7">
        <w:t>2.4 Results and Discussion</w:t>
      </w:r>
      <w:bookmarkEnd w:id="44"/>
    </w:p>
    <w:p w14:paraId="792E3606" w14:textId="212D5C9F" w:rsidR="003F461D" w:rsidRPr="004B51C7" w:rsidRDefault="003F461D" w:rsidP="001311E7">
      <w:pPr>
        <w:spacing w:line="480" w:lineRule="auto"/>
        <w:ind w:firstLine="720"/>
      </w:pPr>
      <w:r w:rsidRPr="004B51C7">
        <w:t xml:space="preserve">The yield of soymilk, tofu, okara, and whey for the laboratory-produced tofu are presented in Table 2.1 In okara, the presence of soluble proteins is derived from the fractions of soymilk retained in the solid fiber which can be considered as a potential source of the peptide. On the other hand, upon addition of calcium sulfate to soymilk, high molecular weight proteins belonging to the 11S (glycinin) and 7S (β-conglycinin) fractions aggregate forming the curd, while the low molecular weight proteins (&lt; 16 kDa) remain soluble in the whey </w:t>
      </w:r>
      <w:r w:rsidRPr="004B51C7">
        <w:fldChar w:fldCharType="begin" w:fldLock="1"/>
      </w:r>
      <w:r>
        <w:instrText>ADDIN CSL_CITATION {"citationItems":[{"id":"ITEM-1","itemData":{"DOI":"10.1021/jf0342021","ISSN":"00218561","PMID":"14518946","abstract":"The effects of calcium sulfate concentration in soymilk on the microstructure of tofu and the constitutions of protein in tofu whey were investigated. The firm tofu made with 0.4% CaSO4·2H 2O was found to be most uniform and continuous in the microstructure. This tofu gave the maximal tofu yield, maximal solid and protein recoveries, and the best water retention ability. The results of gel electrophoresis and the ratio of amino nitrogen to total organic nitrogen indicated that the low molecular weight proteins in tofu whey were at their lowest when the tofu was made with 0.4% CaSO4·2H2O. The SEM observations suggested that the tofu made with 0.4% CaSO4·2H2O has the most uniform and homogeneous microstructure and, consequently, can most efficiently retain soybean proteins and water in the tofu gel.","author":[{"dropping-particle":"","family":"Kao","given":"Fuh Juin","non-dropping-particle":"","parse-names":false,"suffix":""},{"dropping-particle":"","family":"Su","given":"Nan Wei","non-dropping-particle":"","parse-names":false,"suffix":""},{"dropping-particle":"","family":"Lee","given":"Min Hsiung","non-dropping-particle":"","parse-names":false,"suffix":""}],"container-title":"Journal of Agricultural and Food Chemistry","id":"ITEM-1","issue":"21","issued":{"date-parts":[["2003","10","8"]]},"page":"6211-6216","publisher":" American Chemical Society ","title":"Effect of calcium sulfate concentration in soymilk on the microstructure of firm tofu and the protein constitutions in tofu whey","type":"article-journal","volume":"51"},"uris":["http://www.mendeley.com/documents/?uuid=459b3099-bc64-3889-83a1-3d846e9f4628"]}],"mendeley":{"formattedCitation":"[19]","plainTextFormattedCitation":"[19]","previouslyFormattedCitation":"[19]"},"properties":{"noteIndex":0},"schema":"https://github.com/citation-style-language/schema/raw/master/csl-citation.json"}</w:instrText>
      </w:r>
      <w:r w:rsidRPr="004B51C7">
        <w:fldChar w:fldCharType="separate"/>
      </w:r>
      <w:r w:rsidRPr="00C8126B">
        <w:rPr>
          <w:noProof/>
        </w:rPr>
        <w:t>[19]</w:t>
      </w:r>
      <w:r w:rsidRPr="004B51C7">
        <w:fldChar w:fldCharType="end"/>
      </w:r>
      <w:r w:rsidRPr="004B51C7">
        <w:t>. It could then be expected that the 5 kDa lunasin is present in the whey. Preliminary experiments using the whey and an alkaline extract from okara indicated that the amount of lunasin available in the whey is about 45 times higher than in okara (Supplementary Table 2.1), making it a better candidate for further exploration as a source of lunasin.</w:t>
      </w:r>
    </w:p>
    <w:p w14:paraId="5EA59D1B" w14:textId="77777777" w:rsidR="003F461D" w:rsidRPr="00943C22" w:rsidRDefault="003F461D" w:rsidP="001311E7">
      <w:pPr>
        <w:pStyle w:val="Heading3"/>
        <w:spacing w:before="0" w:after="0" w:line="480" w:lineRule="auto"/>
        <w:rPr>
          <w:i w:val="0"/>
        </w:rPr>
      </w:pPr>
      <w:bookmarkStart w:id="45" w:name="_Toc77082111"/>
      <w:r w:rsidRPr="00943C22">
        <w:rPr>
          <w:i w:val="0"/>
        </w:rPr>
        <w:lastRenderedPageBreak/>
        <w:t>2.4.1 Lunasin enrichment from tofu whey</w:t>
      </w:r>
      <w:bookmarkEnd w:id="45"/>
      <w:r w:rsidRPr="00943C22">
        <w:rPr>
          <w:i w:val="0"/>
        </w:rPr>
        <w:t xml:space="preserve"> </w:t>
      </w:r>
      <w:bookmarkStart w:id="46" w:name="_Ref47359312"/>
    </w:p>
    <w:bookmarkEnd w:id="46"/>
    <w:p w14:paraId="2C3D90B3" w14:textId="77777777" w:rsidR="003F461D" w:rsidRPr="004B51C7" w:rsidRDefault="003F461D" w:rsidP="003F461D">
      <w:pPr>
        <w:spacing w:line="480" w:lineRule="auto"/>
        <w:rPr>
          <w:bCs/>
          <w:i/>
        </w:rPr>
      </w:pPr>
      <w:r w:rsidRPr="004B51C7">
        <w:rPr>
          <w:bCs/>
          <w:i/>
        </w:rPr>
        <w:t>2.4.1.1 Alcoholic precipitation of high-molecular weight proteins</w:t>
      </w:r>
    </w:p>
    <w:p w14:paraId="79C5F956" w14:textId="77777777" w:rsidR="003F461D" w:rsidRDefault="003F461D" w:rsidP="003F461D">
      <w:pPr>
        <w:spacing w:line="480" w:lineRule="auto"/>
        <w:ind w:firstLine="720"/>
      </w:pPr>
      <w:r w:rsidRPr="004B51C7">
        <w:t xml:space="preserve">The  purification of proteins via precipitation with alcohols has been reported and it has been shown that methanol and ethanol were capable of producing precipitates with retained enzymatic activity </w:t>
      </w:r>
      <w:r w:rsidRPr="004B51C7">
        <w:fldChar w:fldCharType="begin" w:fldLock="1"/>
      </w:r>
      <w:r>
        <w:instrText>ADDIN CSL_CITATION {"citationItems":[{"id":"ITEM-1","itemData":{"DOI":"10.1007/s40005-020-00471-2","ISSN":"20936214","abstract":"Purpose: One of the primary challenges in developing highly concentrated protein formulations is ensuring adequate stability of the protein product. Among the many available methods, cold solvent precipitation is useful, and it has been adopted for protein purification. This study aimed to characterize protein stability under various precipitation conditions and to determine the most stable precipitation conditions. Methods: Lysozyme was used as a model protein to investigate the effects of various solvents and temperature conditions on the physicochemical properties. Size exclusion chromatography, dynamic light scattering, circular dichroism, and thermodynamic analysis are the primary tools for the protein characterization. Results: Changes in the rehydrated particle size, secondary structure, thermodynamic stability, and in vitro activity of lysozyme were observed under various conditions. By analyzing the effect of temperature on protein characteristics, it has been discovered that protein precipitation at a temperature of 4 °C or below is optimal. During the precipitation at – 20 °C, the secondary structures of proteins are adversely affected by the formation of ice crystals. None of the solvents used as precipitants in this study affected the activity of the protein. However, changes in the secondary structure were minimal when ethanol and octanol were used. Conclusion: In this study, the feasibility of various precipitation conditions was evaluated for stable reversible precipitation formation. Although further studies are needed, precipitation of proteins using various organic solvents could be used in the development of formulations that purify and concentrate proteins.","author":[{"dropping-particle":"","family":"Lim","given":"Dae Gon","non-dropping-particle":"","parse-names":false,"suffix":""},{"dropping-particle":"","family":"Lee","given":"Jae Chul","non-dropping-particle":"","parse-names":false,"suffix":""},{"dropping-particle":"","family":"Kim","given":"Dong Jun","non-dropping-particle":"","parse-names":false,"suffix":""},{"dropping-particle":"","family":"Kim","given":"Seong Jun","non-dropping-particle":"","parse-names":false,"suffix":""},{"dropping-particle":"","family":"Yu","given":"Hyun Woo","non-dropping-particle":"","parse-names":false,"suffix":""},{"dropping-particle":"","family":"Jeong","given":"Seong Hoon","non-dropping-particle":"","parse-names":false,"suffix":""}],"container-title":"Journal of Pharmaceutical Investigation","id":"ITEM-1","issued":{"date-parts":[["2020","1","29"]]},"page":"1-11","publisher":"Springer","title":"Effects of precipitation process on the biophysical properties of highly concentrated proteins","type":"article-journal"},"uris":["http://www.mendeley.com/documents/?uuid=b57fea55-f356-329b-9db5-69612cafb203"]},{"id":"ITEM-2","itemData":{"DOI":"10.1002/bit.260231114","ISSN":"0006-3592","abstract":"The precipitation of crude beef liver catalase at 4°C by the lower alcohols could be correlated in a manner analogous to that used for salting out precipitations with ammonium sulfate. At high alcohol concentrations, however, the analogy breaks down since denaturation effects must betaken into account Depending upon the concentration of the alcohol and temperature, the denaturation transition may be either thermally induced or solvent induced. When the precipitated enzyme was redissolved in buffer, not all forms could refold spontaneously to a catalytically active conformation. The data on the precipitation yields of catalase correlated well with denaturation diagrams previously developed. Thus, a quantitative basis could be established to relate the sensitive performance of the technique to the experimental conditions. A further correlation between the amino</w:instrText>
      </w:r>
      <w:r>
        <w:rPr>
          <w:rFonts w:ascii="Cambria Math" w:hAnsi="Cambria Math" w:cs="Cambria Math"/>
        </w:rPr>
        <w:instrText>‐</w:instrText>
      </w:r>
      <w:r>
        <w:instrText>acid composition of the enzyme and the optimal concentration of alcohol required for precipitation may provide a guide for the extension of this work to other systems. Copyright © 1981 John Wiley &amp; Sons, Inc.","author":[{"dropping-particle":"","family":"Schubert","given":"Paul F.","non-dropping-particle":"","parse-names":false,"suffix":""},{"dropping-particle":"","family":"Finn","given":"Robert K.","non-dropping-particle":"","parse-names":false,"suffix":""}],"container-title":"Biotechnology and Bioengineering","id":"ITEM-2","issue":"11","issued":{"date-parts":[["1981","11"]]},"page":"2569-2590","title":"Alcohol precipitation of proteins: The relationship of denaturation and precipitation for catalase","type":"article-journal","volume":"23"},"uris":["http://www.mendeley.com/documents/?uuid=b0ec4567-0f30-3d7a-9ae9-9853bf9c818f"]}],"mendeley":{"formattedCitation":"[20,21]","plainTextFormattedCitation":"[20,21]","previouslyFormattedCitation":"[20,21]"},"properties":{"noteIndex":0},"schema":"https://github.com/citation-style-language/schema/raw/master/csl-citation.json"}</w:instrText>
      </w:r>
      <w:r w:rsidRPr="004B51C7">
        <w:fldChar w:fldCharType="separate"/>
      </w:r>
      <w:r w:rsidRPr="00C8126B">
        <w:rPr>
          <w:noProof/>
        </w:rPr>
        <w:t>[20,21]</w:t>
      </w:r>
      <w:r w:rsidRPr="004B51C7">
        <w:fldChar w:fldCharType="end"/>
      </w:r>
      <w:r w:rsidRPr="004B51C7">
        <w:t xml:space="preserve">. Ethanol has been successfully used to induce the aggregation of particular protein fractions from soybean preparations with bioactive properties </w:t>
      </w:r>
      <w:r w:rsidRPr="004B51C7">
        <w:fldChar w:fldCharType="begin" w:fldLock="1"/>
      </w:r>
      <w:r>
        <w:instrText>ADDIN CSL_CITATION {"citationItems":[{"id":"ITEM-1","itemData":{"DOI":"10.1016/j.foodhyd.2019.105307","ISSN":"0268005X","abstract":"Soy proteins have attracted fast increasing interests to be used in food emulsion formulations, due to their good emulsifying properties. Soy β-conglycinin (SC) and glycinin are the two major storage globulins in soy proteins, with the former generally recognized to exhibit much better emulsifying properties than the latter. The current work reported that the treatment of SC with ethanol at concentrations ([E]) of 20–80% (v/v) remarkably improved its emulsification performance and interfacial stabilization, in a [E]-dependent way. The influence of the ethanol treatment on the physicochemical and structural properties of SC was characterized. As expected, the treatment led to an [E]-dependent aggregation of SC, and formation of larger particles with more compact structure. Next, the emulsifying and interfacial properties of these ethanol-treated SC samples were evaluated in terms of emulsification performance and interfacial stabilization, at two oil volume fractions of 0.2 and 0.8. In both cases, the ethanol-treated SC showed greatly improved emulsification performance and interfacial stabilization. The improvements were largely due to the facilitated formation of bridged emulsions, via the strengthened Pickering stabilization by ethanol-induced aggregation. Even at a low concentration of 0.5 wt%, the ethanol-treated SC could still produce a kind of fine emulsions (produced by microfluidization), or high internal phase emulsions with a self-supporting gel network (that could resist the disruption of 6 M urea). The results demonstrated that the ethanol pretreatment can be applied as an effective modification to remarkably improve the emulsifying properties of SC, through the strengthening of its Pickering stabilization.","author":[{"dropping-particle":"","family":"Peng","given":"Li Ping","non-dropping-particle":"","parse-names":false,"suffix":""},{"dropping-particle":"","family":"Xu","given":"Yan Teng","non-dropping-particle":"","parse-names":false,"suffix":""},{"dropping-particle":"","family":"Li","given":"Xiu Ting","non-dropping-particle":"","parse-names":false,"suffix":""},{"dropping-particle":"","family":"Tang","given":"Chuan He","non-dropping-particle":"","parse-names":false,"suffix":""}],"container-title":"Food Hydrocolloids","id":"ITEM-1","issued":{"date-parts":[["2020","1","1"]]},"page":"105307","publisher":"Elsevier B.V.","title":"Improving the emulsification of soy β-conglycinin by alcohol-induced aggregation","type":"article-journal","volume":"98"},"uris":["http://www.mendeley.com/documents/?uuid=b532685b-8fe5-3367-8db6-5945d846d7fc"]},{"id":"ITEM-2","itemData":{"DOI":"10.1016/j.foodchem.2015.01.006","ISSN":"18737072","abstract":"Lunasin is a 5-kDa soybean bioactive peptide with demonstrated anti-cancer and anti-inflammatory properties. Recently, purification methods have been developed to obtain gram quantities of lunasin. However, these methods are cumbersome, time consuming and cost-prohibitive. To overcome these constrains we have developed a novel method which involves extraction of soybean flour with 30% ethanol followed by preferential precipitation of lunasin and protease inhibitors by calcium. The calcium precipitated protein fraction, which we termed as Lunasin Protease Inhibitor Concentrate (LPIC), contains three abundant proteins with molecular weights of 21, 14 and 5 kDa. This simple procedure yields 3.2 g of LPIC from 100 g of soybean flour and the entire isolation procedure can be completed in less than 2 h. Treatment of THP-1 human monocyte cell lines with LPIC resulted in suppression of lipopolysaccharide-stimulated cytokine expression, demonstrating that the LPIC isolated by our simple procedure is biologically active.","author":[{"dropping-particle":"","family":"Krishnan","given":"Hari B.","non-dropping-particle":"","parse-names":false,"suffix":""},{"dropping-particle":"","family":"Wang","given":"Thomas T.Y.","non-dropping-particle":"","parse-names":false,"suffix":""}],"container-title":"Food Chemistry","id":"ITEM-2","issued":{"date-parts":[["2015","6","15"]]},"page":"120-126","publisher":"Elsevier Ltd","title":"An effective and simple procedure to isolate abundant quantities of biologically active chemopreventive Lunasin Protease Inhibitor Concentrate (LPIC) from soybean","type":"article-journal","volume":"177"},"uris":["http://www.mendeley.com/documents/?uuid=445a7486-73ab-39c0-b9c9-f987cb47ae0a"]}],"mendeley":{"formattedCitation":"[8,22]","plainTextFormattedCitation":"[8,22]","previouslyFormattedCitation":"[8,22]"},"properties":{"noteIndex":0},"schema":"https://github.com/citation-style-language/schema/raw/master/csl-citation.json"}</w:instrText>
      </w:r>
      <w:r w:rsidRPr="004B51C7">
        <w:fldChar w:fldCharType="separate"/>
      </w:r>
      <w:r w:rsidRPr="00C8126B">
        <w:rPr>
          <w:noProof/>
        </w:rPr>
        <w:t>[8,22]</w:t>
      </w:r>
      <w:r w:rsidRPr="004B51C7">
        <w:fldChar w:fldCharType="end"/>
      </w:r>
      <w:r w:rsidRPr="004B51C7">
        <w:t xml:space="preserve">.  We evaluated the effect of different concentrations of ethanol (20, 30, 40, and 50% v/v) on the proteins present in tofu whey. Electrophoretic separation (Figure 2.1A) indicated that upon increasing concentrations of ethanol, proteins with higher molecular weights were preferentially precipitated. At 20% v/v there was no apparent variation in the distribution of soluble proteins, while at 30% most of proteins higher than 30kDa were almost depleted. At 40 and 50%, proteins smaller than 25 kDa remained in the supernatant. Figure 2.1B presents the size exclusion chromatographic profile of the supernatants. </w:t>
      </w:r>
      <w:bookmarkStart w:id="47" w:name="_Hlk69119175"/>
      <w:r w:rsidRPr="004B51C7">
        <w:t xml:space="preserve">Retention times and molecular weight of chromatographic standards are presented in Supplementary Table 2.2. As it can be observed, proteins with retention time lower than 6 min, corresponding to molecular weights higher than 6.5 kDa, were a predominant group in the whey. </w:t>
      </w:r>
      <w:bookmarkEnd w:id="47"/>
      <w:r w:rsidRPr="004B51C7">
        <w:t xml:space="preserve">Variations in the profile corroborated the preferential impact of ethanol over this subset of proteins in the whey. At a concentration of 20% the height of peaks associated with high molecular weight proteins was reduced and became comparable to the height of peaks associated with peptides with retention times between 6 and 8 min, </w:t>
      </w:r>
      <w:r w:rsidRPr="004B51C7">
        <w:lastRenderedPageBreak/>
        <w:t xml:space="preserve">corresponding to molecular weights between 1 and 6.5 kDa. At higher concentration of alcohol, the peptides fraction became the predominant group in the supernatant. It is known that the addition of miscible organic solvents increases intra- and intermolecular electrostatic forces that lead to variations in the folding of the protein molecules </w:t>
      </w:r>
      <w:r w:rsidRPr="004B51C7">
        <w:fldChar w:fldCharType="begin" w:fldLock="1"/>
      </w:r>
      <w:r>
        <w:instrText>ADDIN CSL_CITATION {"citationItems":[{"id":"ITEM-1","itemData":{"DOI":"10.1080/01932691.2011.584482","ISBN":"0824723457 (alk. paper)\\r9780849392726 (pbk. alk. paper)\\r0849392721 (pbk. alk. paper)","ISSN":"0193-2691","PMID":"14718307","author":[{"dropping-particle":"","family":"Damodaran","given":"Srinivasan","non-dropping-particle":"","parse-names":false,"suffix":""}],"chapter-number":"Chapter 5","container-title":"Fennema's Food Chemistry","edition":"Fourth Edi","editor":[{"dropping-particle":"","family":"Damodaran","given":"Srinivasan","non-dropping-particle":"","parse-names":false,"suffix":""},{"dropping-particle":"","family":"Parkin","given":"Kirk L","non-dropping-particle":"","parse-names":false,"suffix":""},{"dropping-particle":"","family":"Fennema","given":"Owen R.","non-dropping-particle":"","parse-names":false,"suffix":""}],"id":"ITEM-1","issued":{"date-parts":[["2008"]]},"page":"217 - 300","publisher":"CRC Press","publisher-place":"Boca Raton, FL, USA","title":"Amino Acids, Peptides, and Proteins","type":"chapter"},"uris":["http://www.mendeley.com/documents/?uuid=f36da664-b8b8-4528-aec5-76b65b28bacb"]}],"mendeley":{"formattedCitation":"[23]","plainTextFormattedCitation":"[23]","previouslyFormattedCitation":"[23]"},"properties":{"noteIndex":0},"schema":"https://github.com/citation-style-language/schema/raw/master/csl-citation.json"}</w:instrText>
      </w:r>
      <w:r w:rsidRPr="004B51C7">
        <w:fldChar w:fldCharType="separate"/>
      </w:r>
      <w:r w:rsidRPr="00C8126B">
        <w:rPr>
          <w:noProof/>
        </w:rPr>
        <w:t>[23]</w:t>
      </w:r>
      <w:r w:rsidRPr="004B51C7">
        <w:fldChar w:fldCharType="end"/>
      </w:r>
      <w:r w:rsidRPr="004B51C7">
        <w:t xml:space="preserve">. It is feasible that in complex proteins, with higher molecular weight, augmented repulsive intramolecular interactions lead to the exposure of buried ionic and polar groups. These available groups could participate in attractive protein-protein interactions with the exposed oppositely charged groups resulting in aggregation. </w:t>
      </w:r>
    </w:p>
    <w:p w14:paraId="581DD7EB" w14:textId="08D8EFDF" w:rsidR="003F461D" w:rsidRDefault="003F461D" w:rsidP="003F461D">
      <w:pPr>
        <w:spacing w:line="480" w:lineRule="auto"/>
        <w:ind w:firstLine="720"/>
      </w:pPr>
      <w:r w:rsidRPr="004B51C7">
        <w:t xml:space="preserve">Western blot analysis (Figure 2.1C) revealed that fractions of lunasin progressively precipitated as </w:t>
      </w:r>
      <w:r w:rsidR="00BC7657">
        <w:t xml:space="preserve">the </w:t>
      </w:r>
      <w:r w:rsidRPr="004B51C7">
        <w:t xml:space="preserve">concentration of ethanol increased. Although variations in intramolecular electrostatic interactions may not have a considerable effect over the intrinsically disordered structure of lunasin </w:t>
      </w:r>
      <w:r w:rsidRPr="004B51C7">
        <w:fldChar w:fldCharType="begin" w:fldLock="1"/>
      </w:r>
      <w:r>
        <w:instrText>ADDIN CSL_CITATION {"citationItems":[{"id":"ITEM-1","itemData":{"DOI":"10.1016/j.peptides.2016.09.006","ISSN":"18735169","PMID":"27639324","abstract":"Lunasin is a 43 amino acid peptide with anti-cancer, antioxidant, anti-inflammatory and cholesterol-lowering properties. Although the mechanism of action of lunasin has been characterized to some extent, its exact three-dimensional structure as well as the function of the N-terminal sequence remains unknown. We established a novel method for the production of recombinant lunasin that allows efficient isotope labeling for NMR studies. Initial studies showed that lunasin can exist in a reduced or oxidized state with an intramolecular disulfide bond depending on solution conditions. The structure of both forms of the peptide at pH 3.5 and 6.5 was characterized by CD spectroscopy and multidimensional NMR methods. The data indicate that lunasin belongs to the class of intrinsically disordered proteins. The analysis of secondary structure propensities indicates the presence of two helical regions and an extended (beta strand) conformation at the C-terminus. We hypothesize that the transient secondary structure elements could be stabilized upon interaction with the histones H3 and H4. The newly discovered redox properties of lunasin could explain its antioxidant and anti-inflammatory activity.","author":[{"dropping-particle":"","family":"Aleksis","given":"Rihards","non-dropping-particle":"","parse-names":false,"suffix":""},{"dropping-particle":"","family":"Jaudzems","given":"Kristaps","non-dropping-particle":"","parse-names":false,"suffix":""},{"dropping-particle":"","family":"Muceniece","given":"Ruta","non-dropping-particle":"","parse-names":false,"suffix":""},{"dropping-particle":"","family":"Liepinsh","given":"Edvards","non-dropping-particle":"","parse-names":false,"suffix":""}],"container-title":"Peptides","id":"ITEM-1","issued":{"date-parts":[["2016"]]},"page":"56-62","publisher":"Elsevier Inc.","title":"Lunasin is a redox sensitive intrinsically disordered peptide with two transiently populated α-helical regions","type":"article-journal","volume":"85"},"uris":["http://www.mendeley.com/documents/?uuid=ee6bbd7c-3f8b-4f92-b42b-4fe3344d1c17"]}],"mendeley":{"formattedCitation":"[24]","plainTextFormattedCitation":"[24]","previouslyFormattedCitation":"[24]"},"properties":{"noteIndex":0},"schema":"https://github.com/citation-style-language/schema/raw/master/csl-citation.json"}</w:instrText>
      </w:r>
      <w:r w:rsidRPr="004B51C7">
        <w:fldChar w:fldCharType="separate"/>
      </w:r>
      <w:r w:rsidRPr="00C8126B">
        <w:rPr>
          <w:noProof/>
        </w:rPr>
        <w:t>[24]</w:t>
      </w:r>
      <w:r w:rsidRPr="004B51C7">
        <w:fldChar w:fldCharType="end"/>
      </w:r>
      <w:r w:rsidRPr="004B51C7">
        <w:t xml:space="preserve">, the dense negative charge of the polyaspartic acid tail could participate in peptide-protein interactions with the exposed positively charged side chains from the partially unfolded structures of larger proteins. This could lead to partial co-precipitation of lunasin with high molecular weight proteins. At 20%, in addition to the 5 kDa lunasin, an immunoreactive band located around 14 kDa is present. Seber and coworkers reported a 14 kDa complex originated between lunasin and a 9 kDa peptide via disulfide bridges </w:t>
      </w:r>
      <w:r w:rsidRPr="004B51C7">
        <w:fldChar w:fldCharType="begin" w:fldLock="1"/>
      </w:r>
      <w:r>
        <w:instrText>ADDIN CSL_CITATION {"citationItems":[{"id":"ITEM-1","itemData":{"DOI":"10.1371/journal.pone.0035409","ISSN":"1932-6203","abstract":"Lunasin is a peptide derived from the soybean 2S albumin seed protein that has both anticancer and anti-inflammatory activities. Large-scale animal studies and human clinical trials to determine the efficacy of lunasin in vivo have been hampered by the cost of synthetic lunasin and the lack of a method for obtaining gram quantities of highly purified lunasin from plant sources. The goal of this study was to develop a large-scale method to generate highly purified lunasin from defatted soy flour. A scalable method was developed that utilizes the sequential application of anion-exchange chromatography, ultrafiltration, and reversed-phase chromatography. This method generates lunasin preparations of &gt;99% purity with a yield of 442 mg/kg defatted soy flour. Mass spectrometry of the purified lunasin revealed that the peptide is 44 amino acids in length and represents the original published sequence of lunasin with an additional C-terminal asparagine residue. Histone-binding assays demonstrated that the biological activity of the purified lunasin was similar to that of synthetic lunasin. This study provides a robust method for purifying commercial-scale quantities of biologically-active lunasin and clearly identifies the predominant form of lunasin in soy flour. This method will greatly facilitate the development of lunasin as a potential nutraceutical or therapeutic anticancer agent. © 2012 Seber et al.","author":[{"dropping-particle":"","family":"Seber","given":"Lauren E.","non-dropping-particle":"","parse-names":false,"suffix":""},{"dropping-particle":"","family":"Barnett","given":"Brian W.","non-dropping-particle":"","parse-names":false,"suffix":""},{"dropping-particle":"","family":"McConnell","given":"Elizabeth J.","non-dropping-particle":"","parse-names":false,"suffix":""},{"dropping-particle":"","family":"Hume","given":"Steven D.","non-dropping-particle":"","parse-names":false,"suffix":""},{"dropping-particle":"","family":"Cai","given":"Jian","non-dropping-particle":"","parse-names":false,"suffix":""},{"dropping-particle":"","family":"Boles","given":"Kati","non-dropping-particle":"","parse-names":false,"suffix":""},{"dropping-particle":"","family":"Davis","given":"Keith R.","non-dropping-particle":"","parse-names":false,"suffix":""}],"container-title":"PLoS ONE","editor":[{"dropping-particle":"","family":"Antopolsky","given":"Maxim","non-dropping-particle":"","parse-names":false,"suffix":""}],"id":"ITEM-1","issue":"4","issued":{"date-parts":[["2012","4","13"]]},"page":"e35409","publisher":"Public Library of Science","title":"Scalable Purification and Characterization of the Anticancer Lunasin Peptide from Soybean","type":"article-journal","volume":"7"},"uris":["http://www.mendeley.com/documents/?uuid=84033bd8-ad6d-3db1-b722-b75d1f034b12"]}],"mendeley":{"formattedCitation":"[9]","plainTextFormattedCitation":"[9]","previouslyFormattedCitation":"[9]"},"properties":{"noteIndex":0},"schema":"https://github.com/citation-style-language/schema/raw/master/csl-citation.json"}</w:instrText>
      </w:r>
      <w:r w:rsidRPr="004B51C7">
        <w:fldChar w:fldCharType="separate"/>
      </w:r>
      <w:r w:rsidRPr="00C8126B">
        <w:rPr>
          <w:noProof/>
        </w:rPr>
        <w:t>[9]</w:t>
      </w:r>
      <w:r w:rsidRPr="004B51C7">
        <w:fldChar w:fldCharType="end"/>
      </w:r>
      <w:r w:rsidRPr="004B51C7">
        <w:t xml:space="preserve">. However, the reducing nature of our electrophoretic separation, mediated by β-mercaptoethanol, and side test using dithiothreitol suggested that the complex present in the whey is not formed by </w:t>
      </w:r>
      <w:r w:rsidRPr="004B51C7">
        <w:lastRenderedPageBreak/>
        <w:t xml:space="preserve">disulfide bonds. The 30% ethanol was the lower concentration at which precipitation of most high molecular weight proteins occurred, including the 14 kDa complex, with a minor effect over the solubility of lunasin. Hence, this concentration of ethanol was selected for the pre-enrichment process. </w:t>
      </w:r>
    </w:p>
    <w:p w14:paraId="55D8CEA2" w14:textId="6DBBBDE3" w:rsidR="003F461D" w:rsidRPr="004B51C7" w:rsidRDefault="003F461D" w:rsidP="001311E7">
      <w:pPr>
        <w:spacing w:line="480" w:lineRule="auto"/>
        <w:ind w:firstLine="720"/>
      </w:pPr>
      <w:r w:rsidRPr="004B51C7">
        <w:t xml:space="preserve">The characterization of the precipitate induced by ethanol treatment indicated that this by-product contained between three and seven times more protein, nine to fourteen times more lunasin, and comparable biological activity to some commercially available lunasin enriched dietary supplements (Supplementary Table 2.3 and Supplementary Figure 2.1), suggesting that it could be explored as a product with potential market value.    </w:t>
      </w:r>
    </w:p>
    <w:p w14:paraId="797C08AC" w14:textId="77777777" w:rsidR="003F461D" w:rsidRPr="004B51C7" w:rsidRDefault="003F461D" w:rsidP="003F461D">
      <w:pPr>
        <w:spacing w:line="480" w:lineRule="auto"/>
        <w:rPr>
          <w:bCs/>
          <w:i/>
        </w:rPr>
      </w:pPr>
      <w:r w:rsidRPr="004B51C7">
        <w:rPr>
          <w:bCs/>
          <w:i/>
        </w:rPr>
        <w:t>2.4.1.2. Precipitation of lunasin enriched material</w:t>
      </w:r>
    </w:p>
    <w:p w14:paraId="225C30C2" w14:textId="77777777" w:rsidR="003F461D" w:rsidRDefault="003F461D" w:rsidP="003F461D">
      <w:pPr>
        <w:spacing w:line="480" w:lineRule="auto"/>
        <w:ind w:firstLine="720"/>
        <w:rPr>
          <w:bCs/>
        </w:rPr>
      </w:pPr>
      <w:r w:rsidRPr="004B51C7">
        <w:t xml:space="preserve">Isoelectric precipitation at pH 4.5, 5.5 or precipitation mediated by calcium were tested as potential mechanisms to recover lunasin from the alcoholic whey after removal of high-molecular weight proteins. Table 2.2 presents the characterization of the obtained lunasin enriched fractions. Calcium has been previously used as a tool for the fractionated precipitation of seed storage proteins present in soybeans, peanut, beans, peas, and alfalfa </w:t>
      </w:r>
      <w:r w:rsidRPr="004B51C7">
        <w:fldChar w:fldCharType="begin" w:fldLock="1"/>
      </w:r>
      <w:r>
        <w:instrText>ADDIN CSL_CITATION {"citationItems":[{"id":"ITEM-1","itemData":{"DOI":"10.1002/pmic.200800875","ISSN":"16159853","abstract":"2-D analysis of plant proteomes containing thousands of proteins has limited dynamic resolution because only abundant proteins can be detected. Proteomic assessment of the non-abundant proteins within seeds is difficult when 60-80% is storage proteins. Resolution can be improved through sample fractionation using separation techniques based upon different physiological or biochemical principles. We have developed a fast and simple fractionation technique using 10mM Ca2+ to precipitate soybean (Glycine max) seed storage globulins, glycinin and β-conglycinin. This method removes 87±4% of the highly abundant seed proteins from the extract, allowing for 541 previously inconspicuous proteins present in soybean seed to be more detectable (volume increase of ≥50%) using fluorescent detection. Of those 541 enhanced spots, 197 increased more than 2.5-fold when visualized with Coomassie. Themajority of those spots were isolated and identified using peptide mass fingerprinting. Fractionation also provided detection of 63 new phosphorylated protein spots and enhanced the visibility of 15 phosphorylated protein spots, using 2-D electrophoretic separation and an in-gel phosphoprotein stain. Application of this methodology toward other legumes, such as peanut, bean, pea, alfalfa and others, also containing high amounts of storage proteins, was examined, and is reported here. © 2009 Wiley-VCH Verlag GmbH &amp; Co. KGaA.","author":[{"dropping-particle":"","family":"Krishnan","given":"Hari B.","non-dropping-particle":"","parse-names":false,"suffix":""},{"dropping-particle":"","family":"Oehrle","given":"Nathan W.","non-dropping-particle":"","parse-names":false,"suffix":""},{"dropping-particle":"","family":"Natarajan","given":"Savithiry S.","non-dropping-particle":"","parse-names":false,"suffix":""}],"container-title":"PROTEOMICS","id":"ITEM-1","issue":"11","issued":{"date-parts":[["2009","6","1"]]},"page":"3174-3188","publisher":"John Wiley &amp; Sons, Ltd","title":"A rapid and simple procedure for the depletion of abundant storage proteins from legume seeds to advance proteome analysis: A case study using Glycine max","type":"article-journal","volume":"9"},"uris":["http://www.mendeley.com/documents/?uuid=81856649-b4a4-4c2c-b4d2-39de2b3c3632"]}],"mendeley":{"formattedCitation":"[17]","plainTextFormattedCitation":"[17]","previouslyFormattedCitation":"[17]"},"properties":{"noteIndex":0},"schema":"https://github.com/citation-style-language/schema/raw/master/csl-citation.json"}</w:instrText>
      </w:r>
      <w:r w:rsidRPr="004B51C7">
        <w:fldChar w:fldCharType="separate"/>
      </w:r>
      <w:r w:rsidRPr="00C8126B">
        <w:rPr>
          <w:noProof/>
        </w:rPr>
        <w:t>[17]</w:t>
      </w:r>
      <w:r w:rsidRPr="004B51C7">
        <w:fldChar w:fldCharType="end"/>
      </w:r>
      <w:r w:rsidRPr="004B51C7">
        <w:t xml:space="preserve">. In aqueous solutions, calcium forms strong complexes with the carboxylic groups of aspartic acid and glutamic acid </w:t>
      </w:r>
      <w:r w:rsidRPr="004B51C7">
        <w:fldChar w:fldCharType="begin" w:fldLock="1"/>
      </w:r>
      <w:r>
        <w:instrText xml:space="preserve">ADDIN CSL_CITATION {"citationItems":[{"id":"ITEM-1","itemData":{"DOI":"10.1021/acs.jafc.6b01534","ISSN":"15205118","abstract":"Deprotonation of amino acids as occurs during transfer from stomach to intestines during food digestion was found by comparison of complex formation constants as determined electrochemically for increasing pH to increase calcium binding (i) by a factor of around 6 for the neutral amino acids, (ii) by a factor of around 4 for anions of the acidic amino acids aspartic and glutamic acid, and (iii) by a factor of around 5.5 for basic amino acids. Optimized structures of the 1:1 complexes and ΔHbinding for calcium binding as calculated by density functional theory (DFT) confirmed in all complexes a stronger calcium binding and shorter calcium-oxygen bond length in the deprotonated form. In addition, the stronger calcium binding was also accompanied by a binding site shift from carboxylate binding to chelation by α-amino group and carboxylate oxygen for leucine, aspartate, glutamate, alanine, and asparagine. For binary amino acid mixtures, the calcium-binding constant was close to the predicted geometric mean of the individual amino acid binding constants indicating separate binding of calcium to two amino acids when present together in solution. At high pH, corresponding to conditions for calcium absorption, the binding affinity increased in the order Lys &lt; Arg &lt; Cys &lt; Gln &lt; Gly </w:instrText>
      </w:r>
      <w:r>
        <w:rPr>
          <w:rFonts w:ascii="Cambria Math" w:hAnsi="Cambria Math" w:cs="Cambria Math"/>
        </w:rPr>
        <w:instrText>∼</w:instrText>
      </w:r>
      <w:r>
        <w:instrText xml:space="preserve"> Ala &lt; Asn &lt; His &lt; Leu &lt; Glu&lt; Asp. In a series of glycine peptides, calcium-binding affinity was found to increase in the order Gly-Leu </w:instrText>
      </w:r>
      <w:r>
        <w:rPr>
          <w:rFonts w:ascii="Cambria Math" w:hAnsi="Cambria Math" w:cs="Cambria Math"/>
        </w:rPr>
        <w:instrText>∼</w:instrText>
      </w:r>
      <w:r>
        <w:instrText xml:space="preserve"> Gly-Gly &lt; Ala-Gly &lt; Gly-His </w:instrText>
      </w:r>
      <w:r>
        <w:rPr>
          <w:rFonts w:ascii="Cambria Math" w:hAnsi="Cambria Math" w:cs="Cambria Math"/>
        </w:rPr>
        <w:instrText>∼</w:instrText>
      </w:r>
      <w:r>
        <w:instrText xml:space="preserve"> Gly-Lys-Gly &lt; Glu-Cys-Gly &lt; Gly-Glu, an ordering confirmed by DFT calculations for the dipeptides and which also accounted for large synergistic effects in calcium binding for up to 6 kJ/mol when compared to the corresponding amino acid mixtures.","author":[{"dropping-particle":"","family":"Tang","given":"Ning","non-dropping-particle":"","parse-names":false,"suffix":""},{"dropping-particle":"","family":"Skibsted","given":"Leif H.","non-dropping-particle":"","parse-names":false,"suffix":""}],"container-title":"Journal of Agricultural and Food Chemistry","id":"ITEM-1","issue":"21","issued":{"date-parts":[["2016","6","1"]]},"page":"4376-4389","publisher":"American Chemical Society","title":"Calcium binding to amino acids and small glycine peptides in aqueous solution: Toward peptide design for better calcium bioavailability","type":"article-journal","volume":"64"},"uris":["http://www.mendeley.com/documents/?uuid=45267a94-10c9-309f-83f6-d700cf600761"]}],"mendeley":{"formattedCitation":"[25]","plainTextFormattedCitation":"[25]","previouslyFormattedCitation":"[25]"},"properties":{"noteIndex":0},"schema":"https://github.com/citation-style-language/schema/raw/master/csl-citation.json"}</w:instrText>
      </w:r>
      <w:r w:rsidRPr="004B51C7">
        <w:fldChar w:fldCharType="separate"/>
      </w:r>
      <w:r w:rsidRPr="00C8126B">
        <w:rPr>
          <w:noProof/>
        </w:rPr>
        <w:t>[25]</w:t>
      </w:r>
      <w:r w:rsidRPr="004B51C7">
        <w:fldChar w:fldCharType="end"/>
      </w:r>
      <w:r w:rsidRPr="004B51C7">
        <w:t xml:space="preserve">. As lunasin contains nine consecutive aspartates at the carboxylic end, and two glutamic acids present in the structure </w:t>
      </w:r>
      <w:r w:rsidRPr="004B51C7">
        <w:fldChar w:fldCharType="begin" w:fldLock="1"/>
      </w:r>
      <w:r>
        <w:instrText>ADDIN CSL_CITATION {"citationItems":[{"id":"ITEM-1","itemData":{"DOI":"10.1016/j.coph.2018.04.006","ISSN":"14714973","PMID":"29679803","abstract":"The health benefits of soy consumption have long been recognized. An important potential benefit is the linkage of soy consumption with reduced cancer risk. One emerging factor that may confer the anticancer effects of soy is the peptide lunasin. Lunasin has both chemopreventive and therapeutic activities against a variety of carcinogens and cancer types. A novel feature of lunasin is that it contains multiple functional domains that can modulate gene expression through effects on histone acetylation and integrin signaling. Recent studies suggest that lunasin effects on integrin signaling in cancer stem cells reduce expression of stemness factors with a concomitant reduction in metastatic potential. Here, we highlight recent studies of the potential use of lunasin as an anticancer agent and its mode of action.","author":[{"dropping-particle":"","family":"Vuyyuri","given":"Saleha B.","non-dropping-particle":"","parse-names":false,"suffix":""},{"dropping-particle":"","family":"Shidal","given":"Chris","non-dropping-particle":"","parse-names":false,"suffix":""},{"dropping-particle":"","family":"Davis","given":"Keith R.","non-dropping-particle":"","parse-names":false,"suffix":""}],"container-title":"Current Opinion in Pharmacology","id":"ITEM-1","issued":{"date-parts":[["2018","8","1"]]},"page":"27-33","publisher":"Elsevier Ltd","title":"Development of the plant-derived peptide lunasin as an anticancer agent","type":"article-journal","volume":"41"},"uris":["http://www.mendeley.com/documents/?uuid=2b299980-0978-40b3-acd5-3c7df9dd371d"]}],"mendeley":{"formattedCitation":"[7]","plainTextFormattedCitation":"[7]","previouslyFormattedCitation":"[7]"},"properties":{"noteIndex":0},"schema":"https://github.com/citation-style-language/schema/raw/master/csl-citation.json"}</w:instrText>
      </w:r>
      <w:r w:rsidRPr="004B51C7">
        <w:fldChar w:fldCharType="separate"/>
      </w:r>
      <w:r w:rsidRPr="00C8126B">
        <w:rPr>
          <w:noProof/>
        </w:rPr>
        <w:t>[7]</w:t>
      </w:r>
      <w:r w:rsidRPr="004B51C7">
        <w:fldChar w:fldCharType="end"/>
      </w:r>
      <w:r w:rsidRPr="004B51C7">
        <w:t xml:space="preserve">, we expected that addition of calcium would lead to the formation of complexes with lunasin mediated by the interaction of the divalent cation mostly with the </w:t>
      </w:r>
      <w:r w:rsidRPr="004B51C7">
        <w:lastRenderedPageBreak/>
        <w:t>polyaspartic acid tail. However, the significantly lower lunasin content in calcium precipitate in contrast to the isoelectric precipitates, indicated a low efficiency of lunasin complexation. Electrophoretic profile (Figure 2.2A) shows strong bands in the calcium precipitate that could correspond to the acid and basic fractions of glycinin (32 and 20 kDa respectively) and to the β and α subunits of β-conglycinin (52 and 68 kDa respectively). It has been shown that g</w:t>
      </w:r>
      <w:r w:rsidRPr="004B51C7">
        <w:rPr>
          <w:bCs/>
        </w:rPr>
        <w:t xml:space="preserve">lycinin and </w:t>
      </w:r>
      <w:r w:rsidRPr="004B51C7">
        <w:t>β-</w:t>
      </w:r>
      <w:r w:rsidRPr="004B51C7">
        <w:rPr>
          <w:bCs/>
        </w:rPr>
        <w:t xml:space="preserve">conglycinin precipitate at a minimum calcium concentration of 0.4 mM and 1.4 mM, respectively </w:t>
      </w:r>
      <w:r w:rsidRPr="004B51C7">
        <w:rPr>
          <w:bCs/>
        </w:rPr>
        <w:fldChar w:fldCharType="begin" w:fldLock="1"/>
      </w:r>
      <w:r>
        <w:rPr>
          <w:bCs/>
        </w:rPr>
        <w:instrText>ADDIN CSL_CITATION {"citationItems":[{"id":"ITEM-1","itemData":{"DOI":"10.1111/j.1365-2621.1973.tb07222.x","ISSN":"0022-1147","author":[{"dropping-particle":"","family":"Saio","given":"KYOKO","non-dropping-particle":"","parse-names":false,"suffix":""},{"dropping-particle":"","family":"Watanabe","given":"TOKUJI","non-dropping-particle":"","parse-names":false,"suffix":""},{"dropping-particle":"","family":"Kaji","given":"MATSUMI","non-dropping-particle":"","parse-names":false,"suffix":""}],"container-title":"Journal of Food Science","id":"ITEM-1","issue":"7","issued":{"date-parts":[["1973","11","1"]]},"page":"1139-1144","publisher":"John Wiley &amp; Sons, Ltd","title":"Food use of soybean 7s and 11s proteins. Extraction and functional properties of their fractions","type":"article-journal","volume":"38"},"uris":["http://www.mendeley.com/documents/?uuid=3ce94a89-95fe-30fb-bb3e-71f08a0a61ed"]}],"mendeley":{"formattedCitation":"[26]","plainTextFormattedCitation":"[26]","previouslyFormattedCitation":"[26]"},"properties":{"noteIndex":0},"schema":"https://github.com/citation-style-language/schema/raw/master/csl-citation.json"}</w:instrText>
      </w:r>
      <w:r w:rsidRPr="004B51C7">
        <w:rPr>
          <w:bCs/>
        </w:rPr>
        <w:fldChar w:fldCharType="separate"/>
      </w:r>
      <w:r w:rsidRPr="00C8126B">
        <w:rPr>
          <w:bCs/>
          <w:noProof/>
        </w:rPr>
        <w:t>[26]</w:t>
      </w:r>
      <w:r w:rsidRPr="004B51C7">
        <w:rPr>
          <w:bCs/>
        </w:rPr>
        <w:fldChar w:fldCharType="end"/>
      </w:r>
      <w:r w:rsidRPr="004B51C7">
        <w:rPr>
          <w:bCs/>
        </w:rPr>
        <w:t xml:space="preserve">; then it is possible that calcium favored the precipitation of these two fractions, over lunasin complexation. The presence of peaks at retention times later than 10 min (Figure 2.2B), </w:t>
      </w:r>
      <w:r w:rsidRPr="004B51C7">
        <w:t xml:space="preserve">suggested the presence of compounds with molecular weight smaller than 75 Da, which may correspond to organic salts probably formed with the divalent cation. In addition, the </w:t>
      </w:r>
      <w:r w:rsidRPr="004B51C7">
        <w:rPr>
          <w:bCs/>
        </w:rPr>
        <w:t xml:space="preserve">significantly lower protein content corroborated that calcium preferentially induced precipitation of non-protein compounds, present mostly in the precipitate. </w:t>
      </w:r>
    </w:p>
    <w:p w14:paraId="08C0A88C" w14:textId="77777777" w:rsidR="003F461D" w:rsidRDefault="003F461D" w:rsidP="003F461D">
      <w:pPr>
        <w:spacing w:line="480" w:lineRule="auto"/>
        <w:ind w:firstLine="720"/>
      </w:pPr>
      <w:r w:rsidRPr="004B51C7">
        <w:t xml:space="preserve">Isoelectric precipitation is one of the most used mechanisms to isolate proteins. While precipitation at pH 4.5 has been shown to provide the highest yields during the production of soy protein isolates </w:t>
      </w:r>
      <w:r w:rsidRPr="004B51C7">
        <w:fldChar w:fldCharType="begin" w:fldLock="1"/>
      </w:r>
      <w:r>
        <w:instrText>ADDIN CSL_CITATION {"citationItems":[{"id":"ITEM-1","itemData":{"abstract":"Cereal Chern. 61(6): 523-526 Phytate-protein complexes formed during the manufacture of soy protein isolates reportedlv affect mineral bioavailabilitv in foods: therefore. we have estimated the ~mounts of such complexes 'by determining the phytic acid (PA) content by anion-exchange high-performance liquid chromatography (H PLC) before and after dialvsis. Protein fractions analyzed include: I) commercial soybean protein 'isolates. 2) laboratory-prepared isolates, 3) the two major components of the isolates. the 7S and liS globulins. 4) the pH 8 insoluble material formed on neutralization of the isoelectric (pH 4.5) form of the isolate. and 5) the pH 8 soluble fraction of the isolate. After dialysis. the PA content of the various soybean protein isolates was 0.95-1. 75 e i. The II S globulins were essentially devoid of PA. whereas the 7S globulins contained 0.34S·i. PA values for the dialyzed pH 8 insoluble and soluble protein fractions were 0.22-1.4IS'i and 0.36-1.29('i. respectively. Yields of the pH 8 insoluble fractions were 10.2-28.6(;i of the total protein isolate. These data indicate that certain protein components of the soybean protein isolate are strongly complexed with phytic acid. especially at pH 8. However. variability in the nature and yield of the insoluble proteins and in the amount of phytic acid bound indicates that factors other than the pH and protein type are involved in the formation of phytate-protein complexes. Processing conditions appear to be important. because extensive dialysis of the commercial samples at pH 8 failed to remove appreciable amounts of phytic acid.","author":[{"dropping-particle":"","family":"Honig","given":"D H","non-dropping-particle":"","parse-names":false,"suffix":""},{"dropping-particle":"","family":"Wolf","given":"W J","non-dropping-particle":"","parse-names":false,"suffix":""},{"dropping-particle":"","family":"Rackis","given":"J J","non-dropping-particle":"","parse-names":false,"suffix":""}],"container-title":"Cereal Chemistry","id":"ITEM-1","issue":"6","issued":{"date-parts":[["1984"]]},"page":"523-526","title":"Phytic Acid and Phosphorus Content of Various Soybean Protein Fractions l","type":"article-journal","volume":"61"},"uris":["http://www.mendeley.com/documents/?uuid=f78ff362-eb26-3732-95f7-e76bed58ccf3"]}],"mendeley":{"formattedCitation":"[27]","plainTextFormattedCitation":"[27]","previouslyFormattedCitation":"[27]"},"properties":{"noteIndex":0},"schema":"https://github.com/citation-style-language/schema/raw/master/csl-citation.json"}</w:instrText>
      </w:r>
      <w:r w:rsidRPr="004B51C7">
        <w:fldChar w:fldCharType="separate"/>
      </w:r>
      <w:r w:rsidRPr="00C8126B">
        <w:rPr>
          <w:noProof/>
        </w:rPr>
        <w:t>[27]</w:t>
      </w:r>
      <w:r w:rsidRPr="004B51C7">
        <w:fldChar w:fldCharType="end"/>
      </w:r>
      <w:r w:rsidRPr="004B51C7">
        <w:t xml:space="preserve">, two-dimensional electrophoresis of an extracted fraction, from defatted soy flakes, enriched in lunasin exhibited a 5 kDa band at pH of 5.5 </w:t>
      </w:r>
      <w:r w:rsidRPr="004B51C7">
        <w:fldChar w:fldCharType="begin" w:fldLock="1"/>
      </w:r>
      <w:r>
        <w:instrText>ADDIN CSL_CITATION {"citationItems":[{"id":"ITEM-1","itemData":{"abstract":"Numerous studies have shown that consumption of soybean products decrease the risk of cancers in humans. Experiments at the molecular level have demonstrated that in most cases proteins and peptides are responsible for the anticancer properties of soybeen. Special attention should be paid to lunasin-a peptide described for the first time 16 years ago. Due to its structure it causes i.a., inhibition of cancer cell proliferation. A novel procedure for the isolation and purification of low-molecular-mass 2S soybean albumin protein is described in the present paper. A fraction of four peptides one of them corresponding to molecular mass and isoelectric point characteristic for lunasin. The obtained peptides decreased on the rate of HeLa cell proliferation.","author":[{"dropping-particle":"","family":"Galbas","given":"Mariola","non-dropping-particle":"","parse-names":false,"suffix":""},{"dropping-particle":"","family":"Porzucek","given":"Filip","non-dropping-particle":"","parse-names":false,"suffix":""},{"dropping-particle":"","family":"Woźniak","given":"Anna","non-dropping-particle":"","parse-names":false,"suffix":""},{"dropping-particle":"","family":"Słomski","given":"Ryszard","non-dropping-particle":"","parse-names":false,"suffix":""},{"dropping-particle":"","family":"Selwet","given":"Marek","non-dropping-particle":"","parse-names":false,"suffix":""}],"container-title":"Acta Biochimica Polonica","id":"ITEM-1","issue":"1","issued":{"date-parts":[["2013"]]},"page":"107 - 110","title":"Isolation of low-molecular albumins of 2S fraction from soybean (Glycine max (L.) Merrill)","type":"article-journal","volume":"60"},"uris":["http://www.mendeley.com/documents/?uuid=68bcf992-f1e9-3ebd-8023-a50e242ba51d"]}],"mendeley":{"formattedCitation":"[28]","plainTextFormattedCitation":"[28]","previouslyFormattedCitation":"[28]"},"properties":{"noteIndex":0},"schema":"https://github.com/citation-style-language/schema/raw/master/csl-citation.json"}</w:instrText>
      </w:r>
      <w:r w:rsidRPr="004B51C7">
        <w:fldChar w:fldCharType="separate"/>
      </w:r>
      <w:r w:rsidRPr="00C8126B">
        <w:rPr>
          <w:noProof/>
        </w:rPr>
        <w:t>[28]</w:t>
      </w:r>
      <w:r w:rsidRPr="004B51C7">
        <w:fldChar w:fldCharType="end"/>
      </w:r>
      <w:r w:rsidRPr="004B51C7">
        <w:t xml:space="preserve">, suggesting this particular pH as a more specific isoelectric point for the peptide. No significant differences were found for any of the parameters quantified for the two isoelectric precipitates. A stronger band at 32 kDa in the pH 4.5 precipitate indicated a higher impact over </w:t>
      </w:r>
      <w:r w:rsidRPr="004B51C7">
        <w:lastRenderedPageBreak/>
        <w:t>the acid glycinin fraction, while pH 5.5 had a higher effect over the β subunit of β-conglycinin (52 kDa) (Figure 2.2A). These observations agreed with the molecular weight distribution exhibited in the chromatographic profiles. Immunoblotting revealed that not only lunasin, but the 14 kDa complex, as well as Kunitz (KTI) and Bowman-Birk (BBI) inhibitors, were present in all the precipitates (Figure 2.2C). No detectable trypsin inhibitory activity in any of the three precipitates (Table 2.2) indicated that the protease inhibitors were present as inactive molecules. The boiling of the soymilk before the curd coagulation led to the irreversible denaturation of the active sites required for the inhibitory activity.</w:t>
      </w:r>
    </w:p>
    <w:p w14:paraId="6808C356" w14:textId="77777777" w:rsidR="003F461D" w:rsidRDefault="003F461D" w:rsidP="003F461D">
      <w:pPr>
        <w:spacing w:line="480" w:lineRule="auto"/>
        <w:ind w:firstLine="720"/>
      </w:pPr>
      <w:r w:rsidRPr="004B51C7">
        <w:t xml:space="preserve">Soybeans are known to contain several biologically active compounds. Among them, isoflavones have gained great recognition due to their ability to have a preventive effect over several diseases such as type II diabetes, osteoporosis, cardiovascular diseases, and hormone-associated cancers </w:t>
      </w:r>
      <w:r w:rsidRPr="004B51C7">
        <w:fldChar w:fldCharType="begin" w:fldLock="1"/>
      </w:r>
      <w:r>
        <w:instrText>ADDIN CSL_CITATION {"citationItems":[{"id":"ITEM-1","itemData":{"DOI":"10.3390/nu11071660","ISSN":"2072-6643","abstract":"&lt;p&gt;Scientific advancements in recent years have shed new light on the relationship between diet and human health. Nutrients play an important role in the prevention of many civilization diseases, such as osteoporosis, type II diabetes, hypercholesterolemia, and cardiovascular diseases. The biological activity of natural plant components allows their use in the treatment of various diseases, especially civilization diseases, to be speculated. Special attention is paid to phenolic compounds that have numerous health-promoting properties. Isoflavones, phenolic compounds, are commonly found in legumes, especially in soybeans. Their structural similarity to 17-β-estradiol (E2), the main female sex hormone, allows them to induce estrogenic and antiestrogenic effects by binding to estrogen receptors, and their consumption has been associated with a decreased risk of hormone-related cancers. In addition, numerous epidemiological studies and related meta-analyses suggest that soy consumption may be associated with a lower incidence of certain diseases. However, there are some doubts about the potential effects on health, such as the effectiveness of cardiovascular risk reduction or breast cancer-promoting properties. The purpose of this review is to present the current knowledge on the potential effects of soy isoflavone consumption with regard to civilization diseases.&lt;/p&gt;","author":[{"dropping-particle":"","family":"Pabich","given":"Marzena","non-dropping-particle":"","parse-names":false,"suffix":""},{"dropping-particle":"","family":"Materska","given":"Małgorzata","non-dropping-particle":"","parse-names":false,"suffix":""}],"container-title":"Nutrients","id":"ITEM-1","issue":"7","issued":{"date-parts":[["2019","7","20"]]},"page":"1660","publisher":"MDPI AG","title":"Biological Effect of Soy Isoflavones in the Prevention of Civilization Diseases","type":"article-journal","volume":"11"},"uris":["http://www.mendeley.com/documents/?uuid=a8c050bb-cf4a-3017-a21c-20ddd1ec2d44"]}],"mendeley":{"formattedCitation":"[29]","plainTextFormattedCitation":"[29]","previouslyFormattedCitation":"[29]"},"properties":{"noteIndex":0},"schema":"https://github.com/citation-style-language/schema/raw/master/csl-citation.json"}</w:instrText>
      </w:r>
      <w:r w:rsidRPr="004B51C7">
        <w:fldChar w:fldCharType="separate"/>
      </w:r>
      <w:r w:rsidRPr="00C8126B">
        <w:rPr>
          <w:noProof/>
        </w:rPr>
        <w:t>[29]</w:t>
      </w:r>
      <w:r w:rsidRPr="004B51C7">
        <w:fldChar w:fldCharType="end"/>
      </w:r>
      <w:r w:rsidRPr="004B51C7">
        <w:t xml:space="preserve">. As they have been reported to be present in tofu whey </w:t>
      </w:r>
      <w:r w:rsidRPr="004B51C7">
        <w:fldChar w:fldCharType="begin" w:fldLock="1"/>
      </w:r>
      <w:r>
        <w:instrText>ADDIN CSL_CITATION {"citationItems":[{"id":"ITEM-1","itemData":{"DOI":"10.1016/j.lwt.2019.108618","ISSN":"00236438","abstract":"The aim of this study was to evaluate the influences of ultrasound treatment on the color attributes, total protein, total phenol and flavonoid content, isoflavone composition (genistin, daidzin, glycitin, genistein, daidzein, and glycitein), and antioxidant activity of tofu whey. Fourier transform infrared assay was performed and the microstructure of treated tofu whey was evaluated. The results showed ultrasound application significantly increased the total phenolic and flavonoid content, isoflavone glucoside (genistin, daidzin, and glycitin), aglucones (genistein, daidzein, and glycitein) content, and antioxidant activity, especially at 40 min. In contrast, a negligible effect on color attributes, pH, total soluble solids, and total protein content was observed after ultrasound treatment. Microstructure analysis showed the formation of irregular shapes, tearing, and loss of tissue when high-intensity ultrasound was applied. Consequently, ultrasound treatment has the potential to enhance the bioactive compound content and antioxidant activity of tofu whey to improve health functionality.","author":[{"dropping-particle":"","family":"Zhao","given":"Chang Cheng","non-dropping-particle":"","parse-names":false,"suffix":""},{"dropping-particle":"","family":"Kim","given":"Pyo Hyeon","non-dropping-particle":"","parse-names":false,"suffix":""},{"dropping-particle":"","family":"Eun","given":"Jong Bang","non-dropping-particle":"","parse-names":false,"suffix":""}],"container-title":"LWT","id":"ITEM-1","issued":{"date-parts":[["2020","1","1"]]},"page":"108618","publisher":"Academic Press","title":"Influence of high-intensity ultrasound application on the physicochemical properties, isoflavone composition, and antioxidant activity of tofu whey","type":"article-journal","volume":"117"},"uris":["http://www.mendeley.com/documents/?uuid=13635720-6e23-35e3-a888-0190b5c10442"]}],"mendeley":{"formattedCitation":"[30]","plainTextFormattedCitation":"[30]","previouslyFormattedCitation":"[30]"},"properties":{"noteIndex":0},"schema":"https://github.com/citation-style-language/schema/raw/master/csl-citation.json"}</w:instrText>
      </w:r>
      <w:r w:rsidRPr="004B51C7">
        <w:fldChar w:fldCharType="separate"/>
      </w:r>
      <w:r w:rsidRPr="00C8126B">
        <w:rPr>
          <w:noProof/>
        </w:rPr>
        <w:t>[30]</w:t>
      </w:r>
      <w:r w:rsidRPr="004B51C7">
        <w:fldChar w:fldCharType="end"/>
      </w:r>
      <w:r w:rsidRPr="004B51C7">
        <w:t xml:space="preserve">, we tested for the presence of the major soy isoflavones in the precipitates. As expected, none of the aglycone forms was detectable while the more water-soluble glucosides daidzin and genistin were both present (Table 2.2). To ensure that the biological activity was conserved, the anti-inflammatory properties of the precipitates was assessed by measuring their ability to reduce the level of nitric oxide produced by activated murine macrophages. A significant dose-dependent decrease of nitric oxide released into the media was observed (Figure 2.2E), with no effect over the </w:t>
      </w:r>
      <w:r w:rsidRPr="004B51C7">
        <w:lastRenderedPageBreak/>
        <w:t>proliferation of the immune cells (Figure 2.2D), suggesting that the biological activity was still present.</w:t>
      </w:r>
    </w:p>
    <w:p w14:paraId="55A8ED0C" w14:textId="7B4C26F1" w:rsidR="003F461D" w:rsidRPr="004B51C7" w:rsidRDefault="003F461D" w:rsidP="001311E7">
      <w:pPr>
        <w:spacing w:line="480" w:lineRule="auto"/>
        <w:ind w:firstLine="720"/>
      </w:pPr>
      <w:r w:rsidRPr="004B51C7">
        <w:t>During storage at 23 °C</w:t>
      </w:r>
      <w:r>
        <w:t xml:space="preserve"> and</w:t>
      </w:r>
      <w:r w:rsidRPr="004B51C7">
        <w:t xml:space="preserve"> 51% relative humidity, the pH 5.5 precipitate </w:t>
      </w:r>
      <w:r w:rsidR="00BC7657">
        <w:t>discolored brown</w:t>
      </w:r>
      <w:r w:rsidRPr="004B51C7">
        <w:t xml:space="preserve"> and </w:t>
      </w:r>
      <w:r w:rsidR="00BC7657">
        <w:t xml:space="preserve">became </w:t>
      </w:r>
      <w:r w:rsidRPr="004B51C7">
        <w:t>highly hygroscopic, while pH 4.5 powder maintained its original characteristics as a whit</w:t>
      </w:r>
      <w:r w:rsidR="000B149D">
        <w:t>e</w:t>
      </w:r>
      <w:r w:rsidRPr="004B51C7">
        <w:t xml:space="preserve"> homogeneous dry powder. Considering that lunasin enriched material at pH 4.5 has higher lunasin and protein content than calcium precipitate, and apparent better storage stability than the product at pH 5.5, isoelectric precipitation of the alcoholic whey at pH 4.5 was selected for the preparation of the </w:t>
      </w:r>
      <w:r w:rsidR="00FB3D1C" w:rsidRPr="004B51C7">
        <w:t>lunasin</w:t>
      </w:r>
      <w:r w:rsidR="001311E7">
        <w:t xml:space="preserve"> enriched material.</w:t>
      </w:r>
    </w:p>
    <w:p w14:paraId="4C9AB981" w14:textId="77777777" w:rsidR="003F461D" w:rsidRPr="00394029" w:rsidRDefault="003F461D" w:rsidP="001311E7">
      <w:pPr>
        <w:pStyle w:val="Heading3"/>
        <w:spacing w:before="0" w:after="0" w:line="480" w:lineRule="auto"/>
        <w:rPr>
          <w:i w:val="0"/>
        </w:rPr>
      </w:pPr>
      <w:bookmarkStart w:id="48" w:name="_Toc77082112"/>
      <w:r w:rsidRPr="00394029">
        <w:rPr>
          <w:i w:val="0"/>
        </w:rPr>
        <w:t>2.4.2 Adjustment of preparative gel filtration chromatography parameters</w:t>
      </w:r>
      <w:bookmarkEnd w:id="48"/>
    </w:p>
    <w:p w14:paraId="3AF40030" w14:textId="34F0FC52" w:rsidR="003F461D" w:rsidRPr="004B51C7" w:rsidRDefault="003F461D" w:rsidP="001311E7">
      <w:pPr>
        <w:spacing w:line="480" w:lineRule="auto"/>
        <w:ind w:firstLine="720"/>
      </w:pPr>
      <w:r w:rsidRPr="004B51C7">
        <w:t xml:space="preserve">Since the presence of proteins of different sizes continued to be an interference in the lunasin enriched material, a size-based separation approach can be used for lunasin purification. Gel filtration chromatography has been widely applied for the fractionation and purification of protein, peptides, enzymes and DNA based on their size and geometry while maintaining their biological activity  </w:t>
      </w:r>
      <w:r w:rsidRPr="004B51C7">
        <w:fldChar w:fldCharType="begin" w:fldLock="1"/>
      </w:r>
      <w:r>
        <w:instrText>ADDIN CSL_CITATION {"citationItems":[{"id":"ITEM-1","itemData":{"DOI":"10.1016/j.ijbiomac.2019.01.103","ISSN":"18790003","abstract":"In the present study, Penicillium proteolyticum lectin was purified by DEAE-Sepharose chromatography followed by Sephadex G-100 gel filtration chromatography. A sequence of ion-exchange and gel filtration chromatography resulted in 52.30 fold purified lectin with a high yield of 84.21%. The purified P. proteolyticum lectin is a glycoprotein with 2.83% linked carbohydrates. A single band in Native-PAGE, whereas two bands (25.1 kDa and 22.9 kDa) in SDS-PAGE confirmed the heterodimeric nature of the purified lectin. The apparent molecular weight (48 kDa) of P. proteolyticum lectin was further confirmed by gel filtration analysis. Heterodimeric P. proteolyticum lectin was stable within a pH range of 6.5–7.5 and upto a temperature of 30 °C. The lectin activity was strongly inhibited by complex glycoproteins and denaturants. Metal ions are not required for agglutination activity of purified lectin. The lectin showed significant mitogenic response towards mice splenocytes. It exhibited highest mitogenic activity at a concentration of 50 μg/mL. This is a first report on characteristics of purified P. proteolyticum lectin having potent mitogenic potential.","author":[{"dropping-particle":"","family":"Singh","given":"Ram Sarup","non-dropping-particle":"","parse-names":false,"suffix":""},{"dropping-particle":"","family":"Walia","given":"Amandeep Kaur","non-dropping-particle":"","parse-names":false,"suffix":""},{"dropping-particle":"","family":"Kennedy","given":"John F.","non-dropping-particle":"","parse-names":false,"suffix":""}],"container-title":"International Journal of Biological Macromolecules","id":"ITEM-1","issued":{"date-parts":[["2019","5","1"]]},"page":"124-131","publisher":"Elsevier B.V.","title":"Purification and characterization of a heterodimeric mycelial lectin from Penicillium proteolyticum with potent mitogenic activity","type":"article-journal","volume":"128"},"uris":["http://www.mendeley.com/documents/?uuid=f94700a0-5398-367f-8553-d9f656786d2b"]},{"id":"ITEM-2","itemData":{"DOI":"10.1080/10826068.2010.525405","ISSN":"1082-6068","abstract":"A simple and rapid procedure for the purification of beta-lactoglobulin (β-LG) from bovine milk is described. The procedure exploits the major difference in molecular mass of β-LG and other whey components and the existence of the former in monomeric form at acidic pH. Gel filtration of whey was carried out using a Bio-Gel P10 column at pH 3.0. Residual caseins and other milk proteins were excluded from the gel and β-LG and alpha-lactalbumin (α-LA) emerged as two fully resolved peaks. Sodium dodecyl sulfate polyacrylamide gel electrophoresis (SDS-PAGE) suggested that β-LG was purified to apparent homogeneity, while absorption, fluorescence, and circular dichroism spectroscopy indicated the native-like conformation of the protein. Western blot analysis revealed that the antibodies raised against the purified β-LG in rabbits also readily react with the commercial bovine protein. This procedure requires only 4-5hr for the purification of about 10mg of β-LG from a single run while using a small column (2.3cm × 83cm) of Bio-Gel P10 and has the potential for scaling up. Copyright © Taylor &amp; Francis Group, LLC.","author":[{"dropping-particle":"","family":"Naqvi","given":"Zainab","non-dropping-particle":"","parse-names":false,"suffix":""},{"dropping-particle":"","family":"Khan","given":"Rizwan Hasan","non-dropping-particle":"","parse-names":false,"suffix":""},{"dropping-particle":"","family":"Saleemuddin","given":"Mohammed","non-dropping-particle":"","parse-names":false,"suffix":""}],"container-title":"Preparative Biochemistry and Biotechnology","id":"ITEM-2","issue":"4","issued":{"date-parts":[["2010","9","23"]]},"page":"326-336","publisher":"Taylor &amp; Francis Group","title":"A procedure for the purification of beta-lactoglobulin from bovine milk using gel filtration chromatography at low pH","type":"article-journal","volume":"40"},"uris":["http://www.mendeley.com/documents/?uuid=af22c558-f9c8-3099-ba5d-2e6edb23e636"]}],"mendeley":{"formattedCitation":"[31,32]","plainTextFormattedCitation":"[31,32]","previouslyFormattedCitation":"[31,32]"},"properties":{"noteIndex":0},"schema":"https://github.com/citation-style-language/schema/raw/master/csl-citation.json"}</w:instrText>
      </w:r>
      <w:r w:rsidRPr="004B51C7">
        <w:fldChar w:fldCharType="separate"/>
      </w:r>
      <w:r w:rsidRPr="00C8126B">
        <w:rPr>
          <w:noProof/>
        </w:rPr>
        <w:t>[31,32]</w:t>
      </w:r>
      <w:r w:rsidRPr="004B51C7">
        <w:fldChar w:fldCharType="end"/>
      </w:r>
      <w:r w:rsidRPr="004B51C7">
        <w:t xml:space="preserve">. To establish the most appropriate chromatographic conditions for the separation of lunasin from tofu whey, the effects of mobile phase composition, volume of sample injected, and the porosity of the packed bed (preparation grade-pg) were evaluated., The baseline was established by injecting 0.5 mL of sample, prepared as described in the experimental section, in a 30 pg column using 20 mM Tris-HCl + 0.15 M NaCl pH 7.6 as mobile phase. Modifications in the characteristic profiles were evaluated using alternative </w:t>
      </w:r>
      <w:r w:rsidRPr="004B51C7">
        <w:lastRenderedPageBreak/>
        <w:t>conditions (Figure 2.3): 100mM NH</w:t>
      </w:r>
      <w:r w:rsidRPr="004B51C7">
        <w:rPr>
          <w:vertAlign w:val="subscript"/>
        </w:rPr>
        <w:t>4</w:t>
      </w:r>
      <w:r w:rsidRPr="004B51C7">
        <w:t>HCO</w:t>
      </w:r>
      <w:r w:rsidRPr="004B51C7">
        <w:rPr>
          <w:vertAlign w:val="subscript"/>
        </w:rPr>
        <w:t xml:space="preserve">3 </w:t>
      </w:r>
      <w:r w:rsidRPr="004B51C7">
        <w:t>pH 7.8 as mobile phase, a 75 pg column, or injecting 3 ml of the sample.</w:t>
      </w:r>
    </w:p>
    <w:p w14:paraId="3DB7FC4B" w14:textId="77777777" w:rsidR="003F461D" w:rsidRPr="004B51C7" w:rsidRDefault="003F461D" w:rsidP="003F461D">
      <w:pPr>
        <w:spacing w:line="480" w:lineRule="auto"/>
        <w:rPr>
          <w:bCs/>
          <w:i/>
        </w:rPr>
      </w:pPr>
      <w:r w:rsidRPr="004B51C7">
        <w:rPr>
          <w:bCs/>
          <w:i/>
        </w:rPr>
        <w:t xml:space="preserve">2.4.2.1 Effect of mobile phase (non-volatile vs. volatile) </w:t>
      </w:r>
    </w:p>
    <w:p w14:paraId="5F7B436F" w14:textId="2B214B2D" w:rsidR="003F461D" w:rsidRPr="004B51C7" w:rsidRDefault="003F461D" w:rsidP="001311E7">
      <w:pPr>
        <w:spacing w:line="480" w:lineRule="auto"/>
        <w:ind w:firstLine="720"/>
      </w:pPr>
      <w:r w:rsidRPr="004B51C7">
        <w:t xml:space="preserve">During preliminary experiments using the base conditions, we observed that buffering salts in the mobile phase became the major component of the final product after freeze drying, making the content of lunasin negligible.  Desalting trials using macrosep advance centrifugal device 1K MWCO allowed removing 98% of the salts present, though, the remaining salt continued to be 10 times higher than lunasin in the final dry product. So far, only one report has clearly stated the performance of concentration and buffer exchange steps, via ultrafiltration, after the final chromatographic purification </w:t>
      </w:r>
      <w:r w:rsidRPr="004B51C7">
        <w:fldChar w:fldCharType="begin" w:fldLock="1"/>
      </w:r>
      <w:r>
        <w:instrText>ADDIN CSL_CITATION {"citationItems":[{"id":"ITEM-1","itemData":{"DOI":"10.1371/journal.pone.0035409","ISSN":"1932-6203","abstract":"Lunasin is a peptide derived from the soybean 2S albumin seed protein that has both anticancer and anti-inflammatory activities. Large-scale animal studies and human clinical trials to determine the efficacy of lunasin in vivo have been hampered by the cost of synthetic lunasin and the lack of a method for obtaining gram quantities of highly purified lunasin from plant sources. The goal of this study was to develop a large-scale method to generate highly purified lunasin from defatted soy flour. A scalable method was developed that utilizes the sequential application of anion-exchange chromatography, ultrafiltration, and reversed-phase chromatography. This method generates lunasin preparations of &gt;99% purity with a yield of 442 mg/kg defatted soy flour. Mass spectrometry of the purified lunasin revealed that the peptide is 44 amino acids in length and represents the original published sequence of lunasin with an additional C-terminal asparagine residue. Histone-binding assays demonstrated that the biological activity of the purified lunasin was similar to that of synthetic lunasin. This study provides a robust method for purifying commercial-scale quantities of biologically-active lunasin and clearly identifies the predominant form of lunasin in soy flour. This method will greatly facilitate the development of lunasin as a potential nutraceutical or therapeutic anticancer agent. © 2012 Seber et al.","author":[{"dropping-particle":"","family":"Seber","given":"Lauren E.","non-dropping-particle":"","parse-names":false,"suffix":""},{"dropping-particle":"","family":"Barnett","given":"Brian W.","non-dropping-particle":"","parse-names":false,"suffix":""},{"dropping-particle":"","family":"McConnell","given":"Elizabeth J.","non-dropping-particle":"","parse-names":false,"suffix":""},{"dropping-particle":"","family":"Hume","given":"Steven D.","non-dropping-particle":"","parse-names":false,"suffix":""},{"dropping-particle":"","family":"Cai","given":"Jian","non-dropping-particle":"","parse-names":false,"suffix":""},{"dropping-particle":"","family":"Boles","given":"Kati","non-dropping-particle":"","parse-names":false,"suffix":""},{"dropping-particle":"","family":"Davis","given":"Keith R.","non-dropping-particle":"","parse-names":false,"suffix":""}],"container-title":"PLoS ONE","editor":[{"dropping-particle":"","family":"Antopolsky","given":"Maxim","non-dropping-particle":"","parse-names":false,"suffix":""}],"id":"ITEM-1","issue":"4","issued":{"date-parts":[["2012","4","13"]]},"page":"e35409","publisher":"Public Library of Science","title":"Scalable Purification and Characterization of the Anticancer Lunasin Peptide from Soybean","type":"article-journal","volume":"7"},"uris":["http://www.mendeley.com/documents/?uuid=84033bd8-ad6d-3db1-b722-b75d1f034b12"]}],"mendeley":{"formattedCitation":"[9]","plainTextFormattedCitation":"[9]","previouslyFormattedCitation":"[9]"},"properties":{"noteIndex":0},"schema":"https://github.com/citation-style-language/schema/raw/master/csl-citation.json"}</w:instrText>
      </w:r>
      <w:r w:rsidRPr="004B51C7">
        <w:fldChar w:fldCharType="separate"/>
      </w:r>
      <w:r w:rsidRPr="00C8126B">
        <w:rPr>
          <w:noProof/>
        </w:rPr>
        <w:t>[9]</w:t>
      </w:r>
      <w:r w:rsidRPr="004B51C7">
        <w:fldChar w:fldCharType="end"/>
      </w:r>
      <w:r w:rsidRPr="004B51C7">
        <w:t>. To address this issue, we proposed the use of a volatile buffer as mobile phase. Upon mild heating, NH</w:t>
      </w:r>
      <w:r w:rsidRPr="004B51C7">
        <w:rPr>
          <w:vertAlign w:val="subscript"/>
        </w:rPr>
        <w:t>4</w:t>
      </w:r>
      <w:r w:rsidRPr="004B51C7">
        <w:t>HCO</w:t>
      </w:r>
      <w:r w:rsidRPr="004B51C7">
        <w:rPr>
          <w:vertAlign w:val="subscript"/>
        </w:rPr>
        <w:t xml:space="preserve">3 </w:t>
      </w:r>
      <w:r w:rsidRPr="004B51C7">
        <w:t xml:space="preserve">easily decomposes into the volatile compounds ammonia and carbon dioxide, </w:t>
      </w:r>
      <w:r w:rsidRPr="004B51C7">
        <w:fldChar w:fldCharType="begin" w:fldLock="1"/>
      </w:r>
      <w:r>
        <w:instrText>ADDIN CSL_CITATION {"citationItems":[{"id":"ITEM-1","itemData":{"abstract":"An analytical study of the cyclic method of obtaining ammonium salt in the process of water absorption of ammonia and carbon dioxide is carried out on the ground of the phase diagram of the three-component system NH 3-CO 2-H 2 O. Taking into account the previously refined data on the solubility and the vapor pressure in the system, the temperature and the concentration conditions of the process at the stages of ammonization, carbonation and bicarbonation of the solution are substantiated with precipitation of the target product-ammonium bicarbonate NH 4 HCO 3. Based on the results of a survey of an industrial unit, a working diagram of the production cycle is constructed. The reasons for its discrepancies with the theoretical diagram, resulting in a non-conforming product and a decrease of its yield, are identified.","author":[{"dropping-particle":"","family":"Ivanchenko","given":"Liliya","non-dropping-particle":"","parse-names":false,"suffix":""},{"dropping-particle":"","family":"Shapoval","given":"Irina","non-dropping-particle":"","parse-names":false,"suffix":""},{"dropping-particle":"","family":"Makarov","given":"Aleksei","non-dropping-particle":"","parse-names":false,"suffix":""},{"dropping-particle":"","family":"Borsch","given":"Aleksandr","non-dropping-particle":"","parse-names":false,"suffix":""}],"container-title":"Journal of Chemical Technology and Metallurgy","id":"ITEM-1","issued":{"date-parts":[["2020"]]},"page":"843-851","title":"A physico-chemical analysis of carbon ammonium salts' production technologies","type":"article-journal","volume":"55"},"uris":["http://www.mendeley.com/documents/?uuid=c9a34fc7-f0b4-31f1-805f-9b13701b3d24"]}],"mendeley":{"formattedCitation":"[33]","plainTextFormattedCitation":"[33]","previouslyFormattedCitation":"[33]"},"properties":{"noteIndex":0},"schema":"https://github.com/citation-style-language/schema/raw/master/csl-citation.json"}</w:instrText>
      </w:r>
      <w:r w:rsidRPr="004B51C7">
        <w:fldChar w:fldCharType="separate"/>
      </w:r>
      <w:r w:rsidRPr="00C8126B">
        <w:rPr>
          <w:noProof/>
        </w:rPr>
        <w:t>[33]</w:t>
      </w:r>
      <w:r w:rsidRPr="004B51C7">
        <w:fldChar w:fldCharType="end"/>
      </w:r>
      <w:r w:rsidRPr="004B51C7">
        <w:t>. Preliminary tests indicated that after heating 100 mM NH</w:t>
      </w:r>
      <w:r w:rsidRPr="004B51C7">
        <w:rPr>
          <w:vertAlign w:val="subscript"/>
        </w:rPr>
        <w:t>4</w:t>
      </w:r>
      <w:r w:rsidRPr="004B51C7">
        <w:t>HCO</w:t>
      </w:r>
      <w:r w:rsidRPr="004B51C7">
        <w:rPr>
          <w:vertAlign w:val="subscript"/>
        </w:rPr>
        <w:t xml:space="preserve">3 </w:t>
      </w:r>
      <w:r w:rsidRPr="004B51C7">
        <w:t>at 40°C for 5 min no solid residue remained. Then we performed the gel filtration chromatography using 100 mM NH</w:t>
      </w:r>
      <w:r w:rsidRPr="004B51C7">
        <w:rPr>
          <w:vertAlign w:val="subscript"/>
        </w:rPr>
        <w:t>4</w:t>
      </w:r>
      <w:r w:rsidRPr="004B51C7">
        <w:t>HCO</w:t>
      </w:r>
      <w:r w:rsidRPr="004B51C7">
        <w:rPr>
          <w:vertAlign w:val="subscript"/>
        </w:rPr>
        <w:t xml:space="preserve">3 </w:t>
      </w:r>
      <w:r w:rsidRPr="004B51C7">
        <w:t>pH 7.8</w:t>
      </w:r>
      <w:r w:rsidRPr="004B51C7">
        <w:rPr>
          <w:vertAlign w:val="subscript"/>
        </w:rPr>
        <w:t xml:space="preserve"> </w:t>
      </w:r>
      <w:r w:rsidRPr="004B51C7">
        <w:t xml:space="preserve">as mobile phase. Under base conditions, using Tris-HCl buffer, lunasin eluted at 60 min and the resolution of the peaks (Figure 2.3A) and carbohydrates profile (Figure 2.3B) suggested a good level of separation of the peptide from other compounds present in the whey. Figures 2.3A and 2.3C show that the chromatographic profile, as well as retention times for lunasin and carbohydrates using ammonium bicarbonate, resemble those obtained with Tris-HCl buffer. The fact that no shift </w:t>
      </w:r>
      <w:r w:rsidRPr="004B51C7">
        <w:lastRenderedPageBreak/>
        <w:t>in the retention time of any peaks was observed, indicated that nonspecific ionic interactions between tofu whey components and the packed bed were negligible, and the presence of strong ionic salts in the mobile phase, such as NaCl, was not required. Then we concluded that NH</w:t>
      </w:r>
      <w:r w:rsidRPr="004B51C7">
        <w:rPr>
          <w:vertAlign w:val="subscript"/>
        </w:rPr>
        <w:t>4</w:t>
      </w:r>
      <w:r w:rsidRPr="004B51C7">
        <w:t>HCO</w:t>
      </w:r>
      <w:r w:rsidRPr="004B51C7">
        <w:rPr>
          <w:vertAlign w:val="subscript"/>
        </w:rPr>
        <w:t xml:space="preserve">3 </w:t>
      </w:r>
      <w:r w:rsidRPr="004B51C7">
        <w:t xml:space="preserve">was a more suitable mobile phase than Tris-HCl for the chromatographic separation and recovery of lunasin from tofu whey. </w:t>
      </w:r>
    </w:p>
    <w:p w14:paraId="16D6D2DE" w14:textId="77777777" w:rsidR="003F461D" w:rsidRPr="004B51C7" w:rsidRDefault="003F461D" w:rsidP="003F461D">
      <w:pPr>
        <w:spacing w:line="480" w:lineRule="auto"/>
        <w:rPr>
          <w:bCs/>
          <w:i/>
        </w:rPr>
      </w:pPr>
      <w:r w:rsidRPr="004B51C7">
        <w:rPr>
          <w:bCs/>
          <w:i/>
        </w:rPr>
        <w:t>2.4.2.2 Column preparation grade (30 pg vs. 75 pg)</w:t>
      </w:r>
    </w:p>
    <w:p w14:paraId="03A2B34B" w14:textId="77777777" w:rsidR="003F461D" w:rsidRPr="004B51C7" w:rsidRDefault="003F461D" w:rsidP="003F461D">
      <w:pPr>
        <w:spacing w:line="480" w:lineRule="auto"/>
        <w:ind w:firstLine="720"/>
      </w:pPr>
      <w:r w:rsidRPr="004B51C7">
        <w:t xml:space="preserve">Preparation grade (pg) refers to the grade of fractionation or separation that the column can achieve in relation to the relative molecular mass (Mr) of the compounds present in the sample </w:t>
      </w:r>
      <w:r w:rsidRPr="004B51C7">
        <w:fldChar w:fldCharType="begin" w:fldLock="1"/>
      </w:r>
      <w:r>
        <w:instrText>ADDIN CSL_CITATION {"citationItems":[{"id":"ITEM-1","itemData":{"author":[{"dropping-particle":"","family":"GE","given":"","non-dropping-particle":"","parse-names":false,"suffix":""}],"id":"ITEM-1","issued":{"date-parts":[["2000"]]},"page":"1 - 139","publisher":"GE Healthcare Life Sciences","publisher-place":"Uppsala, Sweden","title":"Size exclusion chromatography. Pinciples and methods","type":"article"},"uris":["http://www.mendeley.com/documents/?uuid=d55e93a1-7430-4bbc-ad46-6c0f787434ac"]}],"mendeley":{"formattedCitation":"[34]","plainTextFormattedCitation":"[34]","previouslyFormattedCitation":"[34]"},"properties":{"noteIndex":0},"schema":"https://github.com/citation-style-language/schema/raw/master/csl-citation.json"}</w:instrText>
      </w:r>
      <w:r w:rsidRPr="004B51C7">
        <w:fldChar w:fldCharType="separate"/>
      </w:r>
      <w:r w:rsidRPr="00C8126B">
        <w:rPr>
          <w:noProof/>
        </w:rPr>
        <w:t>[34]</w:t>
      </w:r>
      <w:r w:rsidRPr="004B51C7">
        <w:fldChar w:fldCharType="end"/>
      </w:r>
      <w:r w:rsidRPr="004B51C7">
        <w:t>. In the 30 pg column (Mr &lt; 10,000) probably all proteins in the range of 10 to 75 kDa traveled externally to the packing beads, leaving the column as a whole group represented by a wide peak with retention times between 40 and 50 min (Figure 2.3A). In the 75 pg column (3,000 &lt; Mr &lt; 70,000), a better resolution of the proteins and peptides was observed, accompanied by a shift in the retention time of lunasin peak to 88 min, 28 min later than the 30 pg column. Analysis of the relative amounts of lunasin and proteins (Figure 2.3D) showed that most of the compounds absorbing at 280 nm eluted at around 108 min, 20 min later than lunasin, while lunasin containing fractions exhibited a minimum content of proteins. The better resolution of the peaks achieved by the 75 pg column made it more suitable than the 30 pg column for purification of lunasin.</w:t>
      </w:r>
    </w:p>
    <w:p w14:paraId="13C4EA9D" w14:textId="77777777" w:rsidR="003F461D" w:rsidRPr="004B51C7" w:rsidRDefault="003F461D" w:rsidP="003F461D">
      <w:pPr>
        <w:spacing w:line="480" w:lineRule="auto"/>
        <w:ind w:firstLine="720"/>
      </w:pPr>
      <w:r w:rsidRPr="004B51C7">
        <w:t xml:space="preserve">   </w:t>
      </w:r>
    </w:p>
    <w:p w14:paraId="04693C84" w14:textId="77777777" w:rsidR="003F461D" w:rsidRPr="004B51C7" w:rsidRDefault="003F461D" w:rsidP="003F461D">
      <w:pPr>
        <w:spacing w:line="480" w:lineRule="auto"/>
        <w:rPr>
          <w:bCs/>
          <w:i/>
        </w:rPr>
      </w:pPr>
      <w:r w:rsidRPr="004B51C7">
        <w:rPr>
          <w:bCs/>
          <w:i/>
        </w:rPr>
        <w:lastRenderedPageBreak/>
        <w:t>2.4.2.3 Injection volume of the sample (0.5 vs. 3 mL)</w:t>
      </w:r>
    </w:p>
    <w:p w14:paraId="32DEC6BB" w14:textId="77777777" w:rsidR="003F461D" w:rsidRDefault="003F461D" w:rsidP="003F461D">
      <w:pPr>
        <w:spacing w:line="480" w:lineRule="auto"/>
        <w:ind w:firstLine="720"/>
      </w:pPr>
      <w:r w:rsidRPr="004B51C7">
        <w:t xml:space="preserve">Sample volume plays a decisive role in the resolution of chromatogram peaks, as larger volumes result in peak broadening; thus a sample volume no larger than 4% CV is recommended for high resolution fractionation </w:t>
      </w:r>
      <w:r w:rsidRPr="004B51C7">
        <w:fldChar w:fldCharType="begin" w:fldLock="1"/>
      </w:r>
      <w:r>
        <w:instrText>ADDIN CSL_CITATION {"citationItems":[{"id":"ITEM-1","itemData":{"author":[{"dropping-particle":"","family":"GE","given":"","non-dropping-particle":"","parse-names":false,"suffix":""}],"id":"ITEM-1","issued":{"date-parts":[["2000"]]},"page":"1 - 139","publisher":"GE Healthcare Life Sciences","publisher-place":"Uppsala, Sweden","title":"Size exclusion chromatography. Pinciples and methods","type":"article"},"uris":["http://www.mendeley.com/documents/?uuid=d55e93a1-7430-4bbc-ad46-6c0f787434ac"]}],"mendeley":{"formattedCitation":"[34]","plainTextFormattedCitation":"[34]","previouslyFormattedCitation":"[34]"},"properties":{"noteIndex":0},"schema":"https://github.com/citation-style-language/schema/raw/master/csl-citation.json"}</w:instrText>
      </w:r>
      <w:r w:rsidRPr="004B51C7">
        <w:fldChar w:fldCharType="separate"/>
      </w:r>
      <w:r w:rsidRPr="00C8126B">
        <w:rPr>
          <w:noProof/>
        </w:rPr>
        <w:t>[34]</w:t>
      </w:r>
      <w:r w:rsidRPr="004B51C7">
        <w:fldChar w:fldCharType="end"/>
      </w:r>
      <w:r w:rsidRPr="004B51C7">
        <w:t xml:space="preserve">. For a 75 pg XK16 column with CV = 120 mL, 0.5 mL sample volume (0.4% of the CV) showed a good resolution for lunasin peak (Figure 2.3A); however, the amount of dry lunasin recovered per run was negligible. Figures 2.3A and 2.3E show the impact of a 6-fold increase in the sample injection volume (3 mL, equivalent to 2.5% of the CV). As expected, lunasin recovered in the fractions increased proportionally, accompanied by a remarkable widening of the peak, which now goes from 58 to 88 min. The consequent decrease in the resolution led to the overlapping of lunasin to adjacent peaks associated with larger and smaller molecules. </w:t>
      </w:r>
    </w:p>
    <w:p w14:paraId="0B3C0352" w14:textId="43C97B33" w:rsidR="003F461D" w:rsidRPr="004B51C7" w:rsidRDefault="003F461D" w:rsidP="001311E7">
      <w:pPr>
        <w:spacing w:line="480" w:lineRule="auto"/>
        <w:ind w:firstLine="720"/>
      </w:pPr>
      <w:r w:rsidRPr="004B51C7">
        <w:t xml:space="preserve">The four fractions exhibiting relevant content of lunasin, corresponding to retention times 58, 68, 78, and 88 min were further analyzed. Electrophoretic separation (Figure 2.3F) showed the progressive and significant reduction of high-molecular weight proteins in the fractions: eluate collected at 58 min contained proteins between 15 and about 60 kDa while eluate at 88 min was free from proteins above 15 kDa. Immunoblotting (Figure 2.3G) indicated that while the two earlier fractions contained only the 14 kDa complex, fractions at 78 and 88 min contained mostly the 5 kDa peptide. Molecular weight distribution (Figure 2.3H) revealed that the 88 min fraction contained the main peak at 7.2 min, </w:t>
      </w:r>
      <w:r w:rsidRPr="004B51C7">
        <w:lastRenderedPageBreak/>
        <w:t>corresponding to 5 kDa lunasin, while for fraction at 78 min this peak was combined with a larger one at 7.0 min, probably associated with the 14 kDa complex. The difference in retention times during HPLC size exclusion chromatography profiling observed for the isolated lunasin (7.2 min) and the synthetic lunasin standard (6.6 min) could be a result of differences in the folding and geometry of the synthetic peptide in contrast to the native state. We selected 3 mL injection volume, a 75 pg column and100 mM NH</w:t>
      </w:r>
      <w:r w:rsidRPr="004B51C7">
        <w:rPr>
          <w:vertAlign w:val="subscript"/>
        </w:rPr>
        <w:t>4</w:t>
      </w:r>
      <w:r w:rsidRPr="004B51C7">
        <w:t>HCO</w:t>
      </w:r>
      <w:r w:rsidRPr="004B51C7">
        <w:rPr>
          <w:vertAlign w:val="subscript"/>
        </w:rPr>
        <w:t>3</w:t>
      </w:r>
      <w:r w:rsidRPr="004B51C7">
        <w:t xml:space="preserve"> pH 7.8 as operating conditions for purification of lunasin via preparative gel filtration chromatography. </w:t>
      </w:r>
    </w:p>
    <w:p w14:paraId="1F432E49" w14:textId="77777777" w:rsidR="003F461D" w:rsidRPr="00394029" w:rsidRDefault="003F461D" w:rsidP="001311E7">
      <w:pPr>
        <w:pStyle w:val="Heading3"/>
        <w:spacing w:before="0" w:after="0" w:line="480" w:lineRule="auto"/>
        <w:rPr>
          <w:i w:val="0"/>
        </w:rPr>
      </w:pPr>
      <w:bookmarkStart w:id="49" w:name="_Toc77082113"/>
      <w:r w:rsidRPr="00394029">
        <w:rPr>
          <w:i w:val="0"/>
        </w:rPr>
        <w:t>2.4.3 Application of adjusted enrichment and purification processes to industrially produced tofu whey</w:t>
      </w:r>
      <w:r>
        <w:rPr>
          <w:i w:val="0"/>
        </w:rPr>
        <w:t>.</w:t>
      </w:r>
      <w:bookmarkEnd w:id="49"/>
    </w:p>
    <w:p w14:paraId="6CBE9126" w14:textId="64B43F39" w:rsidR="003F461D" w:rsidRDefault="003F461D" w:rsidP="003F461D">
      <w:pPr>
        <w:spacing w:line="480" w:lineRule="auto"/>
        <w:ind w:firstLine="720"/>
      </w:pPr>
      <w:r w:rsidRPr="004B51C7">
        <w:t>We used industrially produced whey to contrast our designed enrichment process using ethanol and pH 4.5 (EtOHpH4.5) with the more commonly used hot and cold drying alternatives to obtain solid fractions from liquid streams: spray drying (SDW), and freeze-drying (FDW). The three samples were purified via gel filtration chromatography as described in section 2.</w:t>
      </w:r>
      <w:r>
        <w:t>3.</w:t>
      </w:r>
      <w:r w:rsidRPr="004B51C7">
        <w:t>5. Chromatographic profile (Figure 2.</w:t>
      </w:r>
      <w:r>
        <w:t>4</w:t>
      </w:r>
      <w:r w:rsidRPr="004B51C7">
        <w:t>A) clearly showed that the ethanolic-isoelectric concentration process drastically switched the protein profile in the whey, making more prevalent the peak associated with lunasin (retention time 88 min). Peaks for lunasin (Figure 2.</w:t>
      </w:r>
      <w:r>
        <w:t>4</w:t>
      </w:r>
      <w:r w:rsidRPr="004B51C7">
        <w:t>B), compounds responsible for yellow coloration (Figure 2.</w:t>
      </w:r>
      <w:r>
        <w:t>4</w:t>
      </w:r>
      <w:r w:rsidRPr="004B51C7">
        <w:t>C), and carbohydrates (Figure 2.</w:t>
      </w:r>
      <w:r>
        <w:t>4</w:t>
      </w:r>
      <w:r w:rsidRPr="004B51C7">
        <w:t xml:space="preserve">D) were present in the three samples at the same retention times, suggesting that no evident conformational changes associated </w:t>
      </w:r>
      <w:r w:rsidRPr="004B51C7">
        <w:lastRenderedPageBreak/>
        <w:t xml:space="preserve">with size and geometry occurred to these set of compounds by exposure to the drying temperature and conditions, or to the enrichment process. However, </w:t>
      </w:r>
      <w:r w:rsidR="00706321">
        <w:t xml:space="preserve">in comparison to the whole whey, </w:t>
      </w:r>
      <w:r w:rsidRPr="004B51C7">
        <w:t xml:space="preserve">in our lunasin enriched material the concentration of lunasin was considerably higher, while the presence of other compounds was almost negligible. This demonstrates that ethanolic – isoelectric precipitation not only removed an important quantity of undesired proteins, but other non- protein compounds present in the whey. In addition, it favors the completion of the chromatographic purification in a shorter time. </w:t>
      </w:r>
    </w:p>
    <w:p w14:paraId="784FA8B6" w14:textId="77777777" w:rsidR="003F461D" w:rsidRPr="004B51C7" w:rsidRDefault="003F461D" w:rsidP="003F461D">
      <w:pPr>
        <w:spacing w:line="480" w:lineRule="auto"/>
        <w:ind w:firstLine="720"/>
      </w:pPr>
      <w:r w:rsidRPr="004B51C7">
        <w:t xml:space="preserve">Electrophoretic and size exclusion chromatographic profile (Supplementary Figure 2.2) of purified fractions collected at 78 and 88 min (F78 and F88 respectively), from the sample treated with our enrichment method, showed that F78 still contained significant amount of the 14 kDa complex and other proteins of similar size, while F88 mostly correspond to the 5 kDa lunasin. </w:t>
      </w:r>
    </w:p>
    <w:p w14:paraId="23085571" w14:textId="77777777" w:rsidR="003F461D" w:rsidRDefault="003F461D" w:rsidP="003F461D">
      <w:pPr>
        <w:spacing w:line="480" w:lineRule="auto"/>
      </w:pPr>
      <w:r w:rsidRPr="004B51C7">
        <w:t xml:space="preserve">Approximately 193 mg of F78 and 34 mg of F88 were obtained per liter of industrial tofu whey, containing 46% and 80% w/w lunasin, respectively (Supplementary Table 2.4). MALDI-TOF-MS analysis of the 5 kDa band in F78 and F88 (Table 2.3) indicated a 34% and 56% coverage of the 2S albumin precursor, respectively, and 100% coverage of lunasin sequence, corroborating the isolation of the peptide. </w:t>
      </w:r>
    </w:p>
    <w:p w14:paraId="6E81A09C" w14:textId="4A609827" w:rsidR="003F461D" w:rsidRPr="004B51C7" w:rsidRDefault="003F461D" w:rsidP="003F461D">
      <w:pPr>
        <w:spacing w:line="480" w:lineRule="auto"/>
        <w:ind w:firstLine="720"/>
      </w:pPr>
      <w:r w:rsidRPr="004B51C7">
        <w:t xml:space="preserve">A six-step isolation process involving PBS extraction, ionic exchange chromatography (IEC), treatment with a reducing agent, ultrafiltration, reverse phase chromatography, and ultrafiltration, reported a yield of 442 mg lunasin/kg </w:t>
      </w:r>
      <w:r w:rsidRPr="004B51C7">
        <w:lastRenderedPageBreak/>
        <w:t xml:space="preserve">defatted soy flour with &gt;99% purity </w:t>
      </w:r>
      <w:r w:rsidRPr="004B51C7">
        <w:fldChar w:fldCharType="begin" w:fldLock="1"/>
      </w:r>
      <w:r>
        <w:instrText>ADDIN CSL_CITATION {"citationItems":[{"id":"ITEM-1","itemData":{"DOI":"10.1371/journal.pone.0035409","ISSN":"1932-6203","abstract":"Lunasin is a peptide derived from the soybean 2S albumin seed protein that has both anticancer and anti-inflammatory activities. Large-scale animal studies and human clinical trials to determine the efficacy of lunasin in vivo have been hampered by the cost of synthetic lunasin and the lack of a method for obtaining gram quantities of highly purified lunasin from plant sources. The goal of this study was to develop a large-scale method to generate highly purified lunasin from defatted soy flour. A scalable method was developed that utilizes the sequential application of anion-exchange chromatography, ultrafiltration, and reversed-phase chromatography. This method generates lunasin preparations of &gt;99% purity with a yield of 442 mg/kg defatted soy flour. Mass spectrometry of the purified lunasin revealed that the peptide is 44 amino acids in length and represents the original published sequence of lunasin with an additional C-terminal asparagine residue. Histone-binding assays demonstrated that the biological activity of the purified lunasin was similar to that of synthetic lunasin. This study provides a robust method for purifying commercial-scale quantities of biologically-active lunasin and clearly identifies the predominant form of lunasin in soy flour. This method will greatly facilitate the development of lunasin as a potential nutraceutical or therapeutic anticancer agent. © 2012 Seber et al.","author":[{"dropping-particle":"","family":"Seber","given":"Lauren E.","non-dropping-particle":"","parse-names":false,"suffix":""},{"dropping-particle":"","family":"Barnett","given":"Brian W.","non-dropping-particle":"","parse-names":false,"suffix":""},{"dropping-particle":"","family":"McConnell","given":"Elizabeth J.","non-dropping-particle":"","parse-names":false,"suffix":""},{"dropping-particle":"","family":"Hume","given":"Steven D.","non-dropping-particle":"","parse-names":false,"suffix":""},{"dropping-particle":"","family":"Cai","given":"Jian","non-dropping-particle":"","parse-names":false,"suffix":""},{"dropping-particle":"","family":"Boles","given":"Kati","non-dropping-particle":"","parse-names":false,"suffix":""},{"dropping-particle":"","family":"Davis","given":"Keith R.","non-dropping-particle":"","parse-names":false,"suffix":""}],"container-title":"PLoS ONE","editor":[{"dropping-particle":"","family":"Antopolsky","given":"Maxim","non-dropping-particle":"","parse-names":false,"suffix":""}],"id":"ITEM-1","issue":"4","issued":{"date-parts":[["2012","4","13"]]},"page":"e35409","publisher":"Public Library of Science","title":"Scalable Purification and Characterization of the Anticancer Lunasin Peptide from Soybean","type":"article-journal","volume":"7"},"uris":["http://www.mendeley.com/documents/?uuid=84033bd8-ad6d-3db1-b722-b75d1f034b12"]}],"mendeley":{"formattedCitation":"[9]","plainTextFormattedCitation":"[9]","previouslyFormattedCitation":"[9]"},"properties":{"noteIndex":0},"schema":"https://github.com/citation-style-language/schema/raw/master/csl-citation.json"}</w:instrText>
      </w:r>
      <w:r w:rsidRPr="004B51C7">
        <w:fldChar w:fldCharType="separate"/>
      </w:r>
      <w:r w:rsidRPr="00C8126B">
        <w:rPr>
          <w:noProof/>
        </w:rPr>
        <w:t>[9]</w:t>
      </w:r>
      <w:r w:rsidRPr="004B51C7">
        <w:fldChar w:fldCharType="end"/>
      </w:r>
      <w:r w:rsidRPr="004B51C7">
        <w:t xml:space="preserve">. This report based the estimation of purity on the mere visualization of a unique electrophoretic band at 5 kDa in the final product, leaving behind the presence other compounds, such as carbohydrates, that are soluble in aqueous solutions and are present in the soybeans in abundant quantities but cannot be visualized via SDS-PAGE. Another four-step process that involved aqueous extraction, IEC, ultrafiltration, and gel filtration chromatography, was able to obtain 1.3 g lunasin/kg defatted soy flour, with 80% purity as assayed via HPLC </w:t>
      </w:r>
      <w:r w:rsidRPr="004B51C7">
        <w:fldChar w:fldCharType="begin" w:fldLock="1"/>
      </w:r>
      <w:r>
        <w:instrText>ADDIN CSL_CITATION {"citationItems":[{"id":"ITEM-1","itemData":{"DOI":"10.1016/j.foodchem.2008.09.023","ISSN":"03088146","abstract":"Lunasin is a chemopreventive peptide present in soybean and other plant sources. The high cost involved in obtaining synthetic lunasin limits its application in chemopreventive and nutritional interventions. The objective of this study was to isolate, purify and characterise lunasin from defatted soybean flour and determine its in vitro anti-inflammatory activity using RAW 264.7 macrophages. Isolation and purification was achieved by ion-exchange chromatography, ultrafiltration and size exclusion chromatography. The identity of lunasin was established by Western blot, HPLC, MALDI-TOF and LC/MS-MS. The results showed that lunasin eluted from a DEAE anion exchange column at 0.15 M NaCl, and after 1.5 void volumes from size exclusion chromatography. Fractions from both chromatographic techniques consistently showed three peptides with positive immunoreactivity against lunasin mouse monoclonal antibody corresponding to 5, 8 and 14 kDa. LC/MS-MS analysis of the three immunoreactive peptides showed that 5 and 14 kDa bands contained the lunasin epitope, RGDDDDDD DDD while 8 kDa band showed high homology with 2 S soy albumin, a lunasin precursor. This is the first report on the potential anti-inflammatory activity of lunasin. Treatment of RAW 264.7 macrophage with 100 μM lunasin decreased the production of NO (92.6 ± 0.8%) and PGE2 (10.1 ± 4.5%), and the expression of iNOS (27.8 ± 2.1%) and COX-2 (41.4 ± 16.7%). We concluded that combination of ion-exchange chromatography, ultrafiltration and size exclusion chromatography represents a feasible process for the production of purified lunasin, which was also found to inhibit COX-2/PGE2 and iNOS/NO pathways. This newly discovered property of lunasin might contribute to the suppression of inflammation in vivo. © 2008 Elsevier Ltd. All rights reserved.","author":[{"dropping-particle":"","family":"Dia","given":"V. P.","non-dropping-particle":"","parse-names":false,"suffix":""},{"dropping-particle":"","family":"Wang","given":"W.","non-dropping-particle":"","parse-names":false,"suffix":""},{"dropping-particle":"","family":"Oh","given":"V. L.","non-dropping-particle":"","parse-names":false,"suffix":""},{"dropping-particle":"","family":"Lumen","given":"B. O.","non-dropping-particle":"De","parse-names":false,"suffix":""},{"dropping-particle":"","family":"Mejia","given":"E. Gonzalez","non-dropping-particle":"De","parse-names":false,"suffix":""}],"container-title":"Food Chemistry","id":"ITEM-1","issue":"1","issued":{"date-parts":[["2009","5","1"]]},"page":"108-115","publisher":"Elsevier","title":"Isolation, purification and characterisation of lunasin from defatted soybean flour and in vitro evaluation of its anti-inflammatory activity","type":"article-journal","volume":"114"},"uris":["http://www.mendeley.com/documents/?uuid=62081100-263e-3ce5-b7ff-c8b164e67e30"]}],"mendeley":{"formattedCitation":"[10]","plainTextFormattedCitation":"[10]","previouslyFormattedCitation":"[10]"},"properties":{"noteIndex":0},"schema":"https://github.com/citation-style-language/schema/raw/master/csl-citation.json"}</w:instrText>
      </w:r>
      <w:r w:rsidRPr="004B51C7">
        <w:fldChar w:fldCharType="separate"/>
      </w:r>
      <w:r w:rsidRPr="00C8126B">
        <w:rPr>
          <w:noProof/>
        </w:rPr>
        <w:t>[10]</w:t>
      </w:r>
      <w:r w:rsidRPr="004B51C7">
        <w:fldChar w:fldCharType="end"/>
      </w:r>
      <w:r w:rsidRPr="004B51C7">
        <w:t>. Our three-step process</w:t>
      </w:r>
      <w:r>
        <w:t xml:space="preserve"> (Figure 2.5)</w:t>
      </w:r>
      <w:r w:rsidRPr="004B51C7">
        <w:t xml:space="preserve"> that involve</w:t>
      </w:r>
      <w:r w:rsidR="00706321">
        <w:t>d</w:t>
      </w:r>
      <w:r w:rsidRPr="004B51C7">
        <w:t xml:space="preserve"> ethanolic precipitation, isoelectric precipitation, and gel filtration chromatography yielded 772 mg/kg of dry tofu whey with at least 80% purity as analyzed via HPLC, with the remaining fraction being proteins of slightly higher molecular weight (Supplementary Figure 2.3 and Supplementary Table 2.4). This process is simpler, faster and valorizes a by-product largely produced by the tofu industry. Hence, our method can be used to obtain the naturally occurring bioactive peptide lunasin in a more economical, and environmentally friendly process leading to reduce wastage and increase utilization of tofu whey.</w:t>
      </w:r>
    </w:p>
    <w:p w14:paraId="7DFB6A3E" w14:textId="77777777" w:rsidR="003F461D" w:rsidRPr="00394029" w:rsidRDefault="003F461D" w:rsidP="003F461D">
      <w:pPr>
        <w:pStyle w:val="Heading3"/>
        <w:spacing w:line="480" w:lineRule="auto"/>
        <w:rPr>
          <w:i w:val="0"/>
        </w:rPr>
      </w:pPr>
      <w:bookmarkStart w:id="50" w:name="_Toc77082114"/>
      <w:r w:rsidRPr="00394029">
        <w:rPr>
          <w:i w:val="0"/>
        </w:rPr>
        <w:t>2.4.4 Biological activity of isolated lunasin</w:t>
      </w:r>
      <w:bookmarkEnd w:id="50"/>
      <w:r w:rsidRPr="00394029">
        <w:rPr>
          <w:i w:val="0"/>
        </w:rPr>
        <w:t xml:space="preserve"> </w:t>
      </w:r>
    </w:p>
    <w:p w14:paraId="5E8411B6" w14:textId="77777777" w:rsidR="003F461D" w:rsidRDefault="003F461D" w:rsidP="003F461D">
      <w:pPr>
        <w:spacing w:line="480" w:lineRule="auto"/>
        <w:ind w:firstLine="720"/>
      </w:pPr>
      <w:r w:rsidRPr="004B51C7">
        <w:t xml:space="preserve">Oxidative stress and inflammation have been recognized as two of the principal factors contributing to the onset and development of non-communicable and infectious diseases </w:t>
      </w:r>
      <w:r w:rsidRPr="004B51C7">
        <w:fldChar w:fldCharType="begin" w:fldLock="1"/>
      </w:r>
      <w:r>
        <w:instrText>ADDIN CSL_CITATION {"citationItems":[{"id":"ITEM-1","itemData":{"DOI":"10.3390/antiox9040290","ISSN":"2076-3921","abstract":"&lt;p&gt;As recently reported by the World Health Organization (WHO), Non-Communicable Diseases (NCDs) has been rising over the last century representing the main cause of death and disability for the general population regardless of age, region, or gender [...]&lt;/p&gt;","author":[{"dropping-particle":"","family":"Nediani","given":"Chiara","non-dropping-particle":"","parse-names":false,"suffix":""},{"dropping-particle":"","family":"Giovannelli","given":"Lisa","non-dropping-particle":"","parse-names":false,"suffix":""}],"container-title":"Antioxidants","id":"ITEM-1","issue":"4","issued":{"date-parts":[["2020","3","31"]]},"page":"290","publisher":"MDPI AG","title":"Oxidative Stress and Inflammation as Targets for Novel Preventive and Therapeutic Approches in Non Communicable Diseases","type":"article-journal","volume":"9"},"uris":["http://www.mendeley.com/documents/?uuid=16b2c498-1df2-33da-bfc6-a7a587cd6ed3"]}],"mendeley":{"formattedCitation":"[35]","plainTextFormattedCitation":"[35]","previouslyFormattedCitation":"[35]"},"properties":{"noteIndex":0},"schema":"https://github.com/citation-style-language/schema/raw/master/csl-citation.json"}</w:instrText>
      </w:r>
      <w:r w:rsidRPr="004B51C7">
        <w:fldChar w:fldCharType="separate"/>
      </w:r>
      <w:r w:rsidRPr="00C8126B">
        <w:rPr>
          <w:noProof/>
        </w:rPr>
        <w:t>[35]</w:t>
      </w:r>
      <w:r w:rsidRPr="004B51C7">
        <w:fldChar w:fldCharType="end"/>
      </w:r>
      <w:r w:rsidRPr="004B51C7">
        <w:t xml:space="preserve">. The antioxidant and anti-inflammatory properties of lunasin have attracted attention to this peptide as a promising alternative for the prevention and treatment of some of these diseases </w:t>
      </w:r>
      <w:r w:rsidRPr="004B51C7">
        <w:fldChar w:fldCharType="begin" w:fldLock="1"/>
      </w:r>
      <w:r>
        <w:instrText>ADDIN CSL_CITATION {"citationItems":[{"id":"ITEM-1","itemData":{"DOI":"10.1016/j.foodchem.2008.09.023","ISSN":"03088146","abstract":"Lunasin is a chemopreventive peptide present in soybean and other plant sources. The high cost involved in obtaining synthetic lunasin limits its application in chemopreventive and nutritional interventions. The objective of this study was to isolate, purify and characterise lunasin from defatted soybean flour and determine its in vitro anti-inflammatory activity using RAW 264.7 macrophages. Isolation and purification was achieved by ion-exchange chromatography, ultrafiltration and size exclusion chromatography. The identity of lunasin was established by Western blot, HPLC, MALDI-TOF and LC/MS-MS. The results showed that lunasin eluted from a DEAE anion exchange column at 0.15 M NaCl, and after 1.5 void volumes from size exclusion chromatography. Fractions from both chromatographic techniques consistently showed three peptides with positive immunoreactivity against lunasin mouse monoclonal antibody corresponding to 5, 8 and 14 kDa. LC/MS-MS analysis of the three immunoreactive peptides showed that 5 and 14 kDa bands contained the lunasin epitope, RGDDDDDD DDD while 8 kDa band showed high homology with 2 S soy albumin, a lunasin precursor. This is the first report on the potential anti-inflammatory activity of lunasin. Treatment of RAW 264.7 macrophage with 100 μM lunasin decreased the production of NO (92.6 ± 0.8%) and PGE2 (10.1 ± 4.5%), and the expression of iNOS (27.8 ± 2.1%) and COX-2 (41.4 ± 16.7%). We concluded that combination of ion-exchange chromatography, ultrafiltration and size exclusion chromatography represents a feasible process for the production of purified lunasin, which was also found to inhibit COX-2/PGE2 and iNOS/NO pathways. This newly discovered property of lunasin might contribute to the suppression of inflammation in vivo. © 2008 Elsevier Ltd. All rights reserved.","author":[{"dropping-particle":"","family":"Dia","given":"V. P.","non-dropping-particle":"","parse-names":false,"suffix":""},{"dropping-particle":"","family":"Wang","given":"W.","non-dropping-particle":"","parse-names":false,"suffix":""},{"dropping-particle":"","family":"Oh","given":"V. L.","non-dropping-particle":"","parse-names":false,"suffix":""},{"dropping-particle":"","family":"Lumen","given":"B. O.","non-dropping-particle":"De","parse-names":false,"suffix":""},{"dropping-particle":"","family":"Mejia","given":"E. Gonzalez","non-dropping-particle":"De","parse-names":false,"suffix":""}],"container-title":"Food Chemistry","id":"ITEM-1","issue":"1","issued":{"date-parts":[["2009","5","1"]]},"page":"108-115","publisher":"Elsevier","title":"Isolation, purification and characterisation of lunasin from defatted soybean flour and in vitro evaluation of its anti-inflammatory activity","type":"article-journal","volume":"114"},"uris":["http://www.mendeley.com/documents/?uuid=62081100-263e-3ce5-b7ff-c8b164e67e30"]},{"id":"ITEM-2","itemData":{"DOI":"10.1016/j.peptides.2009.08.005","ISBN":"1873-5169 (Electronic)\\r0196-9781 (Linking)","ISSN":"01969781","PMID":"19682518","abstract":"Inflammation is part of the host defense mechanism against harmful matters and injury; however, aberrant inflammation is associated to the development of chronic diseases such as cancer. Lunasin is a novel peptide that demonstrates potential anticancer activity against mammalian cancer cell lines and may play a role in inflammation. The objective of this study was to determine the mechanism of action by which lunasin and lunasin-like peptides exert their anti-inflammatory properties using RAW 264.7 macrophage cell line as an in vitro model. We purified three peptides (5, 8, and 14 kDa) from defatted soybean flour with a positive immunoreactivity towards lunasin mouse monoclonal antibody. Treatment with these peptides (10-50 μM) resulted in the inhibition of pro-inflammatory markers in lipopolysaccharide (LPS)-induced RAW 264.7 macrophages. The 5 kDa peptide inhibited most potently pro-inflammatory markers including interleukin-6 production (IC50= 2 μM), interleukin-1β production (IC50= 13 μM), nuclear factor-kappa B (NF-κB) transactivation (IC50= 21 μM), cyclooxygenase-2 expression (IC50= 25 μM), nitric oxide production (IC50= 28 μM), inducible nitric oxide synthase expression (IC50= 37 μM), prostaglandin E2production (IC50= 41 μM), p65 nuclear translocation (IC50= 48 μM) and p50 nuclear translocation (IC50= 77 μM). In conclusion, lunasin and lunasin-like peptides purified from defatted soybean flour inhibited inflammation in LPS-induced RAW 264.7 macrophage by suppressing NF-κB pathway. © 2009 Elsevier Inc. All rights reserved.","author":[{"dropping-particle":"","family":"Mejia","given":"Elvira Gonzalez","non-dropping-particle":"de","parse-names":false,"suffix":""},{"dropping-particle":"","family":"Dia","given":"Vermont P.","non-dropping-particle":"","parse-names":false,"suffix":""}],"container-title":"Peptides","id":"ITEM-2","issue":"12","issued":{"date-parts":[["2009","12","1"]]},"page":"2388-2398","publisher":"Elsevier","title":"Lunasin and lunasin-like peptides inhibit inflammation through suppression of NF-κB pathway in the macrophage","type":"article-journal","volume":"30"},"uris":["http://www.mendeley.com/documents/?uuid=811f21ac-c252-4781-864f-b957571597b7"]},{"id":"ITEM-3","itemData":{"DOI":"10.1016/j.bbrc.2009.10.053","ISSN":"0006291X","PMID":"19836349","abstract":"Oxidative stress and inflammation are two of the most critical factors implicated in carcinogenesis and other degenerative disorders. We have investigated how lunasin, a known anti-cancer seed peptide, affect these factors. This peptide inhibits linoleic acid oxidation and acts as 2,2′-azinobis (3-ethylbenzothiazoline-6-sulfonic acid) diammonium salt (ABTS) radical scavenger. Furthermore, using LPS-stimulated RAW 264.7 macrophages, we have demonstrated that lunasin reduces, in a significant dose-dependent manner, the production of reactive oxygen species (ROS) by LPS-induced macrophages. Lunasin also inhibits the release of pro-inflammatory cytokines (tumor necrosis factor-α [TNF-α] and interleukine-6 [IL-6]). On the basis of these potent antioxidant and anti-inflammatory properties, we propose lunasin not only as a cancer preventive and therapeutic agent but also as an agent against other inflammatory-related disorders. © 2009.","author":[{"dropping-particle":"","family":"Hernández-Ledesma","given":"Blanca","non-dropping-particle":"","parse-names":false,"suffix":""},{"dropping-particle":"","family":"Hsieh","given":"Chia Chien","non-dropping-particle":"","parse-names":false,"suffix":""},{"dropping-particle":"","family":"Lumen","given":"Ben O.","non-dropping-particle":"de","parse-names":false,"suffix":""}],"container-title":"Biochemical and Biophysical Research Communications","id":"ITEM-3","issue":"3","issued":{"date-parts":[["2009","12","18"]]},"page":"803-808","publisher":"Academic Press","title":"Antioxidant and anti-inflammatory properties of cancer preventive peptide lunasin in RAW 264.7 macrophages","type":"article-journal","volume":"390"},"uris":["http://www.mendeley.com/documents/?uuid=6d2a395c-c332-4f1f-b4e2-41312be084d2"]}],"mendeley":{"formattedCitation":"[10,36,37]","plainTextFormattedCitation":"[10,36,37]","previouslyFormattedCitation":"[10,36,37]"},"properties":{"noteIndex":0},"schema":"https://github.com/citation-style-language/schema/raw/master/csl-citation.json"}</w:instrText>
      </w:r>
      <w:r w:rsidRPr="004B51C7">
        <w:fldChar w:fldCharType="separate"/>
      </w:r>
      <w:r w:rsidRPr="00C8126B">
        <w:rPr>
          <w:noProof/>
        </w:rPr>
        <w:t>[10,36,37]</w:t>
      </w:r>
      <w:r w:rsidRPr="004B51C7">
        <w:fldChar w:fldCharType="end"/>
      </w:r>
      <w:r w:rsidRPr="00955CB1">
        <w:t xml:space="preserve">. </w:t>
      </w:r>
      <w:r w:rsidRPr="004B51C7">
        <w:t xml:space="preserve">Upon infection, </w:t>
      </w:r>
      <w:r w:rsidRPr="004B51C7">
        <w:lastRenderedPageBreak/>
        <w:t xml:space="preserve">components of pathogens, including the LPS outer membrane of gram-negative bacteria, are recognized by innate immune cells such as macrophages, triggering signaling cascades that lead to the expression and release of pro-inflammatory cytokines and nitric oxide </w:t>
      </w:r>
      <w:r w:rsidRPr="004B51C7">
        <w:fldChar w:fldCharType="begin" w:fldLock="1"/>
      </w:r>
      <w:r>
        <w:instrText>ADDIN CSL_CITATION {"citationItems":[{"id":"ITEM-1","itemData":{"DOI":"10.1128/CMR.00046-08","ISSN":"08938512","PMID":"19366914","author":[{"dropping-particle":"","family":"Mogensen","given":"Trine H.","non-dropping-particle":"","parse-names":false,"suffix":""}],"container-title":"Clinical Microbiology Reviews","id":"ITEM-1","issue":"2","issued":{"date-parts":[["2009","4"]]},"page":"240-273","publisher":"American Society for Microbiology (ASM)","title":"Pathogen recognition and inflammatory signaling in innate immune defenses","type":"article","volume":"22"},"uris":["http://www.mendeley.com/documents/?uuid=ada512fd-2edb-3cd4-8d66-d38ced089e0d"]},{"id":"ITEM-2","itemData":{"DOI":"10.1111/j.1574-695X.2007.00329.x","ISSN":"09288244","abstract":"Nitric oxide (NO) was initially described as a physiological mediator of endothelial cell relaxation, an important role in hypotension. NO is an intercellular messenger that has been recognized as one of the most versatile players in the immune system. Cells of the innate immune system - macrophages, neutrophils and natural killer cells - use pattern recognition receptors to recognize the molecular patterns associated with pathogens. Activated macrophages then inhibit pathogen replication by releasing a variety of effector molecules, including NO. In addition to macrophages, a large number of other immune-system cells produce and respond to NO. Thus, NO is important as a toxic defense molecule against infectious organisms. It also regulates the functional activity, growth and death of many immune and inflammatory cell types including macrophages, T lymphocytes, antigen-presenting cells, mast cells, neutrophils and natural killer cells. However, the role of NO in nonspecific and specific immunity in vivo and in immunologically mediated diseases and inflammation is poorly understood. This Minireview will discuss the role of NO in immune response and inflammation, and its mechanisms of action in these processes. © 2007 Federation of European Microbiological Societies.","author":[{"dropping-particle":"","family":"Tripathi","given":"Parul","non-dropping-particle":"","parse-names":false,"suffix":""},{"dropping-particle":"","family":"Tripathi","given":"Prashant","non-dropping-particle":"","parse-names":false,"suffix":""},{"dropping-particle":"","family":"Kashyap","given":"Luv","non-dropping-particle":"","parse-names":false,"suffix":""},{"dropping-particle":"","family":"Singh","given":"Vinod","non-dropping-particle":"","parse-names":false,"suffix":""}],"container-title":"FEMS Immunology &amp; Medical Microbiology","id":"ITEM-2","issue":"3","issued":{"date-parts":[["2007","12","1"]]},"page":"443-452","publisher":"Oxford Academic","title":"The role of nitric oxide in inflammatory reactions","type":"article-journal","volume":"51"},"uris":["http://www.mendeley.com/documents/?uuid=eceed420-996e-3d95-9346-c4fed795eba6"]}],"mendeley":{"formattedCitation":"[38,39]","plainTextFormattedCitation":"[38,39]","previouslyFormattedCitation":"[38,39]"},"properties":{"noteIndex":0},"schema":"https://github.com/citation-style-language/schema/raw/master/csl-citation.json"}</w:instrText>
      </w:r>
      <w:r w:rsidRPr="004B51C7">
        <w:fldChar w:fldCharType="separate"/>
      </w:r>
      <w:r w:rsidRPr="00C8126B">
        <w:rPr>
          <w:noProof/>
        </w:rPr>
        <w:t>[38,39]</w:t>
      </w:r>
      <w:r w:rsidRPr="004B51C7">
        <w:fldChar w:fldCharType="end"/>
      </w:r>
      <w:r w:rsidRPr="004B51C7">
        <w:t xml:space="preserve">. However, chronic inflammation derived from the inappropriate regulation of this process can produce damage to the host cells and lead to inflammation-related diseases </w:t>
      </w:r>
      <w:r w:rsidRPr="004B51C7">
        <w:fldChar w:fldCharType="begin" w:fldLock="1"/>
      </w:r>
      <w:r>
        <w:instrText>ADDIN CSL_CITATION {"citationItems":[{"id":"ITEM-1","itemData":{"DOI":"10.1038/s41591-019-0675-0","ISSN":"1546170X","PMID":"31806905","abstract":"Although intermittent increases in inflammation are critical for survival during physical injury and infection, recent research has revealed that certain social, environmental and lifestyle factors can promote systemic chronic inflammation (SCI) that can, in turn, lead to several diseases that collectively represent the leading causes of disability and mortality worldwide, such as cardiovascular disease, cancer, diabetes mellitus, chronic kidney disease, non-alcoholic fatty liver disease and autoimmune and neurodegenerative disorders. In the present Perspective we describe the multi-level mechanisms underlying SCI and several risk factors that promote this health-damaging phenotype, including infections, physical inactivity, poor diet, environmental and industrial toxicants and psychological stress. Furthermore, we suggest potential strategies for advancing the early diagnosis, prevention and treatment of SCI.","author":[{"dropping-particle":"","family":"Furman","given":"David","non-dropping-particle":"","parse-names":false,"suffix":""},{"dropping-particle":"","family":"Campisi","given":"Judith","non-dropping-particle":"","parse-names":false,"suffix":""},{"dropping-particle":"","family":"Verdin","given":"Eric","non-dropping-particle":"","parse-names":false,"suffix":""},{"dropping-particle":"","family":"Carrera-Bastos","given":"Pedro","non-dropping-particle":"","parse-names":false,"suffix":""},{"dropping-particle":"","family":"Targ","given":"Sasha","non-dropping-particle":"","parse-names":false,"suffix":""},{"dropping-particle":"","family":"Franceschi","given":"Claudio","non-dropping-particle":"","parse-names":false,"suffix":""},{"dropping-particle":"","family":"Ferrucci","given":"Luigi","non-dropping-particle":"","parse-names":false,"suffix":""},{"dropping-particle":"","family":"Gilroy","given":"Derek W.","non-dropping-particle":"","parse-names":false,"suffix":""},{"dropping-particle":"","family":"Fasano","given":"Alessio","non-dropping-particle":"","parse-names":false,"suffix":""},{"dropping-particle":"","family":"Miller","given":"Gary W.","non-dropping-particle":"","parse-names":false,"suffix":""},{"dropping-particle":"","family":"Miller","given":"Andrew H.","non-dropping-particle":"","parse-names":false,"suffix":""},{"dropping-particle":"","family":"Mantovani","given":"Alberto","non-dropping-particle":"","parse-names":false,"suffix":""},{"dropping-particle":"","family":"Weyand","given":"Cornelia M.","non-dropping-particle":"","parse-names":false,"suffix":""},{"dropping-particle":"","family":"Barzilai","given":"Nir","non-dropping-particle":"","parse-names":false,"suffix":""},{"dropping-particle":"","family":"Goronzy","given":"Jorg J.","non-dropping-particle":"","parse-names":false,"suffix":""},{"dropping-particle":"","family":"Rando","given":"Thomas A.","non-dropping-particle":"","parse-names":false,"suffix":""},{"dropping-particle":"","family":"Effros","given":"Rita B.","non-dropping-particle":"","parse-names":false,"suffix":""},{"dropping-particle":"","family":"Lucia","given":"Alejandro","non-dropping-particle":"","parse-names":false,"suffix":""},{"dropping-particle":"","family":"Kleinstreuer","given":"Nicole","non-dropping-particle":"","parse-names":false,"suffix":""},{"dropping-particle":"","family":"Slavich","given":"George M.","non-dropping-particle":"","parse-names":false,"suffix":""}],"container-title":"Nature Medicine","id":"ITEM-1","issue":"12","issued":{"date-parts":[["2019","12","1"]]},"page":"1822-1832","publisher":"Nature Research","title":"Chronic inflammation in the etiology of disease across the life span","type":"article-journal","volume":"25"},"uris":["http://www.mendeley.com/documents/?uuid=ab237e29-1010-3487-abe8-ae3824255f44"]}],"mendeley":{"formattedCitation":"[40]","plainTextFormattedCitation":"[40]","previouslyFormattedCitation":"[40]"},"properties":{"noteIndex":0},"schema":"https://github.com/citation-style-language/schema/raw/master/csl-citation.json"}</w:instrText>
      </w:r>
      <w:r w:rsidRPr="004B51C7">
        <w:fldChar w:fldCharType="separate"/>
      </w:r>
      <w:r w:rsidRPr="00C8126B">
        <w:rPr>
          <w:noProof/>
        </w:rPr>
        <w:t>[40]</w:t>
      </w:r>
      <w:r w:rsidRPr="004B51C7">
        <w:fldChar w:fldCharType="end"/>
      </w:r>
      <w:r w:rsidRPr="004B51C7">
        <w:t>.</w:t>
      </w:r>
    </w:p>
    <w:p w14:paraId="57574E3A" w14:textId="04C0D561" w:rsidR="003F461D" w:rsidRDefault="003F461D" w:rsidP="003F461D">
      <w:pPr>
        <w:spacing w:line="480" w:lineRule="auto"/>
        <w:ind w:firstLine="720"/>
      </w:pPr>
      <w:r w:rsidRPr="004B51C7">
        <w:t>To verify that the isolated lunasin maintained its biological activity, we tested the ability of the two purified fractions, F78 and F88, obtained from industrially produced whey treated with our designed enrichment method, to reduce pro-inflammatory response in LPS-activated murine macrophages. No detrimental effect over the viability of the immune cells (Figure 2.</w:t>
      </w:r>
      <w:r>
        <w:t>4</w:t>
      </w:r>
      <w:r w:rsidRPr="004B51C7">
        <w:t xml:space="preserve">E) was detected upon treatment with increasing concentrations of the two fractions. No effect was observed in most of the cases for fractions F78, while significant reduction of the pro-inflammatory markers was observed for fraction F88 (Figures 2.4 F-H), corroborating that our isolated lunasin is biologically active, and that a considerably high level of purity is required to exert the bioactive properties. The 30% reduction of TNF-α achieved by our isolated material at 2.4 mg/mL (190 </w:t>
      </w:r>
      <w:r w:rsidRPr="004B51C7">
        <w:rPr>
          <w:rFonts w:ascii="Times New Roman" w:hAnsi="Times New Roman" w:cs="Times New Roman"/>
        </w:rPr>
        <w:t>µ</w:t>
      </w:r>
      <w:r w:rsidRPr="004B51C7">
        <w:t xml:space="preserve">M lunasin) is comparable to the 23% reduction of TNF-α reported using 200 </w:t>
      </w:r>
      <w:r w:rsidRPr="004B51C7">
        <w:rPr>
          <w:rFonts w:ascii="Times New Roman" w:hAnsi="Times New Roman" w:cs="Times New Roman"/>
        </w:rPr>
        <w:t>µ</w:t>
      </w:r>
      <w:r w:rsidRPr="004B51C7">
        <w:t xml:space="preserve">M of synthetic lunasin under similar conditions of treatment of the same cell line </w:t>
      </w:r>
      <w:r w:rsidRPr="004B51C7">
        <w:fldChar w:fldCharType="begin" w:fldLock="1"/>
      </w:r>
      <w:r>
        <w:instrText>ADDIN CSL_CITATION {"citationItems":[{"id":"ITEM-1","itemData":{"DOI":"10.1016/j.bbrc.2009.10.053","ISSN":"0006291X","PMID":"19836349","abstract":"Oxidative stress and inflammation are two of the most critical factors implicated in carcinogenesis and other degenerative disorders. We have investigated how lunasin, a known anti-cancer seed peptide, affect these factors. This peptide inhibits linoleic acid oxidation and acts as 2,2′-azinobis (3-ethylbenzothiazoline-6-sulfonic acid) diammonium salt (ABTS) radical scavenger. Furthermore, using LPS-stimulated RAW 264.7 macrophages, we have demonstrated that lunasin reduces, in a significant dose-dependent manner, the production of reactive oxygen species (ROS) by LPS-induced macrophages. Lunasin also inhibits the release of pro-inflammatory cytokines (tumor necrosis factor-α [TNF-α] and interleukine-6 [IL-6]). On the basis of these potent antioxidant and anti-inflammatory properties, we propose lunasin not only as a cancer preventive and therapeutic agent but also as an agent against other inflammatory-related disorders. © 2009.","author":[{"dropping-particle":"","family":"Hernández-Ledesma","given":"Blanca","non-dropping-particle":"","parse-names":false,"suffix":""},{"dropping-particle":"","family":"Hsieh","given":"Chia Chien","non-dropping-particle":"","parse-names":false,"suffix":""},{"dropping-particle":"","family":"Lumen","given":"Ben O.","non-dropping-particle":"de","parse-names":false,"suffix":""}],"container-title":"Biochemical and Biophysical Research Communications","id":"ITEM-1","issue":"3","issued":{"date-parts":[["2009","12","18"]]},"page":"803-808","publisher":"Academic Press","title":"Antioxidant and anti-inflammatory properties of cancer preventive peptide lunasin in RAW 264.7 macrophages","type":"article-journal","volume":"390"},"uris":["http://www.mendeley.com/documents/?uuid=6d2a395c-c332-4f1f-b4e2-41312be084d2"]}],"mendeley":{"formattedCitation":"[37]","plainTextFormattedCitation":"[37]","previouslyFormattedCitation":"[37]"},"properties":{"noteIndex":0},"schema":"https://github.com/citation-style-language/schema/raw/master/csl-citation.json"}</w:instrText>
      </w:r>
      <w:r w:rsidRPr="004B51C7">
        <w:fldChar w:fldCharType="separate"/>
      </w:r>
      <w:r w:rsidRPr="00C8126B">
        <w:rPr>
          <w:noProof/>
        </w:rPr>
        <w:t>[37]</w:t>
      </w:r>
      <w:r w:rsidRPr="004B51C7">
        <w:fldChar w:fldCharType="end"/>
      </w:r>
      <w:r>
        <w:t>.</w:t>
      </w:r>
    </w:p>
    <w:p w14:paraId="74C6AEF2" w14:textId="77777777" w:rsidR="003F461D" w:rsidRDefault="003F461D" w:rsidP="003F461D">
      <w:pPr>
        <w:spacing w:line="480" w:lineRule="auto"/>
        <w:ind w:firstLine="720"/>
      </w:pPr>
    </w:p>
    <w:p w14:paraId="7AD37A9E" w14:textId="77777777" w:rsidR="00CF7D16" w:rsidRPr="0038270B" w:rsidRDefault="0038270B" w:rsidP="003F461D">
      <w:pPr>
        <w:pStyle w:val="Heading2"/>
        <w:spacing w:line="480" w:lineRule="auto"/>
      </w:pPr>
      <w:bookmarkStart w:id="51" w:name="_Toc77082115"/>
      <w:r>
        <w:lastRenderedPageBreak/>
        <w:t xml:space="preserve">2.5 </w:t>
      </w:r>
      <w:r w:rsidR="00CF7D16" w:rsidRPr="0038270B">
        <w:t>Conclusions</w:t>
      </w:r>
      <w:bookmarkEnd w:id="51"/>
    </w:p>
    <w:p w14:paraId="017DBA78" w14:textId="7AB79F84" w:rsidR="00CF7D16" w:rsidRPr="00E80703" w:rsidRDefault="00CF7D16" w:rsidP="003F461D">
      <w:pPr>
        <w:spacing w:line="480" w:lineRule="auto"/>
        <w:ind w:firstLine="720"/>
      </w:pPr>
      <w:r w:rsidRPr="00E80703">
        <w:t>A simple and feasible approach combining ethanolic-isoelectric precipitation and gel filtration chromatography was developed for the isolation of bioactive lunasin from tofu whey. In contrast to current isolation methods that waste valuable nutrients from the defatted soy flour or whole soybeans the implementation of our approach would favor the generation of three valuable products from the soybeans: tofu, an intermediate product resulting from the ethanolic treatment of the whey with potential as a protein dietary supplement, and</w:t>
      </w:r>
      <w:r w:rsidR="00CD0D93">
        <w:t xml:space="preserve"> a fraction highly enriched in</w:t>
      </w:r>
      <w:r w:rsidRPr="00E80703">
        <w:t xml:space="preserve"> lunasin. Our three-step process is competitive with current alternatives in terms of the quantity and purity of the final product, but faster and more sustainable. It promotes the valorization of a by-product largely produced by the tofu industry and at the same time facilitate</w:t>
      </w:r>
      <w:r w:rsidR="00CD0D93">
        <w:t>s</w:t>
      </w:r>
      <w:r w:rsidRPr="00E80703">
        <w:t xml:space="preserve"> a better utilization of soybean nutrients for the benefit and well-being of humans.  </w:t>
      </w:r>
    </w:p>
    <w:p w14:paraId="4F674EA2" w14:textId="77777777" w:rsidR="00975E37" w:rsidRPr="00BA2B3A" w:rsidRDefault="00975E37" w:rsidP="003F461D">
      <w:pPr>
        <w:spacing w:line="480" w:lineRule="auto"/>
        <w:rPr>
          <w:b/>
          <w:bCs/>
        </w:rPr>
      </w:pPr>
    </w:p>
    <w:p w14:paraId="494069CE" w14:textId="77777777" w:rsidR="00FF1665" w:rsidRDefault="00975E37" w:rsidP="003F461D">
      <w:pPr>
        <w:pStyle w:val="Heading2"/>
        <w:spacing w:line="480" w:lineRule="auto"/>
      </w:pPr>
      <w:r>
        <w:br w:type="page"/>
      </w:r>
      <w:bookmarkStart w:id="52" w:name="_Toc289175831"/>
      <w:bookmarkStart w:id="53" w:name="_Toc77082116"/>
      <w:r w:rsidR="00FF1665">
        <w:lastRenderedPageBreak/>
        <w:t>References</w:t>
      </w:r>
      <w:bookmarkEnd w:id="52"/>
      <w:bookmarkEnd w:id="53"/>
    </w:p>
    <w:p w14:paraId="49C3D575" w14:textId="77777777" w:rsidR="003F461D" w:rsidRPr="001768FF" w:rsidRDefault="003F461D" w:rsidP="003F461D">
      <w:pPr>
        <w:widowControl w:val="0"/>
        <w:autoSpaceDE w:val="0"/>
        <w:autoSpaceDN w:val="0"/>
        <w:adjustRightInd w:val="0"/>
        <w:spacing w:line="480" w:lineRule="auto"/>
        <w:ind w:left="640" w:hanging="640"/>
        <w:rPr>
          <w:noProof/>
        </w:rPr>
      </w:pPr>
      <w:r>
        <w:fldChar w:fldCharType="begin" w:fldLock="1"/>
      </w:r>
      <w:r>
        <w:instrText xml:space="preserve">ADDIN Mendeley Bibliography CSL_BIBLIOGRAPHY </w:instrText>
      </w:r>
      <w:r>
        <w:fldChar w:fldCharType="separate"/>
      </w:r>
      <w:r w:rsidRPr="001768FF">
        <w:rPr>
          <w:noProof/>
        </w:rPr>
        <w:t>[1]</w:t>
      </w:r>
      <w:r w:rsidRPr="001768FF">
        <w:rPr>
          <w:noProof/>
        </w:rPr>
        <w:tab/>
        <w:t>Grand View Research, Tofu Market Size, Share &amp; Trends Analysis Report By Distribution Channel (Supermarkets &amp; Hypermarkets, Grocery Stores, Online, Specialty Stores), By Region, And Segment Forecasts, 2019 - 2025, 2019. https://www.grandviewresearch.com/industry-analysis/tofu-market.</w:t>
      </w:r>
    </w:p>
    <w:p w14:paraId="78E0CB95"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[2]</w:t>
      </w:r>
      <w:r w:rsidRPr="001768FF">
        <w:rPr>
          <w:noProof/>
        </w:rPr>
        <w:tab/>
        <w:t>A. Singh, R. Banerjee, Value addition to soybean whey through microbial and enzymatic intervention, 2018.</w:t>
      </w:r>
    </w:p>
    <w:p w14:paraId="62EF0A6A"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[3]</w:t>
      </w:r>
      <w:r w:rsidRPr="001768FF">
        <w:rPr>
          <w:noProof/>
        </w:rPr>
        <w:tab/>
        <w:t>J.Y. Chua, S.Q. Liu, Soy whey: More than just wastewater from tofu and soy protein isolate industry, Trends Food Sci. Technol. 91 (2019) 24–32. https://doi.org/10.1016/j.tifs.2019.06.016.</w:t>
      </w:r>
    </w:p>
    <w:p w14:paraId="076F64F2"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[4]</w:t>
      </w:r>
      <w:r w:rsidRPr="001768FF">
        <w:rPr>
          <w:noProof/>
        </w:rPr>
        <w:tab/>
        <w:t>S. Fernández-Tomé, B. Hernández-Ledesma, Current state of art after twenty years of the discovery of bioactive peptide lunasin, Food Res. Int. 116 (2019) 71–78. https://doi.org/10.1016/j.foodres.2018.12.029.</w:t>
      </w:r>
    </w:p>
    <w:p w14:paraId="5780429F"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[5]</w:t>
      </w:r>
      <w:r w:rsidRPr="001768FF">
        <w:rPr>
          <w:noProof/>
        </w:rPr>
        <w:tab/>
        <w:t>X. Wan, H. Liu, Y. Sun, J. Zhang, X. Chen, N. Chen, Lunasin: A promising polypeptide for the prevention and treatment of cancer, Oncol. Lett. 13 (2017) 3997–4001. https://doi.org/10.3892/ol.2017.6017.</w:t>
      </w:r>
    </w:p>
    <w:p w14:paraId="6E88BC21"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[6]</w:t>
      </w:r>
      <w:r w:rsidRPr="001768FF">
        <w:rPr>
          <w:noProof/>
        </w:rPr>
        <w:tab/>
        <w:t>C.C. Hsieh, C. Martínez-Villaluenga, B.O. de Lumen, B. Hernández-Ledesma, Updating the research on the chemopreventive and therapeutic role of the peptide lunasin, J. Sci. Food Agric. 98 (2018) 2070–2079. https://doi.org/10.1002/jsfa.8719.</w:t>
      </w:r>
    </w:p>
    <w:p w14:paraId="0EA62D2F"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[7]</w:t>
      </w:r>
      <w:r w:rsidRPr="001768FF">
        <w:rPr>
          <w:noProof/>
        </w:rPr>
        <w:tab/>
        <w:t xml:space="preserve">S.B. Vuyyuri, C. Shidal, K.R. Davis, Development of the plant-derived </w:t>
      </w:r>
      <w:r w:rsidRPr="001768FF">
        <w:rPr>
          <w:noProof/>
        </w:rPr>
        <w:lastRenderedPageBreak/>
        <w:t>peptide lunasin as an anticancer agent, Curr. Opin. Pharmacol. 41 (2018) 27–33. https://doi.org/10.1016/j.coph.2018.04.006.</w:t>
      </w:r>
    </w:p>
    <w:p w14:paraId="18202CD5"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[8]</w:t>
      </w:r>
      <w:r w:rsidRPr="001768FF">
        <w:rPr>
          <w:noProof/>
        </w:rPr>
        <w:tab/>
        <w:t>H.B. Krishnan, T.T.Y. Wang, An effective and simple procedure to isolate abundant quantities of biologically active chemopreventive Lunasin Protease Inhibitor Concentrate (LPIC) from soybean, Food Chem. 177 (2015) 120–126. https://doi.org/10.1016/j.foodchem.2015.01.006.</w:t>
      </w:r>
    </w:p>
    <w:p w14:paraId="2564A92B"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[9]</w:t>
      </w:r>
      <w:r w:rsidRPr="001768FF">
        <w:rPr>
          <w:noProof/>
        </w:rPr>
        <w:tab/>
        <w:t>L.E. Seber, B.W. Barnett, E.J. McConnell, S.D. Hume, J. Cai, K. Boles, K.R. Davis, Scalable Purification and Characterization of the Anticancer Lunasin Peptide from Soybean, PLoS One. 7 (2012) e35409. https://doi.org/10.1371/journal.pone.0035409.</w:t>
      </w:r>
    </w:p>
    <w:p w14:paraId="21BA9C88"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[10]</w:t>
      </w:r>
      <w:r w:rsidRPr="001768FF">
        <w:rPr>
          <w:noProof/>
        </w:rPr>
        <w:tab/>
        <w:t>V.P. Dia, W. Wang, V.L. Oh, B.O. De Lumen, E.G. De Mejia, Isolation, purification and characterisation of lunasin from defatted soybean flour and in vitro evaluation of its anti-inflammatory activity, Food Chem. 114 (2009) 108–115. https://doi.org/10.1016/j.foodchem.2008.09.023.</w:t>
      </w:r>
    </w:p>
    <w:p w14:paraId="0F13D2F1"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[11]</w:t>
      </w:r>
      <w:r w:rsidRPr="001768FF">
        <w:rPr>
          <w:noProof/>
        </w:rPr>
        <w:tab/>
        <w:t>A. Cavazos, E. Morales, V.P. Dia, E.G. De Mejia, Analysis of Lunasin in Commercial and Pilot Plant Produced Soybean Products and an Improved Method of Lunasin Purification, J. Food Sci. 77 (2012). https://doi.org/10.1111/j.1750-3841.2012.02676.x.</w:t>
      </w:r>
    </w:p>
    <w:p w14:paraId="0690309C"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[12]</w:t>
      </w:r>
      <w:r w:rsidRPr="001768FF">
        <w:rPr>
          <w:noProof/>
        </w:rPr>
        <w:tab/>
        <w:t>B. Hernández-Ledesma, C.C. Hsieh, B.O. de Lumen, Lunasin and Bowman-Birk protease inhibitor (BBI) in US commercial soy foods, Food Chem. 115 (2009) 574–580. https://doi.org/10.1016/j.foodchem.2008.12.054.</w:t>
      </w:r>
    </w:p>
    <w:p w14:paraId="64A587F8"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lastRenderedPageBreak/>
        <w:t>[13]</w:t>
      </w:r>
      <w:r w:rsidRPr="001768FF">
        <w:rPr>
          <w:noProof/>
        </w:rPr>
        <w:tab/>
        <w:t>J.D. Gillman, W.S. Kim, H.B. Krishnan, Identification of a new soybean Kunitz trypsin inhibitor mutation and its effect on bowman-birk protease inhibitor content in soybean seed, J. Agric. Food Chem. 63 (2015) 1352–1359. https://doi.org/10.1021/jf505220p.</w:t>
      </w:r>
    </w:p>
    <w:p w14:paraId="3D5E10E2"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[14]</w:t>
      </w:r>
      <w:r w:rsidRPr="001768FF">
        <w:rPr>
          <w:noProof/>
        </w:rPr>
        <w:tab/>
        <w:t>S.J. Price, P. Pangloli, H.B. Krishnan, V.P. Dia, Kunitz trypsin inhibitor in addition to Bowman-Birk inhibitor influence stability of lunasin against pepsin-pancreatin hydrolysis, Food Res. Int. 90 (2016) 205–215. https://doi.org/10.1016/j.foodres.2016.10.051.</w:t>
      </w:r>
    </w:p>
    <w:p w14:paraId="5CBA7522"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[15]</w:t>
      </w:r>
      <w:r w:rsidRPr="001768FF">
        <w:rPr>
          <w:noProof/>
        </w:rPr>
        <w:tab/>
        <w:t>V.P. Dia, T. Gomez, G. Vernaza, M. Berhow, Y.K. Chang, E.G. De Mejia, Bowman-Birk and Kunitz protease inhibitors among antinutrients and bioactives modified by germination and hydrolysis in Brazilian soybean cultivar brs 133, J. Agric. Food Chem. 60 (2012) 7886–7894. https://doi.org/10.1021/jf301926w.</w:t>
      </w:r>
    </w:p>
    <w:p w14:paraId="782C7AAE"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[16]</w:t>
      </w:r>
      <w:r w:rsidRPr="001768FF">
        <w:rPr>
          <w:noProof/>
        </w:rPr>
        <w:tab/>
        <w:t>T. Masuko, A. Minami, N. Iwasaki, T. Majima, S.I. Nishimura, Y.C. Lee, Carbohydrate analysis by a phenol-sulfuric acid method in microplate format, Anal. Biochem. 339 (2005) 69–72. https://doi.org/10.1016/j.ab.2004.12.001.</w:t>
      </w:r>
    </w:p>
    <w:p w14:paraId="5D6B638A"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[17]</w:t>
      </w:r>
      <w:r w:rsidRPr="001768FF">
        <w:rPr>
          <w:noProof/>
        </w:rPr>
        <w:tab/>
        <w:t>H.B. Krishnan, N.W. Oehrle, S.S. Natarajan, A rapid and simple procedure for the depletion of abundant storage proteins from legume seeds to advance proteome analysis: A case study using Glycine max, Proteomics. 9 (2009) 3174–3188. https://doi.org/10.1002/pmic.200800875.</w:t>
      </w:r>
    </w:p>
    <w:p w14:paraId="7BD6888F"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[18]</w:t>
      </w:r>
      <w:r w:rsidRPr="001768FF">
        <w:rPr>
          <w:noProof/>
        </w:rPr>
        <w:tab/>
        <w:t xml:space="preserve">A. Nieto-Veloza, Z. Wang, Q. Zhong, H.B. Krishnan, V.P. Dia, BG-4 from </w:t>
      </w:r>
      <w:r w:rsidRPr="001768FF">
        <w:rPr>
          <w:noProof/>
        </w:rPr>
        <w:lastRenderedPageBreak/>
        <w:t>Bitter Gourd (Momordica charantia) Differentially Affects Inflammation In Vitro and In Vivo, Antioxidants. 8 (2019) 175. https://doi.org/10.3390/antiox8060175.</w:t>
      </w:r>
    </w:p>
    <w:p w14:paraId="7041D793"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[19]</w:t>
      </w:r>
      <w:r w:rsidRPr="001768FF">
        <w:rPr>
          <w:noProof/>
        </w:rPr>
        <w:tab/>
        <w:t>F.J. Kao, N.W. Su, M.H. Lee, Effect of calcium sulfate concentration in soymilk on the microstructure of firm tofu and the protein constitutions in tofu whey, J. Agric. Food Chem. 51 (2003) 6211–6216. https://doi.org/10.1021/jf0342021.</w:t>
      </w:r>
    </w:p>
    <w:p w14:paraId="28F80589"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[20]</w:t>
      </w:r>
      <w:r w:rsidRPr="001768FF">
        <w:rPr>
          <w:noProof/>
        </w:rPr>
        <w:tab/>
        <w:t>D.G. Lim, J.C. Lee, D.J. Kim, S.J. Kim, H.W. Yu, S.H. Jeong, Effects of precipitation process on the biophysical properties of highly concentrated proteins, J. Pharm. Investig. (2020) 1–11. https://doi.org/10.1007/s40005-020-00471-2.</w:t>
      </w:r>
    </w:p>
    <w:p w14:paraId="4DF9183C"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[21]</w:t>
      </w:r>
      <w:r w:rsidRPr="001768FF">
        <w:rPr>
          <w:noProof/>
        </w:rPr>
        <w:tab/>
        <w:t>P.F. Schubert, R.K. Finn, Alcohol precipitation of proteins: The relationship of denaturation and precipitation for catalase, Biotechnol. Bioeng. 23 (1981) 2569–2590. https://doi.org/10.1002/bit.260231114.</w:t>
      </w:r>
    </w:p>
    <w:p w14:paraId="682389DD"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[22]</w:t>
      </w:r>
      <w:r w:rsidRPr="001768FF">
        <w:rPr>
          <w:noProof/>
        </w:rPr>
        <w:tab/>
        <w:t>L.P. Peng, Y.T. Xu, X.T. Li, C.H. Tang, Improving the emulsification of soy β-conglycinin by alcohol-induced aggregation, Food Hydrocoll. 98 (2020) 105307. https://doi.org/10.1016/j.foodhyd.2019.105307.</w:t>
      </w:r>
    </w:p>
    <w:p w14:paraId="366CDBD8"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[23]</w:t>
      </w:r>
      <w:r w:rsidRPr="001768FF">
        <w:rPr>
          <w:noProof/>
        </w:rPr>
        <w:tab/>
        <w:t>S. Damodaran, Amino Acids, Peptides, and Proteins, in: S. Damodaran, K.L. Parkin, O.R. Fennema (Eds.), Fennema’s Food Chem., Fourth Edi, CRC Press, Boca Raton, FL, USA, 2008: pp. 217–300. https://doi.org/10.1080/01932691.2011.584482.</w:t>
      </w:r>
    </w:p>
    <w:p w14:paraId="093AD147"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[24]</w:t>
      </w:r>
      <w:r w:rsidRPr="001768FF">
        <w:rPr>
          <w:noProof/>
        </w:rPr>
        <w:tab/>
        <w:t xml:space="preserve">R. Aleksis, K. Jaudzems, R. Muceniece, E. Liepinsh, Lunasin is a redox </w:t>
      </w:r>
      <w:r w:rsidRPr="001768FF">
        <w:rPr>
          <w:noProof/>
        </w:rPr>
        <w:lastRenderedPageBreak/>
        <w:t>sensitive intrinsically disordered peptide with two transiently populated α-helical regions, Peptides. 85 (2016) 56–62. https://doi.org/10.1016/j.peptides.2016.09.006.</w:t>
      </w:r>
    </w:p>
    <w:p w14:paraId="307B422C"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[25]</w:t>
      </w:r>
      <w:r w:rsidRPr="001768FF">
        <w:rPr>
          <w:noProof/>
        </w:rPr>
        <w:tab/>
        <w:t>N. Tang, L.H. Skibsted, Calcium binding to amino acids and small glycine peptides in aqueous solution: Toward peptide design for better calcium bioavailability, J. Agric. Food Chem. 64 (2016) 4376–4389. https://doi.org/10.1021/acs.jafc.6b01534.</w:t>
      </w:r>
    </w:p>
    <w:p w14:paraId="03A6605D"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[26]</w:t>
      </w:r>
      <w:r w:rsidRPr="001768FF">
        <w:rPr>
          <w:noProof/>
        </w:rPr>
        <w:tab/>
        <w:t>K. Saio, T. Watanabe, M. Kaji, Food use of soybean 7s and 11s proteins. Extraction and functional properties of their fractions, J. Food Sci. 38 (1973) 1139–1144. https://doi.org/10.1111/j.1365-2621.1973.tb07222.x.</w:t>
      </w:r>
    </w:p>
    <w:p w14:paraId="20CB831D"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[27]</w:t>
      </w:r>
      <w:r w:rsidRPr="001768FF">
        <w:rPr>
          <w:noProof/>
        </w:rPr>
        <w:tab/>
        <w:t>D.H. Honig, W.J. Wolf, J.J. Rackis, Phytic Acid and Phosphorus Content of Various Soybean Protein Fractions l, Cereal Chem. 61 (1984) 523–526.</w:t>
      </w:r>
    </w:p>
    <w:p w14:paraId="3A71B345"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[28]</w:t>
      </w:r>
      <w:r w:rsidRPr="001768FF">
        <w:rPr>
          <w:noProof/>
        </w:rPr>
        <w:tab/>
        <w:t>M. Galbas, F. Porzucek, A. Woźniak, R. Słomski, M. Selwet, Isolation of low-molecular albumins of 2S fraction from soybean (Glycine max (L.) Merrill), Acta Biochim. Pol. 60 (2013) 107–110. www.actabp.pl (accessed November 7, 2019).</w:t>
      </w:r>
    </w:p>
    <w:p w14:paraId="36F73FB3"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[29]</w:t>
      </w:r>
      <w:r w:rsidRPr="001768FF">
        <w:rPr>
          <w:noProof/>
        </w:rPr>
        <w:tab/>
        <w:t>M. Pabich, M. Materska, Biological Effect of Soy Isoflavones in the Prevention of Civilization Diseases, Nutrients. 11 (2019) 1660. https://doi.org/10.3390/nu11071660.</w:t>
      </w:r>
    </w:p>
    <w:p w14:paraId="46538381"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[30]</w:t>
      </w:r>
      <w:r w:rsidRPr="001768FF">
        <w:rPr>
          <w:noProof/>
        </w:rPr>
        <w:tab/>
        <w:t xml:space="preserve">C.C. Zhao, P.H. Kim, J.B. Eun, Influence of high-intensity ultrasound application on the physicochemical properties, isoflavone composition, and antioxidant activity of tofu whey, LWT. 117 (2020) 108618. </w:t>
      </w:r>
      <w:r w:rsidRPr="001768FF">
        <w:rPr>
          <w:noProof/>
        </w:rPr>
        <w:lastRenderedPageBreak/>
        <w:t>https://doi.org/10.1016/j.lwt.2019.108618.</w:t>
      </w:r>
    </w:p>
    <w:p w14:paraId="0CE8BEAA"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[31]</w:t>
      </w:r>
      <w:r w:rsidRPr="001768FF">
        <w:rPr>
          <w:noProof/>
        </w:rPr>
        <w:tab/>
        <w:t>R.S. Singh, A.K. Walia, J.F. Kennedy, Purification and characterization of a heterodimeric mycelial lectin from Penicillium proteolyticum with potent mitogenic activity, Int. J. Biol. Macromol. 128 (2019) 124–131. https://doi.org/10.1016/j.ijbiomac.2019.01.103.</w:t>
      </w:r>
    </w:p>
    <w:p w14:paraId="57E72838"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[32]</w:t>
      </w:r>
      <w:r w:rsidRPr="001768FF">
        <w:rPr>
          <w:noProof/>
        </w:rPr>
        <w:tab/>
        <w:t>Z. Naqvi, R.H. Khan, M. Saleemuddin, A procedure for the purification of beta-lactoglobulin from bovine milk using gel filtration chromatography at low pH, Prep. Biochem. Biotechnol. 40 (2010) 326–336. https://doi.org/10.1080/10826068.2010.525405.</w:t>
      </w:r>
    </w:p>
    <w:p w14:paraId="59FEC97A"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[33]</w:t>
      </w:r>
      <w:r w:rsidRPr="001768FF">
        <w:rPr>
          <w:noProof/>
        </w:rPr>
        <w:tab/>
        <w:t>L. Ivanchenko, I. Shapoval, A. Makarov, A. Borsch, A physico-chemical analysis of carbon ammonium salts’ production technologies, J. Chem. Technol. Metall. 55 (2020) 843–851.</w:t>
      </w:r>
    </w:p>
    <w:p w14:paraId="1E84450F"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[34]</w:t>
      </w:r>
      <w:r w:rsidRPr="001768FF">
        <w:rPr>
          <w:noProof/>
        </w:rPr>
        <w:tab/>
        <w:t>GE, Size exclusion chromatography. Pinciples and methods, (2000) 1–139.</w:t>
      </w:r>
    </w:p>
    <w:p w14:paraId="535A0DF7"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[35]</w:t>
      </w:r>
      <w:r w:rsidRPr="001768FF">
        <w:rPr>
          <w:noProof/>
        </w:rPr>
        <w:tab/>
        <w:t>C. Nediani, L. Giovannelli, Oxidative Stress and Inflammation as Targets for Novel Preventive and Therapeutic Approches in Non Communicable Diseases, Antioxidants. 9 (2020) 290. https://doi.org/10.3390/antiox9040290.</w:t>
      </w:r>
    </w:p>
    <w:p w14:paraId="40D69B71"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[36]</w:t>
      </w:r>
      <w:r w:rsidRPr="001768FF">
        <w:rPr>
          <w:noProof/>
        </w:rPr>
        <w:tab/>
        <w:t>E.G. de Mejia, V.P. Dia, Lunasin and lunasin-like peptides inhibit inflammation through suppression of NF-κB pathway in the macrophage, Peptides. 30 (2009) 2388–2398. https://doi.org/10.1016/j.peptides.2009.08.005.</w:t>
      </w:r>
    </w:p>
    <w:p w14:paraId="0416084F"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[37]</w:t>
      </w:r>
      <w:r w:rsidRPr="001768FF">
        <w:rPr>
          <w:noProof/>
        </w:rPr>
        <w:tab/>
        <w:t>B. Hernández-Ledesma, C.C. Hsieh, B.O. de Lumen, Antioxidant and anti-</w:t>
      </w:r>
      <w:r w:rsidRPr="001768FF">
        <w:rPr>
          <w:noProof/>
        </w:rPr>
        <w:lastRenderedPageBreak/>
        <w:t>inflammatory properties of cancer preventive peptide lunasin in RAW 264.7 macrophages, Biochem. Biophys. Res. Commun. 390 (2009) 803–808. https://doi.org/10.1016/j.bbrc.2009.10.053.</w:t>
      </w:r>
    </w:p>
    <w:p w14:paraId="5C497266"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[38]</w:t>
      </w:r>
      <w:r w:rsidRPr="001768FF">
        <w:rPr>
          <w:noProof/>
        </w:rPr>
        <w:tab/>
        <w:t>T.H. Mogensen, Pathogen recognition and inflammatory signaling in innate immune defenses, Clin. Microbiol. Rev. 22 (2009) 240–273. https://doi.org/10.1128/CMR.00046-08.</w:t>
      </w:r>
    </w:p>
    <w:p w14:paraId="08B699A3"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[39]</w:t>
      </w:r>
      <w:r w:rsidRPr="001768FF">
        <w:rPr>
          <w:noProof/>
        </w:rPr>
        <w:tab/>
        <w:t>P. Tripathi, P. Tripathi, L. Kashyap, V. Singh, The role of nitric oxide in inflammatory reactions, FEMS Immunol. Med. Microbiol. 51 (2007) 443–452. https://doi.org/10.1111/j.1574-695X.2007.00329.x.</w:t>
      </w:r>
    </w:p>
    <w:p w14:paraId="6030A8E0" w14:textId="77777777" w:rsidR="003F461D" w:rsidRPr="001768FF" w:rsidRDefault="003F461D" w:rsidP="003F461D">
      <w:pPr>
        <w:widowControl w:val="0"/>
        <w:autoSpaceDE w:val="0"/>
        <w:autoSpaceDN w:val="0"/>
        <w:adjustRightInd w:val="0"/>
        <w:spacing w:line="480" w:lineRule="auto"/>
        <w:ind w:left="640" w:hanging="640"/>
        <w:rPr>
          <w:noProof/>
        </w:rPr>
      </w:pPr>
      <w:r w:rsidRPr="001768FF">
        <w:rPr>
          <w:noProof/>
        </w:rPr>
        <w:t>[40]</w:t>
      </w:r>
      <w:r w:rsidRPr="001768FF">
        <w:rPr>
          <w:noProof/>
        </w:rPr>
        <w:tab/>
        <w:t>D. Furman, J. Campisi, E. Verdin, P. Carrera-Bastos, S. Targ, C. Franceschi, L. Ferrucci, D.W. Gilroy, A. Fasano, G.W. Miller, A.H. Miller, A. Mantovani, C.M. Weyand, N. Barzilai, J.J. Goronzy, T.A. Rando, R.B. Effros, A. Lucia, N. Kleinstreuer, G.M. Slavich, Chronic inflammation in the etiology of disease across the life span, Nat. Med. 25 (2019) 1822–1832. https://doi.org/10.1038/s41591-019-0675-0.</w:t>
      </w:r>
    </w:p>
    <w:p w14:paraId="4727D7AE" w14:textId="45CB8F16" w:rsidR="00975E37" w:rsidRDefault="003F461D" w:rsidP="003F461D">
      <w:pPr>
        <w:spacing w:line="480" w:lineRule="auto"/>
      </w:pPr>
      <w:r>
        <w:fldChar w:fldCharType="end"/>
      </w:r>
    </w:p>
    <w:p w14:paraId="42E174DE" w14:textId="77777777" w:rsidR="003F461D" w:rsidRDefault="003F461D" w:rsidP="003F461D">
      <w:pPr>
        <w:spacing w:line="480" w:lineRule="auto"/>
        <w:rPr>
          <w:b/>
          <w:bCs/>
          <w:iCs/>
          <w:sz w:val="28"/>
          <w:szCs w:val="28"/>
        </w:rPr>
      </w:pPr>
      <w:bookmarkStart w:id="54" w:name="_Toc289175832"/>
      <w:r>
        <w:br w:type="page"/>
      </w:r>
    </w:p>
    <w:p w14:paraId="77DCBCCA" w14:textId="7A62FF1A" w:rsidR="00975E37" w:rsidRDefault="00975E37" w:rsidP="003F461D">
      <w:pPr>
        <w:pStyle w:val="Heading2"/>
        <w:spacing w:line="480" w:lineRule="auto"/>
      </w:pPr>
      <w:bookmarkStart w:id="55" w:name="_Toc77082117"/>
      <w:r>
        <w:lastRenderedPageBreak/>
        <w:t>Appendix</w:t>
      </w:r>
      <w:bookmarkEnd w:id="54"/>
      <w:bookmarkEnd w:id="55"/>
    </w:p>
    <w:p w14:paraId="3DBC133C" w14:textId="687A149F" w:rsidR="00DF5BBC" w:rsidRPr="00022C8C" w:rsidRDefault="00C260C9" w:rsidP="002B3E0C">
      <w:pPr>
        <w:pStyle w:val="Heading3"/>
        <w:spacing w:line="480" w:lineRule="auto"/>
        <w:jc w:val="center"/>
        <w:rPr>
          <w:i w:val="0"/>
        </w:rPr>
      </w:pPr>
      <w:bookmarkStart w:id="56" w:name="_Toc77082118"/>
      <w:bookmarkStart w:id="57" w:name="_Hlk74222336"/>
      <w:r w:rsidRPr="00022C8C">
        <w:rPr>
          <w:i w:val="0"/>
        </w:rPr>
        <w:t>Tables and Figures</w:t>
      </w:r>
      <w:bookmarkEnd w:id="56"/>
    </w:p>
    <w:p w14:paraId="316DD0D8" w14:textId="12F8595A" w:rsidR="00565BC4" w:rsidRPr="00565BC4" w:rsidRDefault="00565BC4" w:rsidP="003F461D">
      <w:pPr>
        <w:pStyle w:val="Caption"/>
        <w:spacing w:line="480" w:lineRule="auto"/>
        <w:jc w:val="center"/>
        <w:rPr>
          <w:b w:val="0"/>
        </w:rPr>
      </w:pPr>
      <w:bookmarkStart w:id="58" w:name="_Toc77082172"/>
      <w:bookmarkStart w:id="59" w:name="_Toc289175833"/>
      <w:bookmarkEnd w:id="57"/>
      <w:r>
        <w:t xml:space="preserve">Table </w:t>
      </w:r>
      <w:fldSimple w:instr=" STYLEREF 1 \s ">
        <w:r w:rsidR="0023061D">
          <w:rPr>
            <w:noProof/>
          </w:rPr>
          <w:t>2</w:t>
        </w:r>
      </w:fldSimple>
      <w:r w:rsidR="005A09AF">
        <w:t>.</w:t>
      </w:r>
      <w:fldSimple w:instr=" SEQ Table \* ARABIC \s 1 ">
        <w:r w:rsidR="0023061D">
          <w:rPr>
            <w:noProof/>
          </w:rPr>
          <w:t>1</w:t>
        </w:r>
      </w:fldSimple>
      <w:r>
        <w:t xml:space="preserve"> </w:t>
      </w:r>
      <w:r w:rsidRPr="00565BC4">
        <w:rPr>
          <w:b w:val="0"/>
        </w:rPr>
        <w:t>Yield of products in tofu preparation at the laboratory scale</w:t>
      </w:r>
      <w:r w:rsidR="00820A9C">
        <w:rPr>
          <w:b w:val="0"/>
        </w:rPr>
        <w:t>.</w:t>
      </w:r>
      <w:bookmarkEnd w:id="58"/>
    </w:p>
    <w:tbl>
      <w:tblPr>
        <w:tblW w:w="4172" w:type="dxa"/>
        <w:jc w:val="center"/>
        <w:tblCellMar>
          <w:left w:w="70" w:type="dxa"/>
          <w:right w:w="70" w:type="dxa"/>
        </w:tblCellMar>
        <w:tblLook w:val="04A0" w:firstRow="1" w:lastRow="0" w:firstColumn="1" w:lastColumn="0" w:noHBand="0" w:noVBand="1"/>
      </w:tblPr>
      <w:tblGrid>
        <w:gridCol w:w="1772"/>
        <w:gridCol w:w="1200"/>
        <w:gridCol w:w="1200"/>
      </w:tblGrid>
      <w:tr w:rsidR="008877B4" w:rsidRPr="00CC34E3" w14:paraId="7DBEF89B" w14:textId="77777777" w:rsidTr="00173C38">
        <w:trPr>
          <w:trHeight w:val="300"/>
          <w:jc w:val="center"/>
        </w:trPr>
        <w:tc>
          <w:tcPr>
            <w:tcW w:w="1772" w:type="dxa"/>
            <w:tcBorders>
              <w:top w:val="single" w:sz="4" w:space="0" w:color="auto"/>
              <w:left w:val="nil"/>
              <w:bottom w:val="single" w:sz="4" w:space="0" w:color="auto"/>
              <w:right w:val="nil"/>
            </w:tcBorders>
            <w:noWrap/>
            <w:vAlign w:val="center"/>
            <w:hideMark/>
          </w:tcPr>
          <w:p w14:paraId="5CF1AEFB" w14:textId="77777777" w:rsidR="008877B4" w:rsidRPr="00CC34E3" w:rsidRDefault="008877B4" w:rsidP="00173C38">
            <w:pPr>
              <w:jc w:val="center"/>
              <w:rPr>
                <w:b/>
                <w:color w:val="000000"/>
                <w:lang w:eastAsia="es-CO"/>
              </w:rPr>
            </w:pPr>
            <w:r w:rsidRPr="00CC34E3">
              <w:rPr>
                <w:b/>
                <w:color w:val="000000"/>
                <w:lang w:eastAsia="es-CO"/>
              </w:rPr>
              <w:t>Product</w:t>
            </w:r>
          </w:p>
        </w:tc>
        <w:tc>
          <w:tcPr>
            <w:tcW w:w="1200" w:type="dxa"/>
            <w:tcBorders>
              <w:top w:val="single" w:sz="4" w:space="0" w:color="auto"/>
              <w:left w:val="nil"/>
              <w:bottom w:val="single" w:sz="4" w:space="0" w:color="auto"/>
              <w:right w:val="nil"/>
            </w:tcBorders>
            <w:noWrap/>
            <w:vAlign w:val="center"/>
            <w:hideMark/>
          </w:tcPr>
          <w:p w14:paraId="3ED2BC15" w14:textId="77777777" w:rsidR="008877B4" w:rsidRPr="00CC34E3" w:rsidRDefault="008877B4" w:rsidP="00173C38">
            <w:pPr>
              <w:jc w:val="center"/>
              <w:rPr>
                <w:b/>
                <w:color w:val="000000"/>
                <w:lang w:eastAsia="es-CO"/>
              </w:rPr>
            </w:pPr>
            <w:r w:rsidRPr="00CC34E3">
              <w:rPr>
                <w:b/>
                <w:color w:val="000000"/>
                <w:lang w:eastAsia="es-CO"/>
              </w:rPr>
              <w:t>Units</w:t>
            </w:r>
          </w:p>
        </w:tc>
        <w:tc>
          <w:tcPr>
            <w:tcW w:w="1200" w:type="dxa"/>
            <w:tcBorders>
              <w:top w:val="single" w:sz="4" w:space="0" w:color="auto"/>
              <w:left w:val="nil"/>
              <w:bottom w:val="single" w:sz="4" w:space="0" w:color="auto"/>
              <w:right w:val="nil"/>
            </w:tcBorders>
            <w:noWrap/>
            <w:vAlign w:val="center"/>
            <w:hideMark/>
          </w:tcPr>
          <w:p w14:paraId="358656DC" w14:textId="77777777" w:rsidR="008877B4" w:rsidRPr="00CC34E3" w:rsidRDefault="008877B4" w:rsidP="00173C38">
            <w:pPr>
              <w:jc w:val="center"/>
              <w:rPr>
                <w:b/>
                <w:color w:val="000000"/>
                <w:lang w:eastAsia="es-CO"/>
              </w:rPr>
            </w:pPr>
            <w:r w:rsidRPr="00CC34E3">
              <w:rPr>
                <w:b/>
                <w:color w:val="000000"/>
                <w:lang w:eastAsia="es-CO"/>
              </w:rPr>
              <w:t>Average</w:t>
            </w:r>
          </w:p>
        </w:tc>
      </w:tr>
      <w:tr w:rsidR="008877B4" w:rsidRPr="00CC34E3" w14:paraId="38AA16C5" w14:textId="77777777" w:rsidTr="00173C38">
        <w:trPr>
          <w:trHeight w:val="300"/>
          <w:jc w:val="center"/>
        </w:trPr>
        <w:tc>
          <w:tcPr>
            <w:tcW w:w="1772" w:type="dxa"/>
            <w:tcBorders>
              <w:top w:val="single" w:sz="4" w:space="0" w:color="auto"/>
              <w:left w:val="nil"/>
              <w:bottom w:val="nil"/>
              <w:right w:val="nil"/>
            </w:tcBorders>
            <w:noWrap/>
            <w:vAlign w:val="center"/>
            <w:hideMark/>
          </w:tcPr>
          <w:p w14:paraId="2254457A" w14:textId="77777777" w:rsidR="008877B4" w:rsidRPr="00CC34E3" w:rsidRDefault="008877B4" w:rsidP="00173C38">
            <w:pPr>
              <w:jc w:val="center"/>
              <w:rPr>
                <w:color w:val="000000"/>
                <w:lang w:eastAsia="es-CO"/>
              </w:rPr>
            </w:pPr>
            <w:r w:rsidRPr="00CC34E3">
              <w:rPr>
                <w:color w:val="000000"/>
                <w:lang w:eastAsia="es-CO"/>
              </w:rPr>
              <w:t>Dry Soybeans</w:t>
            </w:r>
          </w:p>
        </w:tc>
        <w:tc>
          <w:tcPr>
            <w:tcW w:w="1200" w:type="dxa"/>
            <w:tcBorders>
              <w:top w:val="single" w:sz="4" w:space="0" w:color="auto"/>
              <w:left w:val="nil"/>
              <w:bottom w:val="nil"/>
              <w:right w:val="nil"/>
            </w:tcBorders>
            <w:noWrap/>
            <w:vAlign w:val="center"/>
            <w:hideMark/>
          </w:tcPr>
          <w:p w14:paraId="15FA13D8" w14:textId="2223ACE8" w:rsidR="008877B4" w:rsidRPr="00CC34E3" w:rsidRDefault="005B6A80" w:rsidP="00173C38">
            <w:pPr>
              <w:jc w:val="center"/>
              <w:rPr>
                <w:color w:val="000000"/>
                <w:lang w:eastAsia="es-CO"/>
              </w:rPr>
            </w:pPr>
            <w:r>
              <w:rPr>
                <w:color w:val="000000"/>
                <w:lang w:eastAsia="es-CO"/>
              </w:rPr>
              <w:t>g</w:t>
            </w:r>
          </w:p>
        </w:tc>
        <w:tc>
          <w:tcPr>
            <w:tcW w:w="1200" w:type="dxa"/>
            <w:tcBorders>
              <w:top w:val="single" w:sz="4" w:space="0" w:color="auto"/>
              <w:left w:val="nil"/>
              <w:bottom w:val="nil"/>
              <w:right w:val="nil"/>
            </w:tcBorders>
            <w:noWrap/>
            <w:vAlign w:val="center"/>
            <w:hideMark/>
          </w:tcPr>
          <w:p w14:paraId="35D7F3A0" w14:textId="77777777" w:rsidR="008877B4" w:rsidRPr="00CC34E3" w:rsidRDefault="008877B4" w:rsidP="00173C38">
            <w:pPr>
              <w:jc w:val="center"/>
              <w:rPr>
                <w:color w:val="000000"/>
                <w:lang w:eastAsia="es-CO"/>
              </w:rPr>
            </w:pPr>
            <w:r w:rsidRPr="00CC34E3">
              <w:rPr>
                <w:color w:val="000000"/>
                <w:lang w:eastAsia="es-CO"/>
              </w:rPr>
              <w:t>100 ± 0</w:t>
            </w:r>
          </w:p>
        </w:tc>
      </w:tr>
      <w:tr w:rsidR="008877B4" w:rsidRPr="00CC34E3" w14:paraId="6341768E" w14:textId="77777777" w:rsidTr="00173C38">
        <w:trPr>
          <w:trHeight w:val="300"/>
          <w:jc w:val="center"/>
        </w:trPr>
        <w:tc>
          <w:tcPr>
            <w:tcW w:w="1772" w:type="dxa"/>
            <w:noWrap/>
            <w:vAlign w:val="center"/>
            <w:hideMark/>
          </w:tcPr>
          <w:p w14:paraId="70384EA4" w14:textId="77777777" w:rsidR="008877B4" w:rsidRPr="00CC34E3" w:rsidRDefault="008877B4" w:rsidP="00173C38">
            <w:pPr>
              <w:jc w:val="center"/>
              <w:rPr>
                <w:color w:val="000000"/>
                <w:lang w:eastAsia="es-CO"/>
              </w:rPr>
            </w:pPr>
            <w:r w:rsidRPr="00CC34E3">
              <w:rPr>
                <w:color w:val="000000"/>
                <w:lang w:eastAsia="es-CO"/>
              </w:rPr>
              <w:t>Okara</w:t>
            </w:r>
          </w:p>
        </w:tc>
        <w:tc>
          <w:tcPr>
            <w:tcW w:w="1200" w:type="dxa"/>
            <w:noWrap/>
            <w:vAlign w:val="center"/>
            <w:hideMark/>
          </w:tcPr>
          <w:p w14:paraId="3B2DE9EE" w14:textId="04151158" w:rsidR="008877B4" w:rsidRPr="00CC34E3" w:rsidRDefault="005B6A80" w:rsidP="00173C38">
            <w:pPr>
              <w:jc w:val="center"/>
              <w:rPr>
                <w:color w:val="000000"/>
                <w:lang w:eastAsia="es-CO"/>
              </w:rPr>
            </w:pPr>
            <w:r>
              <w:rPr>
                <w:color w:val="000000"/>
                <w:lang w:eastAsia="es-CO"/>
              </w:rPr>
              <w:t>g</w:t>
            </w:r>
          </w:p>
        </w:tc>
        <w:tc>
          <w:tcPr>
            <w:tcW w:w="1200" w:type="dxa"/>
            <w:noWrap/>
            <w:vAlign w:val="center"/>
            <w:hideMark/>
          </w:tcPr>
          <w:p w14:paraId="6B742F24" w14:textId="77777777" w:rsidR="008877B4" w:rsidRPr="00CC34E3" w:rsidRDefault="008877B4" w:rsidP="00173C38">
            <w:pPr>
              <w:jc w:val="center"/>
              <w:rPr>
                <w:color w:val="000000"/>
                <w:lang w:eastAsia="es-CO"/>
              </w:rPr>
            </w:pPr>
            <w:r w:rsidRPr="00CC34E3">
              <w:rPr>
                <w:color w:val="000000"/>
                <w:lang w:eastAsia="es-CO"/>
              </w:rPr>
              <w:t>289 ± 11</w:t>
            </w:r>
          </w:p>
        </w:tc>
      </w:tr>
      <w:tr w:rsidR="008877B4" w:rsidRPr="00CC34E3" w14:paraId="54B91FFE" w14:textId="77777777" w:rsidTr="00173C38">
        <w:trPr>
          <w:trHeight w:val="300"/>
          <w:jc w:val="center"/>
        </w:trPr>
        <w:tc>
          <w:tcPr>
            <w:tcW w:w="1772" w:type="dxa"/>
            <w:noWrap/>
            <w:vAlign w:val="center"/>
            <w:hideMark/>
          </w:tcPr>
          <w:p w14:paraId="616E16CD" w14:textId="77777777" w:rsidR="008877B4" w:rsidRPr="00CC34E3" w:rsidRDefault="008877B4" w:rsidP="00173C38">
            <w:pPr>
              <w:jc w:val="center"/>
              <w:rPr>
                <w:color w:val="000000"/>
                <w:lang w:eastAsia="es-CO"/>
              </w:rPr>
            </w:pPr>
            <w:r w:rsidRPr="00CC34E3">
              <w:rPr>
                <w:color w:val="000000"/>
                <w:lang w:eastAsia="es-CO"/>
              </w:rPr>
              <w:t>Soy milk</w:t>
            </w:r>
          </w:p>
        </w:tc>
        <w:tc>
          <w:tcPr>
            <w:tcW w:w="1200" w:type="dxa"/>
            <w:noWrap/>
            <w:vAlign w:val="center"/>
            <w:hideMark/>
          </w:tcPr>
          <w:p w14:paraId="576DA1EB" w14:textId="77777777" w:rsidR="008877B4" w:rsidRPr="00CC34E3" w:rsidRDefault="008877B4" w:rsidP="00173C38">
            <w:pPr>
              <w:jc w:val="center"/>
              <w:rPr>
                <w:color w:val="000000"/>
                <w:lang w:eastAsia="es-CO"/>
              </w:rPr>
            </w:pPr>
            <w:r w:rsidRPr="00CC34E3">
              <w:rPr>
                <w:color w:val="000000"/>
                <w:lang w:eastAsia="es-CO"/>
              </w:rPr>
              <w:t>mL</w:t>
            </w:r>
          </w:p>
        </w:tc>
        <w:tc>
          <w:tcPr>
            <w:tcW w:w="1200" w:type="dxa"/>
            <w:noWrap/>
            <w:vAlign w:val="center"/>
            <w:hideMark/>
          </w:tcPr>
          <w:p w14:paraId="23E9A058" w14:textId="77777777" w:rsidR="008877B4" w:rsidRPr="00CC34E3" w:rsidRDefault="008877B4" w:rsidP="00173C38">
            <w:pPr>
              <w:jc w:val="center"/>
              <w:rPr>
                <w:color w:val="000000"/>
                <w:lang w:eastAsia="es-CO"/>
              </w:rPr>
            </w:pPr>
            <w:r w:rsidRPr="00CC34E3">
              <w:rPr>
                <w:color w:val="000000"/>
                <w:lang w:eastAsia="es-CO"/>
              </w:rPr>
              <w:t>617 ± 29</w:t>
            </w:r>
          </w:p>
        </w:tc>
      </w:tr>
      <w:tr w:rsidR="008877B4" w:rsidRPr="00CC34E3" w14:paraId="7063845A" w14:textId="77777777" w:rsidTr="00173C38">
        <w:trPr>
          <w:trHeight w:val="300"/>
          <w:jc w:val="center"/>
        </w:trPr>
        <w:tc>
          <w:tcPr>
            <w:tcW w:w="1772" w:type="dxa"/>
            <w:noWrap/>
            <w:vAlign w:val="center"/>
            <w:hideMark/>
          </w:tcPr>
          <w:p w14:paraId="5D0D2CD0" w14:textId="77777777" w:rsidR="008877B4" w:rsidRPr="00CC34E3" w:rsidRDefault="008877B4" w:rsidP="00173C38">
            <w:pPr>
              <w:jc w:val="center"/>
              <w:rPr>
                <w:color w:val="000000"/>
                <w:lang w:eastAsia="es-CO"/>
              </w:rPr>
            </w:pPr>
            <w:r w:rsidRPr="00CC34E3">
              <w:rPr>
                <w:color w:val="000000"/>
                <w:lang w:eastAsia="es-CO"/>
              </w:rPr>
              <w:t>Tofu</w:t>
            </w:r>
          </w:p>
        </w:tc>
        <w:tc>
          <w:tcPr>
            <w:tcW w:w="1200" w:type="dxa"/>
            <w:noWrap/>
            <w:vAlign w:val="center"/>
            <w:hideMark/>
          </w:tcPr>
          <w:p w14:paraId="5D7D03B9" w14:textId="3C239907" w:rsidR="008877B4" w:rsidRPr="00CC34E3" w:rsidRDefault="005B6A80" w:rsidP="00173C38">
            <w:pPr>
              <w:jc w:val="center"/>
              <w:rPr>
                <w:color w:val="000000"/>
                <w:lang w:eastAsia="es-CO"/>
              </w:rPr>
            </w:pPr>
            <w:r>
              <w:rPr>
                <w:color w:val="000000"/>
                <w:lang w:eastAsia="es-CO"/>
              </w:rPr>
              <w:t>g</w:t>
            </w:r>
          </w:p>
        </w:tc>
        <w:tc>
          <w:tcPr>
            <w:tcW w:w="1200" w:type="dxa"/>
            <w:noWrap/>
            <w:vAlign w:val="center"/>
            <w:hideMark/>
          </w:tcPr>
          <w:p w14:paraId="2004BA15" w14:textId="77777777" w:rsidR="008877B4" w:rsidRPr="00CC34E3" w:rsidRDefault="008877B4" w:rsidP="00173C38">
            <w:pPr>
              <w:jc w:val="center"/>
              <w:rPr>
                <w:color w:val="000000"/>
                <w:lang w:eastAsia="es-CO"/>
              </w:rPr>
            </w:pPr>
            <w:r w:rsidRPr="00CC34E3">
              <w:rPr>
                <w:color w:val="000000"/>
                <w:lang w:eastAsia="es-CO"/>
              </w:rPr>
              <w:t>197 ± 7</w:t>
            </w:r>
          </w:p>
        </w:tc>
      </w:tr>
      <w:tr w:rsidR="008877B4" w:rsidRPr="00CC34E3" w14:paraId="027889FD" w14:textId="77777777" w:rsidTr="00173C38">
        <w:trPr>
          <w:trHeight w:val="300"/>
          <w:jc w:val="center"/>
        </w:trPr>
        <w:tc>
          <w:tcPr>
            <w:tcW w:w="1772" w:type="dxa"/>
            <w:tcBorders>
              <w:top w:val="nil"/>
              <w:left w:val="nil"/>
              <w:bottom w:val="single" w:sz="4" w:space="0" w:color="auto"/>
              <w:right w:val="nil"/>
            </w:tcBorders>
            <w:noWrap/>
            <w:vAlign w:val="center"/>
            <w:hideMark/>
          </w:tcPr>
          <w:p w14:paraId="34D970E6" w14:textId="77777777" w:rsidR="008877B4" w:rsidRPr="00CC34E3" w:rsidRDefault="008877B4" w:rsidP="00173C38">
            <w:pPr>
              <w:jc w:val="center"/>
              <w:rPr>
                <w:color w:val="000000"/>
                <w:lang w:eastAsia="es-CO"/>
              </w:rPr>
            </w:pPr>
            <w:r w:rsidRPr="00CC34E3">
              <w:rPr>
                <w:color w:val="000000"/>
                <w:lang w:eastAsia="es-CO"/>
              </w:rPr>
              <w:t>Whey</w:t>
            </w:r>
          </w:p>
        </w:tc>
        <w:tc>
          <w:tcPr>
            <w:tcW w:w="1200" w:type="dxa"/>
            <w:tcBorders>
              <w:top w:val="nil"/>
              <w:left w:val="nil"/>
              <w:bottom w:val="single" w:sz="4" w:space="0" w:color="auto"/>
              <w:right w:val="nil"/>
            </w:tcBorders>
            <w:noWrap/>
            <w:vAlign w:val="center"/>
            <w:hideMark/>
          </w:tcPr>
          <w:p w14:paraId="14CCF94E" w14:textId="77777777" w:rsidR="008877B4" w:rsidRPr="00CC34E3" w:rsidRDefault="008877B4" w:rsidP="00173C38">
            <w:pPr>
              <w:jc w:val="center"/>
              <w:rPr>
                <w:color w:val="000000"/>
                <w:lang w:eastAsia="es-CO"/>
              </w:rPr>
            </w:pPr>
            <w:r w:rsidRPr="00CC34E3">
              <w:rPr>
                <w:color w:val="000000"/>
                <w:lang w:eastAsia="es-CO"/>
              </w:rPr>
              <w:t>mL</w:t>
            </w:r>
          </w:p>
        </w:tc>
        <w:tc>
          <w:tcPr>
            <w:tcW w:w="1200" w:type="dxa"/>
            <w:tcBorders>
              <w:top w:val="nil"/>
              <w:left w:val="nil"/>
              <w:bottom w:val="single" w:sz="4" w:space="0" w:color="auto"/>
              <w:right w:val="nil"/>
            </w:tcBorders>
            <w:noWrap/>
            <w:vAlign w:val="center"/>
            <w:hideMark/>
          </w:tcPr>
          <w:p w14:paraId="1684DF55" w14:textId="77777777" w:rsidR="008877B4" w:rsidRPr="00CC34E3" w:rsidRDefault="008877B4" w:rsidP="00173C38">
            <w:pPr>
              <w:keepNext/>
              <w:jc w:val="center"/>
              <w:rPr>
                <w:color w:val="000000"/>
                <w:lang w:eastAsia="es-CO"/>
              </w:rPr>
            </w:pPr>
            <w:r w:rsidRPr="00CC34E3">
              <w:rPr>
                <w:color w:val="000000"/>
                <w:lang w:eastAsia="es-CO"/>
              </w:rPr>
              <w:t>362 ± 20</w:t>
            </w:r>
          </w:p>
        </w:tc>
      </w:tr>
    </w:tbl>
    <w:p w14:paraId="655254AC" w14:textId="77777777" w:rsidR="008877B4" w:rsidRDefault="008877B4" w:rsidP="008877B4">
      <w:pPr>
        <w:spacing w:line="480" w:lineRule="auto"/>
      </w:pPr>
    </w:p>
    <w:p w14:paraId="2287394F" w14:textId="77777777" w:rsidR="008877B4" w:rsidRDefault="008877B4" w:rsidP="008877B4">
      <w:pPr>
        <w:spacing w:after="160" w:line="259" w:lineRule="auto"/>
      </w:pPr>
      <w:r>
        <w:br w:type="page"/>
      </w:r>
    </w:p>
    <w:p w14:paraId="38AE489E" w14:textId="77777777" w:rsidR="00565BC4" w:rsidRDefault="008877B4" w:rsidP="00565BC4">
      <w:pPr>
        <w:keepNext/>
        <w:jc w:val="center"/>
      </w:pPr>
      <w:r>
        <w:rPr>
          <w:noProof/>
        </w:rPr>
        <w:lastRenderedPageBreak/>
        <w:drawing>
          <wp:inline distT="0" distB="0" distL="0" distR="0" wp14:anchorId="00C22B85" wp14:editId="340C3242">
            <wp:extent cx="3795891" cy="4737956"/>
            <wp:effectExtent l="0" t="0" r="0" b="5715"/>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rotWithShape="1">
                    <a:blip r:embed="rId21" cstate="print">
                      <a:extLst>
                        <a:ext uri="{28A0092B-C50C-407E-A947-70E740481C1C}">
                          <a14:useLocalDpi xmlns:a14="http://schemas.microsoft.com/office/drawing/2010/main" val="0"/>
                        </a:ext>
                      </a:extLst>
                    </a:blip>
                    <a:srcRect b="3531"/>
                    <a:stretch/>
                  </pic:blipFill>
                  <pic:spPr bwMode="auto">
                    <a:xfrm>
                      <a:off x="0" y="0"/>
                      <a:ext cx="3802568" cy="4746290"/>
                    </a:xfrm>
                    <a:prstGeom prst="rect">
                      <a:avLst/>
                    </a:prstGeom>
                    <a:ln>
                      <a:noFill/>
                    </a:ln>
                    <a:extLst>
                      <a:ext uri="{53640926-AAD7-44D8-BBD7-CCE9431645EC}">
                        <a14:shadowObscured xmlns:a14="http://schemas.microsoft.com/office/drawing/2010/main"/>
                      </a:ext>
                    </a:extLst>
                  </pic:spPr>
                </pic:pic>
              </a:graphicData>
            </a:graphic>
          </wp:inline>
        </w:drawing>
      </w:r>
    </w:p>
    <w:p w14:paraId="1124A2BA" w14:textId="4298941A" w:rsidR="0021461A" w:rsidRDefault="00565BC4" w:rsidP="003F461D">
      <w:pPr>
        <w:pStyle w:val="Caption"/>
        <w:spacing w:line="480" w:lineRule="auto"/>
        <w:jc w:val="center"/>
        <w:rPr>
          <w:b w:val="0"/>
          <w:bCs w:val="0"/>
        </w:rPr>
      </w:pPr>
      <w:bookmarkStart w:id="60" w:name="_Toc77082181"/>
      <w:r>
        <w:t xml:space="preserve">Figure </w:t>
      </w:r>
      <w:fldSimple w:instr=" STYLEREF 1 \s ">
        <w:r w:rsidR="0023061D">
          <w:rPr>
            <w:noProof/>
          </w:rPr>
          <w:t>2</w:t>
        </w:r>
      </w:fldSimple>
      <w:r w:rsidR="00A8604A">
        <w:t>.</w:t>
      </w:r>
      <w:fldSimple w:instr=" SEQ Figure \* ARABIC \s 1 ">
        <w:r w:rsidR="0023061D">
          <w:rPr>
            <w:noProof/>
          </w:rPr>
          <w:t>1</w:t>
        </w:r>
      </w:fldSimple>
      <w:r>
        <w:t xml:space="preserve"> </w:t>
      </w:r>
      <w:r w:rsidRPr="00565BC4">
        <w:rPr>
          <w:b w:val="0"/>
          <w:bCs w:val="0"/>
        </w:rPr>
        <w:t>Ethanolic precipitation of high molecular weight proteins</w:t>
      </w:r>
      <w:r w:rsidRPr="00565BC4">
        <w:rPr>
          <w:b w:val="0"/>
        </w:rPr>
        <w:t>.</w:t>
      </w:r>
      <w:bookmarkEnd w:id="60"/>
    </w:p>
    <w:p w14:paraId="45837E6E" w14:textId="02B6D6C3" w:rsidR="008877B4" w:rsidRPr="00565BC4" w:rsidRDefault="00820A9C" w:rsidP="003F461D">
      <w:pPr>
        <w:pStyle w:val="Caption"/>
        <w:spacing w:line="480" w:lineRule="auto"/>
        <w:rPr>
          <w:b w:val="0"/>
        </w:rPr>
      </w:pPr>
      <w:r>
        <w:rPr>
          <w:b w:val="0"/>
          <w:bCs w:val="0"/>
        </w:rPr>
        <w:t xml:space="preserve">(A) </w:t>
      </w:r>
      <w:r w:rsidR="008877B4" w:rsidRPr="00C260C9">
        <w:rPr>
          <w:b w:val="0"/>
          <w:bCs w:val="0"/>
        </w:rPr>
        <w:t xml:space="preserve">SDS-PAGE, </w:t>
      </w:r>
      <w:r w:rsidRPr="00C260C9">
        <w:rPr>
          <w:b w:val="0"/>
          <w:bCs w:val="0"/>
        </w:rPr>
        <w:t xml:space="preserve">(B) </w:t>
      </w:r>
      <w:r w:rsidR="008877B4" w:rsidRPr="00C260C9">
        <w:rPr>
          <w:b w:val="0"/>
          <w:bCs w:val="0"/>
        </w:rPr>
        <w:t>molecular weight distribution profile</w:t>
      </w:r>
      <w:r>
        <w:rPr>
          <w:b w:val="0"/>
          <w:bCs w:val="0"/>
        </w:rPr>
        <w:t>,</w:t>
      </w:r>
      <w:r w:rsidR="008877B4" w:rsidRPr="00C260C9">
        <w:rPr>
          <w:b w:val="0"/>
          <w:bCs w:val="0"/>
        </w:rPr>
        <w:t xml:space="preserve"> and </w:t>
      </w:r>
      <w:r w:rsidRPr="00C260C9">
        <w:rPr>
          <w:b w:val="0"/>
          <w:bCs w:val="0"/>
        </w:rPr>
        <w:t xml:space="preserve">(C) </w:t>
      </w:r>
      <w:r w:rsidR="008877B4" w:rsidRPr="00C260C9">
        <w:rPr>
          <w:b w:val="0"/>
          <w:bCs w:val="0"/>
        </w:rPr>
        <w:t>lunasin immunoblotting of supernatants (A, B, and C) and precipitates (A and C) after treatment of tofu whey with 20%, 30%, 40% or 50% v/v of ethanol (lines 1, 2, 3 and 4</w:t>
      </w:r>
      <w:r w:rsidR="008877B4">
        <w:rPr>
          <w:b w:val="0"/>
          <w:bCs w:val="0"/>
        </w:rPr>
        <w:t xml:space="preserve"> </w:t>
      </w:r>
      <w:r w:rsidR="008877B4" w:rsidRPr="00C260C9">
        <w:rPr>
          <w:b w:val="0"/>
          <w:bCs w:val="0"/>
        </w:rPr>
        <w:t xml:space="preserve">respectively). Molecular weight marker (M), Non-treated tofu whey (W), and lunasin standard (L) are included as references.    </w:t>
      </w:r>
    </w:p>
    <w:p w14:paraId="60961907" w14:textId="77777777" w:rsidR="008877B4" w:rsidRDefault="008877B4" w:rsidP="003F461D">
      <w:pPr>
        <w:spacing w:line="480" w:lineRule="auto"/>
        <w:jc w:val="center"/>
      </w:pPr>
    </w:p>
    <w:p w14:paraId="794AFDED" w14:textId="77777777" w:rsidR="008877B4" w:rsidRDefault="008877B4" w:rsidP="008877B4">
      <w:pPr>
        <w:spacing w:after="160" w:line="259" w:lineRule="auto"/>
      </w:pPr>
      <w:r>
        <w:br w:type="page"/>
      </w:r>
    </w:p>
    <w:p w14:paraId="4CFC6BE0" w14:textId="02E215A9" w:rsidR="00565BC4" w:rsidRPr="00565BC4" w:rsidRDefault="00565BC4" w:rsidP="003F461D">
      <w:pPr>
        <w:pStyle w:val="Caption"/>
        <w:spacing w:line="480" w:lineRule="auto"/>
        <w:jc w:val="center"/>
        <w:rPr>
          <w:b w:val="0"/>
        </w:rPr>
      </w:pPr>
      <w:bookmarkStart w:id="61" w:name="_Toc77082173"/>
      <w:r>
        <w:lastRenderedPageBreak/>
        <w:t xml:space="preserve">Table </w:t>
      </w:r>
      <w:fldSimple w:instr=" STYLEREF 1 \s ">
        <w:r w:rsidR="0023061D">
          <w:rPr>
            <w:noProof/>
          </w:rPr>
          <w:t>2</w:t>
        </w:r>
      </w:fldSimple>
      <w:r w:rsidR="005A09AF">
        <w:t>.</w:t>
      </w:r>
      <w:fldSimple w:instr=" SEQ Table \* ARABIC \s 1 ">
        <w:r w:rsidR="0023061D">
          <w:rPr>
            <w:noProof/>
          </w:rPr>
          <w:t>2</w:t>
        </w:r>
      </w:fldSimple>
      <w:r>
        <w:t xml:space="preserve"> </w:t>
      </w:r>
      <w:r w:rsidRPr="00565BC4">
        <w:rPr>
          <w:b w:val="0"/>
        </w:rPr>
        <w:t>Characteristics of calcium and isoelectric precipitates from ethanolic whey.</w:t>
      </w:r>
      <w:bookmarkEnd w:id="61"/>
    </w:p>
    <w:tbl>
      <w:tblPr>
        <w:tblW w:w="8080" w:type="dxa"/>
        <w:tblInd w:w="142" w:type="dxa"/>
        <w:tblCellMar>
          <w:left w:w="70" w:type="dxa"/>
          <w:right w:w="70" w:type="dxa"/>
        </w:tblCellMar>
        <w:tblLook w:val="04A0" w:firstRow="1" w:lastRow="0" w:firstColumn="1" w:lastColumn="0" w:noHBand="0" w:noVBand="1"/>
      </w:tblPr>
      <w:tblGrid>
        <w:gridCol w:w="3453"/>
        <w:gridCol w:w="1587"/>
        <w:gridCol w:w="1587"/>
        <w:gridCol w:w="1453"/>
      </w:tblGrid>
      <w:tr w:rsidR="008877B4" w:rsidRPr="00E80703" w14:paraId="7B10D110" w14:textId="77777777" w:rsidTr="00173C38">
        <w:trPr>
          <w:trHeight w:val="315"/>
        </w:trPr>
        <w:tc>
          <w:tcPr>
            <w:tcW w:w="3453" w:type="dxa"/>
            <w:tcBorders>
              <w:top w:val="single" w:sz="8" w:space="0" w:color="auto"/>
              <w:left w:val="nil"/>
              <w:bottom w:val="single" w:sz="8" w:space="0" w:color="auto"/>
              <w:right w:val="nil"/>
            </w:tcBorders>
            <w:shd w:val="clear" w:color="auto" w:fill="auto"/>
            <w:noWrap/>
            <w:vAlign w:val="center"/>
            <w:hideMark/>
          </w:tcPr>
          <w:p w14:paraId="0AC3571B" w14:textId="77777777" w:rsidR="008877B4" w:rsidRPr="00E80703" w:rsidRDefault="008877B4" w:rsidP="00173C38">
            <w:pPr>
              <w:jc w:val="center"/>
              <w:rPr>
                <w:b/>
                <w:bCs/>
                <w:lang w:eastAsia="es-CO"/>
              </w:rPr>
            </w:pPr>
            <w:r w:rsidRPr="00E80703">
              <w:rPr>
                <w:b/>
                <w:bCs/>
                <w:lang w:eastAsia="es-CO"/>
              </w:rPr>
              <w:t>Parameter</w:t>
            </w:r>
          </w:p>
        </w:tc>
        <w:tc>
          <w:tcPr>
            <w:tcW w:w="1587" w:type="dxa"/>
            <w:tcBorders>
              <w:top w:val="single" w:sz="8" w:space="0" w:color="auto"/>
              <w:left w:val="nil"/>
              <w:bottom w:val="single" w:sz="8" w:space="0" w:color="auto"/>
              <w:right w:val="nil"/>
            </w:tcBorders>
            <w:shd w:val="clear" w:color="auto" w:fill="auto"/>
            <w:noWrap/>
            <w:vAlign w:val="center"/>
            <w:hideMark/>
          </w:tcPr>
          <w:p w14:paraId="02F15B6A" w14:textId="77777777" w:rsidR="008877B4" w:rsidRPr="00E80703" w:rsidRDefault="008877B4" w:rsidP="00173C38">
            <w:pPr>
              <w:jc w:val="center"/>
              <w:rPr>
                <w:b/>
                <w:bCs/>
                <w:lang w:eastAsia="es-CO"/>
              </w:rPr>
            </w:pPr>
            <w:r w:rsidRPr="00E80703">
              <w:rPr>
                <w:b/>
                <w:bCs/>
                <w:lang w:eastAsia="es-CO"/>
              </w:rPr>
              <w:t>pH 4.5</w:t>
            </w:r>
          </w:p>
        </w:tc>
        <w:tc>
          <w:tcPr>
            <w:tcW w:w="1587" w:type="dxa"/>
            <w:tcBorders>
              <w:top w:val="single" w:sz="8" w:space="0" w:color="auto"/>
              <w:left w:val="nil"/>
              <w:bottom w:val="single" w:sz="8" w:space="0" w:color="auto"/>
              <w:right w:val="nil"/>
            </w:tcBorders>
            <w:shd w:val="clear" w:color="auto" w:fill="auto"/>
            <w:noWrap/>
            <w:vAlign w:val="center"/>
            <w:hideMark/>
          </w:tcPr>
          <w:p w14:paraId="004C9241" w14:textId="77777777" w:rsidR="008877B4" w:rsidRPr="00E80703" w:rsidRDefault="008877B4" w:rsidP="00173C38">
            <w:pPr>
              <w:jc w:val="center"/>
              <w:rPr>
                <w:b/>
                <w:bCs/>
                <w:lang w:eastAsia="es-CO"/>
              </w:rPr>
            </w:pPr>
            <w:r w:rsidRPr="00E80703">
              <w:rPr>
                <w:b/>
                <w:bCs/>
                <w:lang w:eastAsia="es-CO"/>
              </w:rPr>
              <w:t>pH 5.5</w:t>
            </w:r>
          </w:p>
        </w:tc>
        <w:tc>
          <w:tcPr>
            <w:tcW w:w="1453" w:type="dxa"/>
            <w:tcBorders>
              <w:top w:val="single" w:sz="8" w:space="0" w:color="auto"/>
              <w:left w:val="nil"/>
              <w:bottom w:val="single" w:sz="8" w:space="0" w:color="auto"/>
              <w:right w:val="nil"/>
            </w:tcBorders>
            <w:shd w:val="clear" w:color="auto" w:fill="auto"/>
            <w:noWrap/>
            <w:vAlign w:val="center"/>
            <w:hideMark/>
          </w:tcPr>
          <w:p w14:paraId="1493898E" w14:textId="77777777" w:rsidR="008877B4" w:rsidRPr="00E80703" w:rsidRDefault="008877B4" w:rsidP="00173C38">
            <w:pPr>
              <w:jc w:val="center"/>
              <w:rPr>
                <w:b/>
                <w:bCs/>
                <w:lang w:eastAsia="es-CO"/>
              </w:rPr>
            </w:pPr>
            <w:r w:rsidRPr="00E80703">
              <w:rPr>
                <w:b/>
                <w:bCs/>
                <w:lang w:eastAsia="es-CO"/>
              </w:rPr>
              <w:t>Ca</w:t>
            </w:r>
          </w:p>
        </w:tc>
      </w:tr>
      <w:tr w:rsidR="008877B4" w:rsidRPr="00E80703" w14:paraId="06718B96" w14:textId="77777777" w:rsidTr="00173C38">
        <w:trPr>
          <w:trHeight w:val="300"/>
        </w:trPr>
        <w:tc>
          <w:tcPr>
            <w:tcW w:w="3453" w:type="dxa"/>
            <w:tcBorders>
              <w:top w:val="nil"/>
              <w:left w:val="nil"/>
              <w:bottom w:val="nil"/>
              <w:right w:val="nil"/>
            </w:tcBorders>
            <w:shd w:val="clear" w:color="auto" w:fill="auto"/>
            <w:noWrap/>
            <w:vAlign w:val="center"/>
            <w:hideMark/>
          </w:tcPr>
          <w:p w14:paraId="4F314381" w14:textId="23E6EACA" w:rsidR="008877B4" w:rsidRPr="00E80703" w:rsidRDefault="008877B4" w:rsidP="00173C38">
            <w:pPr>
              <w:rPr>
                <w:lang w:eastAsia="es-CO"/>
              </w:rPr>
            </w:pPr>
            <w:r w:rsidRPr="00E80703">
              <w:rPr>
                <w:lang w:eastAsia="es-CO"/>
              </w:rPr>
              <w:t>mg solid/m</w:t>
            </w:r>
            <w:r w:rsidR="005B6A80">
              <w:rPr>
                <w:lang w:eastAsia="es-CO"/>
              </w:rPr>
              <w:t>L</w:t>
            </w:r>
            <w:r w:rsidRPr="00E80703">
              <w:rPr>
                <w:lang w:eastAsia="es-CO"/>
              </w:rPr>
              <w:t xml:space="preserve"> whey</w:t>
            </w:r>
          </w:p>
        </w:tc>
        <w:tc>
          <w:tcPr>
            <w:tcW w:w="1587" w:type="dxa"/>
            <w:tcBorders>
              <w:top w:val="nil"/>
              <w:left w:val="nil"/>
              <w:bottom w:val="nil"/>
              <w:right w:val="nil"/>
            </w:tcBorders>
            <w:shd w:val="clear" w:color="auto" w:fill="auto"/>
            <w:noWrap/>
            <w:vAlign w:val="center"/>
            <w:hideMark/>
          </w:tcPr>
          <w:p w14:paraId="2FF78CE6" w14:textId="77777777" w:rsidR="008877B4" w:rsidRPr="00E80703" w:rsidRDefault="008877B4" w:rsidP="00173C38">
            <w:pPr>
              <w:jc w:val="center"/>
              <w:rPr>
                <w:lang w:eastAsia="es-CO"/>
              </w:rPr>
            </w:pPr>
            <w:r w:rsidRPr="00E80703">
              <w:rPr>
                <w:lang w:eastAsia="es-CO"/>
              </w:rPr>
              <w:t>1.2 ± 0.1</w:t>
            </w:r>
            <w:r w:rsidRPr="00E80703">
              <w:rPr>
                <w:vertAlign w:val="superscript"/>
                <w:lang w:eastAsia="es-CO"/>
              </w:rPr>
              <w:t>ab</w:t>
            </w:r>
          </w:p>
        </w:tc>
        <w:tc>
          <w:tcPr>
            <w:tcW w:w="1587" w:type="dxa"/>
            <w:tcBorders>
              <w:top w:val="nil"/>
              <w:left w:val="nil"/>
              <w:bottom w:val="nil"/>
              <w:right w:val="nil"/>
            </w:tcBorders>
            <w:shd w:val="clear" w:color="auto" w:fill="auto"/>
            <w:noWrap/>
            <w:vAlign w:val="center"/>
            <w:hideMark/>
          </w:tcPr>
          <w:p w14:paraId="46E50FA6" w14:textId="77777777" w:rsidR="008877B4" w:rsidRPr="00E80703" w:rsidRDefault="008877B4" w:rsidP="00173C38">
            <w:pPr>
              <w:jc w:val="center"/>
              <w:rPr>
                <w:lang w:eastAsia="es-CO"/>
              </w:rPr>
            </w:pPr>
            <w:r w:rsidRPr="00E80703">
              <w:rPr>
                <w:lang w:eastAsia="es-CO"/>
              </w:rPr>
              <w:t>1.0 ± 0.1</w:t>
            </w:r>
            <w:r w:rsidRPr="00E80703">
              <w:rPr>
                <w:vertAlign w:val="superscript"/>
                <w:lang w:eastAsia="es-CO"/>
              </w:rPr>
              <w:t>b</w:t>
            </w:r>
          </w:p>
        </w:tc>
        <w:tc>
          <w:tcPr>
            <w:tcW w:w="1453" w:type="dxa"/>
            <w:tcBorders>
              <w:top w:val="nil"/>
              <w:left w:val="nil"/>
              <w:bottom w:val="nil"/>
              <w:right w:val="nil"/>
            </w:tcBorders>
            <w:shd w:val="clear" w:color="auto" w:fill="auto"/>
            <w:noWrap/>
            <w:vAlign w:val="center"/>
            <w:hideMark/>
          </w:tcPr>
          <w:p w14:paraId="5C9620B4" w14:textId="77777777" w:rsidR="008877B4" w:rsidRPr="00E80703" w:rsidRDefault="008877B4" w:rsidP="00173C38">
            <w:pPr>
              <w:jc w:val="center"/>
              <w:rPr>
                <w:lang w:eastAsia="es-CO"/>
              </w:rPr>
            </w:pPr>
            <w:r w:rsidRPr="00E80703">
              <w:rPr>
                <w:lang w:eastAsia="es-CO"/>
              </w:rPr>
              <w:t>1.4 ± 0.1</w:t>
            </w:r>
            <w:r w:rsidRPr="00E80703">
              <w:rPr>
                <w:vertAlign w:val="superscript"/>
                <w:lang w:eastAsia="es-CO"/>
              </w:rPr>
              <w:t>a</w:t>
            </w:r>
          </w:p>
        </w:tc>
      </w:tr>
      <w:tr w:rsidR="008877B4" w:rsidRPr="00E80703" w14:paraId="5BEFE738" w14:textId="77777777" w:rsidTr="00173C38">
        <w:trPr>
          <w:trHeight w:val="300"/>
        </w:trPr>
        <w:tc>
          <w:tcPr>
            <w:tcW w:w="3453" w:type="dxa"/>
            <w:tcBorders>
              <w:top w:val="nil"/>
              <w:left w:val="nil"/>
              <w:bottom w:val="nil"/>
              <w:right w:val="nil"/>
            </w:tcBorders>
            <w:shd w:val="clear" w:color="auto" w:fill="auto"/>
            <w:noWrap/>
            <w:vAlign w:val="center"/>
            <w:hideMark/>
          </w:tcPr>
          <w:p w14:paraId="4D04A613" w14:textId="77777777" w:rsidR="008877B4" w:rsidRPr="00E80703" w:rsidRDefault="008877B4" w:rsidP="00173C38">
            <w:pPr>
              <w:rPr>
                <w:lang w:eastAsia="es-CO"/>
              </w:rPr>
            </w:pPr>
            <w:r w:rsidRPr="00E80703">
              <w:rPr>
                <w:lang w:eastAsia="es-CO"/>
              </w:rPr>
              <w:t>µg protein/mg solid</w:t>
            </w:r>
          </w:p>
        </w:tc>
        <w:tc>
          <w:tcPr>
            <w:tcW w:w="1587" w:type="dxa"/>
            <w:tcBorders>
              <w:top w:val="nil"/>
              <w:left w:val="nil"/>
              <w:bottom w:val="nil"/>
              <w:right w:val="nil"/>
            </w:tcBorders>
            <w:shd w:val="clear" w:color="auto" w:fill="auto"/>
            <w:noWrap/>
            <w:vAlign w:val="center"/>
            <w:hideMark/>
          </w:tcPr>
          <w:p w14:paraId="466403AA" w14:textId="77777777" w:rsidR="008877B4" w:rsidRPr="00E80703" w:rsidRDefault="008877B4" w:rsidP="00173C38">
            <w:pPr>
              <w:jc w:val="center"/>
              <w:rPr>
                <w:lang w:eastAsia="es-CO"/>
              </w:rPr>
            </w:pPr>
            <w:r w:rsidRPr="00E80703">
              <w:rPr>
                <w:lang w:eastAsia="es-CO"/>
              </w:rPr>
              <w:t>339 ± 90</w:t>
            </w:r>
            <w:r w:rsidRPr="00E80703">
              <w:rPr>
                <w:vertAlign w:val="superscript"/>
                <w:lang w:eastAsia="es-CO"/>
              </w:rPr>
              <w:t xml:space="preserve"> ab</w:t>
            </w:r>
          </w:p>
        </w:tc>
        <w:tc>
          <w:tcPr>
            <w:tcW w:w="1587" w:type="dxa"/>
            <w:tcBorders>
              <w:top w:val="nil"/>
              <w:left w:val="nil"/>
              <w:bottom w:val="nil"/>
              <w:right w:val="nil"/>
            </w:tcBorders>
            <w:shd w:val="clear" w:color="auto" w:fill="auto"/>
            <w:noWrap/>
            <w:vAlign w:val="center"/>
            <w:hideMark/>
          </w:tcPr>
          <w:p w14:paraId="05ED65A8" w14:textId="77777777" w:rsidR="008877B4" w:rsidRPr="00E80703" w:rsidRDefault="008877B4" w:rsidP="00173C38">
            <w:pPr>
              <w:jc w:val="center"/>
              <w:rPr>
                <w:lang w:eastAsia="es-CO"/>
              </w:rPr>
            </w:pPr>
            <w:r w:rsidRPr="00E80703">
              <w:rPr>
                <w:lang w:eastAsia="es-CO"/>
              </w:rPr>
              <w:t>423 ± 55</w:t>
            </w:r>
            <w:r w:rsidRPr="00E80703">
              <w:rPr>
                <w:vertAlign w:val="superscript"/>
                <w:lang w:eastAsia="es-CO"/>
              </w:rPr>
              <w:t xml:space="preserve"> a</w:t>
            </w:r>
          </w:p>
        </w:tc>
        <w:tc>
          <w:tcPr>
            <w:tcW w:w="1453" w:type="dxa"/>
            <w:tcBorders>
              <w:top w:val="nil"/>
              <w:left w:val="nil"/>
              <w:bottom w:val="nil"/>
              <w:right w:val="nil"/>
            </w:tcBorders>
            <w:shd w:val="clear" w:color="auto" w:fill="auto"/>
            <w:noWrap/>
            <w:vAlign w:val="center"/>
            <w:hideMark/>
          </w:tcPr>
          <w:p w14:paraId="7F6189C9" w14:textId="77777777" w:rsidR="008877B4" w:rsidRPr="00E80703" w:rsidRDefault="008877B4" w:rsidP="00173C38">
            <w:pPr>
              <w:jc w:val="center"/>
              <w:rPr>
                <w:lang w:eastAsia="es-CO"/>
              </w:rPr>
            </w:pPr>
            <w:r w:rsidRPr="00E80703">
              <w:rPr>
                <w:lang w:eastAsia="es-CO"/>
              </w:rPr>
              <w:t>247 ± 28</w:t>
            </w:r>
            <w:r w:rsidRPr="00E80703">
              <w:rPr>
                <w:vertAlign w:val="superscript"/>
                <w:lang w:eastAsia="es-CO"/>
              </w:rPr>
              <w:t xml:space="preserve"> b</w:t>
            </w:r>
          </w:p>
        </w:tc>
      </w:tr>
      <w:tr w:rsidR="008877B4" w:rsidRPr="00E80703" w14:paraId="14656567" w14:textId="77777777" w:rsidTr="00173C38">
        <w:trPr>
          <w:trHeight w:val="345"/>
        </w:trPr>
        <w:tc>
          <w:tcPr>
            <w:tcW w:w="3453" w:type="dxa"/>
            <w:tcBorders>
              <w:top w:val="nil"/>
              <w:left w:val="nil"/>
              <w:bottom w:val="nil"/>
              <w:right w:val="nil"/>
            </w:tcBorders>
            <w:shd w:val="clear" w:color="auto" w:fill="auto"/>
            <w:noWrap/>
            <w:vAlign w:val="center"/>
            <w:hideMark/>
          </w:tcPr>
          <w:p w14:paraId="1D862B48" w14:textId="77777777" w:rsidR="008877B4" w:rsidRPr="00E80703" w:rsidRDefault="008877B4" w:rsidP="00173C38">
            <w:pPr>
              <w:rPr>
                <w:lang w:eastAsia="es-CO"/>
              </w:rPr>
            </w:pPr>
            <w:r w:rsidRPr="00E80703">
              <w:rPr>
                <w:lang w:eastAsia="es-CO"/>
              </w:rPr>
              <w:t>µg lunasin/mg solid*</w:t>
            </w:r>
          </w:p>
        </w:tc>
        <w:tc>
          <w:tcPr>
            <w:tcW w:w="1587" w:type="dxa"/>
            <w:tcBorders>
              <w:top w:val="nil"/>
              <w:left w:val="nil"/>
              <w:bottom w:val="nil"/>
              <w:right w:val="nil"/>
            </w:tcBorders>
            <w:shd w:val="clear" w:color="auto" w:fill="auto"/>
            <w:noWrap/>
            <w:vAlign w:val="center"/>
            <w:hideMark/>
          </w:tcPr>
          <w:p w14:paraId="3F373E20" w14:textId="77777777" w:rsidR="008877B4" w:rsidRPr="00E80703" w:rsidRDefault="008877B4" w:rsidP="00173C38">
            <w:pPr>
              <w:jc w:val="center"/>
              <w:rPr>
                <w:lang w:eastAsia="es-CO"/>
              </w:rPr>
            </w:pPr>
            <w:r w:rsidRPr="00E80703">
              <w:rPr>
                <w:lang w:eastAsia="es-CO"/>
              </w:rPr>
              <w:t>59 ± 7</w:t>
            </w:r>
            <w:r w:rsidRPr="00E80703">
              <w:rPr>
                <w:vertAlign w:val="superscript"/>
                <w:lang w:eastAsia="es-CO"/>
              </w:rPr>
              <w:t>a</w:t>
            </w:r>
          </w:p>
        </w:tc>
        <w:tc>
          <w:tcPr>
            <w:tcW w:w="1587" w:type="dxa"/>
            <w:tcBorders>
              <w:top w:val="nil"/>
              <w:left w:val="nil"/>
              <w:bottom w:val="nil"/>
              <w:right w:val="nil"/>
            </w:tcBorders>
            <w:shd w:val="clear" w:color="auto" w:fill="auto"/>
            <w:noWrap/>
            <w:vAlign w:val="center"/>
            <w:hideMark/>
          </w:tcPr>
          <w:p w14:paraId="45572AB7" w14:textId="77777777" w:rsidR="008877B4" w:rsidRPr="00E80703" w:rsidRDefault="008877B4" w:rsidP="00173C38">
            <w:pPr>
              <w:jc w:val="center"/>
              <w:rPr>
                <w:lang w:eastAsia="es-CO"/>
              </w:rPr>
            </w:pPr>
            <w:r w:rsidRPr="00E80703">
              <w:rPr>
                <w:lang w:eastAsia="es-CO"/>
              </w:rPr>
              <w:t>70 ± 2</w:t>
            </w:r>
            <w:r w:rsidRPr="00E80703">
              <w:rPr>
                <w:vertAlign w:val="superscript"/>
                <w:lang w:eastAsia="es-CO"/>
              </w:rPr>
              <w:t>a</w:t>
            </w:r>
          </w:p>
        </w:tc>
        <w:tc>
          <w:tcPr>
            <w:tcW w:w="1453" w:type="dxa"/>
            <w:tcBorders>
              <w:top w:val="nil"/>
              <w:left w:val="nil"/>
              <w:bottom w:val="nil"/>
              <w:right w:val="nil"/>
            </w:tcBorders>
            <w:shd w:val="clear" w:color="auto" w:fill="auto"/>
            <w:noWrap/>
            <w:vAlign w:val="center"/>
            <w:hideMark/>
          </w:tcPr>
          <w:p w14:paraId="3C0E8732" w14:textId="77777777" w:rsidR="008877B4" w:rsidRPr="00E80703" w:rsidRDefault="008877B4" w:rsidP="00173C38">
            <w:pPr>
              <w:jc w:val="center"/>
              <w:rPr>
                <w:lang w:eastAsia="es-CO"/>
              </w:rPr>
            </w:pPr>
            <w:r w:rsidRPr="00E80703">
              <w:rPr>
                <w:lang w:eastAsia="es-CO"/>
              </w:rPr>
              <w:t>39 ± 10</w:t>
            </w:r>
            <w:r w:rsidRPr="00E80703">
              <w:rPr>
                <w:vertAlign w:val="superscript"/>
                <w:lang w:eastAsia="es-CO"/>
              </w:rPr>
              <w:t>b</w:t>
            </w:r>
          </w:p>
        </w:tc>
      </w:tr>
      <w:tr w:rsidR="008877B4" w:rsidRPr="00E80703" w14:paraId="4C63B5F0" w14:textId="77777777" w:rsidTr="00173C38">
        <w:trPr>
          <w:trHeight w:val="300"/>
        </w:trPr>
        <w:tc>
          <w:tcPr>
            <w:tcW w:w="3453" w:type="dxa"/>
            <w:tcBorders>
              <w:top w:val="nil"/>
              <w:left w:val="nil"/>
              <w:bottom w:val="nil"/>
              <w:right w:val="nil"/>
            </w:tcBorders>
            <w:shd w:val="clear" w:color="auto" w:fill="auto"/>
            <w:noWrap/>
            <w:vAlign w:val="center"/>
            <w:hideMark/>
          </w:tcPr>
          <w:p w14:paraId="10EFEAE6" w14:textId="1BB7FAF3" w:rsidR="008877B4" w:rsidRPr="00E80703" w:rsidRDefault="008877B4" w:rsidP="00173C38">
            <w:pPr>
              <w:rPr>
                <w:lang w:eastAsia="es-CO"/>
              </w:rPr>
            </w:pPr>
            <w:r w:rsidRPr="00E80703">
              <w:rPr>
                <w:lang w:eastAsia="es-CO"/>
              </w:rPr>
              <w:t xml:space="preserve">% </w:t>
            </w:r>
            <w:r w:rsidR="005B6A80">
              <w:rPr>
                <w:lang w:eastAsia="es-CO"/>
              </w:rPr>
              <w:t>l</w:t>
            </w:r>
            <w:r w:rsidR="005266D3" w:rsidRPr="00E80703">
              <w:rPr>
                <w:lang w:eastAsia="es-CO"/>
              </w:rPr>
              <w:t>unasin</w:t>
            </w:r>
            <w:r w:rsidRPr="00E80703">
              <w:rPr>
                <w:lang w:eastAsia="es-CO"/>
              </w:rPr>
              <w:t xml:space="preserve"> in solid</w:t>
            </w:r>
          </w:p>
        </w:tc>
        <w:tc>
          <w:tcPr>
            <w:tcW w:w="1587" w:type="dxa"/>
            <w:tcBorders>
              <w:top w:val="nil"/>
              <w:left w:val="nil"/>
              <w:bottom w:val="nil"/>
              <w:right w:val="nil"/>
            </w:tcBorders>
            <w:shd w:val="clear" w:color="auto" w:fill="auto"/>
            <w:noWrap/>
            <w:vAlign w:val="center"/>
            <w:hideMark/>
          </w:tcPr>
          <w:p w14:paraId="5F134229" w14:textId="77777777" w:rsidR="008877B4" w:rsidRPr="00E80703" w:rsidRDefault="008877B4" w:rsidP="00173C38">
            <w:pPr>
              <w:jc w:val="center"/>
              <w:rPr>
                <w:lang w:eastAsia="es-CO"/>
              </w:rPr>
            </w:pPr>
            <w:r w:rsidRPr="00E80703">
              <w:rPr>
                <w:lang w:eastAsia="es-CO"/>
              </w:rPr>
              <w:t>5.9 ± 0.7</w:t>
            </w:r>
            <w:r w:rsidRPr="00E80703">
              <w:rPr>
                <w:vertAlign w:val="superscript"/>
                <w:lang w:eastAsia="es-CO"/>
              </w:rPr>
              <w:t>a</w:t>
            </w:r>
          </w:p>
        </w:tc>
        <w:tc>
          <w:tcPr>
            <w:tcW w:w="1587" w:type="dxa"/>
            <w:tcBorders>
              <w:top w:val="nil"/>
              <w:left w:val="nil"/>
              <w:bottom w:val="nil"/>
              <w:right w:val="nil"/>
            </w:tcBorders>
            <w:shd w:val="clear" w:color="auto" w:fill="auto"/>
            <w:noWrap/>
            <w:vAlign w:val="center"/>
            <w:hideMark/>
          </w:tcPr>
          <w:p w14:paraId="00DDF91D" w14:textId="77777777" w:rsidR="008877B4" w:rsidRPr="00E80703" w:rsidRDefault="008877B4" w:rsidP="00173C38">
            <w:pPr>
              <w:jc w:val="center"/>
              <w:rPr>
                <w:lang w:eastAsia="es-CO"/>
              </w:rPr>
            </w:pPr>
            <w:r w:rsidRPr="00E80703">
              <w:rPr>
                <w:lang w:eastAsia="es-CO"/>
              </w:rPr>
              <w:t>7.0 ± 0.2</w:t>
            </w:r>
            <w:r w:rsidRPr="00E80703">
              <w:rPr>
                <w:vertAlign w:val="superscript"/>
                <w:lang w:eastAsia="es-CO"/>
              </w:rPr>
              <w:t>a</w:t>
            </w:r>
            <w:r w:rsidRPr="00E80703">
              <w:rPr>
                <w:lang w:eastAsia="es-CO"/>
              </w:rPr>
              <w:t xml:space="preserve"> </w:t>
            </w:r>
          </w:p>
        </w:tc>
        <w:tc>
          <w:tcPr>
            <w:tcW w:w="1453" w:type="dxa"/>
            <w:tcBorders>
              <w:top w:val="nil"/>
              <w:left w:val="nil"/>
              <w:bottom w:val="nil"/>
              <w:right w:val="nil"/>
            </w:tcBorders>
            <w:shd w:val="clear" w:color="auto" w:fill="auto"/>
            <w:noWrap/>
            <w:vAlign w:val="center"/>
            <w:hideMark/>
          </w:tcPr>
          <w:p w14:paraId="5EAA7552" w14:textId="77777777" w:rsidR="008877B4" w:rsidRPr="00E80703" w:rsidRDefault="008877B4" w:rsidP="00173C38">
            <w:pPr>
              <w:jc w:val="center"/>
              <w:rPr>
                <w:lang w:eastAsia="es-CO"/>
              </w:rPr>
            </w:pPr>
            <w:r w:rsidRPr="00E80703">
              <w:rPr>
                <w:lang w:eastAsia="es-CO"/>
              </w:rPr>
              <w:t>3.9 ± 1.0</w:t>
            </w:r>
            <w:r w:rsidRPr="00E80703">
              <w:rPr>
                <w:vertAlign w:val="superscript"/>
                <w:lang w:eastAsia="es-CO"/>
              </w:rPr>
              <w:t>b</w:t>
            </w:r>
          </w:p>
        </w:tc>
      </w:tr>
      <w:tr w:rsidR="008877B4" w:rsidRPr="00E80703" w14:paraId="5356B0E6" w14:textId="77777777" w:rsidTr="00173C38">
        <w:trPr>
          <w:trHeight w:val="300"/>
        </w:trPr>
        <w:tc>
          <w:tcPr>
            <w:tcW w:w="3453" w:type="dxa"/>
            <w:tcBorders>
              <w:top w:val="nil"/>
              <w:left w:val="nil"/>
              <w:bottom w:val="nil"/>
              <w:right w:val="nil"/>
            </w:tcBorders>
            <w:shd w:val="clear" w:color="auto" w:fill="auto"/>
            <w:noWrap/>
            <w:vAlign w:val="center"/>
            <w:hideMark/>
          </w:tcPr>
          <w:p w14:paraId="284793C0" w14:textId="77777777" w:rsidR="008877B4" w:rsidRPr="00E80703" w:rsidRDefault="008877B4" w:rsidP="00173C38">
            <w:pPr>
              <w:rPr>
                <w:lang w:eastAsia="es-CO"/>
              </w:rPr>
            </w:pPr>
            <w:r w:rsidRPr="00E80703">
              <w:rPr>
                <w:lang w:eastAsia="es-CO"/>
              </w:rPr>
              <w:t>Daidzin (µg/mg)</w:t>
            </w:r>
          </w:p>
        </w:tc>
        <w:tc>
          <w:tcPr>
            <w:tcW w:w="1587" w:type="dxa"/>
            <w:tcBorders>
              <w:top w:val="nil"/>
              <w:left w:val="nil"/>
              <w:bottom w:val="nil"/>
              <w:right w:val="nil"/>
            </w:tcBorders>
            <w:shd w:val="clear" w:color="auto" w:fill="auto"/>
            <w:noWrap/>
            <w:vAlign w:val="center"/>
            <w:hideMark/>
          </w:tcPr>
          <w:p w14:paraId="5CFC053D" w14:textId="77777777" w:rsidR="008877B4" w:rsidRPr="00E80703" w:rsidRDefault="008877B4" w:rsidP="00173C38">
            <w:pPr>
              <w:jc w:val="center"/>
              <w:rPr>
                <w:lang w:eastAsia="es-CO"/>
              </w:rPr>
            </w:pPr>
            <w:r w:rsidRPr="00E80703">
              <w:rPr>
                <w:lang w:eastAsia="es-CO"/>
              </w:rPr>
              <w:t>3.7 ± 0.1</w:t>
            </w:r>
            <w:r w:rsidRPr="00E80703">
              <w:rPr>
                <w:vertAlign w:val="superscript"/>
                <w:lang w:eastAsia="es-CO"/>
              </w:rPr>
              <w:t>a</w:t>
            </w:r>
          </w:p>
        </w:tc>
        <w:tc>
          <w:tcPr>
            <w:tcW w:w="1587" w:type="dxa"/>
            <w:tcBorders>
              <w:top w:val="nil"/>
              <w:left w:val="nil"/>
              <w:bottom w:val="nil"/>
              <w:right w:val="nil"/>
            </w:tcBorders>
            <w:shd w:val="clear" w:color="auto" w:fill="auto"/>
            <w:noWrap/>
            <w:vAlign w:val="center"/>
            <w:hideMark/>
          </w:tcPr>
          <w:p w14:paraId="4B61E2DB" w14:textId="77777777" w:rsidR="008877B4" w:rsidRPr="00E80703" w:rsidRDefault="008877B4" w:rsidP="00173C38">
            <w:pPr>
              <w:jc w:val="center"/>
              <w:rPr>
                <w:lang w:eastAsia="es-CO"/>
              </w:rPr>
            </w:pPr>
            <w:r w:rsidRPr="00E80703">
              <w:rPr>
                <w:lang w:eastAsia="es-CO"/>
              </w:rPr>
              <w:t>3.8 ± 0.4</w:t>
            </w:r>
            <w:r w:rsidRPr="00E80703">
              <w:rPr>
                <w:vertAlign w:val="superscript"/>
                <w:lang w:eastAsia="es-CO"/>
              </w:rPr>
              <w:t>a</w:t>
            </w:r>
          </w:p>
        </w:tc>
        <w:tc>
          <w:tcPr>
            <w:tcW w:w="1453" w:type="dxa"/>
            <w:tcBorders>
              <w:top w:val="nil"/>
              <w:left w:val="nil"/>
              <w:bottom w:val="nil"/>
              <w:right w:val="nil"/>
            </w:tcBorders>
            <w:shd w:val="clear" w:color="auto" w:fill="auto"/>
            <w:noWrap/>
            <w:vAlign w:val="center"/>
            <w:hideMark/>
          </w:tcPr>
          <w:p w14:paraId="0548C268" w14:textId="77777777" w:rsidR="008877B4" w:rsidRPr="00E80703" w:rsidRDefault="008877B4" w:rsidP="00173C38">
            <w:pPr>
              <w:jc w:val="center"/>
              <w:rPr>
                <w:lang w:eastAsia="es-CO"/>
              </w:rPr>
            </w:pPr>
            <w:r w:rsidRPr="00E80703">
              <w:rPr>
                <w:lang w:eastAsia="es-CO"/>
              </w:rPr>
              <w:t>2.9 ± 0.1</w:t>
            </w:r>
            <w:r w:rsidRPr="00E80703">
              <w:rPr>
                <w:vertAlign w:val="superscript"/>
                <w:lang w:eastAsia="es-CO"/>
              </w:rPr>
              <w:t>b</w:t>
            </w:r>
          </w:p>
        </w:tc>
      </w:tr>
      <w:tr w:rsidR="008877B4" w:rsidRPr="00E80703" w14:paraId="6B112907" w14:textId="77777777" w:rsidTr="00173C38">
        <w:trPr>
          <w:trHeight w:val="300"/>
        </w:trPr>
        <w:tc>
          <w:tcPr>
            <w:tcW w:w="3453" w:type="dxa"/>
            <w:tcBorders>
              <w:top w:val="nil"/>
              <w:left w:val="nil"/>
              <w:bottom w:val="nil"/>
              <w:right w:val="nil"/>
            </w:tcBorders>
            <w:shd w:val="clear" w:color="auto" w:fill="auto"/>
            <w:noWrap/>
            <w:vAlign w:val="center"/>
            <w:hideMark/>
          </w:tcPr>
          <w:p w14:paraId="3FCD4C55" w14:textId="77777777" w:rsidR="008877B4" w:rsidRPr="00E80703" w:rsidRDefault="008877B4" w:rsidP="00173C38">
            <w:pPr>
              <w:rPr>
                <w:lang w:eastAsia="es-CO"/>
              </w:rPr>
            </w:pPr>
            <w:r w:rsidRPr="00E80703">
              <w:rPr>
                <w:lang w:eastAsia="es-CO"/>
              </w:rPr>
              <w:t>Genistin (ng/mg)</w:t>
            </w:r>
          </w:p>
        </w:tc>
        <w:tc>
          <w:tcPr>
            <w:tcW w:w="1587" w:type="dxa"/>
            <w:tcBorders>
              <w:top w:val="nil"/>
              <w:left w:val="nil"/>
              <w:bottom w:val="nil"/>
              <w:right w:val="nil"/>
            </w:tcBorders>
            <w:shd w:val="clear" w:color="auto" w:fill="auto"/>
            <w:noWrap/>
            <w:vAlign w:val="center"/>
            <w:hideMark/>
          </w:tcPr>
          <w:p w14:paraId="41F63E7B" w14:textId="77777777" w:rsidR="008877B4" w:rsidRPr="00E80703" w:rsidRDefault="008877B4" w:rsidP="00173C38">
            <w:pPr>
              <w:jc w:val="center"/>
              <w:rPr>
                <w:lang w:eastAsia="es-CO"/>
              </w:rPr>
            </w:pPr>
            <w:r w:rsidRPr="00E80703">
              <w:rPr>
                <w:lang w:eastAsia="es-CO"/>
              </w:rPr>
              <w:t>294 ± 3</w:t>
            </w:r>
            <w:r w:rsidRPr="00E80703">
              <w:rPr>
                <w:vertAlign w:val="superscript"/>
                <w:lang w:eastAsia="es-CO"/>
              </w:rPr>
              <w:t>a</w:t>
            </w:r>
          </w:p>
        </w:tc>
        <w:tc>
          <w:tcPr>
            <w:tcW w:w="1587" w:type="dxa"/>
            <w:tcBorders>
              <w:top w:val="nil"/>
              <w:left w:val="nil"/>
              <w:bottom w:val="nil"/>
              <w:right w:val="nil"/>
            </w:tcBorders>
            <w:shd w:val="clear" w:color="auto" w:fill="auto"/>
            <w:noWrap/>
            <w:vAlign w:val="center"/>
            <w:hideMark/>
          </w:tcPr>
          <w:p w14:paraId="1EC7DA37" w14:textId="77777777" w:rsidR="008877B4" w:rsidRPr="00E80703" w:rsidRDefault="008877B4" w:rsidP="00173C38">
            <w:pPr>
              <w:jc w:val="center"/>
              <w:rPr>
                <w:lang w:eastAsia="es-CO"/>
              </w:rPr>
            </w:pPr>
            <w:r w:rsidRPr="00E80703">
              <w:rPr>
                <w:lang w:eastAsia="es-CO"/>
              </w:rPr>
              <w:t>295 ± 3</w:t>
            </w:r>
            <w:r w:rsidRPr="00E80703">
              <w:rPr>
                <w:vertAlign w:val="superscript"/>
                <w:lang w:eastAsia="es-CO"/>
              </w:rPr>
              <w:t>a</w:t>
            </w:r>
          </w:p>
        </w:tc>
        <w:tc>
          <w:tcPr>
            <w:tcW w:w="1453" w:type="dxa"/>
            <w:tcBorders>
              <w:top w:val="nil"/>
              <w:left w:val="nil"/>
              <w:bottom w:val="nil"/>
              <w:right w:val="nil"/>
            </w:tcBorders>
            <w:shd w:val="clear" w:color="auto" w:fill="auto"/>
            <w:noWrap/>
            <w:vAlign w:val="center"/>
            <w:hideMark/>
          </w:tcPr>
          <w:p w14:paraId="740B282D" w14:textId="77777777" w:rsidR="008877B4" w:rsidRPr="00E80703" w:rsidRDefault="008877B4" w:rsidP="00173C38">
            <w:pPr>
              <w:jc w:val="center"/>
              <w:rPr>
                <w:lang w:eastAsia="es-CO"/>
              </w:rPr>
            </w:pPr>
            <w:r w:rsidRPr="00E80703">
              <w:rPr>
                <w:lang w:eastAsia="es-CO"/>
              </w:rPr>
              <w:t>215 ± 1</w:t>
            </w:r>
            <w:r w:rsidRPr="00E80703">
              <w:rPr>
                <w:vertAlign w:val="superscript"/>
                <w:lang w:eastAsia="es-CO"/>
              </w:rPr>
              <w:t>b</w:t>
            </w:r>
          </w:p>
        </w:tc>
      </w:tr>
      <w:tr w:rsidR="008877B4" w:rsidRPr="00E80703" w14:paraId="0989FFFA" w14:textId="77777777" w:rsidTr="00173C38">
        <w:trPr>
          <w:trHeight w:val="300"/>
        </w:trPr>
        <w:tc>
          <w:tcPr>
            <w:tcW w:w="3453" w:type="dxa"/>
            <w:tcBorders>
              <w:top w:val="nil"/>
              <w:left w:val="nil"/>
              <w:bottom w:val="nil"/>
              <w:right w:val="nil"/>
            </w:tcBorders>
            <w:shd w:val="clear" w:color="auto" w:fill="auto"/>
            <w:noWrap/>
            <w:vAlign w:val="center"/>
            <w:hideMark/>
          </w:tcPr>
          <w:p w14:paraId="0C5FD3ED" w14:textId="77777777" w:rsidR="008877B4" w:rsidRPr="00E80703" w:rsidRDefault="008877B4" w:rsidP="00173C38">
            <w:pPr>
              <w:rPr>
                <w:lang w:eastAsia="es-CO"/>
              </w:rPr>
            </w:pPr>
            <w:r w:rsidRPr="00E80703">
              <w:rPr>
                <w:lang w:eastAsia="es-CO"/>
              </w:rPr>
              <w:t>Glycitin (µg/mg)</w:t>
            </w:r>
          </w:p>
        </w:tc>
        <w:tc>
          <w:tcPr>
            <w:tcW w:w="1587" w:type="dxa"/>
            <w:tcBorders>
              <w:top w:val="nil"/>
              <w:left w:val="nil"/>
              <w:bottom w:val="nil"/>
              <w:right w:val="nil"/>
            </w:tcBorders>
            <w:shd w:val="clear" w:color="auto" w:fill="auto"/>
            <w:noWrap/>
            <w:vAlign w:val="center"/>
            <w:hideMark/>
          </w:tcPr>
          <w:p w14:paraId="5351F19B" w14:textId="77777777" w:rsidR="008877B4" w:rsidRPr="00E80703" w:rsidRDefault="008877B4" w:rsidP="00173C38">
            <w:pPr>
              <w:jc w:val="center"/>
              <w:rPr>
                <w:lang w:eastAsia="es-CO"/>
              </w:rPr>
            </w:pPr>
            <w:r w:rsidRPr="00E80703">
              <w:rPr>
                <w:lang w:eastAsia="es-CO"/>
              </w:rPr>
              <w:t>ND</w:t>
            </w:r>
          </w:p>
        </w:tc>
        <w:tc>
          <w:tcPr>
            <w:tcW w:w="1587" w:type="dxa"/>
            <w:tcBorders>
              <w:top w:val="nil"/>
              <w:left w:val="nil"/>
              <w:bottom w:val="nil"/>
              <w:right w:val="nil"/>
            </w:tcBorders>
            <w:shd w:val="clear" w:color="auto" w:fill="auto"/>
            <w:noWrap/>
            <w:vAlign w:val="center"/>
            <w:hideMark/>
          </w:tcPr>
          <w:p w14:paraId="09AE9E3B" w14:textId="77777777" w:rsidR="008877B4" w:rsidRPr="00E80703" w:rsidRDefault="008877B4" w:rsidP="00173C38">
            <w:pPr>
              <w:jc w:val="center"/>
              <w:rPr>
                <w:lang w:eastAsia="es-CO"/>
              </w:rPr>
            </w:pPr>
            <w:r w:rsidRPr="00E80703">
              <w:rPr>
                <w:lang w:eastAsia="es-CO"/>
              </w:rPr>
              <w:t>ND</w:t>
            </w:r>
          </w:p>
        </w:tc>
        <w:tc>
          <w:tcPr>
            <w:tcW w:w="1453" w:type="dxa"/>
            <w:tcBorders>
              <w:top w:val="nil"/>
              <w:left w:val="nil"/>
              <w:bottom w:val="nil"/>
              <w:right w:val="nil"/>
            </w:tcBorders>
            <w:shd w:val="clear" w:color="auto" w:fill="auto"/>
            <w:noWrap/>
            <w:vAlign w:val="center"/>
            <w:hideMark/>
          </w:tcPr>
          <w:p w14:paraId="0AF8E586" w14:textId="77777777" w:rsidR="008877B4" w:rsidRPr="00E80703" w:rsidRDefault="008877B4" w:rsidP="00173C38">
            <w:pPr>
              <w:jc w:val="center"/>
              <w:rPr>
                <w:lang w:eastAsia="es-CO"/>
              </w:rPr>
            </w:pPr>
            <w:r w:rsidRPr="00E80703">
              <w:rPr>
                <w:lang w:eastAsia="es-CO"/>
              </w:rPr>
              <w:t>ND</w:t>
            </w:r>
          </w:p>
        </w:tc>
      </w:tr>
      <w:tr w:rsidR="008877B4" w:rsidRPr="00E80703" w14:paraId="429AC786" w14:textId="77777777" w:rsidTr="00173C38">
        <w:trPr>
          <w:trHeight w:val="300"/>
        </w:trPr>
        <w:tc>
          <w:tcPr>
            <w:tcW w:w="3453" w:type="dxa"/>
            <w:tcBorders>
              <w:top w:val="nil"/>
              <w:left w:val="nil"/>
              <w:bottom w:val="nil"/>
              <w:right w:val="nil"/>
            </w:tcBorders>
            <w:shd w:val="clear" w:color="auto" w:fill="auto"/>
            <w:noWrap/>
            <w:vAlign w:val="center"/>
            <w:hideMark/>
          </w:tcPr>
          <w:p w14:paraId="0E2DD970" w14:textId="77777777" w:rsidR="008877B4" w:rsidRPr="00E80703" w:rsidRDefault="008877B4" w:rsidP="00173C38">
            <w:pPr>
              <w:rPr>
                <w:lang w:eastAsia="es-CO"/>
              </w:rPr>
            </w:pPr>
            <w:r w:rsidRPr="00E80703">
              <w:rPr>
                <w:lang w:eastAsia="es-CO"/>
              </w:rPr>
              <w:t>Daidzein (µg/mg)</w:t>
            </w:r>
          </w:p>
        </w:tc>
        <w:tc>
          <w:tcPr>
            <w:tcW w:w="1587" w:type="dxa"/>
            <w:tcBorders>
              <w:top w:val="nil"/>
              <w:left w:val="nil"/>
              <w:bottom w:val="nil"/>
              <w:right w:val="nil"/>
            </w:tcBorders>
            <w:shd w:val="clear" w:color="auto" w:fill="auto"/>
            <w:noWrap/>
            <w:vAlign w:val="center"/>
            <w:hideMark/>
          </w:tcPr>
          <w:p w14:paraId="0FFB5955" w14:textId="77777777" w:rsidR="008877B4" w:rsidRPr="00E80703" w:rsidRDefault="008877B4" w:rsidP="00173C38">
            <w:pPr>
              <w:jc w:val="center"/>
              <w:rPr>
                <w:lang w:eastAsia="es-CO"/>
              </w:rPr>
            </w:pPr>
            <w:r w:rsidRPr="00E80703">
              <w:rPr>
                <w:lang w:eastAsia="es-CO"/>
              </w:rPr>
              <w:t>ND</w:t>
            </w:r>
          </w:p>
        </w:tc>
        <w:tc>
          <w:tcPr>
            <w:tcW w:w="1587" w:type="dxa"/>
            <w:tcBorders>
              <w:top w:val="nil"/>
              <w:left w:val="nil"/>
              <w:bottom w:val="nil"/>
              <w:right w:val="nil"/>
            </w:tcBorders>
            <w:shd w:val="clear" w:color="auto" w:fill="auto"/>
            <w:noWrap/>
            <w:vAlign w:val="center"/>
            <w:hideMark/>
          </w:tcPr>
          <w:p w14:paraId="389EDBD5" w14:textId="77777777" w:rsidR="008877B4" w:rsidRPr="00E80703" w:rsidRDefault="008877B4" w:rsidP="00173C38">
            <w:pPr>
              <w:jc w:val="center"/>
              <w:rPr>
                <w:lang w:eastAsia="es-CO"/>
              </w:rPr>
            </w:pPr>
            <w:r w:rsidRPr="00E80703">
              <w:rPr>
                <w:lang w:eastAsia="es-CO"/>
              </w:rPr>
              <w:t>ND</w:t>
            </w:r>
          </w:p>
        </w:tc>
        <w:tc>
          <w:tcPr>
            <w:tcW w:w="1453" w:type="dxa"/>
            <w:tcBorders>
              <w:top w:val="nil"/>
              <w:left w:val="nil"/>
              <w:bottom w:val="nil"/>
              <w:right w:val="nil"/>
            </w:tcBorders>
            <w:shd w:val="clear" w:color="auto" w:fill="auto"/>
            <w:noWrap/>
            <w:vAlign w:val="center"/>
            <w:hideMark/>
          </w:tcPr>
          <w:p w14:paraId="41645EEF" w14:textId="77777777" w:rsidR="008877B4" w:rsidRPr="00E80703" w:rsidRDefault="008877B4" w:rsidP="00173C38">
            <w:pPr>
              <w:jc w:val="center"/>
              <w:rPr>
                <w:lang w:eastAsia="es-CO"/>
              </w:rPr>
            </w:pPr>
            <w:r w:rsidRPr="00E80703">
              <w:rPr>
                <w:lang w:eastAsia="es-CO"/>
              </w:rPr>
              <w:t>ND</w:t>
            </w:r>
          </w:p>
        </w:tc>
      </w:tr>
      <w:tr w:rsidR="008877B4" w:rsidRPr="00E80703" w14:paraId="34BC17E1" w14:textId="77777777" w:rsidTr="00173C38">
        <w:trPr>
          <w:trHeight w:val="300"/>
        </w:trPr>
        <w:tc>
          <w:tcPr>
            <w:tcW w:w="3453" w:type="dxa"/>
            <w:tcBorders>
              <w:top w:val="nil"/>
              <w:left w:val="nil"/>
              <w:bottom w:val="nil"/>
              <w:right w:val="nil"/>
            </w:tcBorders>
            <w:shd w:val="clear" w:color="auto" w:fill="auto"/>
            <w:noWrap/>
            <w:vAlign w:val="center"/>
            <w:hideMark/>
          </w:tcPr>
          <w:p w14:paraId="46E52B35" w14:textId="77777777" w:rsidR="008877B4" w:rsidRPr="00E80703" w:rsidRDefault="008877B4" w:rsidP="00173C38">
            <w:pPr>
              <w:rPr>
                <w:lang w:eastAsia="es-CO"/>
              </w:rPr>
            </w:pPr>
            <w:r w:rsidRPr="00E80703">
              <w:rPr>
                <w:lang w:eastAsia="es-CO"/>
              </w:rPr>
              <w:t>Genistein (µg/mg)</w:t>
            </w:r>
          </w:p>
        </w:tc>
        <w:tc>
          <w:tcPr>
            <w:tcW w:w="1587" w:type="dxa"/>
            <w:tcBorders>
              <w:top w:val="nil"/>
              <w:left w:val="nil"/>
              <w:bottom w:val="nil"/>
              <w:right w:val="nil"/>
            </w:tcBorders>
            <w:shd w:val="clear" w:color="auto" w:fill="auto"/>
            <w:noWrap/>
            <w:vAlign w:val="center"/>
            <w:hideMark/>
          </w:tcPr>
          <w:p w14:paraId="60B76DB0" w14:textId="77777777" w:rsidR="008877B4" w:rsidRPr="00E80703" w:rsidRDefault="008877B4" w:rsidP="00173C38">
            <w:pPr>
              <w:jc w:val="center"/>
              <w:rPr>
                <w:lang w:eastAsia="es-CO"/>
              </w:rPr>
            </w:pPr>
            <w:r w:rsidRPr="00E80703">
              <w:rPr>
                <w:lang w:eastAsia="es-CO"/>
              </w:rPr>
              <w:t>ND</w:t>
            </w:r>
          </w:p>
        </w:tc>
        <w:tc>
          <w:tcPr>
            <w:tcW w:w="1587" w:type="dxa"/>
            <w:tcBorders>
              <w:top w:val="nil"/>
              <w:left w:val="nil"/>
              <w:bottom w:val="nil"/>
              <w:right w:val="nil"/>
            </w:tcBorders>
            <w:shd w:val="clear" w:color="auto" w:fill="auto"/>
            <w:noWrap/>
            <w:vAlign w:val="center"/>
            <w:hideMark/>
          </w:tcPr>
          <w:p w14:paraId="77F7E62E" w14:textId="77777777" w:rsidR="008877B4" w:rsidRPr="00E80703" w:rsidRDefault="008877B4" w:rsidP="00173C38">
            <w:pPr>
              <w:jc w:val="center"/>
              <w:rPr>
                <w:lang w:eastAsia="es-CO"/>
              </w:rPr>
            </w:pPr>
            <w:r w:rsidRPr="00E80703">
              <w:rPr>
                <w:lang w:eastAsia="es-CO"/>
              </w:rPr>
              <w:t>ND</w:t>
            </w:r>
          </w:p>
        </w:tc>
        <w:tc>
          <w:tcPr>
            <w:tcW w:w="1453" w:type="dxa"/>
            <w:tcBorders>
              <w:top w:val="nil"/>
              <w:left w:val="nil"/>
              <w:bottom w:val="nil"/>
              <w:right w:val="nil"/>
            </w:tcBorders>
            <w:shd w:val="clear" w:color="auto" w:fill="auto"/>
            <w:noWrap/>
            <w:vAlign w:val="center"/>
            <w:hideMark/>
          </w:tcPr>
          <w:p w14:paraId="7C466C77" w14:textId="77777777" w:rsidR="008877B4" w:rsidRPr="00E80703" w:rsidRDefault="008877B4" w:rsidP="00173C38">
            <w:pPr>
              <w:jc w:val="center"/>
              <w:rPr>
                <w:lang w:eastAsia="es-CO"/>
              </w:rPr>
            </w:pPr>
            <w:r w:rsidRPr="00E80703">
              <w:rPr>
                <w:lang w:eastAsia="es-CO"/>
              </w:rPr>
              <w:t>ND</w:t>
            </w:r>
          </w:p>
        </w:tc>
      </w:tr>
      <w:tr w:rsidR="008877B4" w:rsidRPr="00E80703" w14:paraId="2DB2EE17" w14:textId="77777777" w:rsidTr="00173C38">
        <w:trPr>
          <w:trHeight w:val="300"/>
        </w:trPr>
        <w:tc>
          <w:tcPr>
            <w:tcW w:w="3453" w:type="dxa"/>
            <w:tcBorders>
              <w:top w:val="nil"/>
              <w:left w:val="nil"/>
              <w:bottom w:val="nil"/>
              <w:right w:val="nil"/>
            </w:tcBorders>
            <w:shd w:val="clear" w:color="auto" w:fill="auto"/>
            <w:noWrap/>
            <w:vAlign w:val="center"/>
            <w:hideMark/>
          </w:tcPr>
          <w:p w14:paraId="2EECD5F3" w14:textId="77777777" w:rsidR="008877B4" w:rsidRPr="00E80703" w:rsidRDefault="008877B4" w:rsidP="00173C38">
            <w:pPr>
              <w:rPr>
                <w:lang w:eastAsia="es-CO"/>
              </w:rPr>
            </w:pPr>
            <w:r w:rsidRPr="00E80703">
              <w:rPr>
                <w:lang w:eastAsia="es-CO"/>
              </w:rPr>
              <w:t>Glycitein (µg/mg)</w:t>
            </w:r>
          </w:p>
        </w:tc>
        <w:tc>
          <w:tcPr>
            <w:tcW w:w="1587" w:type="dxa"/>
            <w:tcBorders>
              <w:top w:val="nil"/>
              <w:left w:val="nil"/>
              <w:bottom w:val="nil"/>
              <w:right w:val="nil"/>
            </w:tcBorders>
            <w:shd w:val="clear" w:color="auto" w:fill="auto"/>
            <w:noWrap/>
            <w:vAlign w:val="center"/>
            <w:hideMark/>
          </w:tcPr>
          <w:p w14:paraId="4ED8A27E" w14:textId="77777777" w:rsidR="008877B4" w:rsidRPr="00E80703" w:rsidRDefault="008877B4" w:rsidP="00173C38">
            <w:pPr>
              <w:jc w:val="center"/>
              <w:rPr>
                <w:lang w:eastAsia="es-CO"/>
              </w:rPr>
            </w:pPr>
            <w:r w:rsidRPr="00E80703">
              <w:rPr>
                <w:lang w:eastAsia="es-CO"/>
              </w:rPr>
              <w:t>ND</w:t>
            </w:r>
          </w:p>
        </w:tc>
        <w:tc>
          <w:tcPr>
            <w:tcW w:w="1587" w:type="dxa"/>
            <w:tcBorders>
              <w:top w:val="nil"/>
              <w:left w:val="nil"/>
              <w:bottom w:val="nil"/>
              <w:right w:val="nil"/>
            </w:tcBorders>
            <w:shd w:val="clear" w:color="auto" w:fill="auto"/>
            <w:noWrap/>
            <w:vAlign w:val="center"/>
            <w:hideMark/>
          </w:tcPr>
          <w:p w14:paraId="67DEA618" w14:textId="77777777" w:rsidR="008877B4" w:rsidRPr="00E80703" w:rsidRDefault="008877B4" w:rsidP="00173C38">
            <w:pPr>
              <w:jc w:val="center"/>
              <w:rPr>
                <w:lang w:eastAsia="es-CO"/>
              </w:rPr>
            </w:pPr>
            <w:r w:rsidRPr="00E80703">
              <w:rPr>
                <w:lang w:eastAsia="es-CO"/>
              </w:rPr>
              <w:t>ND</w:t>
            </w:r>
          </w:p>
        </w:tc>
        <w:tc>
          <w:tcPr>
            <w:tcW w:w="1453" w:type="dxa"/>
            <w:tcBorders>
              <w:top w:val="nil"/>
              <w:left w:val="nil"/>
              <w:bottom w:val="nil"/>
              <w:right w:val="nil"/>
            </w:tcBorders>
            <w:shd w:val="clear" w:color="auto" w:fill="auto"/>
            <w:noWrap/>
            <w:vAlign w:val="center"/>
            <w:hideMark/>
          </w:tcPr>
          <w:p w14:paraId="6396DD41" w14:textId="77777777" w:rsidR="008877B4" w:rsidRPr="00E80703" w:rsidRDefault="008877B4" w:rsidP="00173C38">
            <w:pPr>
              <w:jc w:val="center"/>
              <w:rPr>
                <w:lang w:eastAsia="es-CO"/>
              </w:rPr>
            </w:pPr>
            <w:r w:rsidRPr="00E80703">
              <w:rPr>
                <w:lang w:eastAsia="es-CO"/>
              </w:rPr>
              <w:t>ND</w:t>
            </w:r>
          </w:p>
        </w:tc>
      </w:tr>
      <w:tr w:rsidR="008877B4" w:rsidRPr="00E80703" w14:paraId="0456815F" w14:textId="77777777" w:rsidTr="00173C38">
        <w:trPr>
          <w:trHeight w:val="315"/>
        </w:trPr>
        <w:tc>
          <w:tcPr>
            <w:tcW w:w="3453" w:type="dxa"/>
            <w:tcBorders>
              <w:top w:val="nil"/>
              <w:left w:val="nil"/>
              <w:bottom w:val="single" w:sz="8" w:space="0" w:color="auto"/>
              <w:right w:val="nil"/>
            </w:tcBorders>
            <w:shd w:val="clear" w:color="auto" w:fill="auto"/>
            <w:noWrap/>
            <w:vAlign w:val="center"/>
            <w:hideMark/>
          </w:tcPr>
          <w:p w14:paraId="4464BC46" w14:textId="77777777" w:rsidR="008877B4" w:rsidRPr="00E80703" w:rsidRDefault="008877B4" w:rsidP="00173C38">
            <w:pPr>
              <w:rPr>
                <w:lang w:eastAsia="es-CO"/>
              </w:rPr>
            </w:pPr>
            <w:r w:rsidRPr="00E80703">
              <w:rPr>
                <w:lang w:eastAsia="es-CO"/>
              </w:rPr>
              <w:t>Trypsin Inhibitory Activity (TIA)</w:t>
            </w:r>
          </w:p>
        </w:tc>
        <w:tc>
          <w:tcPr>
            <w:tcW w:w="1587" w:type="dxa"/>
            <w:tcBorders>
              <w:top w:val="nil"/>
              <w:left w:val="nil"/>
              <w:bottom w:val="single" w:sz="8" w:space="0" w:color="auto"/>
              <w:right w:val="nil"/>
            </w:tcBorders>
            <w:shd w:val="clear" w:color="auto" w:fill="auto"/>
            <w:noWrap/>
            <w:vAlign w:val="center"/>
            <w:hideMark/>
          </w:tcPr>
          <w:p w14:paraId="6797B40D" w14:textId="77777777" w:rsidR="008877B4" w:rsidRPr="00E80703" w:rsidRDefault="008877B4" w:rsidP="00173C38">
            <w:pPr>
              <w:jc w:val="center"/>
              <w:rPr>
                <w:lang w:eastAsia="es-CO"/>
              </w:rPr>
            </w:pPr>
            <w:r w:rsidRPr="00E80703">
              <w:rPr>
                <w:lang w:eastAsia="es-CO"/>
              </w:rPr>
              <w:t>ND</w:t>
            </w:r>
          </w:p>
        </w:tc>
        <w:tc>
          <w:tcPr>
            <w:tcW w:w="1587" w:type="dxa"/>
            <w:tcBorders>
              <w:top w:val="nil"/>
              <w:left w:val="nil"/>
              <w:bottom w:val="single" w:sz="8" w:space="0" w:color="auto"/>
              <w:right w:val="nil"/>
            </w:tcBorders>
            <w:shd w:val="clear" w:color="auto" w:fill="auto"/>
            <w:noWrap/>
            <w:vAlign w:val="center"/>
            <w:hideMark/>
          </w:tcPr>
          <w:p w14:paraId="41E342C5" w14:textId="77777777" w:rsidR="008877B4" w:rsidRPr="00E80703" w:rsidRDefault="008877B4" w:rsidP="00173C38">
            <w:pPr>
              <w:jc w:val="center"/>
              <w:rPr>
                <w:lang w:eastAsia="es-CO"/>
              </w:rPr>
            </w:pPr>
            <w:r w:rsidRPr="00E80703">
              <w:rPr>
                <w:lang w:eastAsia="es-CO"/>
              </w:rPr>
              <w:t>ND</w:t>
            </w:r>
          </w:p>
        </w:tc>
        <w:tc>
          <w:tcPr>
            <w:tcW w:w="1453" w:type="dxa"/>
            <w:tcBorders>
              <w:top w:val="nil"/>
              <w:left w:val="nil"/>
              <w:bottom w:val="single" w:sz="8" w:space="0" w:color="auto"/>
              <w:right w:val="nil"/>
            </w:tcBorders>
            <w:shd w:val="clear" w:color="auto" w:fill="auto"/>
            <w:noWrap/>
            <w:vAlign w:val="center"/>
            <w:hideMark/>
          </w:tcPr>
          <w:p w14:paraId="4685568F" w14:textId="77777777" w:rsidR="008877B4" w:rsidRPr="00E80703" w:rsidRDefault="008877B4" w:rsidP="00173C38">
            <w:pPr>
              <w:jc w:val="center"/>
              <w:rPr>
                <w:lang w:eastAsia="es-CO"/>
              </w:rPr>
            </w:pPr>
            <w:r w:rsidRPr="00E80703">
              <w:rPr>
                <w:lang w:eastAsia="es-CO"/>
              </w:rPr>
              <w:t>ND</w:t>
            </w:r>
          </w:p>
        </w:tc>
      </w:tr>
    </w:tbl>
    <w:p w14:paraId="05ADCFB0" w14:textId="314BA336" w:rsidR="008877B4" w:rsidRPr="00E80703" w:rsidRDefault="008877B4" w:rsidP="003F461D">
      <w:pPr>
        <w:pStyle w:val="ListParagraph"/>
        <w:spacing w:after="0" w:line="480" w:lineRule="auto"/>
        <w:rPr>
          <w:rFonts w:ascii="Arial" w:hAnsi="Arial" w:cs="Arial"/>
          <w:sz w:val="24"/>
          <w:szCs w:val="24"/>
        </w:rPr>
      </w:pPr>
      <w:r w:rsidRPr="00A909CB">
        <w:rPr>
          <w:rFonts w:ascii="Arial" w:hAnsi="Arial" w:cs="Arial"/>
          <w:sz w:val="24"/>
          <w:szCs w:val="24"/>
        </w:rPr>
        <w:t xml:space="preserve">ND: Non-detectable, *Estimated via ELISA. </w:t>
      </w:r>
      <w:r w:rsidRPr="00E80703">
        <w:rPr>
          <w:rFonts w:ascii="Arial" w:hAnsi="Arial" w:cs="Arial"/>
          <w:sz w:val="24"/>
          <w:szCs w:val="24"/>
        </w:rPr>
        <w:t xml:space="preserve">Different letters in the same </w:t>
      </w:r>
      <w:r w:rsidR="005B6A80" w:rsidRPr="00E80703">
        <w:rPr>
          <w:rFonts w:ascii="Arial" w:hAnsi="Arial" w:cs="Arial"/>
          <w:sz w:val="24"/>
          <w:szCs w:val="24"/>
        </w:rPr>
        <w:t>row</w:t>
      </w:r>
      <w:r w:rsidR="005B6A80">
        <w:rPr>
          <w:rFonts w:ascii="Arial" w:hAnsi="Arial" w:cs="Arial"/>
          <w:sz w:val="24"/>
          <w:szCs w:val="24"/>
        </w:rPr>
        <w:t xml:space="preserve"> </w:t>
      </w:r>
      <w:r w:rsidR="005B6A80" w:rsidRPr="00E80703">
        <w:rPr>
          <w:rFonts w:ascii="Arial" w:hAnsi="Arial" w:cs="Arial"/>
          <w:sz w:val="24"/>
          <w:szCs w:val="24"/>
        </w:rPr>
        <w:t>indicate</w:t>
      </w:r>
      <w:r w:rsidRPr="00E80703">
        <w:rPr>
          <w:rFonts w:ascii="Arial" w:hAnsi="Arial" w:cs="Arial"/>
          <w:sz w:val="24"/>
          <w:szCs w:val="24"/>
        </w:rPr>
        <w:t xml:space="preserve"> significant differences among treatments (p&lt;0.05)</w:t>
      </w:r>
    </w:p>
    <w:p w14:paraId="780552EC" w14:textId="77777777" w:rsidR="008877B4" w:rsidRDefault="008877B4" w:rsidP="003F461D">
      <w:pPr>
        <w:spacing w:line="480" w:lineRule="auto"/>
        <w:rPr>
          <w:b/>
          <w:bCs/>
        </w:rPr>
      </w:pPr>
      <w:r>
        <w:br w:type="page"/>
      </w:r>
    </w:p>
    <w:p w14:paraId="7F4B2C94" w14:textId="77777777" w:rsidR="00565BC4" w:rsidRDefault="008877B4" w:rsidP="005A09AF">
      <w:pPr>
        <w:keepNext/>
        <w:jc w:val="center"/>
      </w:pPr>
      <w:r>
        <w:rPr>
          <w:noProof/>
        </w:rPr>
        <w:lastRenderedPageBreak/>
        <w:drawing>
          <wp:inline distT="0" distB="0" distL="0" distR="0" wp14:anchorId="52F0D682" wp14:editId="7C6217F8">
            <wp:extent cx="6046873" cy="3817089"/>
            <wp:effectExtent l="0" t="0" r="0"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64384" cy="3828143"/>
                    </a:xfrm>
                    <a:prstGeom prst="rect">
                      <a:avLst/>
                    </a:prstGeom>
                  </pic:spPr>
                </pic:pic>
              </a:graphicData>
            </a:graphic>
          </wp:inline>
        </w:drawing>
      </w:r>
    </w:p>
    <w:p w14:paraId="01FA2BEC" w14:textId="7DC5AD79" w:rsidR="00FD4304" w:rsidRDefault="00565BC4" w:rsidP="003F461D">
      <w:pPr>
        <w:pStyle w:val="Caption"/>
        <w:spacing w:line="480" w:lineRule="auto"/>
        <w:jc w:val="center"/>
      </w:pPr>
      <w:bookmarkStart w:id="62" w:name="_Toc77082182"/>
      <w:r>
        <w:t xml:space="preserve">Figure </w:t>
      </w:r>
      <w:fldSimple w:instr=" STYLEREF 1 \s ">
        <w:r w:rsidR="0023061D">
          <w:rPr>
            <w:noProof/>
          </w:rPr>
          <w:t>2</w:t>
        </w:r>
      </w:fldSimple>
      <w:r w:rsidR="00A8604A">
        <w:t>.</w:t>
      </w:r>
      <w:fldSimple w:instr=" SEQ Figure \* ARABIC \s 1 ">
        <w:r w:rsidR="0023061D">
          <w:rPr>
            <w:noProof/>
          </w:rPr>
          <w:t>2</w:t>
        </w:r>
      </w:fldSimple>
      <w:r>
        <w:t xml:space="preserve"> </w:t>
      </w:r>
      <w:r w:rsidRPr="00565BC4">
        <w:rPr>
          <w:b w:val="0"/>
        </w:rPr>
        <w:t>Precipitation of soluble proteins from ethanolic whey.</w:t>
      </w:r>
      <w:bookmarkEnd w:id="62"/>
    </w:p>
    <w:p w14:paraId="75739D7A" w14:textId="6B1C53E2" w:rsidR="008877B4" w:rsidRPr="00565BC4" w:rsidRDefault="008877B4" w:rsidP="003F461D">
      <w:pPr>
        <w:pStyle w:val="Caption"/>
        <w:spacing w:line="480" w:lineRule="auto"/>
      </w:pPr>
      <w:r w:rsidRPr="00C260C9">
        <w:rPr>
          <w:b w:val="0"/>
          <w:bCs w:val="0"/>
        </w:rPr>
        <w:t xml:space="preserve">After treatment of the whey with 30% ethanol, lunasin enriched fractions were produced by precipitating remaining soluble proteins at pH 4.5 (line 1), pH 5.5 (line 2), or with calcium chloride (line 3). Protein precipitates were characterized via </w:t>
      </w:r>
      <w:r w:rsidR="00B33DE2" w:rsidRPr="00C260C9">
        <w:rPr>
          <w:b w:val="0"/>
          <w:bCs w:val="0"/>
        </w:rPr>
        <w:t>(A)</w:t>
      </w:r>
      <w:r w:rsidR="00B33DE2">
        <w:rPr>
          <w:b w:val="0"/>
          <w:bCs w:val="0"/>
        </w:rPr>
        <w:t xml:space="preserve"> </w:t>
      </w:r>
      <w:r w:rsidRPr="00C260C9">
        <w:rPr>
          <w:b w:val="0"/>
          <w:bCs w:val="0"/>
        </w:rPr>
        <w:t xml:space="preserve">SDS-PAGE, </w:t>
      </w:r>
      <w:r w:rsidR="00B33DE2" w:rsidRPr="00C260C9">
        <w:rPr>
          <w:b w:val="0"/>
          <w:bCs w:val="0"/>
        </w:rPr>
        <w:t>(B)</w:t>
      </w:r>
      <w:r w:rsidR="00B33DE2">
        <w:rPr>
          <w:b w:val="0"/>
          <w:bCs w:val="0"/>
        </w:rPr>
        <w:t xml:space="preserve"> </w:t>
      </w:r>
      <w:r w:rsidRPr="00C260C9">
        <w:rPr>
          <w:b w:val="0"/>
          <w:bCs w:val="0"/>
        </w:rPr>
        <w:t>size exclusion chromatography, and</w:t>
      </w:r>
      <w:r w:rsidR="00B33DE2">
        <w:rPr>
          <w:b w:val="0"/>
          <w:bCs w:val="0"/>
        </w:rPr>
        <w:t xml:space="preserve"> </w:t>
      </w:r>
      <w:r w:rsidR="00B33DE2" w:rsidRPr="00C260C9">
        <w:rPr>
          <w:b w:val="0"/>
          <w:bCs w:val="0"/>
        </w:rPr>
        <w:t>(C)</w:t>
      </w:r>
      <w:r w:rsidRPr="00C260C9">
        <w:rPr>
          <w:b w:val="0"/>
          <w:bCs w:val="0"/>
        </w:rPr>
        <w:t xml:space="preserve"> Western blot. Lunasin (line L), Kunitz trypsin inhibitor (KTI), and Bowman-Birk inhibitor (BBI) standards (line Std) were included for reference. </w:t>
      </w:r>
      <w:r w:rsidR="00B33DE2" w:rsidRPr="00C260C9">
        <w:rPr>
          <w:b w:val="0"/>
          <w:bCs w:val="0"/>
        </w:rPr>
        <w:t>(D)</w:t>
      </w:r>
      <w:r w:rsidR="00B33DE2">
        <w:rPr>
          <w:b w:val="0"/>
          <w:bCs w:val="0"/>
        </w:rPr>
        <w:t xml:space="preserve"> </w:t>
      </w:r>
      <w:r w:rsidRPr="00C260C9">
        <w:rPr>
          <w:b w:val="0"/>
          <w:bCs w:val="0"/>
        </w:rPr>
        <w:t>Cell viability and</w:t>
      </w:r>
      <w:r w:rsidR="00B33DE2">
        <w:rPr>
          <w:b w:val="0"/>
          <w:bCs w:val="0"/>
        </w:rPr>
        <w:t xml:space="preserve"> </w:t>
      </w:r>
      <w:r w:rsidR="00B33DE2" w:rsidRPr="00C260C9">
        <w:rPr>
          <w:b w:val="0"/>
          <w:bCs w:val="0"/>
        </w:rPr>
        <w:t xml:space="preserve">(E) </w:t>
      </w:r>
      <w:r w:rsidRPr="00C260C9">
        <w:rPr>
          <w:b w:val="0"/>
          <w:bCs w:val="0"/>
        </w:rPr>
        <w:t xml:space="preserve">release of nitric oxide were measured as indicators of the biological activity of the lunasin enriched fractions.  LPS-activated murine macrophages were treated with increasing concentrations of lunasin enriched fractions. Non-treated non-activated cells (Control), and non-treated LPS-activated cells (LPS) were used as </w:t>
      </w:r>
      <w:r w:rsidRPr="00C260C9">
        <w:rPr>
          <w:b w:val="0"/>
          <w:bCs w:val="0"/>
        </w:rPr>
        <w:lastRenderedPageBreak/>
        <w:t xml:space="preserve">controls. Different letters indicate significant differences between the different concentrations of the same sample (p&lt;0.05). </w:t>
      </w:r>
    </w:p>
    <w:p w14:paraId="6F6D399F" w14:textId="77777777" w:rsidR="008877B4" w:rsidRDefault="008877B4" w:rsidP="008877B4">
      <w:r>
        <w:rPr>
          <w:b/>
          <w:bCs/>
        </w:rPr>
        <w:br w:type="page"/>
      </w:r>
    </w:p>
    <w:p w14:paraId="4C4873AF" w14:textId="77777777" w:rsidR="00565BC4" w:rsidRDefault="008877B4" w:rsidP="005A09AF">
      <w:pPr>
        <w:keepNext/>
        <w:jc w:val="center"/>
      </w:pPr>
      <w:r>
        <w:rPr>
          <w:noProof/>
        </w:rPr>
        <w:lastRenderedPageBreak/>
        <w:drawing>
          <wp:inline distT="0" distB="0" distL="0" distR="0" wp14:anchorId="5A3E8C6A" wp14:editId="2C9D9A26">
            <wp:extent cx="5889625" cy="6974006"/>
            <wp:effectExtent l="0" t="0" r="0" b="0"/>
            <wp:docPr id="6" name="Picture 6"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engineering drawing&#10;&#10;Description automatically generated"/>
                    <pic:cNvPicPr/>
                  </pic:nvPicPr>
                  <pic:blipFill rotWithShape="1">
                    <a:blip r:embed="rId23" cstate="print">
                      <a:extLst>
                        <a:ext uri="{28A0092B-C50C-407E-A947-70E740481C1C}">
                          <a14:useLocalDpi xmlns:a14="http://schemas.microsoft.com/office/drawing/2010/main" val="0"/>
                        </a:ext>
                      </a:extLst>
                    </a:blip>
                    <a:srcRect r="3643" b="1370"/>
                    <a:stretch/>
                  </pic:blipFill>
                  <pic:spPr bwMode="auto">
                    <a:xfrm>
                      <a:off x="0" y="0"/>
                      <a:ext cx="5899604" cy="6985822"/>
                    </a:xfrm>
                    <a:prstGeom prst="rect">
                      <a:avLst/>
                    </a:prstGeom>
                    <a:ln>
                      <a:noFill/>
                    </a:ln>
                    <a:extLst>
                      <a:ext uri="{53640926-AAD7-44D8-BBD7-CCE9431645EC}">
                        <a14:shadowObscured xmlns:a14="http://schemas.microsoft.com/office/drawing/2010/main"/>
                      </a:ext>
                    </a:extLst>
                  </pic:spPr>
                </pic:pic>
              </a:graphicData>
            </a:graphic>
          </wp:inline>
        </w:drawing>
      </w:r>
    </w:p>
    <w:p w14:paraId="128AE235" w14:textId="28A4079B" w:rsidR="00FD4304" w:rsidRDefault="00565BC4" w:rsidP="003F461D">
      <w:pPr>
        <w:pStyle w:val="Caption"/>
        <w:spacing w:line="480" w:lineRule="auto"/>
        <w:jc w:val="center"/>
        <w:rPr>
          <w:b w:val="0"/>
        </w:rPr>
      </w:pPr>
      <w:bookmarkStart w:id="63" w:name="_Toc77082183"/>
      <w:r>
        <w:t xml:space="preserve">Figure </w:t>
      </w:r>
      <w:fldSimple w:instr=" STYLEREF 1 \s ">
        <w:r w:rsidR="0023061D">
          <w:rPr>
            <w:noProof/>
          </w:rPr>
          <w:t>2</w:t>
        </w:r>
      </w:fldSimple>
      <w:r w:rsidR="00A8604A">
        <w:t>.</w:t>
      </w:r>
      <w:fldSimple w:instr=" SEQ Figure \* ARABIC \s 1 ">
        <w:r w:rsidR="0023061D">
          <w:rPr>
            <w:noProof/>
          </w:rPr>
          <w:t>3</w:t>
        </w:r>
      </w:fldSimple>
      <w:r>
        <w:t xml:space="preserve"> </w:t>
      </w:r>
      <w:r w:rsidRPr="00565BC4">
        <w:rPr>
          <w:b w:val="0"/>
        </w:rPr>
        <w:t>Adjustment of preparative gel filtration chromatography parameters</w:t>
      </w:r>
      <w:r>
        <w:rPr>
          <w:b w:val="0"/>
        </w:rPr>
        <w:t>.</w:t>
      </w:r>
      <w:bookmarkStart w:id="64" w:name="_Ref48644257"/>
      <w:bookmarkEnd w:id="63"/>
    </w:p>
    <w:p w14:paraId="7514D8BA" w14:textId="1EDCD0A6" w:rsidR="004C1185" w:rsidRDefault="008877B4" w:rsidP="003F461D">
      <w:pPr>
        <w:pStyle w:val="Caption"/>
        <w:spacing w:line="480" w:lineRule="auto"/>
        <w:rPr>
          <w:b w:val="0"/>
        </w:rPr>
      </w:pPr>
      <w:r w:rsidRPr="00565BC4">
        <w:rPr>
          <w:b w:val="0"/>
        </w:rPr>
        <w:lastRenderedPageBreak/>
        <w:t xml:space="preserve">The effect of the mobile phase (Tris-HCl or ammonium bicarbonate), preparation grade of the chromatographic column (30 or 75 pg) and sample volume injection (0.5 or 3 mL) were evaluated. </w:t>
      </w:r>
      <w:r w:rsidR="00B03458" w:rsidRPr="00565BC4">
        <w:rPr>
          <w:b w:val="0"/>
        </w:rPr>
        <w:t>(A)</w:t>
      </w:r>
      <w:r w:rsidR="00B03458">
        <w:rPr>
          <w:b w:val="0"/>
        </w:rPr>
        <w:t xml:space="preserve"> </w:t>
      </w:r>
      <w:r w:rsidRPr="00565BC4">
        <w:rPr>
          <w:b w:val="0"/>
        </w:rPr>
        <w:t>Gel filtration chromatographic profile,</w:t>
      </w:r>
      <w:r w:rsidR="00B03458">
        <w:rPr>
          <w:b w:val="0"/>
        </w:rPr>
        <w:t xml:space="preserve"> </w:t>
      </w:r>
      <w:r w:rsidR="00B03458" w:rsidRPr="00565BC4">
        <w:rPr>
          <w:b w:val="0"/>
        </w:rPr>
        <w:t xml:space="preserve">(B-E) </w:t>
      </w:r>
      <w:r w:rsidRPr="00565BC4">
        <w:rPr>
          <w:b w:val="0"/>
        </w:rPr>
        <w:t xml:space="preserve">lunasin, carbohydrates, and protein profiles under the different separation conditions. Base conditions: 30 pg column, Tris- HCl mobile phase and 0.5 mL injection volume (B), </w:t>
      </w:r>
      <w:bookmarkEnd w:id="64"/>
      <w:r w:rsidRPr="00565BC4">
        <w:rPr>
          <w:b w:val="0"/>
        </w:rPr>
        <w:t>NH</w:t>
      </w:r>
      <w:r w:rsidRPr="00565BC4">
        <w:rPr>
          <w:b w:val="0"/>
          <w:vertAlign w:val="subscript"/>
        </w:rPr>
        <w:t>4</w:t>
      </w:r>
      <w:r w:rsidRPr="00565BC4">
        <w:rPr>
          <w:b w:val="0"/>
        </w:rPr>
        <w:t>HCO</w:t>
      </w:r>
      <w:r w:rsidRPr="00565BC4">
        <w:rPr>
          <w:b w:val="0"/>
          <w:vertAlign w:val="subscript"/>
        </w:rPr>
        <w:t xml:space="preserve">3 </w:t>
      </w:r>
      <w:r w:rsidRPr="00565BC4">
        <w:rPr>
          <w:b w:val="0"/>
        </w:rPr>
        <w:t>as mobile phase (C, D and E), 75 pg column (D and E), 3 mL injection volume (E). Open arrows indicate lunasin peak. As indicated in section 2.</w:t>
      </w:r>
      <w:r w:rsidR="009C0FFE">
        <w:rPr>
          <w:b w:val="0"/>
        </w:rPr>
        <w:t>3.</w:t>
      </w:r>
      <w:r w:rsidRPr="00565BC4">
        <w:rPr>
          <w:b w:val="0"/>
        </w:rPr>
        <w:t>4, 3 mL of resuspended whey were purified using NH</w:t>
      </w:r>
      <w:r w:rsidRPr="00565BC4">
        <w:rPr>
          <w:b w:val="0"/>
          <w:vertAlign w:val="subscript"/>
        </w:rPr>
        <w:t>4</w:t>
      </w:r>
      <w:r w:rsidRPr="00565BC4">
        <w:rPr>
          <w:b w:val="0"/>
        </w:rPr>
        <w:t>HCO</w:t>
      </w:r>
      <w:r w:rsidRPr="00565BC4">
        <w:rPr>
          <w:b w:val="0"/>
          <w:vertAlign w:val="subscript"/>
        </w:rPr>
        <w:t xml:space="preserve">3 </w:t>
      </w:r>
      <w:r w:rsidRPr="00565BC4">
        <w:rPr>
          <w:b w:val="0"/>
        </w:rPr>
        <w:t xml:space="preserve">mobile phase and 75 pg column. Consecutive fractions of eluent were collected every 10 min. Fractions with a significant content of lunasin corresponding to average retention times of 58, 68, 78, and 88 min (lines 1 to 4 respectively) were characterized via </w:t>
      </w:r>
      <w:r w:rsidR="00B03458" w:rsidRPr="00565BC4">
        <w:rPr>
          <w:b w:val="0"/>
        </w:rPr>
        <w:t>(F)</w:t>
      </w:r>
      <w:r w:rsidR="00B03458">
        <w:rPr>
          <w:b w:val="0"/>
        </w:rPr>
        <w:t xml:space="preserve"> </w:t>
      </w:r>
      <w:r w:rsidRPr="00565BC4">
        <w:rPr>
          <w:b w:val="0"/>
        </w:rPr>
        <w:t xml:space="preserve">SDS-PAGE, </w:t>
      </w:r>
      <w:r w:rsidR="00B03458" w:rsidRPr="00565BC4">
        <w:rPr>
          <w:b w:val="0"/>
        </w:rPr>
        <w:t>(G)</w:t>
      </w:r>
      <w:r w:rsidR="00B03458">
        <w:rPr>
          <w:b w:val="0"/>
        </w:rPr>
        <w:t xml:space="preserve"> </w:t>
      </w:r>
      <w:r w:rsidRPr="00565BC4">
        <w:rPr>
          <w:b w:val="0"/>
        </w:rPr>
        <w:t>western blot against lunasin antibody an</w:t>
      </w:r>
      <w:r w:rsidR="00B03458">
        <w:rPr>
          <w:b w:val="0"/>
        </w:rPr>
        <w:t xml:space="preserve">d via </w:t>
      </w:r>
      <w:r w:rsidR="00B03458" w:rsidRPr="00565BC4">
        <w:rPr>
          <w:b w:val="0"/>
        </w:rPr>
        <w:t>(H)</w:t>
      </w:r>
      <w:r w:rsidRPr="00565BC4">
        <w:rPr>
          <w:b w:val="0"/>
        </w:rPr>
        <w:t xml:space="preserve"> HPLC for molecular weight distribution profile.</w:t>
      </w:r>
    </w:p>
    <w:p w14:paraId="3BCB50BB" w14:textId="77777777" w:rsidR="004C1185" w:rsidRDefault="004C1185">
      <w:pPr>
        <w:rPr>
          <w:bCs/>
        </w:rPr>
      </w:pPr>
      <w:r>
        <w:rPr>
          <w:b/>
        </w:rPr>
        <w:br w:type="page"/>
      </w:r>
    </w:p>
    <w:p w14:paraId="01E4E4D6" w14:textId="77777777" w:rsidR="008877B4" w:rsidRDefault="008877B4" w:rsidP="004C1185">
      <w:pPr>
        <w:pStyle w:val="Caption"/>
        <w:rPr>
          <w:b w:val="0"/>
          <w:bCs w:val="0"/>
          <w:i/>
        </w:rPr>
      </w:pPr>
    </w:p>
    <w:p w14:paraId="452BA37C" w14:textId="77777777" w:rsidR="00565BC4" w:rsidRDefault="008877B4" w:rsidP="005A09AF">
      <w:pPr>
        <w:keepNext/>
        <w:jc w:val="center"/>
      </w:pPr>
      <w:r>
        <w:rPr>
          <w:noProof/>
        </w:rPr>
        <w:drawing>
          <wp:inline distT="0" distB="0" distL="0" distR="0" wp14:anchorId="352F5CE7" wp14:editId="750BCD20">
            <wp:extent cx="5688222" cy="6373504"/>
            <wp:effectExtent l="0" t="0" r="8255" b="8255"/>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pic:nvPicPr>
                  <pic:blipFill rotWithShape="1">
                    <a:blip r:embed="rId24" cstate="print">
                      <a:extLst>
                        <a:ext uri="{28A0092B-C50C-407E-A947-70E740481C1C}">
                          <a14:useLocalDpi xmlns:a14="http://schemas.microsoft.com/office/drawing/2010/main" val="0"/>
                        </a:ext>
                      </a:extLst>
                    </a:blip>
                    <a:srcRect b="3490"/>
                    <a:stretch/>
                  </pic:blipFill>
                  <pic:spPr bwMode="auto">
                    <a:xfrm>
                      <a:off x="0" y="0"/>
                      <a:ext cx="5690859" cy="6376458"/>
                    </a:xfrm>
                    <a:prstGeom prst="rect">
                      <a:avLst/>
                    </a:prstGeom>
                    <a:ln>
                      <a:noFill/>
                    </a:ln>
                    <a:extLst>
                      <a:ext uri="{53640926-AAD7-44D8-BBD7-CCE9431645EC}">
                        <a14:shadowObscured xmlns:a14="http://schemas.microsoft.com/office/drawing/2010/main"/>
                      </a:ext>
                    </a:extLst>
                  </pic:spPr>
                </pic:pic>
              </a:graphicData>
            </a:graphic>
          </wp:inline>
        </w:drawing>
      </w:r>
    </w:p>
    <w:p w14:paraId="362B994D" w14:textId="332B4DC0" w:rsidR="00FD4304" w:rsidRDefault="00565BC4" w:rsidP="003F461D">
      <w:pPr>
        <w:pStyle w:val="Caption"/>
        <w:spacing w:line="480" w:lineRule="auto"/>
        <w:jc w:val="center"/>
        <w:rPr>
          <w:b w:val="0"/>
        </w:rPr>
      </w:pPr>
      <w:bookmarkStart w:id="65" w:name="_Toc77082184"/>
      <w:r>
        <w:t xml:space="preserve">Figure </w:t>
      </w:r>
      <w:fldSimple w:instr=" STYLEREF 1 \s ">
        <w:r w:rsidR="0023061D">
          <w:rPr>
            <w:noProof/>
          </w:rPr>
          <w:t>2</w:t>
        </w:r>
      </w:fldSimple>
      <w:r w:rsidR="00A8604A">
        <w:t>.</w:t>
      </w:r>
      <w:fldSimple w:instr=" SEQ Figure \* ARABIC \s 1 ">
        <w:r w:rsidR="0023061D">
          <w:rPr>
            <w:noProof/>
          </w:rPr>
          <w:t>4</w:t>
        </w:r>
      </w:fldSimple>
      <w:r>
        <w:t xml:space="preserve"> </w:t>
      </w:r>
      <w:r w:rsidRPr="00565BC4">
        <w:rPr>
          <w:b w:val="0"/>
        </w:rPr>
        <w:t>Isolation of lunasin from industrially produced tofu whey.</w:t>
      </w:r>
      <w:bookmarkEnd w:id="65"/>
    </w:p>
    <w:p w14:paraId="41A4F3DE" w14:textId="15C172A8" w:rsidR="00916C26" w:rsidRDefault="008877B4" w:rsidP="003F461D">
      <w:pPr>
        <w:pStyle w:val="Caption"/>
        <w:spacing w:line="480" w:lineRule="auto"/>
        <w:rPr>
          <w:b w:val="0"/>
        </w:rPr>
      </w:pPr>
      <w:r w:rsidRPr="00565BC4">
        <w:rPr>
          <w:b w:val="0"/>
        </w:rPr>
        <w:t xml:space="preserve">Industrially produced tofu whey was spray dried (SDW), freeze-dried (FDW), or concentrated using 30% ethanol and pH 4.5 (EtOHpH4.5). Each sample was </w:t>
      </w:r>
      <w:r w:rsidRPr="00565BC4">
        <w:rPr>
          <w:b w:val="0"/>
        </w:rPr>
        <w:lastRenderedPageBreak/>
        <w:t>then purified via preparative gel filtration chromatography as described in section 2.</w:t>
      </w:r>
      <w:r w:rsidR="009C0FFE">
        <w:rPr>
          <w:b w:val="0"/>
        </w:rPr>
        <w:t>3.</w:t>
      </w:r>
      <w:r w:rsidRPr="00565BC4">
        <w:rPr>
          <w:b w:val="0"/>
        </w:rPr>
        <w:t xml:space="preserve">5. Consecutive fractions of eluent were collected every 10 min and characterized for </w:t>
      </w:r>
      <w:r w:rsidR="00B03458" w:rsidRPr="00565BC4">
        <w:rPr>
          <w:b w:val="0"/>
        </w:rPr>
        <w:t>(A)</w:t>
      </w:r>
      <w:r w:rsidR="00B03458">
        <w:rPr>
          <w:b w:val="0"/>
        </w:rPr>
        <w:t xml:space="preserve"> </w:t>
      </w:r>
      <w:r w:rsidRPr="00565BC4">
        <w:rPr>
          <w:b w:val="0"/>
        </w:rPr>
        <w:t xml:space="preserve">protein content, </w:t>
      </w:r>
      <w:r w:rsidR="00B03458" w:rsidRPr="00565BC4">
        <w:rPr>
          <w:b w:val="0"/>
        </w:rPr>
        <w:t>(B)</w:t>
      </w:r>
      <w:r w:rsidR="00B03458">
        <w:rPr>
          <w:b w:val="0"/>
        </w:rPr>
        <w:t xml:space="preserve"> </w:t>
      </w:r>
      <w:r w:rsidRPr="00565BC4">
        <w:rPr>
          <w:b w:val="0"/>
        </w:rPr>
        <w:t xml:space="preserve">lunasin content, </w:t>
      </w:r>
      <w:r w:rsidR="00B03458" w:rsidRPr="00565BC4">
        <w:rPr>
          <w:b w:val="0"/>
        </w:rPr>
        <w:t>(C)</w:t>
      </w:r>
      <w:r w:rsidR="00B03458">
        <w:rPr>
          <w:b w:val="0"/>
        </w:rPr>
        <w:t xml:space="preserve"> </w:t>
      </w:r>
      <w:r w:rsidRPr="00565BC4">
        <w:rPr>
          <w:b w:val="0"/>
        </w:rPr>
        <w:t>yellow color intensity, and</w:t>
      </w:r>
      <w:r w:rsidR="00B03458">
        <w:rPr>
          <w:b w:val="0"/>
        </w:rPr>
        <w:t xml:space="preserve"> </w:t>
      </w:r>
      <w:r w:rsidR="00B03458" w:rsidRPr="00565BC4">
        <w:rPr>
          <w:b w:val="0"/>
        </w:rPr>
        <w:t>(D)</w:t>
      </w:r>
      <w:r w:rsidRPr="00565BC4">
        <w:rPr>
          <w:b w:val="0"/>
        </w:rPr>
        <w:t xml:space="preserve"> total carbohydrates content.</w:t>
      </w:r>
      <w:r w:rsidRPr="00565BC4" w:rsidDel="00E35813">
        <w:rPr>
          <w:b w:val="0"/>
        </w:rPr>
        <w:t xml:space="preserve"> </w:t>
      </w:r>
      <w:r w:rsidRPr="00565BC4">
        <w:rPr>
          <w:b w:val="0"/>
          <w:iCs/>
        </w:rPr>
        <w:t>Fractions with a significant content of lunasin, corresponding to average retention times of 78min (F78) and 88 min (F88) were tested for</w:t>
      </w:r>
      <w:r w:rsidRPr="00565BC4">
        <w:rPr>
          <w:b w:val="0"/>
          <w:i/>
        </w:rPr>
        <w:t xml:space="preserve"> </w:t>
      </w:r>
      <w:r w:rsidRPr="00565BC4">
        <w:rPr>
          <w:b w:val="0"/>
        </w:rPr>
        <w:t xml:space="preserve">bioactivity. </w:t>
      </w:r>
      <w:r w:rsidR="00B03458" w:rsidRPr="00565BC4">
        <w:rPr>
          <w:b w:val="0"/>
        </w:rPr>
        <w:t>(A)</w:t>
      </w:r>
      <w:r w:rsidR="00B03458">
        <w:rPr>
          <w:b w:val="0"/>
        </w:rPr>
        <w:t xml:space="preserve"> </w:t>
      </w:r>
      <w:r w:rsidRPr="00565BC4">
        <w:rPr>
          <w:b w:val="0"/>
        </w:rPr>
        <w:t xml:space="preserve">Viability, </w:t>
      </w:r>
      <w:r w:rsidR="00B03458" w:rsidRPr="00565BC4">
        <w:rPr>
          <w:b w:val="0"/>
        </w:rPr>
        <w:t>(B)</w:t>
      </w:r>
      <w:r w:rsidR="00B03458">
        <w:rPr>
          <w:b w:val="0"/>
        </w:rPr>
        <w:t xml:space="preserve"> </w:t>
      </w:r>
      <w:r w:rsidRPr="00565BC4">
        <w:rPr>
          <w:b w:val="0"/>
        </w:rPr>
        <w:t xml:space="preserve">production of nitric oxide, and release of pro-inflammatory cytokines </w:t>
      </w:r>
      <w:r w:rsidR="00B03458" w:rsidRPr="00565BC4">
        <w:rPr>
          <w:b w:val="0"/>
        </w:rPr>
        <w:t>(C)</w:t>
      </w:r>
      <w:r w:rsidR="00B03458">
        <w:rPr>
          <w:b w:val="0"/>
        </w:rPr>
        <w:t xml:space="preserve"> </w:t>
      </w:r>
      <w:r w:rsidRPr="00565BC4">
        <w:rPr>
          <w:b w:val="0"/>
        </w:rPr>
        <w:t>IL-6</w:t>
      </w:r>
      <w:r w:rsidR="00B03458">
        <w:rPr>
          <w:b w:val="0"/>
        </w:rPr>
        <w:t xml:space="preserve">, </w:t>
      </w:r>
      <w:r w:rsidRPr="00565BC4">
        <w:rPr>
          <w:b w:val="0"/>
        </w:rPr>
        <w:t xml:space="preserve">and </w:t>
      </w:r>
      <w:r w:rsidR="00B03458">
        <w:rPr>
          <w:b w:val="0"/>
        </w:rPr>
        <w:t xml:space="preserve">(D) </w:t>
      </w:r>
      <w:r w:rsidRPr="00565BC4">
        <w:rPr>
          <w:b w:val="0"/>
        </w:rPr>
        <w:t xml:space="preserve">TNF-α were evaluated in LPS-activated murine macrophages in the presence or absence of different concentrations of fractions F78 and F88. </w:t>
      </w:r>
    </w:p>
    <w:p w14:paraId="702C5DC4" w14:textId="77777777" w:rsidR="00916C26" w:rsidRDefault="00916C26">
      <w:pPr>
        <w:rPr>
          <w:bCs/>
        </w:rPr>
      </w:pPr>
      <w:r>
        <w:rPr>
          <w:b/>
        </w:rPr>
        <w:br w:type="page"/>
      </w:r>
    </w:p>
    <w:p w14:paraId="71162B66" w14:textId="716F85C2" w:rsidR="00916C26" w:rsidRDefault="005D37A3" w:rsidP="005A09AF">
      <w:pPr>
        <w:keepNext/>
        <w:jc w:val="center"/>
      </w:pPr>
      <w:r>
        <w:rPr>
          <w:noProof/>
        </w:rPr>
        <w:lastRenderedPageBreak/>
        <w:drawing>
          <wp:inline distT="0" distB="0" distL="0" distR="0" wp14:anchorId="74FF4E6A" wp14:editId="758CE5FD">
            <wp:extent cx="4038600" cy="65341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38600" cy="6534150"/>
                    </a:xfrm>
                    <a:prstGeom prst="rect">
                      <a:avLst/>
                    </a:prstGeom>
                    <a:noFill/>
                    <a:ln>
                      <a:noFill/>
                    </a:ln>
                  </pic:spPr>
                </pic:pic>
              </a:graphicData>
            </a:graphic>
          </wp:inline>
        </w:drawing>
      </w:r>
    </w:p>
    <w:p w14:paraId="64AA7A1A" w14:textId="0FAFF6D8" w:rsidR="008877B4" w:rsidRDefault="00916C26" w:rsidP="00A25C25">
      <w:pPr>
        <w:pStyle w:val="Caption"/>
        <w:spacing w:line="480" w:lineRule="auto"/>
        <w:jc w:val="center"/>
      </w:pPr>
      <w:bookmarkStart w:id="66" w:name="_Toc77082185"/>
      <w:r>
        <w:t xml:space="preserve">Figure </w:t>
      </w:r>
      <w:fldSimple w:instr=" STYLEREF 1 \s ">
        <w:r w:rsidR="0023061D">
          <w:rPr>
            <w:noProof/>
          </w:rPr>
          <w:t>2</w:t>
        </w:r>
      </w:fldSimple>
      <w:r w:rsidR="00A8604A">
        <w:t>.</w:t>
      </w:r>
      <w:fldSimple w:instr=" SEQ Figure \* ARABIC \s 1 ">
        <w:r w:rsidR="0023061D">
          <w:rPr>
            <w:noProof/>
          </w:rPr>
          <w:t>5</w:t>
        </w:r>
      </w:fldSimple>
      <w:r>
        <w:t xml:space="preserve"> </w:t>
      </w:r>
      <w:r w:rsidRPr="008D6147">
        <w:rPr>
          <w:b w:val="0"/>
        </w:rPr>
        <w:t>Process for the isolation of lunasin from tofu whey via ethanolic-isoelectric precipitation and gel filtration chromatography.</w:t>
      </w:r>
      <w:bookmarkEnd w:id="66"/>
    </w:p>
    <w:p w14:paraId="59646454" w14:textId="5E6B5897" w:rsidR="008877B4" w:rsidRDefault="008877B4" w:rsidP="008877B4">
      <w:pPr>
        <w:rPr>
          <w:b/>
          <w:bCs/>
        </w:rPr>
      </w:pPr>
    </w:p>
    <w:p w14:paraId="7B69C327" w14:textId="67B2D44F" w:rsidR="00022C8C" w:rsidRDefault="00022C8C" w:rsidP="003F461D">
      <w:pPr>
        <w:pStyle w:val="Caption"/>
        <w:spacing w:line="480" w:lineRule="auto"/>
        <w:jc w:val="center"/>
        <w:rPr>
          <w:b w:val="0"/>
        </w:rPr>
      </w:pPr>
      <w:bookmarkStart w:id="67" w:name="_Toc77082174"/>
      <w:r>
        <w:lastRenderedPageBreak/>
        <w:t xml:space="preserve">Table </w:t>
      </w:r>
      <w:fldSimple w:instr=" STYLEREF 1 \s ">
        <w:r w:rsidR="0023061D">
          <w:rPr>
            <w:noProof/>
          </w:rPr>
          <w:t>2</w:t>
        </w:r>
      </w:fldSimple>
      <w:r w:rsidR="005A09AF">
        <w:t>.</w:t>
      </w:r>
      <w:fldSimple w:instr=" SEQ Table \* ARABIC \s 1 ">
        <w:r w:rsidR="0023061D">
          <w:rPr>
            <w:noProof/>
          </w:rPr>
          <w:t>3</w:t>
        </w:r>
      </w:fldSimple>
      <w:r>
        <w:t xml:space="preserve"> </w:t>
      </w:r>
      <w:r w:rsidRPr="00022C8C">
        <w:rPr>
          <w:b w:val="0"/>
        </w:rPr>
        <w:t>MALDI-TOF-MS identification of the 5 kDa lunasin immunoreactive bands in fractions obtained via gel filtration chromatography of ethanolic-isoelectric enriched material from industrially produced tofu whey.</w:t>
      </w:r>
      <w:bookmarkEnd w:id="67"/>
    </w:p>
    <w:tbl>
      <w:tblPr>
        <w:tblW w:w="7860" w:type="dxa"/>
        <w:jc w:val="center"/>
        <w:tblCellMar>
          <w:left w:w="70" w:type="dxa"/>
          <w:right w:w="70" w:type="dxa"/>
        </w:tblCellMar>
        <w:tblLook w:val="04A0" w:firstRow="1" w:lastRow="0" w:firstColumn="1" w:lastColumn="0" w:noHBand="0" w:noVBand="1"/>
      </w:tblPr>
      <w:tblGrid>
        <w:gridCol w:w="376"/>
        <w:gridCol w:w="2416"/>
        <w:gridCol w:w="925"/>
        <w:gridCol w:w="1267"/>
        <w:gridCol w:w="2896"/>
      </w:tblGrid>
      <w:tr w:rsidR="00F30BB1" w:rsidRPr="00F30BB1" w14:paraId="2499722D" w14:textId="77777777" w:rsidTr="0071207C">
        <w:trPr>
          <w:trHeight w:val="255"/>
          <w:jc w:val="center"/>
        </w:trPr>
        <w:tc>
          <w:tcPr>
            <w:tcW w:w="356" w:type="dxa"/>
            <w:vMerge w:val="restart"/>
            <w:tcBorders>
              <w:top w:val="nil"/>
              <w:left w:val="nil"/>
              <w:bottom w:val="nil"/>
              <w:right w:val="nil"/>
            </w:tcBorders>
            <w:shd w:val="clear" w:color="auto" w:fill="auto"/>
            <w:noWrap/>
            <w:vAlign w:val="center"/>
            <w:hideMark/>
          </w:tcPr>
          <w:p w14:paraId="39E2C40F" w14:textId="77777777" w:rsidR="00F30BB1" w:rsidRPr="0071207C" w:rsidRDefault="00F30BB1" w:rsidP="00F30BB1">
            <w:pPr>
              <w:rPr>
                <w:rFonts w:ascii="Times New Roman" w:hAnsi="Times New Roman" w:cs="Times New Roman"/>
                <w:sz w:val="20"/>
                <w:szCs w:val="20"/>
                <w:lang w:eastAsia="es-CO"/>
              </w:rPr>
            </w:pPr>
          </w:p>
        </w:tc>
        <w:tc>
          <w:tcPr>
            <w:tcW w:w="2416" w:type="dxa"/>
            <w:tcBorders>
              <w:top w:val="single" w:sz="4" w:space="0" w:color="auto"/>
              <w:left w:val="nil"/>
              <w:right w:val="nil"/>
            </w:tcBorders>
            <w:shd w:val="clear" w:color="auto" w:fill="auto"/>
            <w:noWrap/>
            <w:vAlign w:val="center"/>
            <w:hideMark/>
          </w:tcPr>
          <w:p w14:paraId="4B8839CE" w14:textId="77777777" w:rsidR="00F30BB1" w:rsidRPr="00F30BB1" w:rsidRDefault="00F30BB1" w:rsidP="00F30BB1">
            <w:pPr>
              <w:jc w:val="center"/>
              <w:rPr>
                <w:b/>
                <w:bCs/>
                <w:color w:val="000000"/>
                <w:sz w:val="20"/>
                <w:szCs w:val="20"/>
                <w:lang w:val="es-CO" w:eastAsia="es-CO"/>
              </w:rPr>
            </w:pPr>
            <w:r w:rsidRPr="00F30BB1">
              <w:rPr>
                <w:b/>
                <w:bCs/>
                <w:color w:val="000000"/>
                <w:sz w:val="20"/>
                <w:szCs w:val="20"/>
                <w:lang w:eastAsia="es-CO"/>
              </w:rPr>
              <w:t>Protein identified</w:t>
            </w:r>
          </w:p>
        </w:tc>
        <w:tc>
          <w:tcPr>
            <w:tcW w:w="925" w:type="dxa"/>
            <w:vMerge w:val="restart"/>
            <w:tcBorders>
              <w:top w:val="single" w:sz="4" w:space="0" w:color="auto"/>
              <w:left w:val="nil"/>
              <w:bottom w:val="single" w:sz="4" w:space="0" w:color="auto"/>
              <w:right w:val="nil"/>
            </w:tcBorders>
            <w:shd w:val="clear" w:color="auto" w:fill="auto"/>
            <w:vAlign w:val="center"/>
            <w:hideMark/>
          </w:tcPr>
          <w:p w14:paraId="441E832E" w14:textId="77777777" w:rsidR="00F30BB1" w:rsidRPr="00F30BB1" w:rsidRDefault="00F30BB1" w:rsidP="00F30BB1">
            <w:pPr>
              <w:jc w:val="center"/>
              <w:rPr>
                <w:b/>
                <w:bCs/>
                <w:color w:val="000000"/>
                <w:sz w:val="20"/>
                <w:szCs w:val="20"/>
                <w:lang w:val="es-CO" w:eastAsia="es-CO"/>
              </w:rPr>
            </w:pPr>
            <w:r w:rsidRPr="00F30BB1">
              <w:rPr>
                <w:b/>
                <w:bCs/>
                <w:color w:val="000000"/>
                <w:sz w:val="20"/>
                <w:szCs w:val="20"/>
                <w:lang w:eastAsia="es-CO"/>
              </w:rPr>
              <w:t>MOWSE (20 ppm)</w:t>
            </w:r>
          </w:p>
        </w:tc>
        <w:tc>
          <w:tcPr>
            <w:tcW w:w="1267" w:type="dxa"/>
            <w:vMerge w:val="restart"/>
            <w:tcBorders>
              <w:top w:val="single" w:sz="4" w:space="0" w:color="auto"/>
              <w:left w:val="nil"/>
              <w:bottom w:val="single" w:sz="4" w:space="0" w:color="auto"/>
              <w:right w:val="nil"/>
            </w:tcBorders>
            <w:shd w:val="clear" w:color="auto" w:fill="auto"/>
            <w:vAlign w:val="center"/>
            <w:hideMark/>
          </w:tcPr>
          <w:p w14:paraId="619B5267" w14:textId="77777777" w:rsidR="00F30BB1" w:rsidRPr="00F30BB1" w:rsidRDefault="00F30BB1" w:rsidP="00F30BB1">
            <w:pPr>
              <w:jc w:val="center"/>
              <w:rPr>
                <w:b/>
                <w:bCs/>
                <w:color w:val="000000"/>
                <w:sz w:val="20"/>
                <w:szCs w:val="20"/>
                <w:lang w:val="es-CO" w:eastAsia="es-CO"/>
              </w:rPr>
            </w:pPr>
            <w:r w:rsidRPr="00F30BB1">
              <w:rPr>
                <w:b/>
                <w:bCs/>
                <w:color w:val="000000"/>
                <w:sz w:val="20"/>
                <w:szCs w:val="20"/>
                <w:lang w:eastAsia="es-CO"/>
              </w:rPr>
              <w:t>Sequence coverage (%)</w:t>
            </w:r>
          </w:p>
        </w:tc>
        <w:tc>
          <w:tcPr>
            <w:tcW w:w="2896" w:type="dxa"/>
            <w:vMerge w:val="restart"/>
            <w:tcBorders>
              <w:top w:val="single" w:sz="4" w:space="0" w:color="auto"/>
              <w:left w:val="nil"/>
              <w:bottom w:val="single" w:sz="4" w:space="0" w:color="auto"/>
              <w:right w:val="nil"/>
            </w:tcBorders>
            <w:shd w:val="clear" w:color="auto" w:fill="auto"/>
            <w:noWrap/>
            <w:vAlign w:val="center"/>
            <w:hideMark/>
          </w:tcPr>
          <w:p w14:paraId="1EB51954" w14:textId="77777777" w:rsidR="00F30BB1" w:rsidRPr="00F30BB1" w:rsidRDefault="00F30BB1" w:rsidP="00F30BB1">
            <w:pPr>
              <w:jc w:val="center"/>
              <w:rPr>
                <w:b/>
                <w:bCs/>
                <w:color w:val="000000"/>
                <w:sz w:val="20"/>
                <w:szCs w:val="20"/>
                <w:lang w:val="es-CO" w:eastAsia="es-CO"/>
              </w:rPr>
            </w:pPr>
            <w:r w:rsidRPr="00F30BB1">
              <w:rPr>
                <w:b/>
                <w:bCs/>
                <w:color w:val="000000"/>
                <w:sz w:val="20"/>
                <w:szCs w:val="20"/>
                <w:lang w:eastAsia="es-CO"/>
              </w:rPr>
              <w:t>Peptides matched</w:t>
            </w:r>
          </w:p>
        </w:tc>
      </w:tr>
      <w:tr w:rsidR="00F30BB1" w:rsidRPr="00F30BB1" w14:paraId="32B1D698" w14:textId="77777777" w:rsidTr="0071207C">
        <w:trPr>
          <w:trHeight w:val="255"/>
          <w:jc w:val="center"/>
        </w:trPr>
        <w:tc>
          <w:tcPr>
            <w:tcW w:w="356" w:type="dxa"/>
            <w:vMerge/>
            <w:tcBorders>
              <w:top w:val="nil"/>
              <w:left w:val="nil"/>
              <w:bottom w:val="single" w:sz="4" w:space="0" w:color="auto"/>
              <w:right w:val="nil"/>
            </w:tcBorders>
            <w:vAlign w:val="center"/>
            <w:hideMark/>
          </w:tcPr>
          <w:p w14:paraId="2DBDE6D7" w14:textId="77777777" w:rsidR="00F30BB1" w:rsidRPr="00F30BB1" w:rsidRDefault="00F30BB1" w:rsidP="00F30BB1">
            <w:pPr>
              <w:rPr>
                <w:rFonts w:ascii="Times New Roman" w:hAnsi="Times New Roman" w:cs="Times New Roman"/>
                <w:sz w:val="20"/>
                <w:szCs w:val="20"/>
                <w:lang w:val="es-CO" w:eastAsia="es-CO"/>
              </w:rPr>
            </w:pPr>
          </w:p>
        </w:tc>
        <w:tc>
          <w:tcPr>
            <w:tcW w:w="2416" w:type="dxa"/>
            <w:tcBorders>
              <w:top w:val="nil"/>
              <w:left w:val="nil"/>
              <w:bottom w:val="single" w:sz="4" w:space="0" w:color="auto"/>
              <w:right w:val="nil"/>
            </w:tcBorders>
            <w:shd w:val="clear" w:color="auto" w:fill="auto"/>
            <w:noWrap/>
            <w:vAlign w:val="center"/>
            <w:hideMark/>
          </w:tcPr>
          <w:p w14:paraId="694D8C50" w14:textId="77777777" w:rsidR="00F30BB1" w:rsidRPr="00F30BB1" w:rsidRDefault="00F30BB1" w:rsidP="00F30BB1">
            <w:pPr>
              <w:jc w:val="center"/>
              <w:rPr>
                <w:b/>
                <w:bCs/>
                <w:color w:val="000000"/>
                <w:sz w:val="20"/>
                <w:szCs w:val="20"/>
                <w:lang w:val="es-CO" w:eastAsia="es-CO"/>
              </w:rPr>
            </w:pPr>
            <w:r w:rsidRPr="00F30BB1">
              <w:rPr>
                <w:b/>
                <w:bCs/>
                <w:color w:val="000000"/>
                <w:sz w:val="20"/>
                <w:szCs w:val="20"/>
                <w:lang w:eastAsia="es-CO"/>
              </w:rPr>
              <w:t>(NCBInr accession)</w:t>
            </w:r>
          </w:p>
        </w:tc>
        <w:tc>
          <w:tcPr>
            <w:tcW w:w="925" w:type="dxa"/>
            <w:vMerge/>
            <w:tcBorders>
              <w:top w:val="nil"/>
              <w:left w:val="nil"/>
              <w:bottom w:val="single" w:sz="4" w:space="0" w:color="auto"/>
              <w:right w:val="nil"/>
            </w:tcBorders>
            <w:vAlign w:val="center"/>
            <w:hideMark/>
          </w:tcPr>
          <w:p w14:paraId="5F0CBA78" w14:textId="77777777" w:rsidR="00F30BB1" w:rsidRPr="00F30BB1" w:rsidRDefault="00F30BB1" w:rsidP="00F30BB1">
            <w:pPr>
              <w:rPr>
                <w:b/>
                <w:bCs/>
                <w:color w:val="000000"/>
                <w:sz w:val="20"/>
                <w:szCs w:val="20"/>
                <w:lang w:val="es-CO" w:eastAsia="es-CO"/>
              </w:rPr>
            </w:pPr>
          </w:p>
        </w:tc>
        <w:tc>
          <w:tcPr>
            <w:tcW w:w="1267" w:type="dxa"/>
            <w:vMerge/>
            <w:tcBorders>
              <w:top w:val="nil"/>
              <w:left w:val="nil"/>
              <w:bottom w:val="single" w:sz="4" w:space="0" w:color="auto"/>
              <w:right w:val="nil"/>
            </w:tcBorders>
            <w:vAlign w:val="center"/>
            <w:hideMark/>
          </w:tcPr>
          <w:p w14:paraId="065A6C88" w14:textId="77777777" w:rsidR="00F30BB1" w:rsidRPr="00F30BB1" w:rsidRDefault="00F30BB1" w:rsidP="00F30BB1">
            <w:pPr>
              <w:rPr>
                <w:b/>
                <w:bCs/>
                <w:color w:val="000000"/>
                <w:sz w:val="20"/>
                <w:szCs w:val="20"/>
                <w:lang w:val="es-CO" w:eastAsia="es-CO"/>
              </w:rPr>
            </w:pPr>
          </w:p>
        </w:tc>
        <w:tc>
          <w:tcPr>
            <w:tcW w:w="2896" w:type="dxa"/>
            <w:vMerge/>
            <w:tcBorders>
              <w:top w:val="nil"/>
              <w:left w:val="nil"/>
              <w:bottom w:val="single" w:sz="4" w:space="0" w:color="auto"/>
              <w:right w:val="nil"/>
            </w:tcBorders>
            <w:vAlign w:val="center"/>
            <w:hideMark/>
          </w:tcPr>
          <w:p w14:paraId="56025633" w14:textId="77777777" w:rsidR="00F30BB1" w:rsidRPr="00F30BB1" w:rsidRDefault="00F30BB1" w:rsidP="00F30BB1">
            <w:pPr>
              <w:rPr>
                <w:b/>
                <w:bCs/>
                <w:color w:val="000000"/>
                <w:sz w:val="20"/>
                <w:szCs w:val="20"/>
                <w:lang w:val="es-CO" w:eastAsia="es-CO"/>
              </w:rPr>
            </w:pPr>
          </w:p>
        </w:tc>
      </w:tr>
      <w:tr w:rsidR="00F30BB1" w:rsidRPr="00F30BB1" w14:paraId="05023D95" w14:textId="77777777" w:rsidTr="0071207C">
        <w:trPr>
          <w:trHeight w:val="435"/>
          <w:jc w:val="center"/>
        </w:trPr>
        <w:tc>
          <w:tcPr>
            <w:tcW w:w="356" w:type="dxa"/>
            <w:vMerge w:val="restart"/>
            <w:tcBorders>
              <w:top w:val="single" w:sz="4" w:space="0" w:color="auto"/>
              <w:left w:val="nil"/>
              <w:bottom w:val="single" w:sz="4" w:space="0" w:color="auto"/>
              <w:right w:val="nil"/>
            </w:tcBorders>
            <w:shd w:val="clear" w:color="auto" w:fill="auto"/>
            <w:noWrap/>
            <w:textDirection w:val="btLr"/>
            <w:vAlign w:val="center"/>
            <w:hideMark/>
          </w:tcPr>
          <w:p w14:paraId="6B82468E" w14:textId="77777777" w:rsidR="00F30BB1" w:rsidRPr="00F30BB1" w:rsidRDefault="00F30BB1" w:rsidP="00F30BB1">
            <w:pPr>
              <w:jc w:val="center"/>
              <w:rPr>
                <w:color w:val="000000"/>
                <w:sz w:val="20"/>
                <w:szCs w:val="20"/>
                <w:lang w:val="es-CO" w:eastAsia="es-CO"/>
              </w:rPr>
            </w:pPr>
            <w:r w:rsidRPr="00F30BB1">
              <w:rPr>
                <w:color w:val="000000"/>
                <w:sz w:val="20"/>
                <w:szCs w:val="20"/>
                <w:lang w:eastAsia="es-CO"/>
              </w:rPr>
              <w:t>Fraction F88</w:t>
            </w:r>
          </w:p>
        </w:tc>
        <w:tc>
          <w:tcPr>
            <w:tcW w:w="2416" w:type="dxa"/>
            <w:tcBorders>
              <w:top w:val="single" w:sz="4" w:space="0" w:color="auto"/>
              <w:left w:val="nil"/>
              <w:bottom w:val="nil"/>
              <w:right w:val="nil"/>
            </w:tcBorders>
            <w:shd w:val="clear" w:color="auto" w:fill="auto"/>
            <w:noWrap/>
            <w:vAlign w:val="center"/>
            <w:hideMark/>
          </w:tcPr>
          <w:p w14:paraId="7FD99E68" w14:textId="77777777" w:rsidR="00F30BB1" w:rsidRPr="00F30BB1" w:rsidRDefault="00F30BB1" w:rsidP="00F30BB1">
            <w:pPr>
              <w:rPr>
                <w:color w:val="000000"/>
                <w:sz w:val="20"/>
                <w:szCs w:val="20"/>
                <w:lang w:val="es-CO" w:eastAsia="es-CO"/>
              </w:rPr>
            </w:pPr>
            <w:r w:rsidRPr="00F30BB1">
              <w:rPr>
                <w:color w:val="000000"/>
                <w:sz w:val="20"/>
                <w:szCs w:val="20"/>
                <w:lang w:eastAsia="es-CO"/>
              </w:rPr>
              <w:t>2S albumin precursor</w:t>
            </w:r>
          </w:p>
        </w:tc>
        <w:tc>
          <w:tcPr>
            <w:tcW w:w="925" w:type="dxa"/>
            <w:tcBorders>
              <w:top w:val="single" w:sz="4" w:space="0" w:color="auto"/>
              <w:left w:val="nil"/>
              <w:bottom w:val="nil"/>
              <w:right w:val="nil"/>
            </w:tcBorders>
            <w:shd w:val="clear" w:color="auto" w:fill="auto"/>
            <w:noWrap/>
            <w:vAlign w:val="center"/>
            <w:hideMark/>
          </w:tcPr>
          <w:p w14:paraId="5A9F007A" w14:textId="77777777" w:rsidR="00F30BB1" w:rsidRPr="00F30BB1" w:rsidRDefault="00F30BB1" w:rsidP="00F30BB1">
            <w:pPr>
              <w:jc w:val="center"/>
              <w:rPr>
                <w:color w:val="000000"/>
                <w:sz w:val="20"/>
                <w:szCs w:val="20"/>
                <w:lang w:val="es-CO" w:eastAsia="es-CO"/>
              </w:rPr>
            </w:pPr>
            <w:r w:rsidRPr="00F30BB1">
              <w:rPr>
                <w:color w:val="000000"/>
                <w:sz w:val="20"/>
                <w:szCs w:val="20"/>
                <w:lang w:eastAsia="es-CO"/>
              </w:rPr>
              <w:t>462</w:t>
            </w:r>
          </w:p>
        </w:tc>
        <w:tc>
          <w:tcPr>
            <w:tcW w:w="1267" w:type="dxa"/>
            <w:tcBorders>
              <w:top w:val="single" w:sz="4" w:space="0" w:color="auto"/>
              <w:left w:val="nil"/>
              <w:bottom w:val="nil"/>
              <w:right w:val="nil"/>
            </w:tcBorders>
            <w:shd w:val="clear" w:color="auto" w:fill="auto"/>
            <w:noWrap/>
            <w:vAlign w:val="center"/>
            <w:hideMark/>
          </w:tcPr>
          <w:p w14:paraId="20E23C89" w14:textId="77777777" w:rsidR="00F30BB1" w:rsidRPr="00F30BB1" w:rsidRDefault="00F30BB1" w:rsidP="00F30BB1">
            <w:pPr>
              <w:jc w:val="center"/>
              <w:rPr>
                <w:color w:val="000000"/>
                <w:sz w:val="20"/>
                <w:szCs w:val="20"/>
                <w:lang w:val="es-CO" w:eastAsia="es-CO"/>
              </w:rPr>
            </w:pPr>
            <w:r w:rsidRPr="00F30BB1">
              <w:rPr>
                <w:color w:val="000000"/>
                <w:sz w:val="20"/>
                <w:szCs w:val="20"/>
                <w:lang w:eastAsia="es-CO"/>
              </w:rPr>
              <w:t>34</w:t>
            </w:r>
          </w:p>
        </w:tc>
        <w:tc>
          <w:tcPr>
            <w:tcW w:w="2896" w:type="dxa"/>
            <w:tcBorders>
              <w:top w:val="single" w:sz="4" w:space="0" w:color="auto"/>
              <w:left w:val="nil"/>
              <w:bottom w:val="nil"/>
              <w:right w:val="nil"/>
            </w:tcBorders>
            <w:shd w:val="clear" w:color="auto" w:fill="auto"/>
            <w:noWrap/>
            <w:vAlign w:val="center"/>
            <w:hideMark/>
          </w:tcPr>
          <w:p w14:paraId="2239230C" w14:textId="77777777" w:rsidR="00F30BB1" w:rsidRPr="00F30BB1" w:rsidRDefault="00F30BB1" w:rsidP="00F30BB1">
            <w:pPr>
              <w:rPr>
                <w:color w:val="000000"/>
                <w:sz w:val="20"/>
                <w:szCs w:val="20"/>
                <w:lang w:val="es-CO" w:eastAsia="es-CO"/>
              </w:rPr>
            </w:pPr>
            <w:r w:rsidRPr="00F30BB1">
              <w:rPr>
                <w:color w:val="000000"/>
                <w:sz w:val="20"/>
                <w:szCs w:val="20"/>
                <w:lang w:eastAsia="es-CO"/>
              </w:rPr>
              <w:t>HIMEKIQGR</w:t>
            </w:r>
          </w:p>
        </w:tc>
      </w:tr>
      <w:tr w:rsidR="00F30BB1" w:rsidRPr="00F30BB1" w14:paraId="4011D10C" w14:textId="77777777" w:rsidTr="0071207C">
        <w:trPr>
          <w:trHeight w:val="255"/>
          <w:jc w:val="center"/>
        </w:trPr>
        <w:tc>
          <w:tcPr>
            <w:tcW w:w="356" w:type="dxa"/>
            <w:vMerge/>
            <w:tcBorders>
              <w:top w:val="nil"/>
              <w:left w:val="nil"/>
              <w:bottom w:val="single" w:sz="4" w:space="0" w:color="auto"/>
              <w:right w:val="nil"/>
            </w:tcBorders>
            <w:vAlign w:val="center"/>
            <w:hideMark/>
          </w:tcPr>
          <w:p w14:paraId="420135C6" w14:textId="77777777" w:rsidR="00F30BB1" w:rsidRPr="00F30BB1" w:rsidRDefault="00F30BB1" w:rsidP="00F30BB1">
            <w:pPr>
              <w:rPr>
                <w:color w:val="000000"/>
                <w:sz w:val="20"/>
                <w:szCs w:val="20"/>
                <w:lang w:val="es-CO" w:eastAsia="es-CO"/>
              </w:rPr>
            </w:pPr>
          </w:p>
        </w:tc>
        <w:tc>
          <w:tcPr>
            <w:tcW w:w="2416" w:type="dxa"/>
            <w:tcBorders>
              <w:top w:val="nil"/>
              <w:left w:val="nil"/>
              <w:bottom w:val="nil"/>
              <w:right w:val="nil"/>
            </w:tcBorders>
            <w:shd w:val="clear" w:color="auto" w:fill="auto"/>
            <w:noWrap/>
            <w:vAlign w:val="center"/>
            <w:hideMark/>
          </w:tcPr>
          <w:p w14:paraId="4378D30F" w14:textId="77777777" w:rsidR="00F30BB1" w:rsidRPr="00F30BB1" w:rsidRDefault="00F30BB1" w:rsidP="00F30BB1">
            <w:pPr>
              <w:rPr>
                <w:color w:val="000000"/>
                <w:sz w:val="20"/>
                <w:szCs w:val="20"/>
                <w:lang w:val="es-CO" w:eastAsia="es-CO"/>
              </w:rPr>
            </w:pPr>
            <w:r w:rsidRPr="00F30BB1">
              <w:rPr>
                <w:color w:val="000000"/>
                <w:sz w:val="20"/>
                <w:szCs w:val="20"/>
                <w:lang w:eastAsia="es-CO"/>
              </w:rPr>
              <w:t>Gm-c1019</w:t>
            </w:r>
          </w:p>
        </w:tc>
        <w:tc>
          <w:tcPr>
            <w:tcW w:w="925" w:type="dxa"/>
            <w:tcBorders>
              <w:top w:val="nil"/>
              <w:left w:val="nil"/>
              <w:bottom w:val="nil"/>
              <w:right w:val="nil"/>
            </w:tcBorders>
            <w:shd w:val="clear" w:color="auto" w:fill="auto"/>
            <w:noWrap/>
            <w:vAlign w:val="center"/>
            <w:hideMark/>
          </w:tcPr>
          <w:p w14:paraId="0D45B008" w14:textId="77777777" w:rsidR="00F30BB1" w:rsidRPr="00F30BB1" w:rsidRDefault="00F30BB1" w:rsidP="00F30BB1">
            <w:pPr>
              <w:rPr>
                <w:color w:val="000000"/>
                <w:sz w:val="20"/>
                <w:szCs w:val="20"/>
                <w:lang w:val="es-CO" w:eastAsia="es-CO"/>
              </w:rPr>
            </w:pPr>
          </w:p>
        </w:tc>
        <w:tc>
          <w:tcPr>
            <w:tcW w:w="1267" w:type="dxa"/>
            <w:tcBorders>
              <w:top w:val="nil"/>
              <w:left w:val="nil"/>
              <w:bottom w:val="nil"/>
              <w:right w:val="nil"/>
            </w:tcBorders>
            <w:shd w:val="clear" w:color="auto" w:fill="auto"/>
            <w:noWrap/>
            <w:vAlign w:val="bottom"/>
            <w:hideMark/>
          </w:tcPr>
          <w:p w14:paraId="457EE49E" w14:textId="77777777" w:rsidR="00F30BB1" w:rsidRPr="00F30BB1" w:rsidRDefault="00F30BB1" w:rsidP="00F30BB1">
            <w:pPr>
              <w:jc w:val="center"/>
              <w:rPr>
                <w:rFonts w:ascii="Times New Roman" w:hAnsi="Times New Roman" w:cs="Times New Roman"/>
                <w:sz w:val="20"/>
                <w:szCs w:val="20"/>
                <w:lang w:val="es-CO" w:eastAsia="es-CO"/>
              </w:rPr>
            </w:pPr>
          </w:p>
        </w:tc>
        <w:tc>
          <w:tcPr>
            <w:tcW w:w="2896" w:type="dxa"/>
            <w:tcBorders>
              <w:top w:val="nil"/>
              <w:left w:val="nil"/>
              <w:bottom w:val="nil"/>
              <w:right w:val="nil"/>
            </w:tcBorders>
            <w:shd w:val="clear" w:color="auto" w:fill="auto"/>
            <w:noWrap/>
            <w:vAlign w:val="center"/>
            <w:hideMark/>
          </w:tcPr>
          <w:p w14:paraId="301566B4" w14:textId="77777777" w:rsidR="00F30BB1" w:rsidRPr="00F30BB1" w:rsidRDefault="00F30BB1" w:rsidP="00F30BB1">
            <w:pPr>
              <w:rPr>
                <w:color w:val="000000"/>
                <w:sz w:val="20"/>
                <w:szCs w:val="20"/>
                <w:lang w:val="es-CO" w:eastAsia="es-CO"/>
              </w:rPr>
            </w:pPr>
            <w:r w:rsidRPr="00F30BB1">
              <w:rPr>
                <w:color w:val="000000"/>
                <w:sz w:val="20"/>
                <w:szCs w:val="20"/>
                <w:lang w:eastAsia="es-CO"/>
              </w:rPr>
              <w:t>WQHQQDSCRK</w:t>
            </w:r>
          </w:p>
        </w:tc>
      </w:tr>
      <w:tr w:rsidR="00F30BB1" w:rsidRPr="00F30BB1" w14:paraId="22B6D5A6" w14:textId="77777777" w:rsidTr="0071207C">
        <w:trPr>
          <w:trHeight w:val="255"/>
          <w:jc w:val="center"/>
        </w:trPr>
        <w:tc>
          <w:tcPr>
            <w:tcW w:w="356" w:type="dxa"/>
            <w:vMerge/>
            <w:tcBorders>
              <w:top w:val="nil"/>
              <w:left w:val="nil"/>
              <w:bottom w:val="single" w:sz="4" w:space="0" w:color="auto"/>
              <w:right w:val="nil"/>
            </w:tcBorders>
            <w:vAlign w:val="center"/>
            <w:hideMark/>
          </w:tcPr>
          <w:p w14:paraId="068D820B" w14:textId="77777777" w:rsidR="00F30BB1" w:rsidRPr="00F30BB1" w:rsidRDefault="00F30BB1" w:rsidP="00F30BB1">
            <w:pPr>
              <w:rPr>
                <w:color w:val="000000"/>
                <w:sz w:val="20"/>
                <w:szCs w:val="20"/>
                <w:lang w:val="es-CO" w:eastAsia="es-CO"/>
              </w:rPr>
            </w:pPr>
          </w:p>
        </w:tc>
        <w:tc>
          <w:tcPr>
            <w:tcW w:w="2416" w:type="dxa"/>
            <w:tcBorders>
              <w:top w:val="nil"/>
              <w:left w:val="nil"/>
              <w:bottom w:val="nil"/>
              <w:right w:val="nil"/>
            </w:tcBorders>
            <w:shd w:val="clear" w:color="auto" w:fill="auto"/>
            <w:noWrap/>
            <w:vAlign w:val="center"/>
            <w:hideMark/>
          </w:tcPr>
          <w:p w14:paraId="7DC29AD0" w14:textId="77777777" w:rsidR="00F30BB1" w:rsidRPr="00F30BB1" w:rsidRDefault="00F30BB1" w:rsidP="00F30BB1">
            <w:pPr>
              <w:rPr>
                <w:i/>
                <w:iCs/>
                <w:color w:val="000000"/>
                <w:sz w:val="20"/>
                <w:szCs w:val="20"/>
                <w:lang w:val="es-CO" w:eastAsia="es-CO"/>
              </w:rPr>
            </w:pPr>
            <w:r w:rsidRPr="00F30BB1">
              <w:rPr>
                <w:i/>
                <w:iCs/>
                <w:color w:val="000000"/>
                <w:sz w:val="20"/>
                <w:szCs w:val="20"/>
                <w:lang w:eastAsia="es-CO"/>
              </w:rPr>
              <w:t>Glycine max</w:t>
            </w:r>
          </w:p>
        </w:tc>
        <w:tc>
          <w:tcPr>
            <w:tcW w:w="925" w:type="dxa"/>
            <w:tcBorders>
              <w:top w:val="nil"/>
              <w:left w:val="nil"/>
              <w:bottom w:val="nil"/>
              <w:right w:val="nil"/>
            </w:tcBorders>
            <w:shd w:val="clear" w:color="auto" w:fill="auto"/>
            <w:noWrap/>
            <w:vAlign w:val="center"/>
            <w:hideMark/>
          </w:tcPr>
          <w:p w14:paraId="2DBA0DF5" w14:textId="77777777" w:rsidR="00F30BB1" w:rsidRPr="00F30BB1" w:rsidRDefault="00F30BB1" w:rsidP="00F30BB1">
            <w:pPr>
              <w:rPr>
                <w:i/>
                <w:iCs/>
                <w:color w:val="000000"/>
                <w:sz w:val="20"/>
                <w:szCs w:val="20"/>
                <w:lang w:val="es-CO" w:eastAsia="es-CO"/>
              </w:rPr>
            </w:pPr>
          </w:p>
        </w:tc>
        <w:tc>
          <w:tcPr>
            <w:tcW w:w="1267" w:type="dxa"/>
            <w:tcBorders>
              <w:top w:val="nil"/>
              <w:left w:val="nil"/>
              <w:bottom w:val="nil"/>
              <w:right w:val="nil"/>
            </w:tcBorders>
            <w:shd w:val="clear" w:color="auto" w:fill="auto"/>
            <w:noWrap/>
            <w:vAlign w:val="bottom"/>
            <w:hideMark/>
          </w:tcPr>
          <w:p w14:paraId="55B63529" w14:textId="77777777" w:rsidR="00F30BB1" w:rsidRPr="00F30BB1" w:rsidRDefault="00F30BB1" w:rsidP="00F30BB1">
            <w:pPr>
              <w:jc w:val="center"/>
              <w:rPr>
                <w:rFonts w:ascii="Times New Roman" w:hAnsi="Times New Roman" w:cs="Times New Roman"/>
                <w:sz w:val="20"/>
                <w:szCs w:val="20"/>
                <w:lang w:val="es-CO" w:eastAsia="es-CO"/>
              </w:rPr>
            </w:pPr>
          </w:p>
        </w:tc>
        <w:tc>
          <w:tcPr>
            <w:tcW w:w="2896" w:type="dxa"/>
            <w:tcBorders>
              <w:top w:val="nil"/>
              <w:left w:val="nil"/>
              <w:bottom w:val="nil"/>
              <w:right w:val="nil"/>
            </w:tcBorders>
            <w:shd w:val="clear" w:color="auto" w:fill="auto"/>
            <w:noWrap/>
            <w:vAlign w:val="center"/>
            <w:hideMark/>
          </w:tcPr>
          <w:p w14:paraId="4A2258D6" w14:textId="77777777" w:rsidR="00F30BB1" w:rsidRPr="00F30BB1" w:rsidRDefault="00F30BB1" w:rsidP="00F30BB1">
            <w:pPr>
              <w:rPr>
                <w:color w:val="000000"/>
                <w:sz w:val="20"/>
                <w:szCs w:val="20"/>
                <w:lang w:val="es-CO" w:eastAsia="es-CO"/>
              </w:rPr>
            </w:pPr>
            <w:r w:rsidRPr="00F30BB1">
              <w:rPr>
                <w:color w:val="000000"/>
                <w:sz w:val="20"/>
                <w:szCs w:val="20"/>
                <w:lang w:eastAsia="es-CO"/>
              </w:rPr>
              <w:t>KWQHQQDSCR</w:t>
            </w:r>
          </w:p>
        </w:tc>
      </w:tr>
      <w:tr w:rsidR="00F30BB1" w:rsidRPr="00F30BB1" w14:paraId="33EDB512" w14:textId="77777777" w:rsidTr="0071207C">
        <w:trPr>
          <w:trHeight w:val="255"/>
          <w:jc w:val="center"/>
        </w:trPr>
        <w:tc>
          <w:tcPr>
            <w:tcW w:w="356" w:type="dxa"/>
            <w:vMerge/>
            <w:tcBorders>
              <w:top w:val="nil"/>
              <w:left w:val="nil"/>
              <w:bottom w:val="single" w:sz="4" w:space="0" w:color="auto"/>
              <w:right w:val="nil"/>
            </w:tcBorders>
            <w:vAlign w:val="center"/>
            <w:hideMark/>
          </w:tcPr>
          <w:p w14:paraId="5B2EF4DB" w14:textId="77777777" w:rsidR="00F30BB1" w:rsidRPr="00F30BB1" w:rsidRDefault="00F30BB1" w:rsidP="00F30BB1">
            <w:pPr>
              <w:rPr>
                <w:color w:val="000000"/>
                <w:sz w:val="20"/>
                <w:szCs w:val="20"/>
                <w:lang w:val="es-CO" w:eastAsia="es-CO"/>
              </w:rPr>
            </w:pPr>
          </w:p>
        </w:tc>
        <w:tc>
          <w:tcPr>
            <w:tcW w:w="2416" w:type="dxa"/>
            <w:tcBorders>
              <w:top w:val="nil"/>
              <w:left w:val="nil"/>
              <w:bottom w:val="nil"/>
              <w:right w:val="nil"/>
            </w:tcBorders>
            <w:shd w:val="clear" w:color="auto" w:fill="auto"/>
            <w:noWrap/>
            <w:vAlign w:val="center"/>
            <w:hideMark/>
          </w:tcPr>
          <w:p w14:paraId="33744E33" w14:textId="77777777" w:rsidR="00F30BB1" w:rsidRPr="00F30BB1" w:rsidRDefault="00F30BB1" w:rsidP="00F30BB1">
            <w:pPr>
              <w:rPr>
                <w:color w:val="000000"/>
                <w:sz w:val="20"/>
                <w:szCs w:val="20"/>
                <w:lang w:val="es-CO" w:eastAsia="es-CO"/>
              </w:rPr>
            </w:pPr>
            <w:r w:rsidRPr="00F30BB1">
              <w:rPr>
                <w:color w:val="000000"/>
                <w:sz w:val="20"/>
                <w:szCs w:val="20"/>
                <w:lang w:eastAsia="es-CO"/>
              </w:rPr>
              <w:t>(AW186094)</w:t>
            </w:r>
          </w:p>
        </w:tc>
        <w:tc>
          <w:tcPr>
            <w:tcW w:w="925" w:type="dxa"/>
            <w:tcBorders>
              <w:top w:val="nil"/>
              <w:left w:val="nil"/>
              <w:bottom w:val="nil"/>
              <w:right w:val="nil"/>
            </w:tcBorders>
            <w:shd w:val="clear" w:color="auto" w:fill="auto"/>
            <w:noWrap/>
            <w:vAlign w:val="bottom"/>
            <w:hideMark/>
          </w:tcPr>
          <w:p w14:paraId="0FE8CFCD" w14:textId="77777777" w:rsidR="00F30BB1" w:rsidRPr="00F30BB1" w:rsidRDefault="00F30BB1" w:rsidP="00F30BB1">
            <w:pPr>
              <w:rPr>
                <w:color w:val="000000"/>
                <w:sz w:val="20"/>
                <w:szCs w:val="20"/>
                <w:lang w:val="es-CO" w:eastAsia="es-CO"/>
              </w:rPr>
            </w:pPr>
          </w:p>
        </w:tc>
        <w:tc>
          <w:tcPr>
            <w:tcW w:w="1267" w:type="dxa"/>
            <w:tcBorders>
              <w:top w:val="nil"/>
              <w:left w:val="nil"/>
              <w:bottom w:val="nil"/>
              <w:right w:val="nil"/>
            </w:tcBorders>
            <w:shd w:val="clear" w:color="auto" w:fill="auto"/>
            <w:noWrap/>
            <w:vAlign w:val="bottom"/>
            <w:hideMark/>
          </w:tcPr>
          <w:p w14:paraId="717893B5" w14:textId="77777777" w:rsidR="00F30BB1" w:rsidRPr="00F30BB1" w:rsidRDefault="00F30BB1" w:rsidP="00F30BB1">
            <w:pPr>
              <w:jc w:val="center"/>
              <w:rPr>
                <w:rFonts w:ascii="Times New Roman" w:hAnsi="Times New Roman" w:cs="Times New Roman"/>
                <w:sz w:val="20"/>
                <w:szCs w:val="20"/>
                <w:lang w:val="es-CO" w:eastAsia="es-CO"/>
              </w:rPr>
            </w:pPr>
          </w:p>
        </w:tc>
        <w:tc>
          <w:tcPr>
            <w:tcW w:w="2896" w:type="dxa"/>
            <w:tcBorders>
              <w:top w:val="nil"/>
              <w:left w:val="nil"/>
              <w:bottom w:val="nil"/>
              <w:right w:val="nil"/>
            </w:tcBorders>
            <w:shd w:val="clear" w:color="auto" w:fill="auto"/>
            <w:noWrap/>
            <w:vAlign w:val="center"/>
            <w:hideMark/>
          </w:tcPr>
          <w:p w14:paraId="39C77559" w14:textId="77777777" w:rsidR="00F30BB1" w:rsidRPr="00F30BB1" w:rsidRDefault="00F30BB1" w:rsidP="00F30BB1">
            <w:pPr>
              <w:rPr>
                <w:color w:val="000000"/>
                <w:sz w:val="20"/>
                <w:szCs w:val="20"/>
                <w:lang w:val="es-CO" w:eastAsia="es-CO"/>
              </w:rPr>
            </w:pPr>
            <w:r w:rsidRPr="00F30BB1">
              <w:rPr>
                <w:color w:val="000000"/>
                <w:sz w:val="20"/>
                <w:szCs w:val="20"/>
                <w:lang w:eastAsia="es-CO"/>
              </w:rPr>
              <w:t>QLQGVNLTPCEK</w:t>
            </w:r>
          </w:p>
        </w:tc>
      </w:tr>
      <w:tr w:rsidR="00F30BB1" w:rsidRPr="00F30BB1" w14:paraId="5BD666CE" w14:textId="77777777" w:rsidTr="0071207C">
        <w:trPr>
          <w:trHeight w:val="255"/>
          <w:jc w:val="center"/>
        </w:trPr>
        <w:tc>
          <w:tcPr>
            <w:tcW w:w="356" w:type="dxa"/>
            <w:vMerge/>
            <w:tcBorders>
              <w:top w:val="nil"/>
              <w:left w:val="nil"/>
              <w:bottom w:val="single" w:sz="4" w:space="0" w:color="auto"/>
              <w:right w:val="nil"/>
            </w:tcBorders>
            <w:vAlign w:val="center"/>
            <w:hideMark/>
          </w:tcPr>
          <w:p w14:paraId="41482FEE" w14:textId="77777777" w:rsidR="00F30BB1" w:rsidRPr="00F30BB1" w:rsidRDefault="00F30BB1" w:rsidP="00F30BB1">
            <w:pPr>
              <w:rPr>
                <w:color w:val="000000"/>
                <w:sz w:val="20"/>
                <w:szCs w:val="20"/>
                <w:lang w:val="es-CO" w:eastAsia="es-CO"/>
              </w:rPr>
            </w:pPr>
          </w:p>
        </w:tc>
        <w:tc>
          <w:tcPr>
            <w:tcW w:w="4608" w:type="dxa"/>
            <w:gridSpan w:val="3"/>
            <w:vMerge w:val="restart"/>
            <w:tcBorders>
              <w:top w:val="nil"/>
              <w:left w:val="nil"/>
              <w:bottom w:val="nil"/>
              <w:right w:val="nil"/>
            </w:tcBorders>
            <w:shd w:val="clear" w:color="auto" w:fill="auto"/>
            <w:vAlign w:val="center"/>
            <w:hideMark/>
          </w:tcPr>
          <w:p w14:paraId="0963A6BD" w14:textId="77777777" w:rsidR="00F30BB1" w:rsidRPr="00F30BB1" w:rsidRDefault="00F30BB1" w:rsidP="00F30BB1">
            <w:pPr>
              <w:rPr>
                <w:rFonts w:ascii="Perpetua Titling MT" w:hAnsi="Perpetua Titling MT" w:cs="Calibri"/>
                <w:color w:val="000000"/>
                <w:sz w:val="12"/>
                <w:szCs w:val="12"/>
                <w:lang w:val="es-CO" w:eastAsia="es-CO"/>
              </w:rPr>
            </w:pPr>
            <w:r w:rsidRPr="00F30BB1">
              <w:rPr>
                <w:rFonts w:ascii="Perpetua Titling MT" w:hAnsi="Perpetua Titling MT" w:cs="Calibri"/>
                <w:color w:val="000000"/>
                <w:sz w:val="12"/>
                <w:szCs w:val="12"/>
                <w:lang w:val="es-CO" w:eastAsia="es-CO"/>
              </w:rPr>
              <w:t>LLFCIAHTCS  A</w:t>
            </w:r>
            <w:r w:rsidRPr="00F30BB1">
              <w:rPr>
                <w:rFonts w:ascii="Perpetua Titling MT" w:hAnsi="Perpetua Titling MT" w:cs="Calibri"/>
                <w:color w:val="FF0000"/>
                <w:sz w:val="12"/>
                <w:szCs w:val="12"/>
                <w:u w:val="single"/>
                <w:lang w:val="es-CO" w:eastAsia="es-CO"/>
              </w:rPr>
              <w:t>SKWQHQQDS  CRKQLQGVNL  TPCEKHIMEK  IQGRGDDDDD</w:t>
            </w:r>
            <w:r w:rsidRPr="00F30BB1">
              <w:rPr>
                <w:rFonts w:ascii="Perpetua Titling MT" w:hAnsi="Perpetua Titling MT" w:cs="Calibri"/>
                <w:color w:val="FF0000"/>
                <w:sz w:val="12"/>
                <w:szCs w:val="12"/>
                <w:u w:val="single"/>
                <w:lang w:val="es-CO" w:eastAsia="es-CO"/>
              </w:rPr>
              <w:br/>
              <w:t>DDDDN</w:t>
            </w:r>
            <w:r w:rsidRPr="00F30BB1">
              <w:rPr>
                <w:rFonts w:ascii="Perpetua Titling MT" w:hAnsi="Perpetua Titling MT" w:cs="Calibri"/>
                <w:color w:val="000000"/>
                <w:sz w:val="12"/>
                <w:szCs w:val="12"/>
                <w:lang w:val="es-CO" w:eastAsia="es-CO"/>
              </w:rPr>
              <w:t xml:space="preserve">HILRT  MRGKINYITR  NEGKDEDEEE  EGHMQKCCTE  MSELRSPKCQ  </w:t>
            </w:r>
            <w:r w:rsidRPr="00F30BB1">
              <w:rPr>
                <w:rFonts w:ascii="Perpetua Titling MT" w:hAnsi="Perpetua Titling MT" w:cs="Calibri"/>
                <w:color w:val="000000"/>
                <w:sz w:val="12"/>
                <w:szCs w:val="12"/>
                <w:lang w:val="es-CO" w:eastAsia="es-CO"/>
              </w:rPr>
              <w:br/>
              <w:t>CKALQKIMEN  QSEELEEKQK  KKMEKELINL  ATMCR</w:t>
            </w:r>
            <w:r w:rsidRPr="00F30BB1">
              <w:rPr>
                <w:rFonts w:ascii="Perpetua Titling MT" w:hAnsi="Perpetua Titling MT" w:cs="Calibri"/>
                <w:color w:val="FF0000"/>
                <w:sz w:val="12"/>
                <w:szCs w:val="12"/>
                <w:lang w:val="es-CO" w:eastAsia="es-CO"/>
              </w:rPr>
              <w:t>FGPMI  QCDLSSDD</w:t>
            </w:r>
            <w:r w:rsidRPr="00F30BB1">
              <w:rPr>
                <w:rFonts w:ascii="Perpetua Titling MT" w:hAnsi="Perpetua Titling MT" w:cs="Calibri"/>
                <w:color w:val="000000"/>
                <w:sz w:val="12"/>
                <w:szCs w:val="12"/>
                <w:lang w:val="es-CO" w:eastAsia="es-CO"/>
              </w:rPr>
              <w:t>_E</w:t>
            </w:r>
            <w:r w:rsidRPr="00F30BB1">
              <w:rPr>
                <w:rFonts w:ascii="Perpetua Titling MT" w:hAnsi="Perpetua Titling MT" w:cs="Calibri"/>
                <w:color w:val="000000"/>
                <w:sz w:val="12"/>
                <w:szCs w:val="12"/>
                <w:lang w:val="es-CO" w:eastAsia="es-CO"/>
              </w:rPr>
              <w:br/>
              <w:t>VKSNVVTCTY  _HMM__FM</w:t>
            </w:r>
          </w:p>
        </w:tc>
        <w:tc>
          <w:tcPr>
            <w:tcW w:w="2896" w:type="dxa"/>
            <w:tcBorders>
              <w:top w:val="nil"/>
              <w:left w:val="nil"/>
              <w:bottom w:val="nil"/>
              <w:right w:val="nil"/>
            </w:tcBorders>
            <w:shd w:val="clear" w:color="auto" w:fill="auto"/>
            <w:noWrap/>
            <w:vAlign w:val="center"/>
            <w:hideMark/>
          </w:tcPr>
          <w:p w14:paraId="4F005C01" w14:textId="77777777" w:rsidR="00F30BB1" w:rsidRPr="00F30BB1" w:rsidRDefault="00F30BB1" w:rsidP="00F30BB1">
            <w:pPr>
              <w:rPr>
                <w:color w:val="000000"/>
                <w:sz w:val="20"/>
                <w:szCs w:val="20"/>
                <w:lang w:val="es-CO" w:eastAsia="es-CO"/>
              </w:rPr>
            </w:pPr>
            <w:r w:rsidRPr="00F30BB1">
              <w:rPr>
                <w:color w:val="000000"/>
                <w:sz w:val="20"/>
                <w:szCs w:val="20"/>
                <w:lang w:eastAsia="es-CO"/>
              </w:rPr>
              <w:t>SKWQHQQDSCR</w:t>
            </w:r>
          </w:p>
        </w:tc>
      </w:tr>
      <w:tr w:rsidR="00F30BB1" w:rsidRPr="00F30BB1" w14:paraId="032EFE96" w14:textId="77777777" w:rsidTr="0071207C">
        <w:trPr>
          <w:trHeight w:val="255"/>
          <w:jc w:val="center"/>
        </w:trPr>
        <w:tc>
          <w:tcPr>
            <w:tcW w:w="356" w:type="dxa"/>
            <w:vMerge/>
            <w:tcBorders>
              <w:top w:val="nil"/>
              <w:left w:val="nil"/>
              <w:bottom w:val="single" w:sz="4" w:space="0" w:color="auto"/>
              <w:right w:val="nil"/>
            </w:tcBorders>
            <w:vAlign w:val="center"/>
            <w:hideMark/>
          </w:tcPr>
          <w:p w14:paraId="4B32E1E0" w14:textId="77777777" w:rsidR="00F30BB1" w:rsidRPr="00F30BB1" w:rsidRDefault="00F30BB1" w:rsidP="00F30BB1">
            <w:pPr>
              <w:rPr>
                <w:color w:val="000000"/>
                <w:sz w:val="20"/>
                <w:szCs w:val="20"/>
                <w:lang w:val="es-CO" w:eastAsia="es-CO"/>
              </w:rPr>
            </w:pPr>
          </w:p>
        </w:tc>
        <w:tc>
          <w:tcPr>
            <w:tcW w:w="4608" w:type="dxa"/>
            <w:gridSpan w:val="3"/>
            <w:vMerge/>
            <w:tcBorders>
              <w:top w:val="nil"/>
              <w:left w:val="nil"/>
              <w:bottom w:val="nil"/>
              <w:right w:val="nil"/>
            </w:tcBorders>
            <w:vAlign w:val="center"/>
            <w:hideMark/>
          </w:tcPr>
          <w:p w14:paraId="7A101D92" w14:textId="77777777" w:rsidR="00F30BB1" w:rsidRPr="00F30BB1" w:rsidRDefault="00F30BB1" w:rsidP="00F30BB1">
            <w:pPr>
              <w:rPr>
                <w:rFonts w:ascii="Perpetua Titling MT" w:hAnsi="Perpetua Titling MT" w:cs="Calibri"/>
                <w:color w:val="000000"/>
                <w:sz w:val="12"/>
                <w:szCs w:val="12"/>
                <w:lang w:val="es-CO" w:eastAsia="es-CO"/>
              </w:rPr>
            </w:pPr>
          </w:p>
        </w:tc>
        <w:tc>
          <w:tcPr>
            <w:tcW w:w="2896" w:type="dxa"/>
            <w:tcBorders>
              <w:top w:val="nil"/>
              <w:left w:val="nil"/>
              <w:bottom w:val="nil"/>
              <w:right w:val="nil"/>
            </w:tcBorders>
            <w:shd w:val="clear" w:color="auto" w:fill="auto"/>
            <w:noWrap/>
            <w:vAlign w:val="center"/>
            <w:hideMark/>
          </w:tcPr>
          <w:p w14:paraId="574B6A04" w14:textId="77777777" w:rsidR="00F30BB1" w:rsidRPr="00F30BB1" w:rsidRDefault="00F30BB1" w:rsidP="00F30BB1">
            <w:pPr>
              <w:rPr>
                <w:color w:val="000000"/>
                <w:sz w:val="20"/>
                <w:szCs w:val="20"/>
                <w:lang w:val="es-CO" w:eastAsia="es-CO"/>
              </w:rPr>
            </w:pPr>
            <w:r w:rsidRPr="00F30BB1">
              <w:rPr>
                <w:color w:val="000000"/>
                <w:sz w:val="20"/>
                <w:szCs w:val="20"/>
                <w:lang w:eastAsia="es-CO"/>
              </w:rPr>
              <w:t>FGPMIQCDLSSDD</w:t>
            </w:r>
          </w:p>
        </w:tc>
      </w:tr>
      <w:tr w:rsidR="00F30BB1" w:rsidRPr="00F30BB1" w14:paraId="2E9687FB" w14:textId="77777777" w:rsidTr="0071207C">
        <w:trPr>
          <w:trHeight w:val="255"/>
          <w:jc w:val="center"/>
        </w:trPr>
        <w:tc>
          <w:tcPr>
            <w:tcW w:w="356" w:type="dxa"/>
            <w:vMerge/>
            <w:tcBorders>
              <w:top w:val="nil"/>
              <w:left w:val="nil"/>
              <w:bottom w:val="single" w:sz="4" w:space="0" w:color="auto"/>
              <w:right w:val="nil"/>
            </w:tcBorders>
            <w:vAlign w:val="center"/>
            <w:hideMark/>
          </w:tcPr>
          <w:p w14:paraId="3CE97FE2" w14:textId="77777777" w:rsidR="00F30BB1" w:rsidRPr="00F30BB1" w:rsidRDefault="00F30BB1" w:rsidP="00F30BB1">
            <w:pPr>
              <w:rPr>
                <w:color w:val="000000"/>
                <w:sz w:val="20"/>
                <w:szCs w:val="20"/>
                <w:lang w:val="es-CO" w:eastAsia="es-CO"/>
              </w:rPr>
            </w:pPr>
          </w:p>
        </w:tc>
        <w:tc>
          <w:tcPr>
            <w:tcW w:w="4608" w:type="dxa"/>
            <w:gridSpan w:val="3"/>
            <w:vMerge/>
            <w:tcBorders>
              <w:top w:val="nil"/>
              <w:left w:val="nil"/>
              <w:bottom w:val="nil"/>
              <w:right w:val="nil"/>
            </w:tcBorders>
            <w:vAlign w:val="center"/>
            <w:hideMark/>
          </w:tcPr>
          <w:p w14:paraId="64DBCE34" w14:textId="77777777" w:rsidR="00F30BB1" w:rsidRPr="00F30BB1" w:rsidRDefault="00F30BB1" w:rsidP="00F30BB1">
            <w:pPr>
              <w:rPr>
                <w:rFonts w:ascii="Perpetua Titling MT" w:hAnsi="Perpetua Titling MT" w:cs="Calibri"/>
                <w:color w:val="000000"/>
                <w:sz w:val="12"/>
                <w:szCs w:val="12"/>
                <w:lang w:val="es-CO" w:eastAsia="es-CO"/>
              </w:rPr>
            </w:pPr>
          </w:p>
        </w:tc>
        <w:tc>
          <w:tcPr>
            <w:tcW w:w="2896" w:type="dxa"/>
            <w:tcBorders>
              <w:top w:val="nil"/>
              <w:left w:val="nil"/>
              <w:bottom w:val="nil"/>
              <w:right w:val="nil"/>
            </w:tcBorders>
            <w:shd w:val="clear" w:color="auto" w:fill="auto"/>
            <w:noWrap/>
            <w:vAlign w:val="center"/>
            <w:hideMark/>
          </w:tcPr>
          <w:p w14:paraId="5F828E36" w14:textId="77777777" w:rsidR="00F30BB1" w:rsidRPr="00F30BB1" w:rsidRDefault="00F30BB1" w:rsidP="00F30BB1">
            <w:pPr>
              <w:rPr>
                <w:color w:val="000000"/>
                <w:sz w:val="20"/>
                <w:szCs w:val="20"/>
                <w:lang w:val="es-CO" w:eastAsia="es-CO"/>
              </w:rPr>
            </w:pPr>
            <w:r w:rsidRPr="00F30BB1">
              <w:rPr>
                <w:color w:val="000000"/>
                <w:sz w:val="20"/>
                <w:szCs w:val="20"/>
                <w:lang w:eastAsia="es-CO"/>
              </w:rPr>
              <w:t>KQLQGVNLTPCEK</w:t>
            </w:r>
          </w:p>
        </w:tc>
      </w:tr>
      <w:tr w:rsidR="00F30BB1" w:rsidRPr="00F30BB1" w14:paraId="093EDBCE" w14:textId="77777777" w:rsidTr="0071207C">
        <w:trPr>
          <w:trHeight w:val="255"/>
          <w:jc w:val="center"/>
        </w:trPr>
        <w:tc>
          <w:tcPr>
            <w:tcW w:w="356" w:type="dxa"/>
            <w:vMerge/>
            <w:tcBorders>
              <w:top w:val="nil"/>
              <w:left w:val="nil"/>
              <w:bottom w:val="single" w:sz="4" w:space="0" w:color="auto"/>
              <w:right w:val="nil"/>
            </w:tcBorders>
            <w:vAlign w:val="center"/>
            <w:hideMark/>
          </w:tcPr>
          <w:p w14:paraId="5FEB8445" w14:textId="77777777" w:rsidR="00F30BB1" w:rsidRPr="00F30BB1" w:rsidRDefault="00F30BB1" w:rsidP="00F30BB1">
            <w:pPr>
              <w:rPr>
                <w:color w:val="000000"/>
                <w:sz w:val="20"/>
                <w:szCs w:val="20"/>
                <w:lang w:val="es-CO" w:eastAsia="es-CO"/>
              </w:rPr>
            </w:pPr>
          </w:p>
        </w:tc>
        <w:tc>
          <w:tcPr>
            <w:tcW w:w="4608" w:type="dxa"/>
            <w:gridSpan w:val="3"/>
            <w:vMerge/>
            <w:tcBorders>
              <w:top w:val="nil"/>
              <w:left w:val="nil"/>
              <w:bottom w:val="nil"/>
              <w:right w:val="nil"/>
            </w:tcBorders>
            <w:vAlign w:val="center"/>
            <w:hideMark/>
          </w:tcPr>
          <w:p w14:paraId="693E2DF8" w14:textId="77777777" w:rsidR="00F30BB1" w:rsidRPr="00F30BB1" w:rsidRDefault="00F30BB1" w:rsidP="00F30BB1">
            <w:pPr>
              <w:rPr>
                <w:rFonts w:ascii="Perpetua Titling MT" w:hAnsi="Perpetua Titling MT" w:cs="Calibri"/>
                <w:color w:val="000000"/>
                <w:sz w:val="12"/>
                <w:szCs w:val="12"/>
                <w:lang w:val="es-CO" w:eastAsia="es-CO"/>
              </w:rPr>
            </w:pPr>
          </w:p>
        </w:tc>
        <w:tc>
          <w:tcPr>
            <w:tcW w:w="2896" w:type="dxa"/>
            <w:tcBorders>
              <w:top w:val="nil"/>
              <w:left w:val="nil"/>
              <w:bottom w:val="nil"/>
              <w:right w:val="nil"/>
            </w:tcBorders>
            <w:shd w:val="clear" w:color="auto" w:fill="auto"/>
            <w:noWrap/>
            <w:vAlign w:val="center"/>
            <w:hideMark/>
          </w:tcPr>
          <w:p w14:paraId="11767A4F" w14:textId="77777777" w:rsidR="00F30BB1" w:rsidRPr="00F30BB1" w:rsidRDefault="00F30BB1" w:rsidP="00F30BB1">
            <w:pPr>
              <w:rPr>
                <w:color w:val="000000"/>
                <w:sz w:val="20"/>
                <w:szCs w:val="20"/>
                <w:lang w:val="es-CO" w:eastAsia="es-CO"/>
              </w:rPr>
            </w:pPr>
            <w:r w:rsidRPr="00F30BB1">
              <w:rPr>
                <w:color w:val="000000"/>
                <w:sz w:val="20"/>
                <w:szCs w:val="20"/>
                <w:lang w:eastAsia="es-CO"/>
              </w:rPr>
              <w:t>IQGRGDDDDDDDDD</w:t>
            </w:r>
          </w:p>
        </w:tc>
      </w:tr>
      <w:tr w:rsidR="00F30BB1" w:rsidRPr="00F30BB1" w14:paraId="2A37F5AB" w14:textId="77777777" w:rsidTr="0071207C">
        <w:trPr>
          <w:trHeight w:val="255"/>
          <w:jc w:val="center"/>
        </w:trPr>
        <w:tc>
          <w:tcPr>
            <w:tcW w:w="356" w:type="dxa"/>
            <w:vMerge/>
            <w:tcBorders>
              <w:top w:val="nil"/>
              <w:left w:val="nil"/>
              <w:bottom w:val="single" w:sz="4" w:space="0" w:color="auto"/>
              <w:right w:val="nil"/>
            </w:tcBorders>
            <w:vAlign w:val="center"/>
            <w:hideMark/>
          </w:tcPr>
          <w:p w14:paraId="4B831CAA" w14:textId="77777777" w:rsidR="00F30BB1" w:rsidRPr="00F30BB1" w:rsidRDefault="00F30BB1" w:rsidP="00F30BB1">
            <w:pPr>
              <w:rPr>
                <w:color w:val="000000"/>
                <w:sz w:val="20"/>
                <w:szCs w:val="20"/>
                <w:lang w:val="es-CO" w:eastAsia="es-CO"/>
              </w:rPr>
            </w:pPr>
          </w:p>
        </w:tc>
        <w:tc>
          <w:tcPr>
            <w:tcW w:w="4608" w:type="dxa"/>
            <w:gridSpan w:val="3"/>
            <w:vMerge/>
            <w:tcBorders>
              <w:top w:val="nil"/>
              <w:left w:val="nil"/>
              <w:bottom w:val="nil"/>
              <w:right w:val="nil"/>
            </w:tcBorders>
            <w:vAlign w:val="center"/>
            <w:hideMark/>
          </w:tcPr>
          <w:p w14:paraId="7FEF93C0" w14:textId="77777777" w:rsidR="00F30BB1" w:rsidRPr="00F30BB1" w:rsidRDefault="00F30BB1" w:rsidP="00F30BB1">
            <w:pPr>
              <w:rPr>
                <w:rFonts w:ascii="Perpetua Titling MT" w:hAnsi="Perpetua Titling MT" w:cs="Calibri"/>
                <w:color w:val="000000"/>
                <w:sz w:val="12"/>
                <w:szCs w:val="12"/>
                <w:lang w:val="es-CO" w:eastAsia="es-CO"/>
              </w:rPr>
            </w:pPr>
          </w:p>
        </w:tc>
        <w:tc>
          <w:tcPr>
            <w:tcW w:w="2896" w:type="dxa"/>
            <w:tcBorders>
              <w:top w:val="nil"/>
              <w:left w:val="nil"/>
              <w:bottom w:val="nil"/>
              <w:right w:val="nil"/>
            </w:tcBorders>
            <w:shd w:val="clear" w:color="auto" w:fill="auto"/>
            <w:noWrap/>
            <w:vAlign w:val="center"/>
            <w:hideMark/>
          </w:tcPr>
          <w:p w14:paraId="25041F78" w14:textId="77777777" w:rsidR="00F30BB1" w:rsidRPr="00F30BB1" w:rsidRDefault="00F30BB1" w:rsidP="00F30BB1">
            <w:pPr>
              <w:rPr>
                <w:color w:val="000000"/>
                <w:sz w:val="20"/>
                <w:szCs w:val="20"/>
                <w:lang w:val="es-CO" w:eastAsia="es-CO"/>
              </w:rPr>
            </w:pPr>
            <w:r w:rsidRPr="00F30BB1">
              <w:rPr>
                <w:color w:val="000000"/>
                <w:sz w:val="20"/>
                <w:szCs w:val="20"/>
                <w:lang w:eastAsia="es-CO"/>
              </w:rPr>
              <w:t>IQGRGDDDDDDDDDN</w:t>
            </w:r>
          </w:p>
        </w:tc>
      </w:tr>
      <w:tr w:rsidR="00F30BB1" w:rsidRPr="00F30BB1" w14:paraId="53CE8F1B" w14:textId="77777777" w:rsidTr="0071207C">
        <w:trPr>
          <w:trHeight w:val="255"/>
          <w:jc w:val="center"/>
        </w:trPr>
        <w:tc>
          <w:tcPr>
            <w:tcW w:w="356" w:type="dxa"/>
            <w:vMerge/>
            <w:tcBorders>
              <w:top w:val="nil"/>
              <w:left w:val="nil"/>
              <w:bottom w:val="single" w:sz="4" w:space="0" w:color="auto"/>
              <w:right w:val="nil"/>
            </w:tcBorders>
            <w:vAlign w:val="center"/>
            <w:hideMark/>
          </w:tcPr>
          <w:p w14:paraId="3FD86801" w14:textId="77777777" w:rsidR="00F30BB1" w:rsidRPr="00F30BB1" w:rsidRDefault="00F30BB1" w:rsidP="00F30BB1">
            <w:pPr>
              <w:rPr>
                <w:color w:val="000000"/>
                <w:sz w:val="20"/>
                <w:szCs w:val="20"/>
                <w:lang w:val="es-CO" w:eastAsia="es-CO"/>
              </w:rPr>
            </w:pPr>
          </w:p>
        </w:tc>
        <w:tc>
          <w:tcPr>
            <w:tcW w:w="4608" w:type="dxa"/>
            <w:gridSpan w:val="3"/>
            <w:vMerge/>
            <w:tcBorders>
              <w:top w:val="nil"/>
              <w:left w:val="nil"/>
              <w:bottom w:val="single" w:sz="4" w:space="0" w:color="auto"/>
              <w:right w:val="nil"/>
            </w:tcBorders>
            <w:vAlign w:val="center"/>
            <w:hideMark/>
          </w:tcPr>
          <w:p w14:paraId="6C1AC1C2" w14:textId="77777777" w:rsidR="00F30BB1" w:rsidRPr="00F30BB1" w:rsidRDefault="00F30BB1" w:rsidP="00F30BB1">
            <w:pPr>
              <w:rPr>
                <w:rFonts w:ascii="Perpetua Titling MT" w:hAnsi="Perpetua Titling MT" w:cs="Calibri"/>
                <w:color w:val="000000"/>
                <w:sz w:val="12"/>
                <w:szCs w:val="12"/>
                <w:lang w:val="es-CO" w:eastAsia="es-CO"/>
              </w:rPr>
            </w:pPr>
          </w:p>
        </w:tc>
        <w:tc>
          <w:tcPr>
            <w:tcW w:w="2896" w:type="dxa"/>
            <w:tcBorders>
              <w:top w:val="nil"/>
              <w:left w:val="nil"/>
              <w:bottom w:val="single" w:sz="4" w:space="0" w:color="auto"/>
              <w:right w:val="nil"/>
            </w:tcBorders>
            <w:shd w:val="clear" w:color="auto" w:fill="auto"/>
            <w:noWrap/>
            <w:vAlign w:val="center"/>
            <w:hideMark/>
          </w:tcPr>
          <w:p w14:paraId="59880FAF" w14:textId="77777777" w:rsidR="00F30BB1" w:rsidRPr="00F30BB1" w:rsidRDefault="00F30BB1" w:rsidP="00F30BB1">
            <w:pPr>
              <w:rPr>
                <w:color w:val="000000"/>
                <w:sz w:val="20"/>
                <w:szCs w:val="20"/>
                <w:lang w:val="es-CO" w:eastAsia="es-CO"/>
              </w:rPr>
            </w:pPr>
            <w:r w:rsidRPr="00F30BB1">
              <w:rPr>
                <w:color w:val="000000"/>
                <w:sz w:val="20"/>
                <w:szCs w:val="20"/>
                <w:lang w:eastAsia="es-CO"/>
              </w:rPr>
              <w:t>QLQGVNLTPCEKHIMEK</w:t>
            </w:r>
          </w:p>
        </w:tc>
      </w:tr>
      <w:tr w:rsidR="00F30BB1" w:rsidRPr="00F30BB1" w14:paraId="3AAD5A84" w14:textId="77777777" w:rsidTr="0071207C">
        <w:trPr>
          <w:trHeight w:val="435"/>
          <w:jc w:val="center"/>
        </w:trPr>
        <w:tc>
          <w:tcPr>
            <w:tcW w:w="356" w:type="dxa"/>
            <w:vMerge w:val="restart"/>
            <w:tcBorders>
              <w:top w:val="single" w:sz="4" w:space="0" w:color="auto"/>
              <w:left w:val="nil"/>
              <w:bottom w:val="single" w:sz="4" w:space="0" w:color="auto"/>
              <w:right w:val="nil"/>
            </w:tcBorders>
            <w:shd w:val="clear" w:color="auto" w:fill="auto"/>
            <w:noWrap/>
            <w:textDirection w:val="btLr"/>
            <w:vAlign w:val="center"/>
            <w:hideMark/>
          </w:tcPr>
          <w:p w14:paraId="3654D32E" w14:textId="77777777" w:rsidR="00F30BB1" w:rsidRPr="00F30BB1" w:rsidRDefault="00F30BB1" w:rsidP="00F30BB1">
            <w:pPr>
              <w:jc w:val="center"/>
              <w:rPr>
                <w:color w:val="000000"/>
                <w:sz w:val="20"/>
                <w:szCs w:val="20"/>
                <w:lang w:val="es-CO" w:eastAsia="es-CO"/>
              </w:rPr>
            </w:pPr>
            <w:r w:rsidRPr="00F30BB1">
              <w:rPr>
                <w:color w:val="000000"/>
                <w:sz w:val="20"/>
                <w:szCs w:val="20"/>
                <w:lang w:eastAsia="es-CO"/>
              </w:rPr>
              <w:t>Fraction F78</w:t>
            </w:r>
          </w:p>
        </w:tc>
        <w:tc>
          <w:tcPr>
            <w:tcW w:w="2416" w:type="dxa"/>
            <w:tcBorders>
              <w:top w:val="single" w:sz="4" w:space="0" w:color="auto"/>
              <w:left w:val="nil"/>
              <w:bottom w:val="nil"/>
              <w:right w:val="nil"/>
            </w:tcBorders>
            <w:shd w:val="clear" w:color="auto" w:fill="auto"/>
            <w:noWrap/>
            <w:vAlign w:val="center"/>
            <w:hideMark/>
          </w:tcPr>
          <w:p w14:paraId="6F36536A" w14:textId="77777777" w:rsidR="00F30BB1" w:rsidRPr="00F30BB1" w:rsidRDefault="00F30BB1" w:rsidP="00F30BB1">
            <w:pPr>
              <w:rPr>
                <w:color w:val="000000"/>
                <w:sz w:val="20"/>
                <w:szCs w:val="20"/>
                <w:lang w:val="es-CO" w:eastAsia="es-CO"/>
              </w:rPr>
            </w:pPr>
            <w:r w:rsidRPr="00F30BB1">
              <w:rPr>
                <w:color w:val="000000"/>
                <w:sz w:val="20"/>
                <w:szCs w:val="20"/>
                <w:lang w:eastAsia="es-CO"/>
              </w:rPr>
              <w:t>2S albumin precursor</w:t>
            </w:r>
          </w:p>
        </w:tc>
        <w:tc>
          <w:tcPr>
            <w:tcW w:w="925" w:type="dxa"/>
            <w:tcBorders>
              <w:top w:val="single" w:sz="4" w:space="0" w:color="auto"/>
              <w:left w:val="nil"/>
              <w:bottom w:val="nil"/>
              <w:right w:val="nil"/>
            </w:tcBorders>
            <w:shd w:val="clear" w:color="auto" w:fill="auto"/>
            <w:noWrap/>
            <w:vAlign w:val="center"/>
            <w:hideMark/>
          </w:tcPr>
          <w:p w14:paraId="122B0332" w14:textId="77777777" w:rsidR="00F30BB1" w:rsidRPr="00F30BB1" w:rsidRDefault="00F30BB1" w:rsidP="00F30BB1">
            <w:pPr>
              <w:jc w:val="center"/>
              <w:rPr>
                <w:color w:val="000000"/>
                <w:sz w:val="20"/>
                <w:szCs w:val="20"/>
                <w:lang w:val="es-CO" w:eastAsia="es-CO"/>
              </w:rPr>
            </w:pPr>
            <w:r w:rsidRPr="00F30BB1">
              <w:rPr>
                <w:color w:val="000000"/>
                <w:sz w:val="20"/>
                <w:szCs w:val="20"/>
                <w:lang w:eastAsia="es-CO"/>
              </w:rPr>
              <w:t>841</w:t>
            </w:r>
          </w:p>
        </w:tc>
        <w:tc>
          <w:tcPr>
            <w:tcW w:w="1267" w:type="dxa"/>
            <w:tcBorders>
              <w:top w:val="single" w:sz="4" w:space="0" w:color="auto"/>
              <w:left w:val="nil"/>
              <w:bottom w:val="nil"/>
              <w:right w:val="nil"/>
            </w:tcBorders>
            <w:shd w:val="clear" w:color="auto" w:fill="auto"/>
            <w:noWrap/>
            <w:vAlign w:val="center"/>
            <w:hideMark/>
          </w:tcPr>
          <w:p w14:paraId="1726480B" w14:textId="77777777" w:rsidR="00F30BB1" w:rsidRPr="00F30BB1" w:rsidRDefault="00F30BB1" w:rsidP="00F30BB1">
            <w:pPr>
              <w:jc w:val="center"/>
              <w:rPr>
                <w:color w:val="000000"/>
                <w:sz w:val="20"/>
                <w:szCs w:val="20"/>
                <w:lang w:val="es-CO" w:eastAsia="es-CO"/>
              </w:rPr>
            </w:pPr>
            <w:r w:rsidRPr="00F30BB1">
              <w:rPr>
                <w:color w:val="000000"/>
                <w:sz w:val="20"/>
                <w:szCs w:val="20"/>
                <w:lang w:eastAsia="es-CO"/>
              </w:rPr>
              <w:t>56</w:t>
            </w:r>
          </w:p>
        </w:tc>
        <w:tc>
          <w:tcPr>
            <w:tcW w:w="2896" w:type="dxa"/>
            <w:tcBorders>
              <w:top w:val="single" w:sz="4" w:space="0" w:color="auto"/>
              <w:left w:val="nil"/>
              <w:bottom w:val="nil"/>
              <w:right w:val="nil"/>
            </w:tcBorders>
            <w:shd w:val="clear" w:color="auto" w:fill="auto"/>
            <w:noWrap/>
            <w:vAlign w:val="center"/>
            <w:hideMark/>
          </w:tcPr>
          <w:p w14:paraId="32A68E49" w14:textId="77777777" w:rsidR="00F30BB1" w:rsidRPr="00F30BB1" w:rsidRDefault="00F30BB1" w:rsidP="00F30BB1">
            <w:pPr>
              <w:rPr>
                <w:color w:val="000000"/>
                <w:sz w:val="20"/>
                <w:szCs w:val="20"/>
                <w:lang w:val="es-CO" w:eastAsia="es-CO"/>
              </w:rPr>
            </w:pPr>
            <w:r w:rsidRPr="00F30BB1">
              <w:rPr>
                <w:color w:val="000000"/>
                <w:sz w:val="20"/>
                <w:szCs w:val="20"/>
                <w:lang w:eastAsia="es-CO"/>
              </w:rPr>
              <w:t>HIMEK</w:t>
            </w:r>
          </w:p>
        </w:tc>
      </w:tr>
      <w:tr w:rsidR="00F30BB1" w:rsidRPr="00F30BB1" w14:paraId="011278F8" w14:textId="77777777" w:rsidTr="0071207C">
        <w:trPr>
          <w:trHeight w:val="255"/>
          <w:jc w:val="center"/>
        </w:trPr>
        <w:tc>
          <w:tcPr>
            <w:tcW w:w="356" w:type="dxa"/>
            <w:vMerge/>
            <w:tcBorders>
              <w:top w:val="nil"/>
              <w:left w:val="nil"/>
              <w:bottom w:val="single" w:sz="4" w:space="0" w:color="auto"/>
              <w:right w:val="nil"/>
            </w:tcBorders>
            <w:vAlign w:val="center"/>
            <w:hideMark/>
          </w:tcPr>
          <w:p w14:paraId="2776452F" w14:textId="77777777" w:rsidR="00F30BB1" w:rsidRPr="00F30BB1" w:rsidRDefault="00F30BB1" w:rsidP="00F30BB1">
            <w:pPr>
              <w:rPr>
                <w:color w:val="000000"/>
                <w:sz w:val="20"/>
                <w:szCs w:val="20"/>
                <w:lang w:val="es-CO" w:eastAsia="es-CO"/>
              </w:rPr>
            </w:pPr>
          </w:p>
        </w:tc>
        <w:tc>
          <w:tcPr>
            <w:tcW w:w="2416" w:type="dxa"/>
            <w:tcBorders>
              <w:top w:val="nil"/>
              <w:left w:val="nil"/>
              <w:bottom w:val="nil"/>
              <w:right w:val="nil"/>
            </w:tcBorders>
            <w:shd w:val="clear" w:color="auto" w:fill="auto"/>
            <w:noWrap/>
            <w:vAlign w:val="center"/>
            <w:hideMark/>
          </w:tcPr>
          <w:p w14:paraId="7F48DDA2" w14:textId="77777777" w:rsidR="00F30BB1" w:rsidRPr="00F30BB1" w:rsidRDefault="00F30BB1" w:rsidP="00F30BB1">
            <w:pPr>
              <w:rPr>
                <w:color w:val="000000"/>
                <w:sz w:val="20"/>
                <w:szCs w:val="20"/>
                <w:lang w:val="es-CO" w:eastAsia="es-CO"/>
              </w:rPr>
            </w:pPr>
            <w:r w:rsidRPr="00F30BB1">
              <w:rPr>
                <w:color w:val="000000"/>
                <w:sz w:val="20"/>
                <w:szCs w:val="20"/>
                <w:lang w:eastAsia="es-CO"/>
              </w:rPr>
              <w:t>Gm-c1055</w:t>
            </w:r>
          </w:p>
        </w:tc>
        <w:tc>
          <w:tcPr>
            <w:tcW w:w="925" w:type="dxa"/>
            <w:tcBorders>
              <w:top w:val="nil"/>
              <w:left w:val="nil"/>
              <w:bottom w:val="nil"/>
              <w:right w:val="nil"/>
            </w:tcBorders>
            <w:shd w:val="clear" w:color="auto" w:fill="auto"/>
            <w:noWrap/>
            <w:vAlign w:val="center"/>
            <w:hideMark/>
          </w:tcPr>
          <w:p w14:paraId="296B8D95" w14:textId="77777777" w:rsidR="00F30BB1" w:rsidRPr="00F30BB1" w:rsidRDefault="00F30BB1" w:rsidP="00F30BB1">
            <w:pPr>
              <w:rPr>
                <w:color w:val="000000"/>
                <w:sz w:val="20"/>
                <w:szCs w:val="20"/>
                <w:lang w:val="es-CO" w:eastAsia="es-CO"/>
              </w:rPr>
            </w:pPr>
          </w:p>
        </w:tc>
        <w:tc>
          <w:tcPr>
            <w:tcW w:w="1267" w:type="dxa"/>
            <w:tcBorders>
              <w:top w:val="nil"/>
              <w:left w:val="nil"/>
              <w:bottom w:val="nil"/>
              <w:right w:val="nil"/>
            </w:tcBorders>
            <w:shd w:val="clear" w:color="auto" w:fill="auto"/>
            <w:noWrap/>
            <w:vAlign w:val="center"/>
            <w:hideMark/>
          </w:tcPr>
          <w:p w14:paraId="1E235F2E" w14:textId="77777777" w:rsidR="00F30BB1" w:rsidRPr="00F30BB1" w:rsidRDefault="00F30BB1" w:rsidP="00F30BB1">
            <w:pPr>
              <w:jc w:val="center"/>
              <w:rPr>
                <w:rFonts w:ascii="Times New Roman" w:hAnsi="Times New Roman" w:cs="Times New Roman"/>
                <w:sz w:val="20"/>
                <w:szCs w:val="20"/>
                <w:lang w:val="es-CO" w:eastAsia="es-CO"/>
              </w:rPr>
            </w:pPr>
          </w:p>
        </w:tc>
        <w:tc>
          <w:tcPr>
            <w:tcW w:w="2896" w:type="dxa"/>
            <w:tcBorders>
              <w:top w:val="nil"/>
              <w:left w:val="nil"/>
              <w:bottom w:val="nil"/>
              <w:right w:val="nil"/>
            </w:tcBorders>
            <w:shd w:val="clear" w:color="auto" w:fill="auto"/>
            <w:noWrap/>
            <w:vAlign w:val="center"/>
            <w:hideMark/>
          </w:tcPr>
          <w:p w14:paraId="4E071737" w14:textId="77777777" w:rsidR="00F30BB1" w:rsidRPr="00F30BB1" w:rsidRDefault="00F30BB1" w:rsidP="00F30BB1">
            <w:pPr>
              <w:rPr>
                <w:color w:val="000000"/>
                <w:sz w:val="20"/>
                <w:szCs w:val="20"/>
                <w:lang w:val="es-CO" w:eastAsia="es-CO"/>
              </w:rPr>
            </w:pPr>
            <w:r w:rsidRPr="00F30BB1">
              <w:rPr>
                <w:color w:val="000000"/>
                <w:sz w:val="20"/>
                <w:szCs w:val="20"/>
                <w:lang w:eastAsia="es-CO"/>
              </w:rPr>
              <w:t>CCTEMSELR</w:t>
            </w:r>
          </w:p>
        </w:tc>
      </w:tr>
      <w:tr w:rsidR="00F30BB1" w:rsidRPr="00F30BB1" w14:paraId="28465A72" w14:textId="77777777" w:rsidTr="0071207C">
        <w:trPr>
          <w:trHeight w:val="255"/>
          <w:jc w:val="center"/>
        </w:trPr>
        <w:tc>
          <w:tcPr>
            <w:tcW w:w="356" w:type="dxa"/>
            <w:vMerge/>
            <w:tcBorders>
              <w:top w:val="nil"/>
              <w:left w:val="nil"/>
              <w:bottom w:val="single" w:sz="4" w:space="0" w:color="auto"/>
              <w:right w:val="nil"/>
            </w:tcBorders>
            <w:vAlign w:val="center"/>
            <w:hideMark/>
          </w:tcPr>
          <w:p w14:paraId="3CB7695B" w14:textId="77777777" w:rsidR="00F30BB1" w:rsidRPr="00F30BB1" w:rsidRDefault="00F30BB1" w:rsidP="00F30BB1">
            <w:pPr>
              <w:rPr>
                <w:color w:val="000000"/>
                <w:sz w:val="20"/>
                <w:szCs w:val="20"/>
                <w:lang w:val="es-CO" w:eastAsia="es-CO"/>
              </w:rPr>
            </w:pPr>
          </w:p>
        </w:tc>
        <w:tc>
          <w:tcPr>
            <w:tcW w:w="2416" w:type="dxa"/>
            <w:tcBorders>
              <w:top w:val="nil"/>
              <w:left w:val="nil"/>
              <w:bottom w:val="nil"/>
              <w:right w:val="nil"/>
            </w:tcBorders>
            <w:shd w:val="clear" w:color="auto" w:fill="auto"/>
            <w:noWrap/>
            <w:vAlign w:val="center"/>
            <w:hideMark/>
          </w:tcPr>
          <w:p w14:paraId="6351A8CA" w14:textId="77777777" w:rsidR="00F30BB1" w:rsidRPr="00F30BB1" w:rsidRDefault="00F30BB1" w:rsidP="00F30BB1">
            <w:pPr>
              <w:rPr>
                <w:i/>
                <w:iCs/>
                <w:color w:val="000000"/>
                <w:sz w:val="20"/>
                <w:szCs w:val="20"/>
                <w:lang w:val="es-CO" w:eastAsia="es-CO"/>
              </w:rPr>
            </w:pPr>
            <w:r w:rsidRPr="00F30BB1">
              <w:rPr>
                <w:i/>
                <w:iCs/>
                <w:color w:val="000000"/>
                <w:sz w:val="20"/>
                <w:szCs w:val="20"/>
                <w:lang w:eastAsia="es-CO"/>
              </w:rPr>
              <w:t>Glycine max</w:t>
            </w:r>
          </w:p>
        </w:tc>
        <w:tc>
          <w:tcPr>
            <w:tcW w:w="925" w:type="dxa"/>
            <w:tcBorders>
              <w:top w:val="nil"/>
              <w:left w:val="nil"/>
              <w:bottom w:val="nil"/>
              <w:right w:val="nil"/>
            </w:tcBorders>
            <w:shd w:val="clear" w:color="auto" w:fill="auto"/>
            <w:noWrap/>
            <w:vAlign w:val="center"/>
            <w:hideMark/>
          </w:tcPr>
          <w:p w14:paraId="4EC545CB" w14:textId="77777777" w:rsidR="00F30BB1" w:rsidRPr="00F30BB1" w:rsidRDefault="00F30BB1" w:rsidP="00F30BB1">
            <w:pPr>
              <w:rPr>
                <w:i/>
                <w:iCs/>
                <w:color w:val="000000"/>
                <w:sz w:val="20"/>
                <w:szCs w:val="20"/>
                <w:lang w:val="es-CO" w:eastAsia="es-CO"/>
              </w:rPr>
            </w:pPr>
          </w:p>
        </w:tc>
        <w:tc>
          <w:tcPr>
            <w:tcW w:w="1267" w:type="dxa"/>
            <w:tcBorders>
              <w:top w:val="nil"/>
              <w:left w:val="nil"/>
              <w:bottom w:val="nil"/>
              <w:right w:val="nil"/>
            </w:tcBorders>
            <w:shd w:val="clear" w:color="auto" w:fill="auto"/>
            <w:noWrap/>
            <w:vAlign w:val="center"/>
            <w:hideMark/>
          </w:tcPr>
          <w:p w14:paraId="0113529E" w14:textId="77777777" w:rsidR="00F30BB1" w:rsidRPr="00F30BB1" w:rsidRDefault="00F30BB1" w:rsidP="00F30BB1">
            <w:pPr>
              <w:jc w:val="center"/>
              <w:rPr>
                <w:rFonts w:ascii="Times New Roman" w:hAnsi="Times New Roman" w:cs="Times New Roman"/>
                <w:sz w:val="20"/>
                <w:szCs w:val="20"/>
                <w:lang w:val="es-CO" w:eastAsia="es-CO"/>
              </w:rPr>
            </w:pPr>
          </w:p>
        </w:tc>
        <w:tc>
          <w:tcPr>
            <w:tcW w:w="2896" w:type="dxa"/>
            <w:tcBorders>
              <w:top w:val="nil"/>
              <w:left w:val="nil"/>
              <w:bottom w:val="nil"/>
              <w:right w:val="nil"/>
            </w:tcBorders>
            <w:shd w:val="clear" w:color="auto" w:fill="auto"/>
            <w:noWrap/>
            <w:vAlign w:val="center"/>
            <w:hideMark/>
          </w:tcPr>
          <w:p w14:paraId="5D553104" w14:textId="77777777" w:rsidR="00F30BB1" w:rsidRPr="00F30BB1" w:rsidRDefault="00F30BB1" w:rsidP="00F30BB1">
            <w:pPr>
              <w:rPr>
                <w:color w:val="000000"/>
                <w:sz w:val="20"/>
                <w:szCs w:val="20"/>
                <w:lang w:val="es-CO" w:eastAsia="es-CO"/>
              </w:rPr>
            </w:pPr>
            <w:r w:rsidRPr="00F30BB1">
              <w:rPr>
                <w:color w:val="000000"/>
                <w:sz w:val="20"/>
                <w:szCs w:val="20"/>
                <w:lang w:eastAsia="es-CO"/>
              </w:rPr>
              <w:t>ELINLATMCR</w:t>
            </w:r>
          </w:p>
        </w:tc>
      </w:tr>
      <w:tr w:rsidR="00F30BB1" w:rsidRPr="00F30BB1" w14:paraId="6A4B3229" w14:textId="77777777" w:rsidTr="0071207C">
        <w:trPr>
          <w:trHeight w:val="255"/>
          <w:jc w:val="center"/>
        </w:trPr>
        <w:tc>
          <w:tcPr>
            <w:tcW w:w="356" w:type="dxa"/>
            <w:vMerge/>
            <w:tcBorders>
              <w:top w:val="nil"/>
              <w:left w:val="nil"/>
              <w:bottom w:val="single" w:sz="4" w:space="0" w:color="auto"/>
              <w:right w:val="nil"/>
            </w:tcBorders>
            <w:vAlign w:val="center"/>
            <w:hideMark/>
          </w:tcPr>
          <w:p w14:paraId="2E088D40" w14:textId="77777777" w:rsidR="00F30BB1" w:rsidRPr="00F30BB1" w:rsidRDefault="00F30BB1" w:rsidP="00F30BB1">
            <w:pPr>
              <w:rPr>
                <w:color w:val="000000"/>
                <w:sz w:val="20"/>
                <w:szCs w:val="20"/>
                <w:lang w:val="es-CO" w:eastAsia="es-CO"/>
              </w:rPr>
            </w:pPr>
          </w:p>
        </w:tc>
        <w:tc>
          <w:tcPr>
            <w:tcW w:w="2416" w:type="dxa"/>
            <w:tcBorders>
              <w:top w:val="nil"/>
              <w:left w:val="nil"/>
              <w:right w:val="nil"/>
            </w:tcBorders>
            <w:shd w:val="clear" w:color="auto" w:fill="auto"/>
            <w:noWrap/>
            <w:vAlign w:val="center"/>
            <w:hideMark/>
          </w:tcPr>
          <w:p w14:paraId="191F8ED1" w14:textId="77777777" w:rsidR="00F30BB1" w:rsidRPr="00F30BB1" w:rsidRDefault="00F30BB1" w:rsidP="00F30BB1">
            <w:pPr>
              <w:rPr>
                <w:color w:val="000000"/>
                <w:sz w:val="20"/>
                <w:szCs w:val="20"/>
                <w:lang w:val="es-CO" w:eastAsia="es-CO"/>
              </w:rPr>
            </w:pPr>
            <w:r w:rsidRPr="00F30BB1">
              <w:rPr>
                <w:color w:val="000000"/>
                <w:sz w:val="20"/>
                <w:szCs w:val="20"/>
                <w:lang w:eastAsia="es-CO"/>
              </w:rPr>
              <w:t>(BG042158)</w:t>
            </w:r>
          </w:p>
        </w:tc>
        <w:tc>
          <w:tcPr>
            <w:tcW w:w="925" w:type="dxa"/>
            <w:tcBorders>
              <w:top w:val="nil"/>
              <w:left w:val="nil"/>
              <w:right w:val="nil"/>
            </w:tcBorders>
            <w:shd w:val="clear" w:color="auto" w:fill="auto"/>
            <w:noWrap/>
            <w:vAlign w:val="center"/>
            <w:hideMark/>
          </w:tcPr>
          <w:p w14:paraId="6AB6B51A" w14:textId="77777777" w:rsidR="00F30BB1" w:rsidRPr="00F30BB1" w:rsidRDefault="00F30BB1" w:rsidP="00F30BB1">
            <w:pPr>
              <w:rPr>
                <w:color w:val="000000"/>
                <w:sz w:val="20"/>
                <w:szCs w:val="20"/>
                <w:lang w:val="es-CO" w:eastAsia="es-CO"/>
              </w:rPr>
            </w:pPr>
          </w:p>
        </w:tc>
        <w:tc>
          <w:tcPr>
            <w:tcW w:w="1267" w:type="dxa"/>
            <w:tcBorders>
              <w:top w:val="nil"/>
              <w:left w:val="nil"/>
              <w:right w:val="nil"/>
            </w:tcBorders>
            <w:shd w:val="clear" w:color="auto" w:fill="auto"/>
            <w:noWrap/>
            <w:vAlign w:val="center"/>
            <w:hideMark/>
          </w:tcPr>
          <w:p w14:paraId="7E4E83BA" w14:textId="77777777" w:rsidR="00F30BB1" w:rsidRPr="00F30BB1" w:rsidRDefault="00F30BB1" w:rsidP="00F30BB1">
            <w:pPr>
              <w:jc w:val="center"/>
              <w:rPr>
                <w:rFonts w:ascii="Times New Roman" w:hAnsi="Times New Roman" w:cs="Times New Roman"/>
                <w:sz w:val="20"/>
                <w:szCs w:val="20"/>
                <w:lang w:val="es-CO" w:eastAsia="es-CO"/>
              </w:rPr>
            </w:pPr>
          </w:p>
        </w:tc>
        <w:tc>
          <w:tcPr>
            <w:tcW w:w="2896" w:type="dxa"/>
            <w:tcBorders>
              <w:top w:val="nil"/>
              <w:left w:val="nil"/>
              <w:right w:val="nil"/>
            </w:tcBorders>
            <w:shd w:val="clear" w:color="auto" w:fill="auto"/>
            <w:noWrap/>
            <w:vAlign w:val="center"/>
            <w:hideMark/>
          </w:tcPr>
          <w:p w14:paraId="25207C3F" w14:textId="77777777" w:rsidR="00F30BB1" w:rsidRPr="00F30BB1" w:rsidRDefault="00F30BB1" w:rsidP="00F30BB1">
            <w:pPr>
              <w:rPr>
                <w:color w:val="000000"/>
                <w:sz w:val="20"/>
                <w:szCs w:val="20"/>
                <w:lang w:val="es-CO" w:eastAsia="es-CO"/>
              </w:rPr>
            </w:pPr>
            <w:r w:rsidRPr="00F30BB1">
              <w:rPr>
                <w:color w:val="000000"/>
                <w:sz w:val="20"/>
                <w:szCs w:val="20"/>
                <w:lang w:eastAsia="es-CO"/>
              </w:rPr>
              <w:t>WQHQQDSCR</w:t>
            </w:r>
          </w:p>
        </w:tc>
      </w:tr>
      <w:tr w:rsidR="00F30BB1" w:rsidRPr="00F30BB1" w14:paraId="3960667B" w14:textId="77777777" w:rsidTr="0071207C">
        <w:trPr>
          <w:trHeight w:val="255"/>
          <w:jc w:val="center"/>
        </w:trPr>
        <w:tc>
          <w:tcPr>
            <w:tcW w:w="356" w:type="dxa"/>
            <w:vMerge/>
            <w:tcBorders>
              <w:top w:val="nil"/>
              <w:left w:val="nil"/>
              <w:bottom w:val="single" w:sz="4" w:space="0" w:color="auto"/>
              <w:right w:val="nil"/>
            </w:tcBorders>
            <w:vAlign w:val="center"/>
            <w:hideMark/>
          </w:tcPr>
          <w:p w14:paraId="61D02E5A" w14:textId="77777777" w:rsidR="00F30BB1" w:rsidRPr="00F30BB1" w:rsidRDefault="00F30BB1" w:rsidP="00F30BB1">
            <w:pPr>
              <w:rPr>
                <w:color w:val="000000"/>
                <w:sz w:val="20"/>
                <w:szCs w:val="20"/>
                <w:lang w:val="es-CO" w:eastAsia="es-CO"/>
              </w:rPr>
            </w:pPr>
          </w:p>
        </w:tc>
        <w:tc>
          <w:tcPr>
            <w:tcW w:w="4608" w:type="dxa"/>
            <w:gridSpan w:val="3"/>
            <w:vMerge w:val="restart"/>
            <w:tcBorders>
              <w:top w:val="nil"/>
              <w:left w:val="nil"/>
              <w:bottom w:val="nil"/>
              <w:right w:val="nil"/>
            </w:tcBorders>
            <w:shd w:val="clear" w:color="auto" w:fill="auto"/>
            <w:vAlign w:val="center"/>
            <w:hideMark/>
          </w:tcPr>
          <w:p w14:paraId="0A8F1C46" w14:textId="77777777" w:rsidR="00F30BB1" w:rsidRPr="00F30BB1" w:rsidRDefault="00F30BB1" w:rsidP="00F30BB1">
            <w:pPr>
              <w:rPr>
                <w:color w:val="000000"/>
                <w:sz w:val="12"/>
                <w:szCs w:val="12"/>
                <w:lang w:val="es-CO" w:eastAsia="es-CO"/>
              </w:rPr>
            </w:pPr>
            <w:r w:rsidRPr="0071207C">
              <w:rPr>
                <w:color w:val="000000"/>
                <w:sz w:val="12"/>
                <w:szCs w:val="12"/>
                <w:lang w:val="es-CO" w:eastAsia="es-CO"/>
              </w:rPr>
              <w:t>GKMTKFTILL  ISLLFCIAHT  CSA</w:t>
            </w:r>
            <w:r w:rsidRPr="0071207C">
              <w:rPr>
                <w:color w:val="FF0000"/>
                <w:sz w:val="12"/>
                <w:szCs w:val="12"/>
                <w:u w:val="single"/>
                <w:lang w:val="es-CO" w:eastAsia="es-CO"/>
              </w:rPr>
              <w:t>SKWQHQQ  DSCRKQLQGV  NLTPCEKHIM</w:t>
            </w:r>
            <w:r w:rsidRPr="0071207C">
              <w:rPr>
                <w:color w:val="FF0000"/>
                <w:sz w:val="12"/>
                <w:szCs w:val="12"/>
                <w:u w:val="single"/>
                <w:lang w:val="es-CO" w:eastAsia="es-CO"/>
              </w:rPr>
              <w:br/>
              <w:t>EKIQGRGDDD  DDDDDDN</w:t>
            </w:r>
            <w:r w:rsidRPr="0071207C">
              <w:rPr>
                <w:color w:val="000000"/>
                <w:sz w:val="12"/>
                <w:szCs w:val="12"/>
                <w:lang w:val="es-CO" w:eastAsia="es-CO"/>
              </w:rPr>
              <w:t>HIL  RTMRGRINYI  RRNEGKDEHE  EEEGHMQK</w:t>
            </w:r>
            <w:r w:rsidRPr="0071207C">
              <w:rPr>
                <w:color w:val="FF0000"/>
                <w:sz w:val="12"/>
                <w:szCs w:val="12"/>
                <w:lang w:val="es-CO" w:eastAsia="es-CO"/>
              </w:rPr>
              <w:t>CC</w:t>
            </w:r>
            <w:r w:rsidRPr="0071207C">
              <w:rPr>
                <w:color w:val="FF0000"/>
                <w:sz w:val="12"/>
                <w:szCs w:val="12"/>
                <w:lang w:val="es-CO" w:eastAsia="es-CO"/>
              </w:rPr>
              <w:br/>
              <w:t>TEMSELR</w:t>
            </w:r>
            <w:r w:rsidRPr="0071207C">
              <w:rPr>
                <w:color w:val="000000"/>
                <w:sz w:val="12"/>
                <w:szCs w:val="12"/>
                <w:lang w:val="es-CO" w:eastAsia="es-CO"/>
              </w:rPr>
              <w:t>SPK  CQCKALHK</w:t>
            </w:r>
            <w:r w:rsidRPr="0071207C">
              <w:rPr>
                <w:color w:val="FF0000"/>
                <w:sz w:val="12"/>
                <w:szCs w:val="12"/>
                <w:lang w:val="es-CO" w:eastAsia="es-CO"/>
              </w:rPr>
              <w:t>IM  ENQSEELEEK  QK</w:t>
            </w:r>
            <w:r w:rsidRPr="0071207C">
              <w:rPr>
                <w:color w:val="000000"/>
                <w:sz w:val="12"/>
                <w:szCs w:val="12"/>
                <w:lang w:val="es-CO" w:eastAsia="es-CO"/>
              </w:rPr>
              <w:t>KKMEN</w:t>
            </w:r>
            <w:r w:rsidRPr="0071207C">
              <w:rPr>
                <w:color w:val="FF0000"/>
                <w:sz w:val="12"/>
                <w:szCs w:val="12"/>
                <w:lang w:val="es-CO" w:eastAsia="es-CO"/>
              </w:rPr>
              <w:t xml:space="preserve">ELI  NLATMCRFGP  </w:t>
            </w:r>
            <w:r w:rsidRPr="0071207C">
              <w:rPr>
                <w:color w:val="FF0000"/>
                <w:sz w:val="12"/>
                <w:szCs w:val="12"/>
                <w:lang w:val="es-CO" w:eastAsia="es-CO"/>
              </w:rPr>
              <w:br/>
              <w:t>MIQCDLSSDD</w:t>
            </w:r>
          </w:p>
        </w:tc>
        <w:tc>
          <w:tcPr>
            <w:tcW w:w="2896" w:type="dxa"/>
            <w:tcBorders>
              <w:top w:val="nil"/>
              <w:left w:val="nil"/>
              <w:bottom w:val="nil"/>
              <w:right w:val="nil"/>
            </w:tcBorders>
            <w:shd w:val="clear" w:color="auto" w:fill="auto"/>
            <w:noWrap/>
            <w:vAlign w:val="center"/>
            <w:hideMark/>
          </w:tcPr>
          <w:p w14:paraId="2F3C5A49" w14:textId="77777777" w:rsidR="00F30BB1" w:rsidRPr="00F30BB1" w:rsidRDefault="00F30BB1" w:rsidP="00F30BB1">
            <w:pPr>
              <w:rPr>
                <w:color w:val="000000"/>
                <w:sz w:val="20"/>
                <w:szCs w:val="20"/>
                <w:lang w:val="es-CO" w:eastAsia="es-CO"/>
              </w:rPr>
            </w:pPr>
            <w:r w:rsidRPr="00F30BB1">
              <w:rPr>
                <w:color w:val="000000"/>
                <w:sz w:val="20"/>
                <w:szCs w:val="20"/>
                <w:lang w:eastAsia="es-CO"/>
              </w:rPr>
              <w:t>KWQHQQDSCR</w:t>
            </w:r>
          </w:p>
        </w:tc>
      </w:tr>
      <w:tr w:rsidR="00F30BB1" w:rsidRPr="00F30BB1" w14:paraId="142D3210" w14:textId="77777777" w:rsidTr="0071207C">
        <w:trPr>
          <w:trHeight w:val="255"/>
          <w:jc w:val="center"/>
        </w:trPr>
        <w:tc>
          <w:tcPr>
            <w:tcW w:w="356" w:type="dxa"/>
            <w:vMerge/>
            <w:tcBorders>
              <w:top w:val="nil"/>
              <w:left w:val="nil"/>
              <w:bottom w:val="single" w:sz="4" w:space="0" w:color="auto"/>
              <w:right w:val="nil"/>
            </w:tcBorders>
            <w:vAlign w:val="center"/>
            <w:hideMark/>
          </w:tcPr>
          <w:p w14:paraId="42484CDB" w14:textId="77777777" w:rsidR="00F30BB1" w:rsidRPr="00F30BB1" w:rsidRDefault="00F30BB1" w:rsidP="00F30BB1">
            <w:pPr>
              <w:rPr>
                <w:color w:val="000000"/>
                <w:sz w:val="20"/>
                <w:szCs w:val="20"/>
                <w:lang w:val="es-CO" w:eastAsia="es-CO"/>
              </w:rPr>
            </w:pPr>
          </w:p>
        </w:tc>
        <w:tc>
          <w:tcPr>
            <w:tcW w:w="4608" w:type="dxa"/>
            <w:gridSpan w:val="3"/>
            <w:vMerge/>
            <w:tcBorders>
              <w:top w:val="nil"/>
              <w:left w:val="nil"/>
              <w:bottom w:val="nil"/>
              <w:right w:val="nil"/>
            </w:tcBorders>
            <w:vAlign w:val="center"/>
            <w:hideMark/>
          </w:tcPr>
          <w:p w14:paraId="6AB95508" w14:textId="77777777" w:rsidR="00F30BB1" w:rsidRPr="00F30BB1" w:rsidRDefault="00F30BB1" w:rsidP="00F30BB1">
            <w:pPr>
              <w:rPr>
                <w:color w:val="000000"/>
                <w:sz w:val="12"/>
                <w:szCs w:val="12"/>
                <w:lang w:val="es-CO" w:eastAsia="es-CO"/>
              </w:rPr>
            </w:pPr>
          </w:p>
        </w:tc>
        <w:tc>
          <w:tcPr>
            <w:tcW w:w="2896" w:type="dxa"/>
            <w:tcBorders>
              <w:top w:val="nil"/>
              <w:left w:val="nil"/>
              <w:bottom w:val="nil"/>
              <w:right w:val="nil"/>
            </w:tcBorders>
            <w:shd w:val="clear" w:color="auto" w:fill="auto"/>
            <w:noWrap/>
            <w:vAlign w:val="center"/>
            <w:hideMark/>
          </w:tcPr>
          <w:p w14:paraId="63000E30" w14:textId="77777777" w:rsidR="00F30BB1" w:rsidRPr="00F30BB1" w:rsidRDefault="00F30BB1" w:rsidP="00F30BB1">
            <w:pPr>
              <w:rPr>
                <w:color w:val="000000"/>
                <w:sz w:val="20"/>
                <w:szCs w:val="20"/>
                <w:lang w:val="es-CO" w:eastAsia="es-CO"/>
              </w:rPr>
            </w:pPr>
            <w:r w:rsidRPr="00F30BB1">
              <w:rPr>
                <w:color w:val="000000"/>
                <w:sz w:val="20"/>
                <w:szCs w:val="20"/>
                <w:lang w:eastAsia="es-CO"/>
              </w:rPr>
              <w:t>WQHQQDSCRK</w:t>
            </w:r>
          </w:p>
        </w:tc>
      </w:tr>
      <w:tr w:rsidR="00F30BB1" w:rsidRPr="00F30BB1" w14:paraId="02AC7D52" w14:textId="77777777" w:rsidTr="0071207C">
        <w:trPr>
          <w:trHeight w:val="255"/>
          <w:jc w:val="center"/>
        </w:trPr>
        <w:tc>
          <w:tcPr>
            <w:tcW w:w="356" w:type="dxa"/>
            <w:vMerge/>
            <w:tcBorders>
              <w:top w:val="nil"/>
              <w:left w:val="nil"/>
              <w:bottom w:val="single" w:sz="4" w:space="0" w:color="auto"/>
              <w:right w:val="nil"/>
            </w:tcBorders>
            <w:vAlign w:val="center"/>
            <w:hideMark/>
          </w:tcPr>
          <w:p w14:paraId="24E6557F" w14:textId="77777777" w:rsidR="00F30BB1" w:rsidRPr="00F30BB1" w:rsidRDefault="00F30BB1" w:rsidP="00F30BB1">
            <w:pPr>
              <w:rPr>
                <w:color w:val="000000"/>
                <w:sz w:val="20"/>
                <w:szCs w:val="20"/>
                <w:lang w:val="es-CO" w:eastAsia="es-CO"/>
              </w:rPr>
            </w:pPr>
          </w:p>
        </w:tc>
        <w:tc>
          <w:tcPr>
            <w:tcW w:w="4608" w:type="dxa"/>
            <w:gridSpan w:val="3"/>
            <w:vMerge/>
            <w:tcBorders>
              <w:top w:val="nil"/>
              <w:left w:val="nil"/>
              <w:bottom w:val="nil"/>
              <w:right w:val="nil"/>
            </w:tcBorders>
            <w:vAlign w:val="center"/>
            <w:hideMark/>
          </w:tcPr>
          <w:p w14:paraId="336AC021" w14:textId="77777777" w:rsidR="00F30BB1" w:rsidRPr="00F30BB1" w:rsidRDefault="00F30BB1" w:rsidP="00F30BB1">
            <w:pPr>
              <w:rPr>
                <w:color w:val="000000"/>
                <w:sz w:val="12"/>
                <w:szCs w:val="12"/>
                <w:lang w:val="es-CO" w:eastAsia="es-CO"/>
              </w:rPr>
            </w:pPr>
          </w:p>
        </w:tc>
        <w:tc>
          <w:tcPr>
            <w:tcW w:w="2896" w:type="dxa"/>
            <w:tcBorders>
              <w:top w:val="nil"/>
              <w:left w:val="nil"/>
              <w:bottom w:val="nil"/>
              <w:right w:val="nil"/>
            </w:tcBorders>
            <w:shd w:val="clear" w:color="auto" w:fill="auto"/>
            <w:noWrap/>
            <w:vAlign w:val="center"/>
            <w:hideMark/>
          </w:tcPr>
          <w:p w14:paraId="21598769" w14:textId="77777777" w:rsidR="00F30BB1" w:rsidRPr="00F30BB1" w:rsidRDefault="00F30BB1" w:rsidP="00F30BB1">
            <w:pPr>
              <w:rPr>
                <w:color w:val="000000"/>
                <w:sz w:val="20"/>
                <w:szCs w:val="20"/>
                <w:lang w:val="es-CO" w:eastAsia="es-CO"/>
              </w:rPr>
            </w:pPr>
            <w:r w:rsidRPr="00F30BB1">
              <w:rPr>
                <w:color w:val="000000"/>
                <w:sz w:val="20"/>
                <w:szCs w:val="20"/>
                <w:lang w:eastAsia="es-CO"/>
              </w:rPr>
              <w:t>KWQHQQDSCR</w:t>
            </w:r>
          </w:p>
        </w:tc>
      </w:tr>
      <w:tr w:rsidR="00F30BB1" w:rsidRPr="00F30BB1" w14:paraId="31EB2517" w14:textId="77777777" w:rsidTr="0071207C">
        <w:trPr>
          <w:trHeight w:val="255"/>
          <w:jc w:val="center"/>
        </w:trPr>
        <w:tc>
          <w:tcPr>
            <w:tcW w:w="356" w:type="dxa"/>
            <w:vMerge/>
            <w:tcBorders>
              <w:top w:val="nil"/>
              <w:left w:val="nil"/>
              <w:bottom w:val="single" w:sz="4" w:space="0" w:color="auto"/>
              <w:right w:val="nil"/>
            </w:tcBorders>
            <w:vAlign w:val="center"/>
            <w:hideMark/>
          </w:tcPr>
          <w:p w14:paraId="2E5072C7" w14:textId="77777777" w:rsidR="00F30BB1" w:rsidRPr="00F30BB1" w:rsidRDefault="00F30BB1" w:rsidP="00F30BB1">
            <w:pPr>
              <w:rPr>
                <w:color w:val="000000"/>
                <w:sz w:val="20"/>
                <w:szCs w:val="20"/>
                <w:lang w:val="es-CO" w:eastAsia="es-CO"/>
              </w:rPr>
            </w:pPr>
          </w:p>
        </w:tc>
        <w:tc>
          <w:tcPr>
            <w:tcW w:w="4608" w:type="dxa"/>
            <w:gridSpan w:val="3"/>
            <w:vMerge/>
            <w:tcBorders>
              <w:top w:val="nil"/>
              <w:left w:val="nil"/>
              <w:bottom w:val="nil"/>
              <w:right w:val="nil"/>
            </w:tcBorders>
            <w:vAlign w:val="center"/>
            <w:hideMark/>
          </w:tcPr>
          <w:p w14:paraId="5F501AC7" w14:textId="77777777" w:rsidR="00F30BB1" w:rsidRPr="00F30BB1" w:rsidRDefault="00F30BB1" w:rsidP="00F30BB1">
            <w:pPr>
              <w:rPr>
                <w:color w:val="000000"/>
                <w:sz w:val="12"/>
                <w:szCs w:val="12"/>
                <w:lang w:val="es-CO" w:eastAsia="es-CO"/>
              </w:rPr>
            </w:pPr>
          </w:p>
        </w:tc>
        <w:tc>
          <w:tcPr>
            <w:tcW w:w="2896" w:type="dxa"/>
            <w:tcBorders>
              <w:top w:val="nil"/>
              <w:left w:val="nil"/>
              <w:bottom w:val="nil"/>
              <w:right w:val="nil"/>
            </w:tcBorders>
            <w:shd w:val="clear" w:color="auto" w:fill="auto"/>
            <w:noWrap/>
            <w:vAlign w:val="center"/>
            <w:hideMark/>
          </w:tcPr>
          <w:p w14:paraId="1F203703" w14:textId="77777777" w:rsidR="00F30BB1" w:rsidRPr="00F30BB1" w:rsidRDefault="00F30BB1" w:rsidP="00F30BB1">
            <w:pPr>
              <w:rPr>
                <w:color w:val="000000"/>
                <w:sz w:val="20"/>
                <w:szCs w:val="20"/>
                <w:lang w:val="es-CO" w:eastAsia="es-CO"/>
              </w:rPr>
            </w:pPr>
            <w:r w:rsidRPr="00F30BB1">
              <w:rPr>
                <w:color w:val="000000"/>
                <w:sz w:val="20"/>
                <w:szCs w:val="20"/>
                <w:lang w:eastAsia="es-CO"/>
              </w:rPr>
              <w:t>QLQGVNLTPCEK</w:t>
            </w:r>
          </w:p>
        </w:tc>
      </w:tr>
      <w:tr w:rsidR="00F30BB1" w:rsidRPr="00F30BB1" w14:paraId="45F3976B" w14:textId="77777777" w:rsidTr="0071207C">
        <w:trPr>
          <w:trHeight w:val="255"/>
          <w:jc w:val="center"/>
        </w:trPr>
        <w:tc>
          <w:tcPr>
            <w:tcW w:w="356" w:type="dxa"/>
            <w:vMerge/>
            <w:tcBorders>
              <w:top w:val="nil"/>
              <w:left w:val="nil"/>
              <w:bottom w:val="single" w:sz="4" w:space="0" w:color="auto"/>
              <w:right w:val="nil"/>
            </w:tcBorders>
            <w:vAlign w:val="center"/>
            <w:hideMark/>
          </w:tcPr>
          <w:p w14:paraId="24FAA345" w14:textId="77777777" w:rsidR="00F30BB1" w:rsidRPr="00F30BB1" w:rsidRDefault="00F30BB1" w:rsidP="00F30BB1">
            <w:pPr>
              <w:rPr>
                <w:color w:val="000000"/>
                <w:sz w:val="20"/>
                <w:szCs w:val="20"/>
                <w:lang w:val="es-CO" w:eastAsia="es-CO"/>
              </w:rPr>
            </w:pPr>
          </w:p>
        </w:tc>
        <w:tc>
          <w:tcPr>
            <w:tcW w:w="4608" w:type="dxa"/>
            <w:gridSpan w:val="3"/>
            <w:vMerge/>
            <w:tcBorders>
              <w:top w:val="nil"/>
              <w:left w:val="nil"/>
              <w:bottom w:val="nil"/>
              <w:right w:val="nil"/>
            </w:tcBorders>
            <w:vAlign w:val="center"/>
            <w:hideMark/>
          </w:tcPr>
          <w:p w14:paraId="3E566595" w14:textId="77777777" w:rsidR="00F30BB1" w:rsidRPr="00F30BB1" w:rsidRDefault="00F30BB1" w:rsidP="00F30BB1">
            <w:pPr>
              <w:rPr>
                <w:color w:val="000000"/>
                <w:sz w:val="12"/>
                <w:szCs w:val="12"/>
                <w:lang w:val="es-CO" w:eastAsia="es-CO"/>
              </w:rPr>
            </w:pPr>
          </w:p>
        </w:tc>
        <w:tc>
          <w:tcPr>
            <w:tcW w:w="2896" w:type="dxa"/>
            <w:tcBorders>
              <w:top w:val="nil"/>
              <w:left w:val="nil"/>
              <w:bottom w:val="nil"/>
              <w:right w:val="nil"/>
            </w:tcBorders>
            <w:shd w:val="clear" w:color="auto" w:fill="auto"/>
            <w:noWrap/>
            <w:vAlign w:val="center"/>
            <w:hideMark/>
          </w:tcPr>
          <w:p w14:paraId="1383E4F7" w14:textId="77777777" w:rsidR="00F30BB1" w:rsidRPr="00F30BB1" w:rsidRDefault="00F30BB1" w:rsidP="00F30BB1">
            <w:pPr>
              <w:rPr>
                <w:color w:val="000000"/>
                <w:sz w:val="20"/>
                <w:szCs w:val="20"/>
                <w:lang w:val="es-CO" w:eastAsia="es-CO"/>
              </w:rPr>
            </w:pPr>
            <w:r w:rsidRPr="00F30BB1">
              <w:rPr>
                <w:color w:val="000000"/>
                <w:sz w:val="20"/>
                <w:szCs w:val="20"/>
                <w:lang w:eastAsia="es-CO"/>
              </w:rPr>
              <w:t>SKWQHQQDSCR</w:t>
            </w:r>
          </w:p>
        </w:tc>
      </w:tr>
      <w:tr w:rsidR="00F30BB1" w:rsidRPr="00F30BB1" w14:paraId="6AB4691D" w14:textId="77777777" w:rsidTr="0071207C">
        <w:trPr>
          <w:trHeight w:val="255"/>
          <w:jc w:val="center"/>
        </w:trPr>
        <w:tc>
          <w:tcPr>
            <w:tcW w:w="356" w:type="dxa"/>
            <w:vMerge/>
            <w:tcBorders>
              <w:top w:val="nil"/>
              <w:left w:val="nil"/>
              <w:bottom w:val="single" w:sz="4" w:space="0" w:color="auto"/>
              <w:right w:val="nil"/>
            </w:tcBorders>
            <w:vAlign w:val="center"/>
            <w:hideMark/>
          </w:tcPr>
          <w:p w14:paraId="2D04CCD9" w14:textId="77777777" w:rsidR="00F30BB1" w:rsidRPr="00F30BB1" w:rsidRDefault="00F30BB1" w:rsidP="00F30BB1">
            <w:pPr>
              <w:rPr>
                <w:color w:val="000000"/>
                <w:sz w:val="20"/>
                <w:szCs w:val="20"/>
                <w:lang w:val="es-CO" w:eastAsia="es-CO"/>
              </w:rPr>
            </w:pPr>
          </w:p>
        </w:tc>
        <w:tc>
          <w:tcPr>
            <w:tcW w:w="4608" w:type="dxa"/>
            <w:gridSpan w:val="3"/>
            <w:vMerge/>
            <w:tcBorders>
              <w:top w:val="nil"/>
              <w:left w:val="nil"/>
              <w:bottom w:val="nil"/>
              <w:right w:val="nil"/>
            </w:tcBorders>
            <w:vAlign w:val="center"/>
            <w:hideMark/>
          </w:tcPr>
          <w:p w14:paraId="2C3366AB" w14:textId="77777777" w:rsidR="00F30BB1" w:rsidRPr="00F30BB1" w:rsidRDefault="00F30BB1" w:rsidP="00F30BB1">
            <w:pPr>
              <w:rPr>
                <w:color w:val="000000"/>
                <w:sz w:val="12"/>
                <w:szCs w:val="12"/>
                <w:lang w:val="es-CO" w:eastAsia="es-CO"/>
              </w:rPr>
            </w:pPr>
          </w:p>
        </w:tc>
        <w:tc>
          <w:tcPr>
            <w:tcW w:w="2896" w:type="dxa"/>
            <w:tcBorders>
              <w:top w:val="nil"/>
              <w:left w:val="nil"/>
              <w:bottom w:val="nil"/>
              <w:right w:val="nil"/>
            </w:tcBorders>
            <w:shd w:val="clear" w:color="auto" w:fill="auto"/>
            <w:noWrap/>
            <w:vAlign w:val="center"/>
            <w:hideMark/>
          </w:tcPr>
          <w:p w14:paraId="4AF66CB0" w14:textId="77777777" w:rsidR="00F30BB1" w:rsidRPr="00F30BB1" w:rsidRDefault="00F30BB1" w:rsidP="00F30BB1">
            <w:pPr>
              <w:rPr>
                <w:color w:val="000000"/>
                <w:sz w:val="20"/>
                <w:szCs w:val="20"/>
                <w:lang w:val="es-CO" w:eastAsia="es-CO"/>
              </w:rPr>
            </w:pPr>
            <w:r w:rsidRPr="00F30BB1">
              <w:rPr>
                <w:color w:val="000000"/>
                <w:sz w:val="20"/>
                <w:szCs w:val="20"/>
                <w:lang w:eastAsia="es-CO"/>
              </w:rPr>
              <w:t>IMENQSEELEEK</w:t>
            </w:r>
          </w:p>
        </w:tc>
      </w:tr>
      <w:tr w:rsidR="00F30BB1" w:rsidRPr="00F30BB1" w14:paraId="3D3D59CE" w14:textId="77777777" w:rsidTr="0071207C">
        <w:trPr>
          <w:trHeight w:val="255"/>
          <w:jc w:val="center"/>
        </w:trPr>
        <w:tc>
          <w:tcPr>
            <w:tcW w:w="356" w:type="dxa"/>
            <w:vMerge/>
            <w:tcBorders>
              <w:top w:val="nil"/>
              <w:left w:val="nil"/>
              <w:bottom w:val="single" w:sz="4" w:space="0" w:color="auto"/>
              <w:right w:val="nil"/>
            </w:tcBorders>
            <w:vAlign w:val="center"/>
            <w:hideMark/>
          </w:tcPr>
          <w:p w14:paraId="26315AD3" w14:textId="77777777" w:rsidR="00F30BB1" w:rsidRPr="00F30BB1" w:rsidRDefault="00F30BB1" w:rsidP="00F30BB1">
            <w:pPr>
              <w:rPr>
                <w:color w:val="000000"/>
                <w:sz w:val="20"/>
                <w:szCs w:val="20"/>
                <w:lang w:val="es-CO" w:eastAsia="es-CO"/>
              </w:rPr>
            </w:pPr>
          </w:p>
        </w:tc>
        <w:tc>
          <w:tcPr>
            <w:tcW w:w="4608" w:type="dxa"/>
            <w:gridSpan w:val="3"/>
            <w:vMerge/>
            <w:tcBorders>
              <w:top w:val="nil"/>
              <w:left w:val="nil"/>
              <w:bottom w:val="nil"/>
              <w:right w:val="nil"/>
            </w:tcBorders>
            <w:vAlign w:val="center"/>
            <w:hideMark/>
          </w:tcPr>
          <w:p w14:paraId="4E760999" w14:textId="77777777" w:rsidR="00F30BB1" w:rsidRPr="00F30BB1" w:rsidRDefault="00F30BB1" w:rsidP="00F30BB1">
            <w:pPr>
              <w:rPr>
                <w:color w:val="000000"/>
                <w:sz w:val="12"/>
                <w:szCs w:val="12"/>
                <w:lang w:val="es-CO" w:eastAsia="es-CO"/>
              </w:rPr>
            </w:pPr>
          </w:p>
        </w:tc>
        <w:tc>
          <w:tcPr>
            <w:tcW w:w="2896" w:type="dxa"/>
            <w:tcBorders>
              <w:top w:val="nil"/>
              <w:left w:val="nil"/>
              <w:bottom w:val="nil"/>
              <w:right w:val="nil"/>
            </w:tcBorders>
            <w:shd w:val="clear" w:color="auto" w:fill="auto"/>
            <w:noWrap/>
            <w:vAlign w:val="center"/>
            <w:hideMark/>
          </w:tcPr>
          <w:p w14:paraId="215B0E39" w14:textId="77777777" w:rsidR="00F30BB1" w:rsidRPr="00F30BB1" w:rsidRDefault="00F30BB1" w:rsidP="00F30BB1">
            <w:pPr>
              <w:rPr>
                <w:color w:val="000000"/>
                <w:sz w:val="20"/>
                <w:szCs w:val="20"/>
                <w:lang w:val="es-CO" w:eastAsia="es-CO"/>
              </w:rPr>
            </w:pPr>
            <w:r w:rsidRPr="00F30BB1">
              <w:rPr>
                <w:color w:val="000000"/>
                <w:sz w:val="20"/>
                <w:szCs w:val="20"/>
                <w:lang w:eastAsia="es-CO"/>
              </w:rPr>
              <w:t>FGPMIQCDLSSDD</w:t>
            </w:r>
          </w:p>
        </w:tc>
      </w:tr>
      <w:tr w:rsidR="00F30BB1" w:rsidRPr="00F30BB1" w14:paraId="42C40ABE" w14:textId="77777777" w:rsidTr="0071207C">
        <w:trPr>
          <w:trHeight w:val="255"/>
          <w:jc w:val="center"/>
        </w:trPr>
        <w:tc>
          <w:tcPr>
            <w:tcW w:w="356" w:type="dxa"/>
            <w:vMerge/>
            <w:tcBorders>
              <w:top w:val="nil"/>
              <w:left w:val="nil"/>
              <w:bottom w:val="single" w:sz="4" w:space="0" w:color="auto"/>
              <w:right w:val="nil"/>
            </w:tcBorders>
            <w:vAlign w:val="center"/>
            <w:hideMark/>
          </w:tcPr>
          <w:p w14:paraId="75AAF70B" w14:textId="77777777" w:rsidR="00F30BB1" w:rsidRPr="00F30BB1" w:rsidRDefault="00F30BB1" w:rsidP="00F30BB1">
            <w:pPr>
              <w:rPr>
                <w:color w:val="000000"/>
                <w:sz w:val="20"/>
                <w:szCs w:val="20"/>
                <w:lang w:val="es-CO" w:eastAsia="es-CO"/>
              </w:rPr>
            </w:pPr>
          </w:p>
        </w:tc>
        <w:tc>
          <w:tcPr>
            <w:tcW w:w="4608" w:type="dxa"/>
            <w:gridSpan w:val="3"/>
            <w:vMerge/>
            <w:tcBorders>
              <w:top w:val="nil"/>
              <w:left w:val="nil"/>
              <w:bottom w:val="nil"/>
              <w:right w:val="nil"/>
            </w:tcBorders>
            <w:vAlign w:val="center"/>
            <w:hideMark/>
          </w:tcPr>
          <w:p w14:paraId="3AD45E94" w14:textId="77777777" w:rsidR="00F30BB1" w:rsidRPr="00F30BB1" w:rsidRDefault="00F30BB1" w:rsidP="00F30BB1">
            <w:pPr>
              <w:rPr>
                <w:color w:val="000000"/>
                <w:sz w:val="12"/>
                <w:szCs w:val="12"/>
                <w:lang w:val="es-CO" w:eastAsia="es-CO"/>
              </w:rPr>
            </w:pPr>
          </w:p>
        </w:tc>
        <w:tc>
          <w:tcPr>
            <w:tcW w:w="2896" w:type="dxa"/>
            <w:tcBorders>
              <w:top w:val="nil"/>
              <w:left w:val="nil"/>
              <w:bottom w:val="nil"/>
              <w:right w:val="nil"/>
            </w:tcBorders>
            <w:shd w:val="clear" w:color="auto" w:fill="auto"/>
            <w:noWrap/>
            <w:vAlign w:val="center"/>
            <w:hideMark/>
          </w:tcPr>
          <w:p w14:paraId="003D17BB" w14:textId="77777777" w:rsidR="00F30BB1" w:rsidRPr="00F30BB1" w:rsidRDefault="00F30BB1" w:rsidP="00F30BB1">
            <w:pPr>
              <w:rPr>
                <w:color w:val="000000"/>
                <w:sz w:val="20"/>
                <w:szCs w:val="20"/>
                <w:lang w:val="es-CO" w:eastAsia="es-CO"/>
              </w:rPr>
            </w:pPr>
            <w:r w:rsidRPr="00F30BB1">
              <w:rPr>
                <w:color w:val="000000"/>
                <w:sz w:val="20"/>
                <w:szCs w:val="20"/>
                <w:lang w:eastAsia="es-CO"/>
              </w:rPr>
              <w:t>KQLQGVNLTPCEK</w:t>
            </w:r>
          </w:p>
        </w:tc>
      </w:tr>
      <w:tr w:rsidR="00F30BB1" w:rsidRPr="00F30BB1" w14:paraId="7E021BD3" w14:textId="77777777" w:rsidTr="0071207C">
        <w:trPr>
          <w:trHeight w:val="255"/>
          <w:jc w:val="center"/>
        </w:trPr>
        <w:tc>
          <w:tcPr>
            <w:tcW w:w="356" w:type="dxa"/>
            <w:vMerge/>
            <w:tcBorders>
              <w:top w:val="nil"/>
              <w:left w:val="nil"/>
              <w:bottom w:val="single" w:sz="4" w:space="0" w:color="auto"/>
              <w:right w:val="nil"/>
            </w:tcBorders>
            <w:vAlign w:val="center"/>
            <w:hideMark/>
          </w:tcPr>
          <w:p w14:paraId="75DD027F" w14:textId="77777777" w:rsidR="00F30BB1" w:rsidRPr="00F30BB1" w:rsidRDefault="00F30BB1" w:rsidP="00F30BB1">
            <w:pPr>
              <w:rPr>
                <w:color w:val="000000"/>
                <w:sz w:val="20"/>
                <w:szCs w:val="20"/>
                <w:lang w:val="es-CO" w:eastAsia="es-CO"/>
              </w:rPr>
            </w:pPr>
          </w:p>
        </w:tc>
        <w:tc>
          <w:tcPr>
            <w:tcW w:w="4608" w:type="dxa"/>
            <w:gridSpan w:val="3"/>
            <w:vMerge/>
            <w:tcBorders>
              <w:top w:val="nil"/>
              <w:left w:val="nil"/>
              <w:bottom w:val="nil"/>
              <w:right w:val="nil"/>
            </w:tcBorders>
            <w:vAlign w:val="center"/>
            <w:hideMark/>
          </w:tcPr>
          <w:p w14:paraId="3AB5CACE" w14:textId="77777777" w:rsidR="00F30BB1" w:rsidRPr="00F30BB1" w:rsidRDefault="00F30BB1" w:rsidP="00F30BB1">
            <w:pPr>
              <w:rPr>
                <w:color w:val="000000"/>
                <w:sz w:val="12"/>
                <w:szCs w:val="12"/>
                <w:lang w:val="es-CO" w:eastAsia="es-CO"/>
              </w:rPr>
            </w:pPr>
          </w:p>
        </w:tc>
        <w:tc>
          <w:tcPr>
            <w:tcW w:w="2896" w:type="dxa"/>
            <w:tcBorders>
              <w:top w:val="nil"/>
              <w:left w:val="nil"/>
              <w:bottom w:val="nil"/>
              <w:right w:val="nil"/>
            </w:tcBorders>
            <w:shd w:val="clear" w:color="auto" w:fill="auto"/>
            <w:noWrap/>
            <w:vAlign w:val="center"/>
            <w:hideMark/>
          </w:tcPr>
          <w:p w14:paraId="6B3226A9" w14:textId="77777777" w:rsidR="00F30BB1" w:rsidRPr="00F30BB1" w:rsidRDefault="00F30BB1" w:rsidP="00F30BB1">
            <w:pPr>
              <w:rPr>
                <w:color w:val="000000"/>
                <w:sz w:val="20"/>
                <w:szCs w:val="20"/>
                <w:lang w:val="es-CO" w:eastAsia="es-CO"/>
              </w:rPr>
            </w:pPr>
            <w:r w:rsidRPr="00F30BB1">
              <w:rPr>
                <w:color w:val="000000"/>
                <w:sz w:val="20"/>
                <w:szCs w:val="20"/>
                <w:lang w:eastAsia="es-CO"/>
              </w:rPr>
              <w:t>IQGRGDDDDDDDDD</w:t>
            </w:r>
          </w:p>
        </w:tc>
      </w:tr>
      <w:tr w:rsidR="00F30BB1" w:rsidRPr="00F30BB1" w14:paraId="29B48E7E" w14:textId="77777777" w:rsidTr="0071207C">
        <w:trPr>
          <w:trHeight w:val="255"/>
          <w:jc w:val="center"/>
        </w:trPr>
        <w:tc>
          <w:tcPr>
            <w:tcW w:w="356" w:type="dxa"/>
            <w:vMerge/>
            <w:tcBorders>
              <w:top w:val="nil"/>
              <w:left w:val="nil"/>
              <w:bottom w:val="single" w:sz="4" w:space="0" w:color="auto"/>
              <w:right w:val="nil"/>
            </w:tcBorders>
            <w:vAlign w:val="center"/>
            <w:hideMark/>
          </w:tcPr>
          <w:p w14:paraId="31F2665D" w14:textId="77777777" w:rsidR="00F30BB1" w:rsidRPr="00F30BB1" w:rsidRDefault="00F30BB1" w:rsidP="00F30BB1">
            <w:pPr>
              <w:rPr>
                <w:color w:val="000000"/>
                <w:sz w:val="20"/>
                <w:szCs w:val="20"/>
                <w:lang w:val="es-CO" w:eastAsia="es-CO"/>
              </w:rPr>
            </w:pPr>
          </w:p>
        </w:tc>
        <w:tc>
          <w:tcPr>
            <w:tcW w:w="4608" w:type="dxa"/>
            <w:gridSpan w:val="3"/>
            <w:vMerge/>
            <w:tcBorders>
              <w:top w:val="nil"/>
              <w:left w:val="nil"/>
              <w:bottom w:val="nil"/>
              <w:right w:val="nil"/>
            </w:tcBorders>
            <w:vAlign w:val="center"/>
            <w:hideMark/>
          </w:tcPr>
          <w:p w14:paraId="3B4DC93D" w14:textId="77777777" w:rsidR="00F30BB1" w:rsidRPr="00F30BB1" w:rsidRDefault="00F30BB1" w:rsidP="00F30BB1">
            <w:pPr>
              <w:rPr>
                <w:color w:val="000000"/>
                <w:sz w:val="12"/>
                <w:szCs w:val="12"/>
                <w:lang w:val="es-CO" w:eastAsia="es-CO"/>
              </w:rPr>
            </w:pPr>
          </w:p>
        </w:tc>
        <w:tc>
          <w:tcPr>
            <w:tcW w:w="2896" w:type="dxa"/>
            <w:tcBorders>
              <w:top w:val="nil"/>
              <w:left w:val="nil"/>
              <w:bottom w:val="nil"/>
              <w:right w:val="nil"/>
            </w:tcBorders>
            <w:shd w:val="clear" w:color="auto" w:fill="auto"/>
            <w:noWrap/>
            <w:vAlign w:val="center"/>
            <w:hideMark/>
          </w:tcPr>
          <w:p w14:paraId="322DFFA1" w14:textId="77777777" w:rsidR="00F30BB1" w:rsidRPr="00F30BB1" w:rsidRDefault="00F30BB1" w:rsidP="00F30BB1">
            <w:pPr>
              <w:rPr>
                <w:color w:val="000000"/>
                <w:sz w:val="20"/>
                <w:szCs w:val="20"/>
                <w:lang w:val="es-CO" w:eastAsia="es-CO"/>
              </w:rPr>
            </w:pPr>
            <w:r w:rsidRPr="00F30BB1">
              <w:rPr>
                <w:color w:val="000000"/>
                <w:sz w:val="20"/>
                <w:szCs w:val="20"/>
                <w:lang w:eastAsia="es-CO"/>
              </w:rPr>
              <w:t>IMENQSEELEEKQ</w:t>
            </w:r>
          </w:p>
        </w:tc>
      </w:tr>
      <w:tr w:rsidR="00F30BB1" w:rsidRPr="00F30BB1" w14:paraId="6C2EF936" w14:textId="77777777" w:rsidTr="0071207C">
        <w:trPr>
          <w:trHeight w:val="255"/>
          <w:jc w:val="center"/>
        </w:trPr>
        <w:tc>
          <w:tcPr>
            <w:tcW w:w="356" w:type="dxa"/>
            <w:vMerge/>
            <w:tcBorders>
              <w:top w:val="nil"/>
              <w:left w:val="nil"/>
              <w:bottom w:val="single" w:sz="4" w:space="0" w:color="auto"/>
              <w:right w:val="nil"/>
            </w:tcBorders>
            <w:vAlign w:val="center"/>
            <w:hideMark/>
          </w:tcPr>
          <w:p w14:paraId="0ECB4ACC" w14:textId="77777777" w:rsidR="00F30BB1" w:rsidRPr="00F30BB1" w:rsidRDefault="00F30BB1" w:rsidP="00F30BB1">
            <w:pPr>
              <w:rPr>
                <w:color w:val="000000"/>
                <w:sz w:val="20"/>
                <w:szCs w:val="20"/>
                <w:lang w:val="es-CO" w:eastAsia="es-CO"/>
              </w:rPr>
            </w:pPr>
          </w:p>
        </w:tc>
        <w:tc>
          <w:tcPr>
            <w:tcW w:w="4608" w:type="dxa"/>
            <w:gridSpan w:val="3"/>
            <w:vMerge/>
            <w:tcBorders>
              <w:top w:val="nil"/>
              <w:left w:val="nil"/>
              <w:bottom w:val="nil"/>
              <w:right w:val="nil"/>
            </w:tcBorders>
            <w:vAlign w:val="center"/>
            <w:hideMark/>
          </w:tcPr>
          <w:p w14:paraId="2801317A" w14:textId="77777777" w:rsidR="00F30BB1" w:rsidRPr="00F30BB1" w:rsidRDefault="00F30BB1" w:rsidP="00F30BB1">
            <w:pPr>
              <w:rPr>
                <w:color w:val="000000"/>
                <w:sz w:val="12"/>
                <w:szCs w:val="12"/>
                <w:lang w:val="es-CO" w:eastAsia="es-CO"/>
              </w:rPr>
            </w:pPr>
          </w:p>
        </w:tc>
        <w:tc>
          <w:tcPr>
            <w:tcW w:w="2896" w:type="dxa"/>
            <w:tcBorders>
              <w:top w:val="nil"/>
              <w:left w:val="nil"/>
              <w:bottom w:val="nil"/>
              <w:right w:val="nil"/>
            </w:tcBorders>
            <w:shd w:val="clear" w:color="auto" w:fill="auto"/>
            <w:noWrap/>
            <w:vAlign w:val="center"/>
            <w:hideMark/>
          </w:tcPr>
          <w:p w14:paraId="50D3E618" w14:textId="77777777" w:rsidR="00F30BB1" w:rsidRPr="00F30BB1" w:rsidRDefault="00F30BB1" w:rsidP="00F30BB1">
            <w:pPr>
              <w:rPr>
                <w:color w:val="000000"/>
                <w:sz w:val="20"/>
                <w:szCs w:val="20"/>
                <w:lang w:val="es-CO" w:eastAsia="es-CO"/>
              </w:rPr>
            </w:pPr>
            <w:r w:rsidRPr="00F30BB1">
              <w:rPr>
                <w:color w:val="000000"/>
                <w:sz w:val="20"/>
                <w:szCs w:val="20"/>
                <w:lang w:eastAsia="es-CO"/>
              </w:rPr>
              <w:t>IQGRGDDDDDDDDDN</w:t>
            </w:r>
          </w:p>
        </w:tc>
      </w:tr>
      <w:tr w:rsidR="00F30BB1" w:rsidRPr="00F30BB1" w14:paraId="13BADA6F" w14:textId="77777777" w:rsidTr="0071207C">
        <w:trPr>
          <w:trHeight w:val="255"/>
          <w:jc w:val="center"/>
        </w:trPr>
        <w:tc>
          <w:tcPr>
            <w:tcW w:w="356" w:type="dxa"/>
            <w:vMerge/>
            <w:tcBorders>
              <w:top w:val="nil"/>
              <w:left w:val="nil"/>
              <w:bottom w:val="single" w:sz="4" w:space="0" w:color="auto"/>
              <w:right w:val="nil"/>
            </w:tcBorders>
            <w:vAlign w:val="center"/>
            <w:hideMark/>
          </w:tcPr>
          <w:p w14:paraId="611B8C4B" w14:textId="77777777" w:rsidR="00F30BB1" w:rsidRPr="00F30BB1" w:rsidRDefault="00F30BB1" w:rsidP="00F30BB1">
            <w:pPr>
              <w:rPr>
                <w:color w:val="000000"/>
                <w:sz w:val="20"/>
                <w:szCs w:val="20"/>
                <w:lang w:val="es-CO" w:eastAsia="es-CO"/>
              </w:rPr>
            </w:pPr>
          </w:p>
        </w:tc>
        <w:tc>
          <w:tcPr>
            <w:tcW w:w="4608" w:type="dxa"/>
            <w:gridSpan w:val="3"/>
            <w:vMerge/>
            <w:tcBorders>
              <w:top w:val="nil"/>
              <w:left w:val="nil"/>
              <w:bottom w:val="single" w:sz="4" w:space="0" w:color="auto"/>
              <w:right w:val="nil"/>
            </w:tcBorders>
            <w:vAlign w:val="center"/>
            <w:hideMark/>
          </w:tcPr>
          <w:p w14:paraId="78E206DD" w14:textId="77777777" w:rsidR="00F30BB1" w:rsidRPr="00F30BB1" w:rsidRDefault="00F30BB1" w:rsidP="00F30BB1">
            <w:pPr>
              <w:rPr>
                <w:color w:val="000000"/>
                <w:sz w:val="12"/>
                <w:szCs w:val="12"/>
                <w:lang w:val="es-CO" w:eastAsia="es-CO"/>
              </w:rPr>
            </w:pPr>
          </w:p>
        </w:tc>
        <w:tc>
          <w:tcPr>
            <w:tcW w:w="2896" w:type="dxa"/>
            <w:tcBorders>
              <w:top w:val="nil"/>
              <w:left w:val="nil"/>
              <w:bottom w:val="single" w:sz="4" w:space="0" w:color="auto"/>
              <w:right w:val="nil"/>
            </w:tcBorders>
            <w:shd w:val="clear" w:color="auto" w:fill="auto"/>
            <w:noWrap/>
            <w:vAlign w:val="center"/>
            <w:hideMark/>
          </w:tcPr>
          <w:p w14:paraId="122E4286" w14:textId="77777777" w:rsidR="00F30BB1" w:rsidRPr="00F30BB1" w:rsidRDefault="00F30BB1" w:rsidP="00F30BB1">
            <w:pPr>
              <w:rPr>
                <w:color w:val="000000"/>
                <w:sz w:val="20"/>
                <w:szCs w:val="20"/>
                <w:lang w:val="es-CO" w:eastAsia="es-CO"/>
              </w:rPr>
            </w:pPr>
            <w:r w:rsidRPr="00F30BB1">
              <w:rPr>
                <w:color w:val="000000"/>
                <w:sz w:val="20"/>
                <w:szCs w:val="20"/>
                <w:lang w:eastAsia="es-CO"/>
              </w:rPr>
              <w:t>IMENQSEELEEKQK</w:t>
            </w:r>
          </w:p>
        </w:tc>
      </w:tr>
    </w:tbl>
    <w:p w14:paraId="5287B955" w14:textId="77777777" w:rsidR="00F30BB1" w:rsidRPr="00F30BB1" w:rsidRDefault="00F30BB1" w:rsidP="0071207C"/>
    <w:p w14:paraId="1649D095" w14:textId="5C147B9E" w:rsidR="008877B4" w:rsidRPr="00E80703" w:rsidRDefault="008877B4" w:rsidP="003F461D">
      <w:pPr>
        <w:spacing w:line="480" w:lineRule="auto"/>
      </w:pPr>
      <w:r w:rsidRPr="00E80703">
        <w:t xml:space="preserve">Matched peptides are shown in </w:t>
      </w:r>
      <w:r w:rsidR="007E1476" w:rsidRPr="00E80703">
        <w:t>red,</w:t>
      </w:r>
      <w:r w:rsidRPr="00E80703">
        <w:t xml:space="preserve"> and the underlined segment corresponds to lunasin peptide amino acid sequence (SKW…DDD).</w:t>
      </w:r>
    </w:p>
    <w:p w14:paraId="28D39522" w14:textId="77777777" w:rsidR="008D6147" w:rsidRDefault="008877B4">
      <w:pPr>
        <w:rPr>
          <w:b/>
          <w:bCs/>
          <w:szCs w:val="26"/>
        </w:rPr>
      </w:pPr>
      <w:r>
        <w:rPr>
          <w:b/>
          <w:bCs/>
        </w:rPr>
        <w:br w:type="page"/>
      </w:r>
    </w:p>
    <w:p w14:paraId="580D0B3F" w14:textId="77777777" w:rsidR="008877B4" w:rsidRPr="007E1476" w:rsidRDefault="008877B4" w:rsidP="007E1476">
      <w:pPr>
        <w:pStyle w:val="Heading3"/>
        <w:jc w:val="center"/>
        <w:rPr>
          <w:i w:val="0"/>
        </w:rPr>
      </w:pPr>
      <w:bookmarkStart w:id="68" w:name="_Toc77082119"/>
      <w:r w:rsidRPr="007E1476">
        <w:rPr>
          <w:i w:val="0"/>
        </w:rPr>
        <w:lastRenderedPageBreak/>
        <w:t>Supplementary material</w:t>
      </w:r>
      <w:bookmarkEnd w:id="68"/>
    </w:p>
    <w:p w14:paraId="07755E2F" w14:textId="77777777" w:rsidR="00022C8C" w:rsidRPr="00022C8C" w:rsidRDefault="00022C8C" w:rsidP="003F461D">
      <w:pPr>
        <w:spacing w:line="480" w:lineRule="auto"/>
      </w:pPr>
    </w:p>
    <w:p w14:paraId="3CAAF2F0" w14:textId="77777777" w:rsidR="008877B4" w:rsidRPr="00573D15" w:rsidRDefault="008877B4" w:rsidP="003F461D">
      <w:pPr>
        <w:tabs>
          <w:tab w:val="left" w:pos="2835"/>
        </w:tabs>
        <w:spacing w:line="480" w:lineRule="auto"/>
        <w:jc w:val="center"/>
        <w:rPr>
          <w:i/>
          <w:iCs/>
        </w:rPr>
      </w:pPr>
      <w:r w:rsidRPr="00573D15">
        <w:rPr>
          <w:i/>
          <w:iCs/>
        </w:rPr>
        <w:t>Preliminary evaluation of okara and tofu whey as potential sources of lunasin using direct calcium precipitation.</w:t>
      </w:r>
    </w:p>
    <w:p w14:paraId="1DC08397" w14:textId="1C96B1A5" w:rsidR="008877B4" w:rsidRDefault="008877B4" w:rsidP="00AA10AC">
      <w:pPr>
        <w:spacing w:line="480" w:lineRule="auto"/>
        <w:ind w:firstLine="720"/>
      </w:pPr>
      <w:bookmarkStart w:id="69" w:name="_Ref47881868"/>
      <w:r w:rsidRPr="00CC5C8E">
        <w:t xml:space="preserve">An alkaline proteinaceous extract from okara was prepared as follows: a mixture of okara: water at a mass:volume ratio 1:10 was adjusted to pH 9.0 and stirred at 80°C for 30 min to extract the soluble proteins present in the solid waste. After cooling down to room temperature, the mixture was centrifuged at 9000 </w:t>
      </w:r>
      <w:r w:rsidRPr="00CC5C8E">
        <w:rPr>
          <w:i/>
        </w:rPr>
        <w:t>g</w:t>
      </w:r>
      <w:r w:rsidRPr="00CC5C8E">
        <w:t xml:space="preserve"> for 30 min</w:t>
      </w:r>
      <w:r>
        <w:t xml:space="preserve">. Okara extract </w:t>
      </w:r>
      <w:r w:rsidRPr="00CC5C8E">
        <w:t xml:space="preserve">supernatant </w:t>
      </w:r>
      <w:r>
        <w:t>and whey were treated with 20mM calcium chloride to induce direct precipitation of lunasin. Supernatant and precipitate of each by-</w:t>
      </w:r>
      <w:r w:rsidR="005266D3">
        <w:t>product</w:t>
      </w:r>
      <w:r>
        <w:t xml:space="preserve"> after calcium treatment were evaluated for protein and lunasin content as presented in Supplementary Table 2.1.  </w:t>
      </w:r>
    </w:p>
    <w:p w14:paraId="1B808476" w14:textId="77777777" w:rsidR="00F30BB1" w:rsidRDefault="00F30BB1">
      <w:pPr>
        <w:rPr>
          <w:b/>
          <w:bCs/>
        </w:rPr>
      </w:pPr>
      <w:r>
        <w:br w:type="page"/>
      </w:r>
    </w:p>
    <w:p w14:paraId="78F145A6" w14:textId="760AE859" w:rsidR="00022C8C" w:rsidRPr="00022C8C" w:rsidRDefault="00022C8C" w:rsidP="003F461D">
      <w:pPr>
        <w:pStyle w:val="Caption"/>
        <w:spacing w:line="480" w:lineRule="auto"/>
        <w:jc w:val="center"/>
        <w:rPr>
          <w:b w:val="0"/>
        </w:rPr>
      </w:pPr>
      <w:bookmarkStart w:id="70" w:name="_Toc77082176"/>
      <w:r>
        <w:lastRenderedPageBreak/>
        <w:t xml:space="preserve">Supplementary Table </w:t>
      </w:r>
      <w:fldSimple w:instr=" STYLEREF 1 \s ">
        <w:r w:rsidR="0023061D">
          <w:rPr>
            <w:noProof/>
          </w:rPr>
          <w:t>2</w:t>
        </w:r>
      </w:fldSimple>
      <w:r w:rsidR="000A4297">
        <w:t>.</w:t>
      </w:r>
      <w:fldSimple w:instr=" SEQ Supplementary_Table_ \* ARABIC \s 1 ">
        <w:r w:rsidR="0023061D">
          <w:rPr>
            <w:noProof/>
          </w:rPr>
          <w:t>1</w:t>
        </w:r>
      </w:fldSimple>
      <w:r>
        <w:t xml:space="preserve"> </w:t>
      </w:r>
      <w:r w:rsidRPr="00022C8C">
        <w:rPr>
          <w:b w:val="0"/>
        </w:rPr>
        <w:t>Characteristics of calcium precipitates from okara and tofu whey.</w:t>
      </w:r>
      <w:bookmarkEnd w:id="70"/>
    </w:p>
    <w:tbl>
      <w:tblPr>
        <w:tblW w:w="8100" w:type="dxa"/>
        <w:jc w:val="center"/>
        <w:tblLook w:val="04A0" w:firstRow="1" w:lastRow="0" w:firstColumn="1" w:lastColumn="0" w:noHBand="0" w:noVBand="1"/>
      </w:tblPr>
      <w:tblGrid>
        <w:gridCol w:w="2544"/>
        <w:gridCol w:w="1500"/>
        <w:gridCol w:w="1485"/>
        <w:gridCol w:w="1617"/>
        <w:gridCol w:w="1341"/>
      </w:tblGrid>
      <w:tr w:rsidR="008877B4" w:rsidRPr="00CC34E3" w14:paraId="431F9244" w14:textId="77777777" w:rsidTr="0071207C">
        <w:trPr>
          <w:trHeight w:val="300"/>
          <w:jc w:val="center"/>
        </w:trPr>
        <w:tc>
          <w:tcPr>
            <w:tcW w:w="2544" w:type="dxa"/>
            <w:vMerge w:val="restart"/>
            <w:tcBorders>
              <w:top w:val="single" w:sz="4" w:space="0" w:color="auto"/>
              <w:left w:val="nil"/>
              <w:right w:val="nil"/>
            </w:tcBorders>
            <w:noWrap/>
            <w:vAlign w:val="center"/>
            <w:hideMark/>
          </w:tcPr>
          <w:p w14:paraId="5B09E79D" w14:textId="77777777" w:rsidR="008877B4" w:rsidRPr="0071207C" w:rsidRDefault="008877B4" w:rsidP="00173C38">
            <w:pPr>
              <w:jc w:val="center"/>
              <w:rPr>
                <w:b/>
                <w:bCs/>
                <w:color w:val="000000"/>
                <w:sz w:val="22"/>
                <w:szCs w:val="22"/>
              </w:rPr>
            </w:pPr>
            <w:r w:rsidRPr="0071207C">
              <w:rPr>
                <w:b/>
                <w:bCs/>
                <w:color w:val="000000"/>
                <w:sz w:val="22"/>
                <w:szCs w:val="22"/>
              </w:rPr>
              <w:t>Parameter</w:t>
            </w:r>
          </w:p>
        </w:tc>
        <w:tc>
          <w:tcPr>
            <w:tcW w:w="3102" w:type="dxa"/>
            <w:gridSpan w:val="2"/>
            <w:tcBorders>
              <w:top w:val="single" w:sz="4" w:space="0" w:color="auto"/>
              <w:left w:val="nil"/>
              <w:bottom w:val="single" w:sz="4" w:space="0" w:color="auto"/>
              <w:right w:val="nil"/>
            </w:tcBorders>
            <w:vAlign w:val="center"/>
          </w:tcPr>
          <w:p w14:paraId="26076B0C" w14:textId="77777777" w:rsidR="008877B4" w:rsidRPr="0071207C" w:rsidRDefault="008877B4" w:rsidP="00173C38">
            <w:pPr>
              <w:jc w:val="center"/>
              <w:rPr>
                <w:b/>
                <w:bCs/>
                <w:color w:val="000000"/>
                <w:sz w:val="22"/>
                <w:szCs w:val="22"/>
              </w:rPr>
            </w:pPr>
            <w:r w:rsidRPr="0071207C">
              <w:rPr>
                <w:b/>
                <w:bCs/>
                <w:color w:val="000000"/>
                <w:sz w:val="22"/>
                <w:szCs w:val="22"/>
              </w:rPr>
              <w:t>Okara</w:t>
            </w:r>
          </w:p>
        </w:tc>
        <w:tc>
          <w:tcPr>
            <w:tcW w:w="2454" w:type="dxa"/>
            <w:gridSpan w:val="2"/>
            <w:tcBorders>
              <w:top w:val="single" w:sz="4" w:space="0" w:color="auto"/>
              <w:left w:val="nil"/>
              <w:bottom w:val="single" w:sz="4" w:space="0" w:color="auto"/>
              <w:right w:val="nil"/>
            </w:tcBorders>
            <w:noWrap/>
            <w:vAlign w:val="center"/>
          </w:tcPr>
          <w:p w14:paraId="05A26C40" w14:textId="77777777" w:rsidR="008877B4" w:rsidRPr="0071207C" w:rsidRDefault="008877B4" w:rsidP="00173C38">
            <w:pPr>
              <w:jc w:val="center"/>
              <w:rPr>
                <w:b/>
                <w:bCs/>
                <w:color w:val="000000"/>
                <w:sz w:val="22"/>
                <w:szCs w:val="22"/>
              </w:rPr>
            </w:pPr>
            <w:r w:rsidRPr="0071207C">
              <w:rPr>
                <w:b/>
                <w:bCs/>
                <w:color w:val="000000"/>
                <w:sz w:val="22"/>
                <w:szCs w:val="22"/>
              </w:rPr>
              <w:t>Whey</w:t>
            </w:r>
          </w:p>
        </w:tc>
      </w:tr>
      <w:tr w:rsidR="008877B4" w:rsidRPr="00CC34E3" w14:paraId="187BE833" w14:textId="77777777" w:rsidTr="0071207C">
        <w:trPr>
          <w:trHeight w:val="300"/>
          <w:jc w:val="center"/>
        </w:trPr>
        <w:tc>
          <w:tcPr>
            <w:tcW w:w="2544" w:type="dxa"/>
            <w:vMerge/>
            <w:tcBorders>
              <w:left w:val="nil"/>
              <w:bottom w:val="single" w:sz="4" w:space="0" w:color="auto"/>
              <w:right w:val="nil"/>
            </w:tcBorders>
            <w:noWrap/>
            <w:vAlign w:val="center"/>
          </w:tcPr>
          <w:p w14:paraId="2D3B0B54" w14:textId="77777777" w:rsidR="008877B4" w:rsidRPr="0071207C" w:rsidRDefault="008877B4" w:rsidP="00173C38">
            <w:pPr>
              <w:jc w:val="center"/>
              <w:rPr>
                <w:b/>
                <w:bCs/>
                <w:color w:val="000000"/>
                <w:sz w:val="22"/>
                <w:szCs w:val="22"/>
              </w:rPr>
            </w:pPr>
          </w:p>
        </w:tc>
        <w:tc>
          <w:tcPr>
            <w:tcW w:w="1617" w:type="dxa"/>
            <w:tcBorders>
              <w:top w:val="single" w:sz="4" w:space="0" w:color="auto"/>
              <w:left w:val="nil"/>
              <w:bottom w:val="single" w:sz="4" w:space="0" w:color="auto"/>
              <w:right w:val="nil"/>
            </w:tcBorders>
            <w:vAlign w:val="center"/>
          </w:tcPr>
          <w:p w14:paraId="4D2E5A13" w14:textId="77777777" w:rsidR="008877B4" w:rsidRPr="0071207C" w:rsidRDefault="008877B4" w:rsidP="00173C38">
            <w:pPr>
              <w:jc w:val="center"/>
              <w:rPr>
                <w:b/>
                <w:bCs/>
                <w:color w:val="000000"/>
                <w:sz w:val="22"/>
                <w:szCs w:val="22"/>
              </w:rPr>
            </w:pPr>
            <w:r w:rsidRPr="0071207C">
              <w:rPr>
                <w:b/>
                <w:bCs/>
                <w:color w:val="000000"/>
                <w:sz w:val="22"/>
                <w:szCs w:val="22"/>
              </w:rPr>
              <w:t>Supernatant</w:t>
            </w:r>
          </w:p>
        </w:tc>
        <w:tc>
          <w:tcPr>
            <w:tcW w:w="1485" w:type="dxa"/>
            <w:tcBorders>
              <w:top w:val="single" w:sz="4" w:space="0" w:color="auto"/>
              <w:left w:val="nil"/>
              <w:bottom w:val="single" w:sz="4" w:space="0" w:color="auto"/>
              <w:right w:val="nil"/>
            </w:tcBorders>
            <w:noWrap/>
            <w:vAlign w:val="center"/>
          </w:tcPr>
          <w:p w14:paraId="06426C76" w14:textId="77777777" w:rsidR="008877B4" w:rsidRPr="0071207C" w:rsidRDefault="008877B4" w:rsidP="00173C38">
            <w:pPr>
              <w:jc w:val="center"/>
              <w:rPr>
                <w:b/>
                <w:bCs/>
                <w:color w:val="000000"/>
                <w:sz w:val="22"/>
                <w:szCs w:val="22"/>
              </w:rPr>
            </w:pPr>
            <w:r w:rsidRPr="0071207C">
              <w:rPr>
                <w:b/>
                <w:bCs/>
                <w:color w:val="000000"/>
                <w:sz w:val="22"/>
                <w:szCs w:val="22"/>
              </w:rPr>
              <w:t>Precipitate</w:t>
            </w:r>
          </w:p>
        </w:tc>
        <w:tc>
          <w:tcPr>
            <w:tcW w:w="1617" w:type="dxa"/>
            <w:tcBorders>
              <w:top w:val="single" w:sz="4" w:space="0" w:color="auto"/>
              <w:left w:val="nil"/>
              <w:bottom w:val="single" w:sz="4" w:space="0" w:color="auto"/>
              <w:right w:val="nil"/>
            </w:tcBorders>
            <w:noWrap/>
            <w:vAlign w:val="center"/>
          </w:tcPr>
          <w:p w14:paraId="3D47B160" w14:textId="77777777" w:rsidR="008877B4" w:rsidRPr="0071207C" w:rsidRDefault="008877B4" w:rsidP="00173C38">
            <w:pPr>
              <w:jc w:val="center"/>
              <w:rPr>
                <w:b/>
                <w:bCs/>
                <w:color w:val="000000"/>
                <w:sz w:val="22"/>
                <w:szCs w:val="22"/>
              </w:rPr>
            </w:pPr>
            <w:r w:rsidRPr="0071207C">
              <w:rPr>
                <w:b/>
                <w:bCs/>
                <w:color w:val="000000"/>
                <w:sz w:val="22"/>
                <w:szCs w:val="22"/>
              </w:rPr>
              <w:t>Supernatant</w:t>
            </w:r>
          </w:p>
        </w:tc>
        <w:tc>
          <w:tcPr>
            <w:tcW w:w="837" w:type="dxa"/>
            <w:tcBorders>
              <w:top w:val="single" w:sz="4" w:space="0" w:color="auto"/>
              <w:left w:val="nil"/>
              <w:bottom w:val="single" w:sz="4" w:space="0" w:color="auto"/>
              <w:right w:val="nil"/>
            </w:tcBorders>
            <w:noWrap/>
            <w:vAlign w:val="center"/>
          </w:tcPr>
          <w:p w14:paraId="026C86CC" w14:textId="77777777" w:rsidR="008877B4" w:rsidRPr="0071207C" w:rsidRDefault="008877B4" w:rsidP="00173C38">
            <w:pPr>
              <w:jc w:val="center"/>
              <w:rPr>
                <w:b/>
                <w:bCs/>
                <w:color w:val="000000"/>
                <w:sz w:val="22"/>
                <w:szCs w:val="22"/>
              </w:rPr>
            </w:pPr>
            <w:r w:rsidRPr="0071207C">
              <w:rPr>
                <w:b/>
                <w:bCs/>
                <w:color w:val="000000"/>
                <w:sz w:val="22"/>
                <w:szCs w:val="22"/>
              </w:rPr>
              <w:t>Precipitate</w:t>
            </w:r>
          </w:p>
        </w:tc>
      </w:tr>
      <w:tr w:rsidR="008877B4" w:rsidRPr="00CC34E3" w14:paraId="3955F7B4" w14:textId="77777777" w:rsidTr="0071207C">
        <w:trPr>
          <w:trHeight w:val="300"/>
          <w:jc w:val="center"/>
        </w:trPr>
        <w:tc>
          <w:tcPr>
            <w:tcW w:w="2544" w:type="dxa"/>
            <w:tcBorders>
              <w:top w:val="single" w:sz="4" w:space="0" w:color="auto"/>
              <w:left w:val="nil"/>
              <w:bottom w:val="nil"/>
              <w:right w:val="nil"/>
            </w:tcBorders>
            <w:noWrap/>
            <w:vAlign w:val="center"/>
            <w:hideMark/>
          </w:tcPr>
          <w:p w14:paraId="6487A6D2" w14:textId="77777777" w:rsidR="008877B4" w:rsidRPr="0071207C" w:rsidRDefault="008877B4" w:rsidP="00173C38">
            <w:pPr>
              <w:rPr>
                <w:color w:val="000000"/>
                <w:sz w:val="22"/>
                <w:szCs w:val="22"/>
              </w:rPr>
            </w:pPr>
            <w:r w:rsidRPr="0071207C">
              <w:rPr>
                <w:color w:val="000000"/>
                <w:sz w:val="22"/>
                <w:szCs w:val="22"/>
              </w:rPr>
              <w:t>mg of dry solid/g of okara or mL whey</w:t>
            </w:r>
          </w:p>
        </w:tc>
        <w:tc>
          <w:tcPr>
            <w:tcW w:w="1617" w:type="dxa"/>
            <w:tcBorders>
              <w:top w:val="single" w:sz="4" w:space="0" w:color="auto"/>
              <w:left w:val="nil"/>
              <w:bottom w:val="nil"/>
              <w:right w:val="nil"/>
            </w:tcBorders>
            <w:vAlign w:val="center"/>
          </w:tcPr>
          <w:p w14:paraId="4317C345" w14:textId="77777777" w:rsidR="008877B4" w:rsidRPr="0071207C" w:rsidRDefault="008877B4" w:rsidP="00173C38">
            <w:pPr>
              <w:jc w:val="center"/>
              <w:rPr>
                <w:color w:val="000000"/>
                <w:sz w:val="22"/>
                <w:szCs w:val="22"/>
              </w:rPr>
            </w:pPr>
            <w:r w:rsidRPr="0071207C">
              <w:rPr>
                <w:color w:val="000000"/>
                <w:sz w:val="22"/>
                <w:szCs w:val="22"/>
              </w:rPr>
              <w:t>23 ± 4</w:t>
            </w:r>
          </w:p>
        </w:tc>
        <w:tc>
          <w:tcPr>
            <w:tcW w:w="1485" w:type="dxa"/>
            <w:tcBorders>
              <w:top w:val="single" w:sz="4" w:space="0" w:color="auto"/>
              <w:left w:val="nil"/>
              <w:bottom w:val="nil"/>
              <w:right w:val="nil"/>
            </w:tcBorders>
            <w:noWrap/>
            <w:vAlign w:val="center"/>
            <w:hideMark/>
          </w:tcPr>
          <w:p w14:paraId="01AB0703" w14:textId="77777777" w:rsidR="008877B4" w:rsidRPr="0071207C" w:rsidRDefault="008877B4" w:rsidP="00173C38">
            <w:pPr>
              <w:jc w:val="center"/>
              <w:rPr>
                <w:color w:val="000000"/>
                <w:sz w:val="22"/>
                <w:szCs w:val="22"/>
              </w:rPr>
            </w:pPr>
            <w:r w:rsidRPr="0071207C">
              <w:rPr>
                <w:color w:val="000000"/>
                <w:sz w:val="22"/>
                <w:szCs w:val="22"/>
              </w:rPr>
              <w:t>11 ± 2</w:t>
            </w:r>
          </w:p>
        </w:tc>
        <w:tc>
          <w:tcPr>
            <w:tcW w:w="1617" w:type="dxa"/>
            <w:tcBorders>
              <w:top w:val="single" w:sz="4" w:space="0" w:color="auto"/>
              <w:left w:val="nil"/>
              <w:bottom w:val="nil"/>
              <w:right w:val="nil"/>
            </w:tcBorders>
            <w:noWrap/>
            <w:vAlign w:val="center"/>
            <w:hideMark/>
          </w:tcPr>
          <w:p w14:paraId="1938A282" w14:textId="77777777" w:rsidR="008877B4" w:rsidRPr="0071207C" w:rsidRDefault="008877B4" w:rsidP="00173C38">
            <w:pPr>
              <w:jc w:val="center"/>
              <w:rPr>
                <w:color w:val="000000"/>
                <w:sz w:val="22"/>
                <w:szCs w:val="22"/>
              </w:rPr>
            </w:pPr>
            <w:r w:rsidRPr="0071207C">
              <w:rPr>
                <w:color w:val="000000"/>
                <w:sz w:val="22"/>
                <w:szCs w:val="22"/>
              </w:rPr>
              <w:t>24 ± 1</w:t>
            </w:r>
          </w:p>
        </w:tc>
        <w:tc>
          <w:tcPr>
            <w:tcW w:w="837" w:type="dxa"/>
            <w:tcBorders>
              <w:top w:val="single" w:sz="4" w:space="0" w:color="auto"/>
              <w:left w:val="nil"/>
              <w:bottom w:val="nil"/>
              <w:right w:val="nil"/>
            </w:tcBorders>
            <w:noWrap/>
            <w:vAlign w:val="center"/>
            <w:hideMark/>
          </w:tcPr>
          <w:p w14:paraId="2CBF1359" w14:textId="77777777" w:rsidR="008877B4" w:rsidRPr="0071207C" w:rsidRDefault="008877B4" w:rsidP="00173C38">
            <w:pPr>
              <w:jc w:val="center"/>
              <w:rPr>
                <w:color w:val="000000"/>
                <w:sz w:val="22"/>
                <w:szCs w:val="22"/>
              </w:rPr>
            </w:pPr>
            <w:r w:rsidRPr="0071207C">
              <w:rPr>
                <w:color w:val="000000"/>
                <w:sz w:val="22"/>
                <w:szCs w:val="22"/>
              </w:rPr>
              <w:t>0.21 ± 0.05</w:t>
            </w:r>
          </w:p>
        </w:tc>
      </w:tr>
      <w:tr w:rsidR="008877B4" w:rsidRPr="00CC34E3" w14:paraId="63E2AA8A" w14:textId="77777777" w:rsidTr="0071207C">
        <w:trPr>
          <w:trHeight w:val="300"/>
          <w:jc w:val="center"/>
        </w:trPr>
        <w:tc>
          <w:tcPr>
            <w:tcW w:w="2544" w:type="dxa"/>
            <w:noWrap/>
            <w:vAlign w:val="center"/>
            <w:hideMark/>
          </w:tcPr>
          <w:p w14:paraId="320C7AF9" w14:textId="77777777" w:rsidR="008877B4" w:rsidRPr="0071207C" w:rsidRDefault="008877B4" w:rsidP="00173C38">
            <w:pPr>
              <w:rPr>
                <w:color w:val="000000"/>
                <w:sz w:val="22"/>
                <w:szCs w:val="22"/>
              </w:rPr>
            </w:pPr>
            <w:r w:rsidRPr="0071207C">
              <w:rPr>
                <w:color w:val="000000"/>
                <w:sz w:val="22"/>
                <w:szCs w:val="22"/>
              </w:rPr>
              <w:t>µg protein/mg dry solid</w:t>
            </w:r>
          </w:p>
        </w:tc>
        <w:tc>
          <w:tcPr>
            <w:tcW w:w="1617" w:type="dxa"/>
            <w:vAlign w:val="center"/>
          </w:tcPr>
          <w:p w14:paraId="23D68058" w14:textId="77777777" w:rsidR="008877B4" w:rsidRPr="0071207C" w:rsidRDefault="008877B4" w:rsidP="00173C38">
            <w:pPr>
              <w:jc w:val="center"/>
              <w:rPr>
                <w:color w:val="000000"/>
                <w:sz w:val="22"/>
                <w:szCs w:val="22"/>
              </w:rPr>
            </w:pPr>
            <w:r w:rsidRPr="0071207C">
              <w:rPr>
                <w:color w:val="000000"/>
                <w:sz w:val="22"/>
                <w:szCs w:val="22"/>
              </w:rPr>
              <w:t>60 ± 4</w:t>
            </w:r>
          </w:p>
        </w:tc>
        <w:tc>
          <w:tcPr>
            <w:tcW w:w="1485" w:type="dxa"/>
            <w:noWrap/>
            <w:vAlign w:val="center"/>
            <w:hideMark/>
          </w:tcPr>
          <w:p w14:paraId="77067A4B" w14:textId="77777777" w:rsidR="008877B4" w:rsidRPr="0071207C" w:rsidRDefault="008877B4" w:rsidP="00173C38">
            <w:pPr>
              <w:jc w:val="center"/>
              <w:rPr>
                <w:color w:val="000000"/>
                <w:sz w:val="22"/>
                <w:szCs w:val="22"/>
              </w:rPr>
            </w:pPr>
            <w:r w:rsidRPr="0071207C">
              <w:rPr>
                <w:color w:val="000000"/>
                <w:sz w:val="22"/>
                <w:szCs w:val="22"/>
              </w:rPr>
              <w:t>5 ± 1</w:t>
            </w:r>
          </w:p>
        </w:tc>
        <w:tc>
          <w:tcPr>
            <w:tcW w:w="1617" w:type="dxa"/>
            <w:noWrap/>
            <w:vAlign w:val="center"/>
            <w:hideMark/>
          </w:tcPr>
          <w:p w14:paraId="4E8E96A4" w14:textId="77777777" w:rsidR="008877B4" w:rsidRPr="0071207C" w:rsidRDefault="008877B4" w:rsidP="00173C38">
            <w:pPr>
              <w:jc w:val="center"/>
              <w:rPr>
                <w:color w:val="000000"/>
                <w:sz w:val="22"/>
                <w:szCs w:val="22"/>
              </w:rPr>
            </w:pPr>
            <w:r w:rsidRPr="0071207C">
              <w:rPr>
                <w:color w:val="000000"/>
                <w:sz w:val="22"/>
                <w:szCs w:val="22"/>
              </w:rPr>
              <w:t>91 ± 3</w:t>
            </w:r>
          </w:p>
        </w:tc>
        <w:tc>
          <w:tcPr>
            <w:tcW w:w="837" w:type="dxa"/>
            <w:noWrap/>
            <w:vAlign w:val="center"/>
            <w:hideMark/>
          </w:tcPr>
          <w:p w14:paraId="4F35F41C" w14:textId="77777777" w:rsidR="008877B4" w:rsidRPr="0071207C" w:rsidRDefault="008877B4" w:rsidP="00173C38">
            <w:pPr>
              <w:jc w:val="center"/>
              <w:rPr>
                <w:color w:val="000000"/>
                <w:sz w:val="22"/>
                <w:szCs w:val="22"/>
              </w:rPr>
            </w:pPr>
            <w:r w:rsidRPr="0071207C">
              <w:rPr>
                <w:color w:val="000000" w:themeColor="text1"/>
                <w:sz w:val="22"/>
                <w:szCs w:val="22"/>
              </w:rPr>
              <w:t>97 ± 14</w:t>
            </w:r>
          </w:p>
        </w:tc>
      </w:tr>
      <w:tr w:rsidR="008877B4" w:rsidRPr="00CC34E3" w14:paraId="589CDD43" w14:textId="77777777" w:rsidTr="0071207C">
        <w:trPr>
          <w:trHeight w:val="300"/>
          <w:jc w:val="center"/>
        </w:trPr>
        <w:tc>
          <w:tcPr>
            <w:tcW w:w="2544" w:type="dxa"/>
            <w:noWrap/>
            <w:vAlign w:val="center"/>
            <w:hideMark/>
          </w:tcPr>
          <w:p w14:paraId="09B55E35" w14:textId="77777777" w:rsidR="008877B4" w:rsidRPr="0071207C" w:rsidRDefault="008877B4" w:rsidP="00173C38">
            <w:pPr>
              <w:rPr>
                <w:color w:val="000000"/>
                <w:sz w:val="22"/>
                <w:szCs w:val="22"/>
              </w:rPr>
            </w:pPr>
            <w:r w:rsidRPr="0071207C">
              <w:rPr>
                <w:color w:val="000000"/>
                <w:sz w:val="22"/>
                <w:szCs w:val="22"/>
              </w:rPr>
              <w:t>µg lunasin/mg dry solid</w:t>
            </w:r>
          </w:p>
        </w:tc>
        <w:tc>
          <w:tcPr>
            <w:tcW w:w="1617" w:type="dxa"/>
            <w:vAlign w:val="center"/>
          </w:tcPr>
          <w:p w14:paraId="0DEBC437" w14:textId="77777777" w:rsidR="008877B4" w:rsidRPr="0071207C" w:rsidRDefault="008877B4" w:rsidP="00173C38">
            <w:pPr>
              <w:jc w:val="center"/>
              <w:rPr>
                <w:color w:val="000000"/>
                <w:sz w:val="22"/>
                <w:szCs w:val="22"/>
              </w:rPr>
            </w:pPr>
            <w:r w:rsidRPr="0071207C">
              <w:rPr>
                <w:color w:val="000000"/>
                <w:sz w:val="22"/>
                <w:szCs w:val="22"/>
              </w:rPr>
              <w:t>0.74 ± 0.13</w:t>
            </w:r>
          </w:p>
        </w:tc>
        <w:tc>
          <w:tcPr>
            <w:tcW w:w="1485" w:type="dxa"/>
            <w:noWrap/>
            <w:vAlign w:val="center"/>
            <w:hideMark/>
          </w:tcPr>
          <w:p w14:paraId="28D324DC" w14:textId="77777777" w:rsidR="008877B4" w:rsidRPr="0071207C" w:rsidRDefault="008877B4" w:rsidP="00173C38">
            <w:pPr>
              <w:jc w:val="center"/>
              <w:rPr>
                <w:color w:val="000000"/>
                <w:sz w:val="22"/>
                <w:szCs w:val="22"/>
              </w:rPr>
            </w:pPr>
            <w:r w:rsidRPr="0071207C">
              <w:rPr>
                <w:color w:val="000000"/>
                <w:sz w:val="22"/>
                <w:szCs w:val="22"/>
              </w:rPr>
              <w:t>0.43 ± 0.02</w:t>
            </w:r>
          </w:p>
        </w:tc>
        <w:tc>
          <w:tcPr>
            <w:tcW w:w="1617" w:type="dxa"/>
            <w:noWrap/>
            <w:vAlign w:val="center"/>
            <w:hideMark/>
          </w:tcPr>
          <w:p w14:paraId="4739CC36" w14:textId="77777777" w:rsidR="008877B4" w:rsidRPr="0071207C" w:rsidRDefault="008877B4" w:rsidP="00173C38">
            <w:pPr>
              <w:jc w:val="center"/>
              <w:rPr>
                <w:color w:val="000000"/>
                <w:sz w:val="22"/>
                <w:szCs w:val="22"/>
              </w:rPr>
            </w:pPr>
            <w:r w:rsidRPr="0071207C">
              <w:rPr>
                <w:color w:val="000000"/>
                <w:sz w:val="22"/>
                <w:szCs w:val="22"/>
              </w:rPr>
              <w:t>15 ± 1</w:t>
            </w:r>
          </w:p>
        </w:tc>
        <w:tc>
          <w:tcPr>
            <w:tcW w:w="837" w:type="dxa"/>
            <w:noWrap/>
            <w:vAlign w:val="center"/>
            <w:hideMark/>
          </w:tcPr>
          <w:p w14:paraId="0F5C079D" w14:textId="77777777" w:rsidR="008877B4" w:rsidRPr="0071207C" w:rsidRDefault="008877B4" w:rsidP="00173C38">
            <w:pPr>
              <w:jc w:val="center"/>
              <w:rPr>
                <w:color w:val="000000"/>
                <w:sz w:val="22"/>
                <w:szCs w:val="22"/>
              </w:rPr>
            </w:pPr>
            <w:r w:rsidRPr="0071207C">
              <w:rPr>
                <w:color w:val="000000"/>
                <w:sz w:val="22"/>
                <w:szCs w:val="22"/>
              </w:rPr>
              <w:t>38 ± 3</w:t>
            </w:r>
          </w:p>
        </w:tc>
      </w:tr>
      <w:tr w:rsidR="008877B4" w:rsidRPr="00CC34E3" w14:paraId="1D5DB314" w14:textId="77777777" w:rsidTr="0071207C">
        <w:trPr>
          <w:trHeight w:val="300"/>
          <w:jc w:val="center"/>
        </w:trPr>
        <w:tc>
          <w:tcPr>
            <w:tcW w:w="2544" w:type="dxa"/>
            <w:tcBorders>
              <w:top w:val="nil"/>
              <w:left w:val="nil"/>
              <w:bottom w:val="single" w:sz="4" w:space="0" w:color="auto"/>
              <w:right w:val="nil"/>
            </w:tcBorders>
            <w:noWrap/>
            <w:vAlign w:val="center"/>
            <w:hideMark/>
          </w:tcPr>
          <w:p w14:paraId="14E13B45" w14:textId="74AB82C2" w:rsidR="008877B4" w:rsidRPr="0071207C" w:rsidRDefault="008877B4" w:rsidP="00173C38">
            <w:pPr>
              <w:rPr>
                <w:color w:val="000000"/>
                <w:sz w:val="22"/>
                <w:szCs w:val="22"/>
              </w:rPr>
            </w:pPr>
            <w:r w:rsidRPr="0071207C">
              <w:rPr>
                <w:color w:val="000000"/>
                <w:sz w:val="22"/>
                <w:szCs w:val="22"/>
              </w:rPr>
              <w:t xml:space="preserve">% </w:t>
            </w:r>
            <w:r w:rsidR="00FE009C" w:rsidRPr="0071207C">
              <w:rPr>
                <w:color w:val="000000"/>
                <w:sz w:val="22"/>
                <w:szCs w:val="22"/>
              </w:rPr>
              <w:t>L</w:t>
            </w:r>
            <w:r w:rsidRPr="0071207C">
              <w:rPr>
                <w:color w:val="000000"/>
                <w:sz w:val="22"/>
                <w:szCs w:val="22"/>
              </w:rPr>
              <w:t>unasin in solid</w:t>
            </w:r>
          </w:p>
        </w:tc>
        <w:tc>
          <w:tcPr>
            <w:tcW w:w="1617" w:type="dxa"/>
            <w:tcBorders>
              <w:top w:val="nil"/>
              <w:left w:val="nil"/>
              <w:bottom w:val="single" w:sz="4" w:space="0" w:color="auto"/>
              <w:right w:val="nil"/>
            </w:tcBorders>
            <w:vAlign w:val="center"/>
          </w:tcPr>
          <w:p w14:paraId="1FAB7712" w14:textId="77777777" w:rsidR="008877B4" w:rsidRPr="0071207C" w:rsidRDefault="008877B4" w:rsidP="00173C38">
            <w:pPr>
              <w:jc w:val="center"/>
              <w:rPr>
                <w:color w:val="000000"/>
                <w:sz w:val="22"/>
                <w:szCs w:val="22"/>
              </w:rPr>
            </w:pPr>
            <w:r w:rsidRPr="0071207C">
              <w:rPr>
                <w:color w:val="000000"/>
                <w:sz w:val="22"/>
                <w:szCs w:val="22"/>
              </w:rPr>
              <w:t>0.07 ± 0.01</w:t>
            </w:r>
          </w:p>
        </w:tc>
        <w:tc>
          <w:tcPr>
            <w:tcW w:w="1485" w:type="dxa"/>
            <w:tcBorders>
              <w:top w:val="nil"/>
              <w:left w:val="nil"/>
              <w:bottom w:val="single" w:sz="4" w:space="0" w:color="auto"/>
              <w:right w:val="nil"/>
            </w:tcBorders>
            <w:noWrap/>
            <w:vAlign w:val="center"/>
            <w:hideMark/>
          </w:tcPr>
          <w:p w14:paraId="1003BF70" w14:textId="77777777" w:rsidR="008877B4" w:rsidRPr="0071207C" w:rsidRDefault="008877B4" w:rsidP="00173C38">
            <w:pPr>
              <w:jc w:val="center"/>
              <w:rPr>
                <w:color w:val="000000"/>
                <w:sz w:val="22"/>
                <w:szCs w:val="22"/>
              </w:rPr>
            </w:pPr>
            <w:r w:rsidRPr="0071207C">
              <w:rPr>
                <w:color w:val="000000"/>
                <w:sz w:val="22"/>
                <w:szCs w:val="22"/>
              </w:rPr>
              <w:t>0.04 ± 0.00</w:t>
            </w:r>
          </w:p>
        </w:tc>
        <w:tc>
          <w:tcPr>
            <w:tcW w:w="1617" w:type="dxa"/>
            <w:tcBorders>
              <w:top w:val="nil"/>
              <w:left w:val="nil"/>
              <w:bottom w:val="single" w:sz="4" w:space="0" w:color="auto"/>
              <w:right w:val="nil"/>
            </w:tcBorders>
            <w:noWrap/>
            <w:vAlign w:val="center"/>
            <w:hideMark/>
          </w:tcPr>
          <w:p w14:paraId="7AD3F39E" w14:textId="77777777" w:rsidR="008877B4" w:rsidRPr="0071207C" w:rsidRDefault="008877B4" w:rsidP="00173C38">
            <w:pPr>
              <w:jc w:val="center"/>
              <w:rPr>
                <w:color w:val="000000"/>
                <w:sz w:val="22"/>
                <w:szCs w:val="22"/>
              </w:rPr>
            </w:pPr>
            <w:r w:rsidRPr="0071207C">
              <w:rPr>
                <w:color w:val="000000"/>
                <w:sz w:val="22"/>
                <w:szCs w:val="22"/>
              </w:rPr>
              <w:t>1.46 ± 0.14</w:t>
            </w:r>
          </w:p>
        </w:tc>
        <w:tc>
          <w:tcPr>
            <w:tcW w:w="837" w:type="dxa"/>
            <w:tcBorders>
              <w:top w:val="nil"/>
              <w:left w:val="nil"/>
              <w:bottom w:val="single" w:sz="4" w:space="0" w:color="auto"/>
              <w:right w:val="nil"/>
            </w:tcBorders>
            <w:noWrap/>
            <w:vAlign w:val="center"/>
            <w:hideMark/>
          </w:tcPr>
          <w:p w14:paraId="3035DCA0" w14:textId="77777777" w:rsidR="008877B4" w:rsidRPr="0071207C" w:rsidRDefault="008877B4" w:rsidP="00173C38">
            <w:pPr>
              <w:jc w:val="center"/>
              <w:rPr>
                <w:color w:val="000000"/>
                <w:sz w:val="22"/>
                <w:szCs w:val="22"/>
              </w:rPr>
            </w:pPr>
            <w:r w:rsidRPr="0071207C">
              <w:rPr>
                <w:color w:val="000000"/>
                <w:sz w:val="22"/>
                <w:szCs w:val="22"/>
              </w:rPr>
              <w:t>3.76 ± 0.41</w:t>
            </w:r>
          </w:p>
        </w:tc>
      </w:tr>
    </w:tbl>
    <w:p w14:paraId="2EABCEA6" w14:textId="77777777" w:rsidR="008877B4" w:rsidRDefault="008877B4" w:rsidP="008877B4">
      <w:pPr>
        <w:pStyle w:val="Caption"/>
        <w:spacing w:after="0" w:line="480" w:lineRule="auto"/>
        <w:jc w:val="center"/>
        <w:rPr>
          <w:b w:val="0"/>
          <w:bCs w:val="0"/>
          <w:i/>
          <w:iCs/>
        </w:rPr>
      </w:pPr>
    </w:p>
    <w:p w14:paraId="10237B9E" w14:textId="77777777" w:rsidR="008877B4" w:rsidRDefault="008877B4" w:rsidP="008877B4">
      <w:pPr>
        <w:rPr>
          <w:b/>
          <w:bCs/>
        </w:rPr>
      </w:pPr>
      <w:r>
        <w:rPr>
          <w:b/>
          <w:bCs/>
          <w:i/>
          <w:iCs/>
        </w:rPr>
        <w:br w:type="page"/>
      </w:r>
    </w:p>
    <w:p w14:paraId="3C4A108D" w14:textId="56823687" w:rsidR="00022C8C" w:rsidRPr="00022C8C" w:rsidRDefault="00022C8C" w:rsidP="003F461D">
      <w:pPr>
        <w:pStyle w:val="Caption"/>
        <w:spacing w:line="480" w:lineRule="auto"/>
        <w:jc w:val="center"/>
        <w:rPr>
          <w:b w:val="0"/>
        </w:rPr>
      </w:pPr>
      <w:bookmarkStart w:id="71" w:name="_Toc77082177"/>
      <w:bookmarkEnd w:id="69"/>
      <w:r>
        <w:lastRenderedPageBreak/>
        <w:t xml:space="preserve">Supplementary Table </w:t>
      </w:r>
      <w:fldSimple w:instr=" STYLEREF 1 \s ">
        <w:r w:rsidR="0023061D">
          <w:rPr>
            <w:noProof/>
          </w:rPr>
          <w:t>2</w:t>
        </w:r>
      </w:fldSimple>
      <w:r w:rsidR="000A4297">
        <w:t>.</w:t>
      </w:r>
      <w:fldSimple w:instr=" SEQ Supplementary_Table_ \* ARABIC \s 1 ">
        <w:r w:rsidR="0023061D">
          <w:rPr>
            <w:noProof/>
          </w:rPr>
          <w:t>2</w:t>
        </w:r>
      </w:fldSimple>
      <w:r>
        <w:t xml:space="preserve"> </w:t>
      </w:r>
      <w:r w:rsidRPr="00022C8C">
        <w:rPr>
          <w:b w:val="0"/>
        </w:rPr>
        <w:t>Reference standards for HPLC size exclusion chromatography</w:t>
      </w:r>
      <w:bookmarkEnd w:id="71"/>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5"/>
        <w:gridCol w:w="2039"/>
        <w:gridCol w:w="2015"/>
      </w:tblGrid>
      <w:tr w:rsidR="008877B4" w:rsidRPr="006935ED" w14:paraId="4CD6055B" w14:textId="77777777" w:rsidTr="00173C38">
        <w:trPr>
          <w:trHeight w:val="20"/>
          <w:jc w:val="center"/>
        </w:trPr>
        <w:tc>
          <w:tcPr>
            <w:tcW w:w="2345" w:type="dxa"/>
            <w:tcBorders>
              <w:top w:val="single" w:sz="4" w:space="0" w:color="auto"/>
              <w:bottom w:val="single" w:sz="4" w:space="0" w:color="auto"/>
            </w:tcBorders>
          </w:tcPr>
          <w:p w14:paraId="0069B4E3" w14:textId="77777777" w:rsidR="008877B4" w:rsidRPr="006935ED" w:rsidRDefault="008877B4" w:rsidP="00173C38">
            <w:pPr>
              <w:pStyle w:val="ListParagraph"/>
              <w:spacing w:after="0" w:line="240" w:lineRule="auto"/>
              <w:ind w:left="0"/>
              <w:jc w:val="center"/>
              <w:rPr>
                <w:rFonts w:ascii="Arial" w:hAnsi="Arial" w:cs="Arial"/>
                <w:b/>
                <w:sz w:val="24"/>
                <w:szCs w:val="24"/>
              </w:rPr>
            </w:pPr>
            <w:r w:rsidRPr="006935ED">
              <w:rPr>
                <w:rFonts w:ascii="Arial" w:hAnsi="Arial" w:cs="Arial"/>
                <w:b/>
                <w:sz w:val="24"/>
                <w:szCs w:val="24"/>
              </w:rPr>
              <w:t>Standard</w:t>
            </w:r>
          </w:p>
        </w:tc>
        <w:tc>
          <w:tcPr>
            <w:tcW w:w="2039" w:type="dxa"/>
            <w:tcBorders>
              <w:top w:val="single" w:sz="4" w:space="0" w:color="auto"/>
              <w:bottom w:val="single" w:sz="4" w:space="0" w:color="auto"/>
            </w:tcBorders>
          </w:tcPr>
          <w:p w14:paraId="724D1CC3" w14:textId="77777777" w:rsidR="008877B4" w:rsidRPr="006935ED" w:rsidRDefault="008877B4" w:rsidP="00173C38">
            <w:pPr>
              <w:pStyle w:val="ListParagraph"/>
              <w:spacing w:after="0" w:line="240" w:lineRule="auto"/>
              <w:ind w:left="0"/>
              <w:jc w:val="center"/>
              <w:rPr>
                <w:rFonts w:ascii="Arial" w:hAnsi="Arial" w:cs="Arial"/>
                <w:b/>
                <w:sz w:val="24"/>
                <w:szCs w:val="24"/>
              </w:rPr>
            </w:pPr>
            <w:r w:rsidRPr="006935ED">
              <w:rPr>
                <w:rFonts w:ascii="Arial" w:hAnsi="Arial" w:cs="Arial"/>
                <w:b/>
                <w:sz w:val="24"/>
                <w:szCs w:val="24"/>
              </w:rPr>
              <w:t>MW (Da)</w:t>
            </w:r>
          </w:p>
        </w:tc>
        <w:tc>
          <w:tcPr>
            <w:tcW w:w="2015" w:type="dxa"/>
            <w:tcBorders>
              <w:top w:val="single" w:sz="4" w:space="0" w:color="auto"/>
              <w:bottom w:val="single" w:sz="4" w:space="0" w:color="auto"/>
            </w:tcBorders>
          </w:tcPr>
          <w:p w14:paraId="13555CCE" w14:textId="77777777" w:rsidR="008877B4" w:rsidRPr="006935ED" w:rsidRDefault="008877B4" w:rsidP="00173C38">
            <w:pPr>
              <w:pStyle w:val="ListParagraph"/>
              <w:spacing w:after="0" w:line="240" w:lineRule="auto"/>
              <w:ind w:left="0"/>
              <w:jc w:val="center"/>
              <w:rPr>
                <w:rFonts w:ascii="Arial" w:hAnsi="Arial" w:cs="Arial"/>
                <w:b/>
                <w:sz w:val="24"/>
                <w:szCs w:val="24"/>
              </w:rPr>
            </w:pPr>
            <w:r w:rsidRPr="006935ED">
              <w:rPr>
                <w:rFonts w:ascii="Arial" w:hAnsi="Arial" w:cs="Arial"/>
                <w:b/>
                <w:sz w:val="24"/>
                <w:szCs w:val="24"/>
              </w:rPr>
              <w:t>RT (min)</w:t>
            </w:r>
          </w:p>
        </w:tc>
      </w:tr>
      <w:tr w:rsidR="008877B4" w:rsidRPr="006935ED" w14:paraId="556A32D8" w14:textId="77777777" w:rsidTr="00173C38">
        <w:trPr>
          <w:trHeight w:val="20"/>
          <w:jc w:val="center"/>
        </w:trPr>
        <w:tc>
          <w:tcPr>
            <w:tcW w:w="2345" w:type="dxa"/>
            <w:tcBorders>
              <w:top w:val="single" w:sz="4" w:space="0" w:color="auto"/>
            </w:tcBorders>
          </w:tcPr>
          <w:p w14:paraId="49984894" w14:textId="77777777" w:rsidR="008877B4" w:rsidRPr="006935ED" w:rsidRDefault="008877B4" w:rsidP="00173C38">
            <w:pPr>
              <w:pStyle w:val="ListParagraph"/>
              <w:spacing w:after="0" w:line="240" w:lineRule="auto"/>
              <w:ind w:left="0"/>
              <w:jc w:val="center"/>
              <w:rPr>
                <w:rFonts w:ascii="Arial" w:hAnsi="Arial" w:cs="Arial"/>
                <w:sz w:val="24"/>
                <w:szCs w:val="24"/>
              </w:rPr>
            </w:pPr>
            <w:r w:rsidRPr="006935ED">
              <w:rPr>
                <w:rFonts w:ascii="Arial" w:hAnsi="Arial" w:cs="Arial"/>
                <w:sz w:val="24"/>
                <w:szCs w:val="24"/>
              </w:rPr>
              <w:t>Albumin</w:t>
            </w:r>
          </w:p>
        </w:tc>
        <w:tc>
          <w:tcPr>
            <w:tcW w:w="2039" w:type="dxa"/>
            <w:tcBorders>
              <w:top w:val="single" w:sz="4" w:space="0" w:color="auto"/>
            </w:tcBorders>
          </w:tcPr>
          <w:p w14:paraId="72252B68" w14:textId="77777777" w:rsidR="008877B4" w:rsidRPr="006935ED" w:rsidRDefault="008877B4" w:rsidP="00173C38">
            <w:pPr>
              <w:pStyle w:val="ListParagraph"/>
              <w:spacing w:after="0" w:line="240" w:lineRule="auto"/>
              <w:ind w:left="0"/>
              <w:jc w:val="center"/>
              <w:rPr>
                <w:rFonts w:ascii="Arial" w:hAnsi="Arial" w:cs="Arial"/>
                <w:sz w:val="24"/>
                <w:szCs w:val="24"/>
              </w:rPr>
            </w:pPr>
            <w:r w:rsidRPr="006935ED">
              <w:rPr>
                <w:rFonts w:ascii="Arial" w:hAnsi="Arial" w:cs="Arial"/>
                <w:sz w:val="24"/>
                <w:szCs w:val="24"/>
              </w:rPr>
              <w:t>66000</w:t>
            </w:r>
          </w:p>
        </w:tc>
        <w:tc>
          <w:tcPr>
            <w:tcW w:w="2015" w:type="dxa"/>
            <w:tcBorders>
              <w:top w:val="single" w:sz="4" w:space="0" w:color="auto"/>
            </w:tcBorders>
          </w:tcPr>
          <w:p w14:paraId="16FF263A" w14:textId="77777777" w:rsidR="008877B4" w:rsidRPr="006935ED" w:rsidRDefault="008877B4" w:rsidP="00173C38">
            <w:pPr>
              <w:pStyle w:val="ListParagraph"/>
              <w:spacing w:after="0" w:line="240" w:lineRule="auto"/>
              <w:ind w:left="0"/>
              <w:jc w:val="center"/>
              <w:rPr>
                <w:rFonts w:ascii="Arial" w:hAnsi="Arial" w:cs="Arial"/>
                <w:sz w:val="24"/>
                <w:szCs w:val="24"/>
              </w:rPr>
            </w:pPr>
            <w:r w:rsidRPr="006935ED">
              <w:rPr>
                <w:rFonts w:ascii="Arial" w:hAnsi="Arial" w:cs="Arial"/>
                <w:sz w:val="24"/>
                <w:szCs w:val="24"/>
              </w:rPr>
              <w:t>5.281</w:t>
            </w:r>
          </w:p>
        </w:tc>
      </w:tr>
      <w:tr w:rsidR="008877B4" w:rsidRPr="006935ED" w14:paraId="68614478" w14:textId="77777777" w:rsidTr="00173C38">
        <w:trPr>
          <w:trHeight w:val="20"/>
          <w:jc w:val="center"/>
        </w:trPr>
        <w:tc>
          <w:tcPr>
            <w:tcW w:w="2345" w:type="dxa"/>
          </w:tcPr>
          <w:p w14:paraId="662D7603" w14:textId="77777777" w:rsidR="008877B4" w:rsidRPr="006935ED" w:rsidRDefault="008877B4" w:rsidP="00173C38">
            <w:pPr>
              <w:pStyle w:val="ListParagraph"/>
              <w:spacing w:after="0" w:line="240" w:lineRule="auto"/>
              <w:ind w:left="0"/>
              <w:jc w:val="center"/>
              <w:rPr>
                <w:rFonts w:ascii="Arial" w:hAnsi="Arial" w:cs="Arial"/>
                <w:sz w:val="24"/>
                <w:szCs w:val="24"/>
              </w:rPr>
            </w:pPr>
            <w:r w:rsidRPr="006935ED">
              <w:rPr>
                <w:rFonts w:ascii="Arial" w:hAnsi="Arial" w:cs="Arial"/>
                <w:sz w:val="24"/>
                <w:szCs w:val="24"/>
              </w:rPr>
              <w:t>Aprotinin</w:t>
            </w:r>
          </w:p>
        </w:tc>
        <w:tc>
          <w:tcPr>
            <w:tcW w:w="2039" w:type="dxa"/>
          </w:tcPr>
          <w:p w14:paraId="7915405B" w14:textId="77777777" w:rsidR="008877B4" w:rsidRPr="006935ED" w:rsidRDefault="008877B4" w:rsidP="00173C38">
            <w:pPr>
              <w:pStyle w:val="ListParagraph"/>
              <w:spacing w:after="0" w:line="240" w:lineRule="auto"/>
              <w:ind w:left="0"/>
              <w:jc w:val="center"/>
              <w:rPr>
                <w:rFonts w:ascii="Arial" w:hAnsi="Arial" w:cs="Arial"/>
                <w:sz w:val="24"/>
                <w:szCs w:val="24"/>
              </w:rPr>
            </w:pPr>
            <w:r w:rsidRPr="006935ED">
              <w:rPr>
                <w:rFonts w:ascii="Arial" w:hAnsi="Arial" w:cs="Arial"/>
                <w:sz w:val="24"/>
                <w:szCs w:val="24"/>
              </w:rPr>
              <w:t>6500</w:t>
            </w:r>
          </w:p>
        </w:tc>
        <w:tc>
          <w:tcPr>
            <w:tcW w:w="2015" w:type="dxa"/>
          </w:tcPr>
          <w:p w14:paraId="3F52D925" w14:textId="77777777" w:rsidR="008877B4" w:rsidRPr="006935ED" w:rsidRDefault="008877B4" w:rsidP="00173C38">
            <w:pPr>
              <w:pStyle w:val="ListParagraph"/>
              <w:spacing w:after="0" w:line="240" w:lineRule="auto"/>
              <w:ind w:left="0"/>
              <w:jc w:val="center"/>
              <w:rPr>
                <w:rFonts w:ascii="Arial" w:hAnsi="Arial" w:cs="Arial"/>
                <w:sz w:val="24"/>
                <w:szCs w:val="24"/>
              </w:rPr>
            </w:pPr>
            <w:r w:rsidRPr="006935ED">
              <w:rPr>
                <w:rFonts w:ascii="Arial" w:hAnsi="Arial" w:cs="Arial"/>
                <w:sz w:val="24"/>
                <w:szCs w:val="24"/>
              </w:rPr>
              <w:t>6.564</w:t>
            </w:r>
          </w:p>
        </w:tc>
      </w:tr>
      <w:tr w:rsidR="008877B4" w:rsidRPr="006935ED" w14:paraId="289D2589" w14:textId="77777777" w:rsidTr="00173C38">
        <w:trPr>
          <w:trHeight w:val="20"/>
          <w:jc w:val="center"/>
        </w:trPr>
        <w:tc>
          <w:tcPr>
            <w:tcW w:w="2345" w:type="dxa"/>
          </w:tcPr>
          <w:p w14:paraId="768C9C3D" w14:textId="77777777" w:rsidR="008877B4" w:rsidRPr="006935ED" w:rsidRDefault="008877B4" w:rsidP="00173C38">
            <w:pPr>
              <w:pStyle w:val="ListParagraph"/>
              <w:spacing w:after="0" w:line="240" w:lineRule="auto"/>
              <w:ind w:left="0"/>
              <w:jc w:val="center"/>
              <w:rPr>
                <w:rFonts w:ascii="Arial" w:hAnsi="Arial" w:cs="Arial"/>
                <w:sz w:val="24"/>
                <w:szCs w:val="24"/>
              </w:rPr>
            </w:pPr>
            <w:r w:rsidRPr="006935ED">
              <w:rPr>
                <w:rFonts w:ascii="Arial" w:hAnsi="Arial" w:cs="Arial"/>
                <w:sz w:val="24"/>
                <w:szCs w:val="24"/>
              </w:rPr>
              <w:t>Lunasin</w:t>
            </w:r>
          </w:p>
        </w:tc>
        <w:tc>
          <w:tcPr>
            <w:tcW w:w="2039" w:type="dxa"/>
          </w:tcPr>
          <w:p w14:paraId="0B52B88A" w14:textId="77777777" w:rsidR="008877B4" w:rsidRPr="006935ED" w:rsidRDefault="008877B4" w:rsidP="00173C38">
            <w:pPr>
              <w:pStyle w:val="ListParagraph"/>
              <w:spacing w:after="0" w:line="240" w:lineRule="auto"/>
              <w:ind w:left="0"/>
              <w:jc w:val="center"/>
              <w:rPr>
                <w:rFonts w:ascii="Arial" w:hAnsi="Arial" w:cs="Arial"/>
                <w:sz w:val="24"/>
                <w:szCs w:val="24"/>
              </w:rPr>
            </w:pPr>
            <w:r w:rsidRPr="006935ED">
              <w:rPr>
                <w:rFonts w:ascii="Arial" w:hAnsi="Arial" w:cs="Arial"/>
                <w:sz w:val="24"/>
                <w:szCs w:val="24"/>
              </w:rPr>
              <w:t>5000</w:t>
            </w:r>
          </w:p>
        </w:tc>
        <w:tc>
          <w:tcPr>
            <w:tcW w:w="2015" w:type="dxa"/>
          </w:tcPr>
          <w:p w14:paraId="7F7E3AA7" w14:textId="77777777" w:rsidR="008877B4" w:rsidRPr="006935ED" w:rsidRDefault="008877B4" w:rsidP="00173C38">
            <w:pPr>
              <w:pStyle w:val="ListParagraph"/>
              <w:spacing w:after="0" w:line="240" w:lineRule="auto"/>
              <w:ind w:left="0"/>
              <w:jc w:val="center"/>
              <w:rPr>
                <w:rFonts w:ascii="Arial" w:hAnsi="Arial" w:cs="Arial"/>
                <w:sz w:val="24"/>
                <w:szCs w:val="24"/>
              </w:rPr>
            </w:pPr>
            <w:r w:rsidRPr="006935ED">
              <w:rPr>
                <w:rFonts w:ascii="Arial" w:hAnsi="Arial" w:cs="Arial"/>
                <w:sz w:val="24"/>
                <w:szCs w:val="24"/>
              </w:rPr>
              <w:t>6.683</w:t>
            </w:r>
          </w:p>
        </w:tc>
      </w:tr>
      <w:tr w:rsidR="008877B4" w:rsidRPr="006935ED" w14:paraId="5125831E" w14:textId="77777777" w:rsidTr="00173C38">
        <w:trPr>
          <w:trHeight w:val="20"/>
          <w:jc w:val="center"/>
        </w:trPr>
        <w:tc>
          <w:tcPr>
            <w:tcW w:w="2345" w:type="dxa"/>
          </w:tcPr>
          <w:p w14:paraId="2FB5BED4" w14:textId="77777777" w:rsidR="008877B4" w:rsidRPr="006935ED" w:rsidRDefault="008877B4" w:rsidP="00173C38">
            <w:pPr>
              <w:pStyle w:val="ListParagraph"/>
              <w:spacing w:after="0" w:line="240" w:lineRule="auto"/>
              <w:ind w:left="0"/>
              <w:jc w:val="center"/>
              <w:rPr>
                <w:rFonts w:ascii="Arial" w:hAnsi="Arial" w:cs="Arial"/>
                <w:sz w:val="24"/>
                <w:szCs w:val="24"/>
              </w:rPr>
            </w:pPr>
            <w:r w:rsidRPr="006935ED">
              <w:rPr>
                <w:rFonts w:ascii="Arial" w:hAnsi="Arial" w:cs="Arial"/>
                <w:sz w:val="24"/>
                <w:szCs w:val="24"/>
              </w:rPr>
              <w:t>Glucagon</w:t>
            </w:r>
          </w:p>
        </w:tc>
        <w:tc>
          <w:tcPr>
            <w:tcW w:w="2039" w:type="dxa"/>
          </w:tcPr>
          <w:p w14:paraId="6A669E7C" w14:textId="77777777" w:rsidR="008877B4" w:rsidRPr="006935ED" w:rsidRDefault="008877B4" w:rsidP="00173C38">
            <w:pPr>
              <w:pStyle w:val="ListParagraph"/>
              <w:spacing w:after="0" w:line="240" w:lineRule="auto"/>
              <w:ind w:left="0"/>
              <w:jc w:val="center"/>
              <w:rPr>
                <w:rFonts w:ascii="Arial" w:hAnsi="Arial" w:cs="Arial"/>
                <w:sz w:val="24"/>
                <w:szCs w:val="24"/>
              </w:rPr>
            </w:pPr>
            <w:r w:rsidRPr="006935ED">
              <w:rPr>
                <w:rFonts w:ascii="Arial" w:hAnsi="Arial" w:cs="Arial"/>
                <w:sz w:val="24"/>
                <w:szCs w:val="24"/>
              </w:rPr>
              <w:t>3842</w:t>
            </w:r>
          </w:p>
        </w:tc>
        <w:tc>
          <w:tcPr>
            <w:tcW w:w="2015" w:type="dxa"/>
          </w:tcPr>
          <w:p w14:paraId="7DDAE238" w14:textId="77777777" w:rsidR="008877B4" w:rsidRPr="006935ED" w:rsidRDefault="008877B4" w:rsidP="00173C38">
            <w:pPr>
              <w:pStyle w:val="ListParagraph"/>
              <w:spacing w:after="0" w:line="240" w:lineRule="auto"/>
              <w:ind w:left="0"/>
              <w:jc w:val="center"/>
              <w:rPr>
                <w:rFonts w:ascii="Arial" w:hAnsi="Arial" w:cs="Arial"/>
                <w:sz w:val="24"/>
                <w:szCs w:val="24"/>
              </w:rPr>
            </w:pPr>
            <w:r w:rsidRPr="006935ED">
              <w:rPr>
                <w:rFonts w:ascii="Arial" w:hAnsi="Arial" w:cs="Arial"/>
                <w:sz w:val="24"/>
                <w:szCs w:val="24"/>
              </w:rPr>
              <w:t>7.351</w:t>
            </w:r>
          </w:p>
        </w:tc>
      </w:tr>
      <w:tr w:rsidR="008877B4" w:rsidRPr="006935ED" w14:paraId="41AE4481" w14:textId="77777777" w:rsidTr="00173C38">
        <w:trPr>
          <w:trHeight w:val="20"/>
          <w:jc w:val="center"/>
        </w:trPr>
        <w:tc>
          <w:tcPr>
            <w:tcW w:w="2345" w:type="dxa"/>
          </w:tcPr>
          <w:p w14:paraId="2723EAA5" w14:textId="77777777" w:rsidR="008877B4" w:rsidRPr="006935ED" w:rsidRDefault="008877B4" w:rsidP="00173C38">
            <w:pPr>
              <w:pStyle w:val="ListParagraph"/>
              <w:spacing w:after="0" w:line="240" w:lineRule="auto"/>
              <w:ind w:left="0"/>
              <w:jc w:val="center"/>
              <w:rPr>
                <w:rFonts w:ascii="Arial" w:hAnsi="Arial" w:cs="Arial"/>
                <w:sz w:val="24"/>
                <w:szCs w:val="24"/>
              </w:rPr>
            </w:pPr>
            <w:r w:rsidRPr="006935ED">
              <w:rPr>
                <w:rFonts w:ascii="Arial" w:hAnsi="Arial" w:cs="Arial"/>
                <w:sz w:val="24"/>
                <w:szCs w:val="24"/>
              </w:rPr>
              <w:t>Bradykinin Acetate</w:t>
            </w:r>
          </w:p>
        </w:tc>
        <w:tc>
          <w:tcPr>
            <w:tcW w:w="2039" w:type="dxa"/>
          </w:tcPr>
          <w:p w14:paraId="27ED8021" w14:textId="77777777" w:rsidR="008877B4" w:rsidRPr="006935ED" w:rsidRDefault="008877B4" w:rsidP="00173C38">
            <w:pPr>
              <w:pStyle w:val="ListParagraph"/>
              <w:spacing w:after="0" w:line="240" w:lineRule="auto"/>
              <w:ind w:left="0"/>
              <w:jc w:val="center"/>
              <w:rPr>
                <w:rFonts w:ascii="Arial" w:hAnsi="Arial" w:cs="Arial"/>
                <w:sz w:val="24"/>
                <w:szCs w:val="24"/>
              </w:rPr>
            </w:pPr>
            <w:r w:rsidRPr="006935ED">
              <w:rPr>
                <w:rFonts w:ascii="Arial" w:hAnsi="Arial" w:cs="Arial"/>
                <w:sz w:val="24"/>
                <w:szCs w:val="24"/>
              </w:rPr>
              <w:t>1060</w:t>
            </w:r>
          </w:p>
        </w:tc>
        <w:tc>
          <w:tcPr>
            <w:tcW w:w="2015" w:type="dxa"/>
          </w:tcPr>
          <w:p w14:paraId="5D5930B4" w14:textId="77777777" w:rsidR="008877B4" w:rsidRPr="006935ED" w:rsidRDefault="008877B4" w:rsidP="00173C38">
            <w:pPr>
              <w:pStyle w:val="ListParagraph"/>
              <w:spacing w:after="0" w:line="240" w:lineRule="auto"/>
              <w:ind w:left="0"/>
              <w:jc w:val="center"/>
              <w:rPr>
                <w:rFonts w:ascii="Arial" w:hAnsi="Arial" w:cs="Arial"/>
                <w:sz w:val="24"/>
                <w:szCs w:val="24"/>
              </w:rPr>
            </w:pPr>
            <w:r w:rsidRPr="006935ED">
              <w:rPr>
                <w:rFonts w:ascii="Arial" w:hAnsi="Arial" w:cs="Arial"/>
                <w:sz w:val="24"/>
                <w:szCs w:val="24"/>
              </w:rPr>
              <w:t>7.980</w:t>
            </w:r>
          </w:p>
        </w:tc>
      </w:tr>
      <w:tr w:rsidR="008877B4" w:rsidRPr="006935ED" w14:paraId="5A343C23" w14:textId="77777777" w:rsidTr="00173C38">
        <w:trPr>
          <w:trHeight w:val="20"/>
          <w:jc w:val="center"/>
        </w:trPr>
        <w:tc>
          <w:tcPr>
            <w:tcW w:w="2345" w:type="dxa"/>
          </w:tcPr>
          <w:p w14:paraId="5586DDE8" w14:textId="77777777" w:rsidR="008877B4" w:rsidRPr="006935ED" w:rsidRDefault="008877B4" w:rsidP="00173C38">
            <w:pPr>
              <w:pStyle w:val="ListParagraph"/>
              <w:spacing w:after="0" w:line="240" w:lineRule="auto"/>
              <w:ind w:left="0"/>
              <w:jc w:val="center"/>
              <w:rPr>
                <w:rFonts w:ascii="Arial" w:hAnsi="Arial" w:cs="Arial"/>
                <w:sz w:val="24"/>
                <w:szCs w:val="24"/>
              </w:rPr>
            </w:pPr>
            <w:r w:rsidRPr="006935ED">
              <w:rPr>
                <w:rFonts w:ascii="Arial" w:hAnsi="Arial" w:cs="Arial"/>
                <w:sz w:val="24"/>
                <w:szCs w:val="24"/>
              </w:rPr>
              <w:t>Bradykinin 1-5</w:t>
            </w:r>
          </w:p>
        </w:tc>
        <w:tc>
          <w:tcPr>
            <w:tcW w:w="2039" w:type="dxa"/>
          </w:tcPr>
          <w:p w14:paraId="31FBED57" w14:textId="77777777" w:rsidR="008877B4" w:rsidRPr="006935ED" w:rsidRDefault="008877B4" w:rsidP="00173C38">
            <w:pPr>
              <w:pStyle w:val="ListParagraph"/>
              <w:spacing w:after="0" w:line="240" w:lineRule="auto"/>
              <w:ind w:left="0"/>
              <w:jc w:val="center"/>
              <w:rPr>
                <w:rFonts w:ascii="Arial" w:hAnsi="Arial" w:cs="Arial"/>
                <w:sz w:val="24"/>
                <w:szCs w:val="24"/>
              </w:rPr>
            </w:pPr>
            <w:r w:rsidRPr="006935ED">
              <w:rPr>
                <w:rFonts w:ascii="Arial" w:hAnsi="Arial" w:cs="Arial"/>
                <w:sz w:val="24"/>
                <w:szCs w:val="24"/>
              </w:rPr>
              <w:t>573</w:t>
            </w:r>
          </w:p>
        </w:tc>
        <w:tc>
          <w:tcPr>
            <w:tcW w:w="2015" w:type="dxa"/>
          </w:tcPr>
          <w:p w14:paraId="28CCF734" w14:textId="77777777" w:rsidR="008877B4" w:rsidRPr="006935ED" w:rsidRDefault="008877B4" w:rsidP="00173C38">
            <w:pPr>
              <w:pStyle w:val="ListParagraph"/>
              <w:spacing w:after="0" w:line="240" w:lineRule="auto"/>
              <w:ind w:left="0"/>
              <w:jc w:val="center"/>
              <w:rPr>
                <w:rFonts w:ascii="Arial" w:hAnsi="Arial" w:cs="Arial"/>
                <w:sz w:val="24"/>
                <w:szCs w:val="24"/>
              </w:rPr>
            </w:pPr>
            <w:r w:rsidRPr="006935ED">
              <w:rPr>
                <w:rFonts w:ascii="Arial" w:hAnsi="Arial" w:cs="Arial"/>
                <w:sz w:val="24"/>
                <w:szCs w:val="24"/>
              </w:rPr>
              <w:t>8.627</w:t>
            </w:r>
          </w:p>
        </w:tc>
      </w:tr>
      <w:tr w:rsidR="008877B4" w:rsidRPr="006935ED" w14:paraId="680B1717" w14:textId="77777777" w:rsidTr="00173C38">
        <w:trPr>
          <w:trHeight w:val="20"/>
          <w:jc w:val="center"/>
        </w:trPr>
        <w:tc>
          <w:tcPr>
            <w:tcW w:w="2345" w:type="dxa"/>
          </w:tcPr>
          <w:p w14:paraId="20F3F80A" w14:textId="77777777" w:rsidR="008877B4" w:rsidRPr="006935ED" w:rsidRDefault="008877B4" w:rsidP="00173C38">
            <w:pPr>
              <w:pStyle w:val="ListParagraph"/>
              <w:spacing w:after="0" w:line="240" w:lineRule="auto"/>
              <w:ind w:left="0"/>
              <w:jc w:val="center"/>
              <w:rPr>
                <w:rFonts w:ascii="Arial" w:hAnsi="Arial" w:cs="Arial"/>
                <w:sz w:val="24"/>
                <w:szCs w:val="24"/>
              </w:rPr>
            </w:pPr>
            <w:r w:rsidRPr="006935ED">
              <w:rPr>
                <w:rFonts w:ascii="Arial" w:hAnsi="Arial" w:cs="Arial"/>
                <w:sz w:val="24"/>
                <w:szCs w:val="24"/>
              </w:rPr>
              <w:t>Glutathione</w:t>
            </w:r>
          </w:p>
        </w:tc>
        <w:tc>
          <w:tcPr>
            <w:tcW w:w="2039" w:type="dxa"/>
          </w:tcPr>
          <w:p w14:paraId="4A7F4BA2" w14:textId="77777777" w:rsidR="008877B4" w:rsidRPr="006935ED" w:rsidRDefault="008877B4" w:rsidP="00173C38">
            <w:pPr>
              <w:pStyle w:val="ListParagraph"/>
              <w:spacing w:after="0" w:line="240" w:lineRule="auto"/>
              <w:ind w:left="0"/>
              <w:jc w:val="center"/>
              <w:rPr>
                <w:rFonts w:ascii="Arial" w:hAnsi="Arial" w:cs="Arial"/>
                <w:sz w:val="24"/>
                <w:szCs w:val="24"/>
              </w:rPr>
            </w:pPr>
            <w:r w:rsidRPr="006935ED">
              <w:rPr>
                <w:rFonts w:ascii="Arial" w:hAnsi="Arial" w:cs="Arial"/>
                <w:sz w:val="24"/>
                <w:szCs w:val="24"/>
              </w:rPr>
              <w:t>307</w:t>
            </w:r>
          </w:p>
        </w:tc>
        <w:tc>
          <w:tcPr>
            <w:tcW w:w="2015" w:type="dxa"/>
          </w:tcPr>
          <w:p w14:paraId="108561F1" w14:textId="77777777" w:rsidR="008877B4" w:rsidRPr="006935ED" w:rsidRDefault="008877B4" w:rsidP="00173C38">
            <w:pPr>
              <w:pStyle w:val="ListParagraph"/>
              <w:spacing w:after="0" w:line="240" w:lineRule="auto"/>
              <w:ind w:left="0"/>
              <w:jc w:val="center"/>
              <w:rPr>
                <w:rFonts w:ascii="Arial" w:hAnsi="Arial" w:cs="Arial"/>
                <w:sz w:val="24"/>
                <w:szCs w:val="24"/>
              </w:rPr>
            </w:pPr>
            <w:r w:rsidRPr="006935ED">
              <w:rPr>
                <w:rFonts w:ascii="Arial" w:hAnsi="Arial" w:cs="Arial"/>
                <w:sz w:val="24"/>
                <w:szCs w:val="24"/>
              </w:rPr>
              <w:t>9.645</w:t>
            </w:r>
          </w:p>
        </w:tc>
      </w:tr>
      <w:tr w:rsidR="008877B4" w:rsidRPr="006935ED" w14:paraId="12655F10" w14:textId="77777777" w:rsidTr="00173C38">
        <w:trPr>
          <w:trHeight w:val="20"/>
          <w:jc w:val="center"/>
        </w:trPr>
        <w:tc>
          <w:tcPr>
            <w:tcW w:w="2345" w:type="dxa"/>
            <w:tcBorders>
              <w:bottom w:val="single" w:sz="4" w:space="0" w:color="auto"/>
            </w:tcBorders>
          </w:tcPr>
          <w:p w14:paraId="0C81C492" w14:textId="77777777" w:rsidR="008877B4" w:rsidRPr="006935ED" w:rsidRDefault="008877B4" w:rsidP="00173C38">
            <w:pPr>
              <w:pStyle w:val="ListParagraph"/>
              <w:spacing w:after="0" w:line="240" w:lineRule="auto"/>
              <w:ind w:left="0"/>
              <w:jc w:val="center"/>
              <w:rPr>
                <w:rFonts w:ascii="Arial" w:hAnsi="Arial" w:cs="Arial"/>
                <w:sz w:val="24"/>
                <w:szCs w:val="24"/>
              </w:rPr>
            </w:pPr>
            <w:r w:rsidRPr="006935ED">
              <w:rPr>
                <w:rFonts w:ascii="Arial" w:hAnsi="Arial" w:cs="Arial"/>
                <w:sz w:val="24"/>
                <w:szCs w:val="24"/>
              </w:rPr>
              <w:t>Glycine</w:t>
            </w:r>
          </w:p>
        </w:tc>
        <w:tc>
          <w:tcPr>
            <w:tcW w:w="2039" w:type="dxa"/>
            <w:tcBorders>
              <w:bottom w:val="single" w:sz="4" w:space="0" w:color="auto"/>
            </w:tcBorders>
          </w:tcPr>
          <w:p w14:paraId="695EC823" w14:textId="77777777" w:rsidR="008877B4" w:rsidRPr="006935ED" w:rsidRDefault="008877B4" w:rsidP="00173C38">
            <w:pPr>
              <w:pStyle w:val="ListParagraph"/>
              <w:spacing w:after="0" w:line="240" w:lineRule="auto"/>
              <w:ind w:left="0"/>
              <w:jc w:val="center"/>
              <w:rPr>
                <w:rFonts w:ascii="Arial" w:hAnsi="Arial" w:cs="Arial"/>
                <w:sz w:val="24"/>
                <w:szCs w:val="24"/>
              </w:rPr>
            </w:pPr>
            <w:r w:rsidRPr="006935ED">
              <w:rPr>
                <w:rFonts w:ascii="Arial" w:hAnsi="Arial" w:cs="Arial"/>
                <w:sz w:val="24"/>
                <w:szCs w:val="24"/>
              </w:rPr>
              <w:t>75</w:t>
            </w:r>
          </w:p>
        </w:tc>
        <w:tc>
          <w:tcPr>
            <w:tcW w:w="2015" w:type="dxa"/>
            <w:tcBorders>
              <w:bottom w:val="single" w:sz="4" w:space="0" w:color="auto"/>
            </w:tcBorders>
          </w:tcPr>
          <w:p w14:paraId="7430E245" w14:textId="77777777" w:rsidR="008877B4" w:rsidRPr="006935ED" w:rsidRDefault="008877B4" w:rsidP="00173C38">
            <w:pPr>
              <w:pStyle w:val="ListParagraph"/>
              <w:spacing w:after="0" w:line="240" w:lineRule="auto"/>
              <w:ind w:left="0"/>
              <w:jc w:val="center"/>
              <w:rPr>
                <w:rFonts w:ascii="Arial" w:hAnsi="Arial" w:cs="Arial"/>
                <w:sz w:val="24"/>
                <w:szCs w:val="24"/>
              </w:rPr>
            </w:pPr>
            <w:r w:rsidRPr="006935ED">
              <w:rPr>
                <w:rFonts w:ascii="Arial" w:hAnsi="Arial" w:cs="Arial"/>
                <w:sz w:val="24"/>
                <w:szCs w:val="24"/>
              </w:rPr>
              <w:t>9.802</w:t>
            </w:r>
          </w:p>
        </w:tc>
      </w:tr>
    </w:tbl>
    <w:p w14:paraId="55FCB52A" w14:textId="77777777" w:rsidR="008877B4" w:rsidRPr="000D378E" w:rsidRDefault="008877B4" w:rsidP="008877B4">
      <w:pPr>
        <w:rPr>
          <w:color w:val="000000" w:themeColor="text1"/>
        </w:rPr>
      </w:pPr>
    </w:p>
    <w:p w14:paraId="5ABEE99E" w14:textId="77777777" w:rsidR="008877B4" w:rsidRDefault="008877B4" w:rsidP="008877B4">
      <w:pPr>
        <w:rPr>
          <w:b/>
          <w:bCs/>
          <w:i/>
          <w:iCs/>
        </w:rPr>
      </w:pPr>
      <w:r>
        <w:rPr>
          <w:b/>
          <w:bCs/>
          <w:i/>
          <w:iCs/>
        </w:rPr>
        <w:br w:type="page"/>
      </w:r>
    </w:p>
    <w:p w14:paraId="691538AC" w14:textId="77777777" w:rsidR="008877B4" w:rsidRPr="00573D15" w:rsidRDefault="008877B4" w:rsidP="008877B4">
      <w:pPr>
        <w:jc w:val="center"/>
        <w:rPr>
          <w:i/>
          <w:iCs/>
        </w:rPr>
      </w:pPr>
      <w:r w:rsidRPr="00573D15">
        <w:rPr>
          <w:i/>
          <w:iCs/>
        </w:rPr>
        <w:lastRenderedPageBreak/>
        <w:t>Characterization of ethanolic precipitate form tofu whey</w:t>
      </w:r>
    </w:p>
    <w:p w14:paraId="6E2C1C5D" w14:textId="77777777" w:rsidR="008877B4" w:rsidRDefault="008877B4" w:rsidP="008877B4">
      <w:pPr>
        <w:keepNext/>
      </w:pPr>
    </w:p>
    <w:p w14:paraId="2D48FB9F" w14:textId="77777777" w:rsidR="008877B4" w:rsidRDefault="008877B4" w:rsidP="003F461D">
      <w:pPr>
        <w:keepNext/>
        <w:spacing w:line="480" w:lineRule="auto"/>
        <w:ind w:firstLine="720"/>
      </w:pPr>
      <w:r w:rsidRPr="00DC6822">
        <w:t xml:space="preserve">As part of the enrichment process, tofu whey is treated with 30% ethanol to induce the precipitation of high molecular weight proteins. The </w:t>
      </w:r>
      <w:r>
        <w:t xml:space="preserve">ethanol </w:t>
      </w:r>
      <w:r w:rsidRPr="00DC6822">
        <w:t>precipitate</w:t>
      </w:r>
      <w:r>
        <w:t xml:space="preserve"> (EtOH-PPT) obtained during this step was characterized in contrast to</w:t>
      </w:r>
      <w:r w:rsidRPr="00CC5C8E">
        <w:t xml:space="preserve"> commercially available lunasin dietary supplements L</w:t>
      </w:r>
      <w:r>
        <w:t>una</w:t>
      </w:r>
      <w:r w:rsidRPr="00CC5C8E">
        <w:t>R</w:t>
      </w:r>
      <w:r>
        <w:t xml:space="preserve">ich </w:t>
      </w:r>
      <w:r w:rsidRPr="00CC5C8E">
        <w:t>N</w:t>
      </w:r>
      <w:r>
        <w:t>ow (LNR),</w:t>
      </w:r>
      <w:r w:rsidRPr="00CC5C8E">
        <w:t xml:space="preserve"> L</w:t>
      </w:r>
      <w:r>
        <w:t>una</w:t>
      </w:r>
      <w:r w:rsidRPr="00CC5C8E">
        <w:t>R</w:t>
      </w:r>
      <w:r>
        <w:t xml:space="preserve">ich </w:t>
      </w:r>
      <w:r w:rsidRPr="00CC5C8E">
        <w:t>X</w:t>
      </w:r>
      <w:r>
        <w:t xml:space="preserve"> (LRX)</w:t>
      </w:r>
      <w:r w:rsidRPr="00CC5C8E">
        <w:t xml:space="preserve">, </w:t>
      </w:r>
      <w:r>
        <w:t>obtained</w:t>
      </w:r>
      <w:r w:rsidRPr="00CC5C8E">
        <w:t xml:space="preserve"> from Reliv International, Inc. (Chesterfield, MO), and to defatted soy flour (DSF)</w:t>
      </w:r>
      <w:r>
        <w:t xml:space="preserve"> </w:t>
      </w:r>
      <w:r w:rsidRPr="00CC5C8E">
        <w:t>from MP Biomedicals (Ohio, USA).</w:t>
      </w:r>
      <w:r>
        <w:t xml:space="preserve"> Cell viability and release of nitric oxide were used as indicators of potential anti-inflammatory activity of the products. </w:t>
      </w:r>
    </w:p>
    <w:p w14:paraId="705E195C" w14:textId="77777777" w:rsidR="00F30BB1" w:rsidRDefault="00F30BB1">
      <w:pPr>
        <w:rPr>
          <w:b/>
          <w:bCs/>
        </w:rPr>
      </w:pPr>
      <w:r>
        <w:br w:type="page"/>
      </w:r>
    </w:p>
    <w:p w14:paraId="19D87EA0" w14:textId="2C666C86" w:rsidR="000952EC" w:rsidRPr="000952EC" w:rsidRDefault="000952EC" w:rsidP="003F461D">
      <w:pPr>
        <w:pStyle w:val="Caption"/>
        <w:spacing w:line="480" w:lineRule="auto"/>
        <w:jc w:val="center"/>
        <w:rPr>
          <w:b w:val="0"/>
        </w:rPr>
      </w:pPr>
      <w:bookmarkStart w:id="72" w:name="_Toc77082178"/>
      <w:r>
        <w:lastRenderedPageBreak/>
        <w:t xml:space="preserve">Supplementary Table </w:t>
      </w:r>
      <w:fldSimple w:instr=" STYLEREF 1 \s ">
        <w:r w:rsidR="0023061D">
          <w:rPr>
            <w:noProof/>
          </w:rPr>
          <w:t>2</w:t>
        </w:r>
      </w:fldSimple>
      <w:r w:rsidR="000A4297">
        <w:t>.</w:t>
      </w:r>
      <w:fldSimple w:instr=" SEQ Supplementary_Table_ \* ARABIC \s 1 ">
        <w:r w:rsidR="0023061D">
          <w:rPr>
            <w:noProof/>
          </w:rPr>
          <w:t>3</w:t>
        </w:r>
      </w:fldSimple>
      <w:r>
        <w:t xml:space="preserve"> </w:t>
      </w:r>
      <w:r w:rsidRPr="000952EC">
        <w:rPr>
          <w:b w:val="0"/>
        </w:rPr>
        <w:t>Characterization of ethanolic precipitate form tofu whey and commercially available lunasin containing products.</w:t>
      </w:r>
      <w:bookmarkEnd w:id="72"/>
    </w:p>
    <w:tbl>
      <w:tblPr>
        <w:tblW w:w="8080" w:type="dxa"/>
        <w:jc w:val="center"/>
        <w:tblCellMar>
          <w:left w:w="70" w:type="dxa"/>
          <w:right w:w="70" w:type="dxa"/>
        </w:tblCellMar>
        <w:tblLook w:val="04A0" w:firstRow="1" w:lastRow="0" w:firstColumn="1" w:lastColumn="0" w:noHBand="0" w:noVBand="1"/>
      </w:tblPr>
      <w:tblGrid>
        <w:gridCol w:w="3120"/>
        <w:gridCol w:w="1133"/>
        <w:gridCol w:w="1276"/>
        <w:gridCol w:w="1134"/>
        <w:gridCol w:w="1417"/>
      </w:tblGrid>
      <w:tr w:rsidR="008877B4" w:rsidRPr="00CC34E3" w14:paraId="24E3BACD" w14:textId="77777777" w:rsidTr="00173C38">
        <w:trPr>
          <w:trHeight w:val="315"/>
          <w:jc w:val="center"/>
        </w:trPr>
        <w:tc>
          <w:tcPr>
            <w:tcW w:w="3120" w:type="dxa"/>
            <w:tcBorders>
              <w:top w:val="single" w:sz="8" w:space="0" w:color="auto"/>
              <w:left w:val="nil"/>
              <w:bottom w:val="single" w:sz="8" w:space="0" w:color="auto"/>
              <w:right w:val="nil"/>
            </w:tcBorders>
            <w:shd w:val="clear" w:color="auto" w:fill="auto"/>
            <w:noWrap/>
            <w:vAlign w:val="center"/>
            <w:hideMark/>
          </w:tcPr>
          <w:p w14:paraId="217E81D7" w14:textId="77777777" w:rsidR="008877B4" w:rsidRPr="00CC34E3" w:rsidRDefault="008877B4" w:rsidP="00173C38">
            <w:pPr>
              <w:jc w:val="center"/>
              <w:rPr>
                <w:b/>
                <w:bCs/>
                <w:color w:val="000000"/>
                <w:lang w:eastAsia="es-CO"/>
              </w:rPr>
            </w:pPr>
            <w:r w:rsidRPr="00CC34E3">
              <w:rPr>
                <w:b/>
                <w:bCs/>
                <w:color w:val="000000"/>
                <w:lang w:eastAsia="es-CO"/>
              </w:rPr>
              <w:t>Parameter</w:t>
            </w:r>
          </w:p>
        </w:tc>
        <w:tc>
          <w:tcPr>
            <w:tcW w:w="1133" w:type="dxa"/>
            <w:tcBorders>
              <w:top w:val="single" w:sz="8" w:space="0" w:color="auto"/>
              <w:left w:val="nil"/>
              <w:bottom w:val="single" w:sz="8" w:space="0" w:color="auto"/>
              <w:right w:val="nil"/>
            </w:tcBorders>
            <w:shd w:val="clear" w:color="auto" w:fill="auto"/>
            <w:noWrap/>
            <w:vAlign w:val="center"/>
            <w:hideMark/>
          </w:tcPr>
          <w:p w14:paraId="0D47D40C" w14:textId="77777777" w:rsidR="008877B4" w:rsidRPr="00CC34E3" w:rsidRDefault="008877B4" w:rsidP="00173C38">
            <w:pPr>
              <w:jc w:val="center"/>
              <w:rPr>
                <w:b/>
                <w:bCs/>
                <w:color w:val="000000"/>
                <w:lang w:eastAsia="es-CO"/>
              </w:rPr>
            </w:pPr>
            <w:r w:rsidRPr="00CC34E3">
              <w:rPr>
                <w:b/>
                <w:bCs/>
                <w:color w:val="000000"/>
                <w:lang w:eastAsia="es-CO"/>
              </w:rPr>
              <w:t>DSF</w:t>
            </w:r>
          </w:p>
        </w:tc>
        <w:tc>
          <w:tcPr>
            <w:tcW w:w="1276" w:type="dxa"/>
            <w:tcBorders>
              <w:top w:val="single" w:sz="8" w:space="0" w:color="auto"/>
              <w:left w:val="nil"/>
              <w:bottom w:val="single" w:sz="8" w:space="0" w:color="auto"/>
              <w:right w:val="nil"/>
            </w:tcBorders>
            <w:shd w:val="clear" w:color="auto" w:fill="auto"/>
            <w:noWrap/>
            <w:vAlign w:val="center"/>
            <w:hideMark/>
          </w:tcPr>
          <w:p w14:paraId="179E9A04" w14:textId="77777777" w:rsidR="008877B4" w:rsidRPr="00CC34E3" w:rsidRDefault="008877B4" w:rsidP="00173C38">
            <w:pPr>
              <w:jc w:val="center"/>
              <w:rPr>
                <w:b/>
                <w:bCs/>
                <w:color w:val="000000"/>
                <w:lang w:eastAsia="es-CO"/>
              </w:rPr>
            </w:pPr>
            <w:r w:rsidRPr="00CC34E3">
              <w:rPr>
                <w:b/>
                <w:bCs/>
                <w:color w:val="000000"/>
                <w:lang w:eastAsia="es-CO"/>
              </w:rPr>
              <w:t>LRX</w:t>
            </w:r>
          </w:p>
        </w:tc>
        <w:tc>
          <w:tcPr>
            <w:tcW w:w="1134" w:type="dxa"/>
            <w:tcBorders>
              <w:top w:val="single" w:sz="8" w:space="0" w:color="auto"/>
              <w:left w:val="nil"/>
              <w:bottom w:val="single" w:sz="8" w:space="0" w:color="auto"/>
              <w:right w:val="nil"/>
            </w:tcBorders>
            <w:shd w:val="clear" w:color="auto" w:fill="auto"/>
            <w:noWrap/>
            <w:vAlign w:val="center"/>
            <w:hideMark/>
          </w:tcPr>
          <w:p w14:paraId="3A875422" w14:textId="77777777" w:rsidR="008877B4" w:rsidRPr="00CC34E3" w:rsidRDefault="008877B4" w:rsidP="00173C38">
            <w:pPr>
              <w:jc w:val="center"/>
              <w:rPr>
                <w:b/>
                <w:bCs/>
                <w:color w:val="000000"/>
                <w:lang w:eastAsia="es-CO"/>
              </w:rPr>
            </w:pPr>
            <w:r w:rsidRPr="00CC34E3">
              <w:rPr>
                <w:b/>
                <w:bCs/>
                <w:color w:val="000000"/>
                <w:lang w:eastAsia="es-CO"/>
              </w:rPr>
              <w:t>LRN</w:t>
            </w:r>
          </w:p>
        </w:tc>
        <w:tc>
          <w:tcPr>
            <w:tcW w:w="1417" w:type="dxa"/>
            <w:tcBorders>
              <w:top w:val="single" w:sz="4" w:space="0" w:color="auto"/>
              <w:left w:val="nil"/>
              <w:bottom w:val="single" w:sz="8" w:space="0" w:color="auto"/>
              <w:right w:val="nil"/>
            </w:tcBorders>
            <w:shd w:val="clear" w:color="auto" w:fill="auto"/>
            <w:noWrap/>
            <w:vAlign w:val="center"/>
            <w:hideMark/>
          </w:tcPr>
          <w:p w14:paraId="74B37D88" w14:textId="77777777" w:rsidR="008877B4" w:rsidRPr="00CC34E3" w:rsidRDefault="008877B4" w:rsidP="00173C38">
            <w:pPr>
              <w:jc w:val="center"/>
              <w:rPr>
                <w:b/>
                <w:bCs/>
                <w:color w:val="000000"/>
                <w:lang w:eastAsia="es-CO"/>
              </w:rPr>
            </w:pPr>
            <w:r w:rsidRPr="00CC34E3">
              <w:rPr>
                <w:b/>
                <w:bCs/>
                <w:color w:val="000000"/>
                <w:lang w:eastAsia="es-CO"/>
              </w:rPr>
              <w:t>EtOH-PPT</w:t>
            </w:r>
          </w:p>
        </w:tc>
      </w:tr>
      <w:tr w:rsidR="008877B4" w:rsidRPr="00CC34E3" w14:paraId="7BA230E3" w14:textId="77777777" w:rsidTr="00173C38">
        <w:trPr>
          <w:trHeight w:val="300"/>
          <w:jc w:val="center"/>
        </w:trPr>
        <w:tc>
          <w:tcPr>
            <w:tcW w:w="3120" w:type="dxa"/>
            <w:tcBorders>
              <w:top w:val="nil"/>
              <w:left w:val="nil"/>
              <w:bottom w:val="nil"/>
              <w:right w:val="nil"/>
            </w:tcBorders>
            <w:shd w:val="clear" w:color="auto" w:fill="auto"/>
            <w:noWrap/>
            <w:vAlign w:val="center"/>
            <w:hideMark/>
          </w:tcPr>
          <w:p w14:paraId="4F820FA1" w14:textId="77777777" w:rsidR="008877B4" w:rsidRPr="00CC34E3" w:rsidRDefault="008877B4" w:rsidP="00173C38">
            <w:pPr>
              <w:jc w:val="center"/>
              <w:rPr>
                <w:color w:val="000000"/>
                <w:lang w:eastAsia="es-CO"/>
              </w:rPr>
            </w:pPr>
            <w:r w:rsidRPr="00CC34E3">
              <w:rPr>
                <w:color w:val="000000"/>
                <w:lang w:eastAsia="es-CO"/>
              </w:rPr>
              <w:t>µg protein/mg sample</w:t>
            </w:r>
          </w:p>
        </w:tc>
        <w:tc>
          <w:tcPr>
            <w:tcW w:w="1133" w:type="dxa"/>
            <w:tcBorders>
              <w:top w:val="nil"/>
              <w:left w:val="nil"/>
              <w:bottom w:val="nil"/>
              <w:right w:val="nil"/>
            </w:tcBorders>
            <w:shd w:val="clear" w:color="auto" w:fill="auto"/>
            <w:noWrap/>
            <w:vAlign w:val="center"/>
            <w:hideMark/>
          </w:tcPr>
          <w:p w14:paraId="4B9E866E" w14:textId="77777777" w:rsidR="008877B4" w:rsidRPr="00CC34E3" w:rsidRDefault="008877B4" w:rsidP="00173C38">
            <w:pPr>
              <w:jc w:val="center"/>
              <w:rPr>
                <w:color w:val="000000"/>
                <w:lang w:eastAsia="es-CO"/>
              </w:rPr>
            </w:pPr>
            <w:r w:rsidRPr="00CC34E3">
              <w:rPr>
                <w:color w:val="000000"/>
                <w:lang w:eastAsia="es-CO"/>
              </w:rPr>
              <w:t>36 ± 1</w:t>
            </w:r>
          </w:p>
        </w:tc>
        <w:tc>
          <w:tcPr>
            <w:tcW w:w="1276" w:type="dxa"/>
            <w:tcBorders>
              <w:top w:val="nil"/>
              <w:left w:val="nil"/>
              <w:bottom w:val="nil"/>
              <w:right w:val="nil"/>
            </w:tcBorders>
            <w:shd w:val="clear" w:color="auto" w:fill="auto"/>
            <w:noWrap/>
            <w:vAlign w:val="center"/>
            <w:hideMark/>
          </w:tcPr>
          <w:p w14:paraId="1B97F5DE" w14:textId="77777777" w:rsidR="008877B4" w:rsidRPr="00CC34E3" w:rsidRDefault="008877B4" w:rsidP="00173C38">
            <w:pPr>
              <w:jc w:val="center"/>
              <w:rPr>
                <w:color w:val="000000"/>
                <w:lang w:eastAsia="es-CO"/>
              </w:rPr>
            </w:pPr>
            <w:r w:rsidRPr="00CC34E3">
              <w:rPr>
                <w:color w:val="000000"/>
                <w:lang w:eastAsia="es-CO"/>
              </w:rPr>
              <w:t>98 ± 3</w:t>
            </w:r>
          </w:p>
        </w:tc>
        <w:tc>
          <w:tcPr>
            <w:tcW w:w="1134" w:type="dxa"/>
            <w:tcBorders>
              <w:top w:val="nil"/>
              <w:left w:val="nil"/>
              <w:bottom w:val="nil"/>
              <w:right w:val="nil"/>
            </w:tcBorders>
            <w:shd w:val="clear" w:color="auto" w:fill="auto"/>
            <w:noWrap/>
            <w:vAlign w:val="center"/>
            <w:hideMark/>
          </w:tcPr>
          <w:p w14:paraId="2FBFF933" w14:textId="77777777" w:rsidR="008877B4" w:rsidRPr="00CC34E3" w:rsidRDefault="008877B4" w:rsidP="00173C38">
            <w:pPr>
              <w:jc w:val="center"/>
              <w:rPr>
                <w:color w:val="000000"/>
                <w:lang w:eastAsia="es-CO"/>
              </w:rPr>
            </w:pPr>
            <w:r w:rsidRPr="00CC34E3">
              <w:rPr>
                <w:color w:val="000000"/>
                <w:lang w:eastAsia="es-CO"/>
              </w:rPr>
              <w:t>41 ± 3</w:t>
            </w:r>
          </w:p>
        </w:tc>
        <w:tc>
          <w:tcPr>
            <w:tcW w:w="1417" w:type="dxa"/>
            <w:tcBorders>
              <w:top w:val="nil"/>
              <w:left w:val="nil"/>
              <w:bottom w:val="nil"/>
              <w:right w:val="nil"/>
            </w:tcBorders>
            <w:shd w:val="clear" w:color="auto" w:fill="auto"/>
            <w:noWrap/>
            <w:vAlign w:val="center"/>
            <w:hideMark/>
          </w:tcPr>
          <w:p w14:paraId="72C7F22A" w14:textId="77777777" w:rsidR="008877B4" w:rsidRPr="00CC34E3" w:rsidRDefault="008877B4" w:rsidP="00173C38">
            <w:pPr>
              <w:jc w:val="center"/>
              <w:rPr>
                <w:color w:val="000000"/>
                <w:lang w:eastAsia="es-CO"/>
              </w:rPr>
            </w:pPr>
            <w:r w:rsidRPr="00CC34E3">
              <w:rPr>
                <w:color w:val="000000"/>
                <w:lang w:eastAsia="es-CO"/>
              </w:rPr>
              <w:t>279 ± 33</w:t>
            </w:r>
          </w:p>
        </w:tc>
      </w:tr>
      <w:tr w:rsidR="008877B4" w:rsidRPr="00CC34E3" w14:paraId="1BE3B488" w14:textId="77777777" w:rsidTr="00173C38">
        <w:trPr>
          <w:trHeight w:val="300"/>
          <w:jc w:val="center"/>
        </w:trPr>
        <w:tc>
          <w:tcPr>
            <w:tcW w:w="3120" w:type="dxa"/>
            <w:tcBorders>
              <w:top w:val="nil"/>
              <w:left w:val="nil"/>
              <w:bottom w:val="nil"/>
              <w:right w:val="nil"/>
            </w:tcBorders>
            <w:shd w:val="clear" w:color="auto" w:fill="auto"/>
            <w:noWrap/>
            <w:vAlign w:val="center"/>
            <w:hideMark/>
          </w:tcPr>
          <w:p w14:paraId="183A6995" w14:textId="77777777" w:rsidR="008877B4" w:rsidRPr="00CC34E3" w:rsidRDefault="008877B4" w:rsidP="00173C38">
            <w:pPr>
              <w:jc w:val="center"/>
              <w:rPr>
                <w:color w:val="000000"/>
                <w:lang w:eastAsia="es-CO"/>
              </w:rPr>
            </w:pPr>
            <w:r w:rsidRPr="00CC34E3">
              <w:rPr>
                <w:color w:val="000000"/>
                <w:lang w:eastAsia="es-CO"/>
              </w:rPr>
              <w:t>µg lunasin/mg sample</w:t>
            </w:r>
          </w:p>
        </w:tc>
        <w:tc>
          <w:tcPr>
            <w:tcW w:w="1133" w:type="dxa"/>
            <w:tcBorders>
              <w:top w:val="nil"/>
              <w:left w:val="nil"/>
              <w:bottom w:val="nil"/>
              <w:right w:val="nil"/>
            </w:tcBorders>
            <w:shd w:val="clear" w:color="auto" w:fill="auto"/>
            <w:noWrap/>
            <w:vAlign w:val="center"/>
            <w:hideMark/>
          </w:tcPr>
          <w:p w14:paraId="13F12903" w14:textId="77777777" w:rsidR="008877B4" w:rsidRPr="00CC34E3" w:rsidRDefault="008877B4" w:rsidP="00173C38">
            <w:pPr>
              <w:jc w:val="center"/>
              <w:rPr>
                <w:color w:val="000000"/>
                <w:lang w:eastAsia="es-CO"/>
              </w:rPr>
            </w:pPr>
            <w:r w:rsidRPr="00CC34E3">
              <w:rPr>
                <w:color w:val="000000"/>
                <w:lang w:eastAsia="es-CO"/>
              </w:rPr>
              <w:t>3.4 ± 0.0</w:t>
            </w:r>
          </w:p>
        </w:tc>
        <w:tc>
          <w:tcPr>
            <w:tcW w:w="1276" w:type="dxa"/>
            <w:tcBorders>
              <w:top w:val="nil"/>
              <w:left w:val="nil"/>
              <w:bottom w:val="nil"/>
              <w:right w:val="nil"/>
            </w:tcBorders>
            <w:shd w:val="clear" w:color="auto" w:fill="auto"/>
            <w:noWrap/>
            <w:vAlign w:val="center"/>
            <w:hideMark/>
          </w:tcPr>
          <w:p w14:paraId="25BF0E31" w14:textId="77777777" w:rsidR="008877B4" w:rsidRPr="00CC34E3" w:rsidRDefault="008877B4" w:rsidP="00173C38">
            <w:pPr>
              <w:jc w:val="center"/>
              <w:rPr>
                <w:color w:val="000000"/>
                <w:lang w:eastAsia="es-CO"/>
              </w:rPr>
            </w:pPr>
            <w:r w:rsidRPr="00CC34E3">
              <w:rPr>
                <w:color w:val="000000"/>
                <w:lang w:eastAsia="es-CO"/>
              </w:rPr>
              <w:t>5.6 ± 0.7</w:t>
            </w:r>
          </w:p>
        </w:tc>
        <w:tc>
          <w:tcPr>
            <w:tcW w:w="1134" w:type="dxa"/>
            <w:tcBorders>
              <w:top w:val="nil"/>
              <w:left w:val="nil"/>
              <w:bottom w:val="nil"/>
              <w:right w:val="nil"/>
            </w:tcBorders>
            <w:shd w:val="clear" w:color="auto" w:fill="auto"/>
            <w:noWrap/>
            <w:vAlign w:val="center"/>
            <w:hideMark/>
          </w:tcPr>
          <w:p w14:paraId="2D9026D3" w14:textId="77777777" w:rsidR="008877B4" w:rsidRPr="00CC34E3" w:rsidRDefault="008877B4" w:rsidP="00173C38">
            <w:pPr>
              <w:jc w:val="center"/>
              <w:rPr>
                <w:color w:val="000000"/>
                <w:lang w:eastAsia="es-CO"/>
              </w:rPr>
            </w:pPr>
            <w:r w:rsidRPr="00CC34E3">
              <w:rPr>
                <w:color w:val="000000"/>
                <w:lang w:eastAsia="es-CO"/>
              </w:rPr>
              <w:t>3.4 ± 0.4</w:t>
            </w:r>
          </w:p>
        </w:tc>
        <w:tc>
          <w:tcPr>
            <w:tcW w:w="1417" w:type="dxa"/>
            <w:tcBorders>
              <w:top w:val="nil"/>
              <w:left w:val="nil"/>
              <w:bottom w:val="nil"/>
              <w:right w:val="nil"/>
            </w:tcBorders>
            <w:shd w:val="clear" w:color="auto" w:fill="auto"/>
            <w:noWrap/>
            <w:vAlign w:val="center"/>
            <w:hideMark/>
          </w:tcPr>
          <w:p w14:paraId="0E2E28E6" w14:textId="77777777" w:rsidR="008877B4" w:rsidRPr="00CC34E3" w:rsidRDefault="008877B4" w:rsidP="00173C38">
            <w:pPr>
              <w:jc w:val="center"/>
              <w:rPr>
                <w:color w:val="000000"/>
                <w:lang w:eastAsia="es-CO"/>
              </w:rPr>
            </w:pPr>
            <w:r w:rsidRPr="00CC34E3">
              <w:rPr>
                <w:color w:val="000000"/>
                <w:lang w:eastAsia="es-CO"/>
              </w:rPr>
              <w:t>49.5 ± 5.3</w:t>
            </w:r>
          </w:p>
        </w:tc>
      </w:tr>
      <w:tr w:rsidR="008877B4" w:rsidRPr="00CC34E3" w14:paraId="674FE6FC" w14:textId="77777777" w:rsidTr="00173C38">
        <w:trPr>
          <w:trHeight w:val="300"/>
          <w:jc w:val="center"/>
        </w:trPr>
        <w:tc>
          <w:tcPr>
            <w:tcW w:w="3120" w:type="dxa"/>
            <w:tcBorders>
              <w:top w:val="nil"/>
              <w:left w:val="nil"/>
              <w:bottom w:val="nil"/>
              <w:right w:val="nil"/>
            </w:tcBorders>
            <w:shd w:val="clear" w:color="auto" w:fill="auto"/>
            <w:noWrap/>
            <w:vAlign w:val="center"/>
            <w:hideMark/>
          </w:tcPr>
          <w:p w14:paraId="099188FF" w14:textId="77777777" w:rsidR="008877B4" w:rsidRPr="00CC34E3" w:rsidRDefault="008877B4" w:rsidP="00173C38">
            <w:pPr>
              <w:jc w:val="center"/>
              <w:rPr>
                <w:color w:val="000000"/>
                <w:lang w:eastAsia="es-CO"/>
              </w:rPr>
            </w:pPr>
            <w:r w:rsidRPr="00CC34E3">
              <w:rPr>
                <w:color w:val="000000"/>
                <w:lang w:eastAsia="es-CO"/>
              </w:rPr>
              <w:t>µg lunasin/mg protein</w:t>
            </w:r>
          </w:p>
        </w:tc>
        <w:tc>
          <w:tcPr>
            <w:tcW w:w="1133" w:type="dxa"/>
            <w:tcBorders>
              <w:top w:val="nil"/>
              <w:left w:val="nil"/>
              <w:bottom w:val="nil"/>
              <w:right w:val="nil"/>
            </w:tcBorders>
            <w:shd w:val="clear" w:color="auto" w:fill="auto"/>
            <w:noWrap/>
            <w:vAlign w:val="center"/>
            <w:hideMark/>
          </w:tcPr>
          <w:p w14:paraId="2F414BF8" w14:textId="77777777" w:rsidR="008877B4" w:rsidRPr="00CC34E3" w:rsidRDefault="008877B4" w:rsidP="00173C38">
            <w:pPr>
              <w:jc w:val="center"/>
              <w:rPr>
                <w:color w:val="000000"/>
                <w:lang w:eastAsia="es-CO"/>
              </w:rPr>
            </w:pPr>
            <w:r w:rsidRPr="00CC34E3">
              <w:rPr>
                <w:color w:val="000000"/>
                <w:lang w:eastAsia="es-CO"/>
              </w:rPr>
              <w:t>96 ± 2</w:t>
            </w:r>
          </w:p>
        </w:tc>
        <w:tc>
          <w:tcPr>
            <w:tcW w:w="1276" w:type="dxa"/>
            <w:tcBorders>
              <w:top w:val="nil"/>
              <w:left w:val="nil"/>
              <w:bottom w:val="nil"/>
              <w:right w:val="nil"/>
            </w:tcBorders>
            <w:shd w:val="clear" w:color="auto" w:fill="auto"/>
            <w:noWrap/>
            <w:vAlign w:val="center"/>
            <w:hideMark/>
          </w:tcPr>
          <w:p w14:paraId="770C3ECF" w14:textId="77777777" w:rsidR="008877B4" w:rsidRPr="00CC34E3" w:rsidRDefault="008877B4" w:rsidP="00173C38">
            <w:pPr>
              <w:jc w:val="center"/>
              <w:rPr>
                <w:color w:val="000000"/>
                <w:lang w:eastAsia="es-CO"/>
              </w:rPr>
            </w:pPr>
            <w:r w:rsidRPr="00CC34E3">
              <w:rPr>
                <w:color w:val="000000"/>
                <w:lang w:eastAsia="es-CO"/>
              </w:rPr>
              <w:t>57 ± 6</w:t>
            </w:r>
          </w:p>
        </w:tc>
        <w:tc>
          <w:tcPr>
            <w:tcW w:w="1134" w:type="dxa"/>
            <w:tcBorders>
              <w:top w:val="nil"/>
              <w:left w:val="nil"/>
              <w:bottom w:val="nil"/>
              <w:right w:val="nil"/>
            </w:tcBorders>
            <w:shd w:val="clear" w:color="auto" w:fill="auto"/>
            <w:noWrap/>
            <w:vAlign w:val="center"/>
            <w:hideMark/>
          </w:tcPr>
          <w:p w14:paraId="2BD2839C" w14:textId="77777777" w:rsidR="008877B4" w:rsidRPr="00CC34E3" w:rsidRDefault="008877B4" w:rsidP="00173C38">
            <w:pPr>
              <w:jc w:val="center"/>
              <w:rPr>
                <w:color w:val="000000"/>
                <w:lang w:eastAsia="es-CO"/>
              </w:rPr>
            </w:pPr>
            <w:r w:rsidRPr="00CC34E3">
              <w:rPr>
                <w:color w:val="000000"/>
                <w:lang w:eastAsia="es-CO"/>
              </w:rPr>
              <w:t>83 ± 9</w:t>
            </w:r>
          </w:p>
        </w:tc>
        <w:tc>
          <w:tcPr>
            <w:tcW w:w="1417" w:type="dxa"/>
            <w:tcBorders>
              <w:top w:val="nil"/>
              <w:left w:val="nil"/>
              <w:bottom w:val="nil"/>
              <w:right w:val="nil"/>
            </w:tcBorders>
            <w:shd w:val="clear" w:color="auto" w:fill="auto"/>
            <w:noWrap/>
            <w:vAlign w:val="center"/>
            <w:hideMark/>
          </w:tcPr>
          <w:p w14:paraId="460FCD9D" w14:textId="77777777" w:rsidR="008877B4" w:rsidRPr="00CC34E3" w:rsidRDefault="008877B4" w:rsidP="00173C38">
            <w:pPr>
              <w:jc w:val="center"/>
              <w:rPr>
                <w:color w:val="000000"/>
                <w:lang w:eastAsia="es-CO"/>
              </w:rPr>
            </w:pPr>
            <w:r w:rsidRPr="00CC34E3">
              <w:rPr>
                <w:color w:val="000000"/>
                <w:lang w:eastAsia="es-CO"/>
              </w:rPr>
              <w:t>177 ± 4</w:t>
            </w:r>
          </w:p>
        </w:tc>
      </w:tr>
      <w:tr w:rsidR="008877B4" w:rsidRPr="00CC34E3" w14:paraId="7834AA26" w14:textId="77777777" w:rsidTr="00173C38">
        <w:trPr>
          <w:trHeight w:val="315"/>
          <w:jc w:val="center"/>
        </w:trPr>
        <w:tc>
          <w:tcPr>
            <w:tcW w:w="3120" w:type="dxa"/>
            <w:tcBorders>
              <w:top w:val="nil"/>
              <w:left w:val="nil"/>
              <w:bottom w:val="single" w:sz="8" w:space="0" w:color="auto"/>
              <w:right w:val="nil"/>
            </w:tcBorders>
            <w:shd w:val="clear" w:color="auto" w:fill="auto"/>
            <w:noWrap/>
            <w:vAlign w:val="center"/>
            <w:hideMark/>
          </w:tcPr>
          <w:p w14:paraId="7F5D4169" w14:textId="35E3A60E" w:rsidR="008877B4" w:rsidRPr="00CC34E3" w:rsidRDefault="008877B4" w:rsidP="00173C38">
            <w:pPr>
              <w:jc w:val="center"/>
              <w:rPr>
                <w:color w:val="000000"/>
                <w:lang w:eastAsia="es-CO"/>
              </w:rPr>
            </w:pPr>
            <w:r w:rsidRPr="00CC34E3">
              <w:rPr>
                <w:color w:val="000000"/>
                <w:lang w:eastAsia="es-CO"/>
              </w:rPr>
              <w:t xml:space="preserve">% </w:t>
            </w:r>
            <w:r w:rsidR="005B6A80">
              <w:rPr>
                <w:color w:val="000000"/>
                <w:lang w:eastAsia="es-CO"/>
              </w:rPr>
              <w:t>l</w:t>
            </w:r>
            <w:r w:rsidR="00FE009C" w:rsidRPr="00CC34E3">
              <w:rPr>
                <w:color w:val="000000"/>
                <w:lang w:eastAsia="es-CO"/>
              </w:rPr>
              <w:t>unasin</w:t>
            </w:r>
            <w:r w:rsidRPr="00CC34E3">
              <w:rPr>
                <w:color w:val="000000"/>
                <w:lang w:eastAsia="es-CO"/>
              </w:rPr>
              <w:t xml:space="preserve"> in solid</w:t>
            </w:r>
          </w:p>
        </w:tc>
        <w:tc>
          <w:tcPr>
            <w:tcW w:w="1133" w:type="dxa"/>
            <w:tcBorders>
              <w:top w:val="nil"/>
              <w:left w:val="nil"/>
              <w:bottom w:val="single" w:sz="8" w:space="0" w:color="auto"/>
              <w:right w:val="nil"/>
            </w:tcBorders>
            <w:shd w:val="clear" w:color="auto" w:fill="auto"/>
            <w:noWrap/>
            <w:vAlign w:val="center"/>
            <w:hideMark/>
          </w:tcPr>
          <w:p w14:paraId="37A3609E" w14:textId="77777777" w:rsidR="008877B4" w:rsidRPr="00CC34E3" w:rsidRDefault="008877B4" w:rsidP="00173C38">
            <w:pPr>
              <w:jc w:val="center"/>
              <w:rPr>
                <w:color w:val="000000"/>
                <w:lang w:eastAsia="es-CO"/>
              </w:rPr>
            </w:pPr>
            <w:r w:rsidRPr="00CC34E3">
              <w:rPr>
                <w:color w:val="000000"/>
                <w:lang w:eastAsia="es-CO"/>
              </w:rPr>
              <w:t>0.3 ± 0.0</w:t>
            </w:r>
          </w:p>
        </w:tc>
        <w:tc>
          <w:tcPr>
            <w:tcW w:w="1276" w:type="dxa"/>
            <w:tcBorders>
              <w:top w:val="nil"/>
              <w:left w:val="nil"/>
              <w:bottom w:val="single" w:sz="8" w:space="0" w:color="auto"/>
              <w:right w:val="nil"/>
            </w:tcBorders>
            <w:shd w:val="clear" w:color="auto" w:fill="auto"/>
            <w:noWrap/>
            <w:vAlign w:val="center"/>
            <w:hideMark/>
          </w:tcPr>
          <w:p w14:paraId="11BE5076" w14:textId="77777777" w:rsidR="008877B4" w:rsidRPr="00CC34E3" w:rsidRDefault="008877B4" w:rsidP="00173C38">
            <w:pPr>
              <w:jc w:val="center"/>
              <w:rPr>
                <w:color w:val="000000"/>
                <w:lang w:eastAsia="es-CO"/>
              </w:rPr>
            </w:pPr>
            <w:r w:rsidRPr="00CC34E3">
              <w:rPr>
                <w:color w:val="000000"/>
                <w:lang w:eastAsia="es-CO"/>
              </w:rPr>
              <w:t>0.6 ± 0.1</w:t>
            </w:r>
          </w:p>
        </w:tc>
        <w:tc>
          <w:tcPr>
            <w:tcW w:w="1134" w:type="dxa"/>
            <w:tcBorders>
              <w:top w:val="nil"/>
              <w:left w:val="nil"/>
              <w:bottom w:val="single" w:sz="8" w:space="0" w:color="auto"/>
              <w:right w:val="nil"/>
            </w:tcBorders>
            <w:shd w:val="clear" w:color="auto" w:fill="auto"/>
            <w:noWrap/>
            <w:vAlign w:val="center"/>
            <w:hideMark/>
          </w:tcPr>
          <w:p w14:paraId="4D218826" w14:textId="77777777" w:rsidR="008877B4" w:rsidRPr="00CC34E3" w:rsidRDefault="008877B4" w:rsidP="00173C38">
            <w:pPr>
              <w:jc w:val="center"/>
              <w:rPr>
                <w:color w:val="000000"/>
                <w:lang w:eastAsia="es-CO"/>
              </w:rPr>
            </w:pPr>
            <w:r w:rsidRPr="00CC34E3">
              <w:rPr>
                <w:color w:val="000000"/>
                <w:lang w:eastAsia="es-CO"/>
              </w:rPr>
              <w:t>0.3 ± 0.0</w:t>
            </w:r>
          </w:p>
        </w:tc>
        <w:tc>
          <w:tcPr>
            <w:tcW w:w="1417" w:type="dxa"/>
            <w:tcBorders>
              <w:top w:val="nil"/>
              <w:left w:val="nil"/>
              <w:bottom w:val="single" w:sz="8" w:space="0" w:color="auto"/>
              <w:right w:val="nil"/>
            </w:tcBorders>
            <w:shd w:val="clear" w:color="auto" w:fill="auto"/>
            <w:noWrap/>
            <w:vAlign w:val="center"/>
            <w:hideMark/>
          </w:tcPr>
          <w:p w14:paraId="1A70E602" w14:textId="77777777" w:rsidR="008877B4" w:rsidRPr="00CC34E3" w:rsidRDefault="008877B4" w:rsidP="00173C38">
            <w:pPr>
              <w:jc w:val="center"/>
              <w:rPr>
                <w:color w:val="000000"/>
                <w:lang w:eastAsia="es-CO"/>
              </w:rPr>
            </w:pPr>
            <w:r w:rsidRPr="00CC34E3">
              <w:rPr>
                <w:color w:val="000000"/>
                <w:lang w:eastAsia="es-CO"/>
              </w:rPr>
              <w:t>5.0 ± 0.5</w:t>
            </w:r>
          </w:p>
        </w:tc>
      </w:tr>
    </w:tbl>
    <w:p w14:paraId="17706254" w14:textId="77777777" w:rsidR="008877B4" w:rsidRDefault="008877B4" w:rsidP="008877B4"/>
    <w:p w14:paraId="4D78E0FE" w14:textId="77777777" w:rsidR="008877B4" w:rsidRDefault="008877B4" w:rsidP="008877B4">
      <w:r>
        <w:br w:type="page"/>
      </w:r>
    </w:p>
    <w:p w14:paraId="3F9389AD" w14:textId="77777777" w:rsidR="00AF2F07" w:rsidRDefault="008877B4" w:rsidP="00AF2F07">
      <w:pPr>
        <w:keepNext/>
        <w:jc w:val="center"/>
      </w:pPr>
      <w:r>
        <w:rPr>
          <w:noProof/>
        </w:rPr>
        <w:lastRenderedPageBreak/>
        <w:drawing>
          <wp:inline distT="0" distB="0" distL="0" distR="0" wp14:anchorId="05B4BB8C" wp14:editId="78766ED5">
            <wp:extent cx="3864525" cy="2392326"/>
            <wp:effectExtent l="0" t="0" r="3175" b="8255"/>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tOH, LRX, LRN SDS, WB, SEC HPLC, NOx and proliferation.png"/>
                    <pic:cNvPicPr/>
                  </pic:nvPicPr>
                  <pic:blipFill rotWithShape="1">
                    <a:blip r:embed="rId26">
                      <a:extLst>
                        <a:ext uri="{28A0092B-C50C-407E-A947-70E740481C1C}">
                          <a14:useLocalDpi xmlns:a14="http://schemas.microsoft.com/office/drawing/2010/main" val="0"/>
                        </a:ext>
                      </a:extLst>
                    </a:blip>
                    <a:srcRect l="6959" t="58696" r="50271" b="3623"/>
                    <a:stretch/>
                  </pic:blipFill>
                  <pic:spPr bwMode="auto">
                    <a:xfrm>
                      <a:off x="0" y="0"/>
                      <a:ext cx="3921650" cy="242768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3B84291" wp14:editId="546AD4FD">
            <wp:extent cx="3661298" cy="2339163"/>
            <wp:effectExtent l="0" t="0" r="0" b="4445"/>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tOH, LRX, LRN SDS, WB, SEC HPLC, NOx and proliferation.png"/>
                    <pic:cNvPicPr/>
                  </pic:nvPicPr>
                  <pic:blipFill rotWithShape="1">
                    <a:blip r:embed="rId26">
                      <a:extLst>
                        <a:ext uri="{28A0092B-C50C-407E-A947-70E740481C1C}">
                          <a14:useLocalDpi xmlns:a14="http://schemas.microsoft.com/office/drawing/2010/main" val="0"/>
                        </a:ext>
                      </a:extLst>
                    </a:blip>
                    <a:srcRect l="52614" t="58696" r="4616" b="2416"/>
                    <a:stretch/>
                  </pic:blipFill>
                  <pic:spPr bwMode="auto">
                    <a:xfrm>
                      <a:off x="0" y="0"/>
                      <a:ext cx="3702515" cy="2365496"/>
                    </a:xfrm>
                    <a:prstGeom prst="rect">
                      <a:avLst/>
                    </a:prstGeom>
                    <a:ln>
                      <a:noFill/>
                    </a:ln>
                    <a:extLst>
                      <a:ext uri="{53640926-AAD7-44D8-BBD7-CCE9431645EC}">
                        <a14:shadowObscured xmlns:a14="http://schemas.microsoft.com/office/drawing/2010/main"/>
                      </a:ext>
                    </a:extLst>
                  </pic:spPr>
                </pic:pic>
              </a:graphicData>
            </a:graphic>
          </wp:inline>
        </w:drawing>
      </w:r>
    </w:p>
    <w:p w14:paraId="1A159774" w14:textId="0BE390BC" w:rsidR="00FD4304" w:rsidRDefault="00AF2F07" w:rsidP="00AA10AC">
      <w:pPr>
        <w:pStyle w:val="Caption"/>
        <w:spacing w:line="480" w:lineRule="auto"/>
        <w:jc w:val="center"/>
        <w:rPr>
          <w:b w:val="0"/>
        </w:rPr>
      </w:pPr>
      <w:bookmarkStart w:id="73" w:name="_Toc77082198"/>
      <w:r>
        <w:t xml:space="preserve">Supplementary Figure </w:t>
      </w:r>
      <w:fldSimple w:instr=" STYLEREF 1 \s ">
        <w:r w:rsidR="0023061D">
          <w:rPr>
            <w:noProof/>
          </w:rPr>
          <w:t>2</w:t>
        </w:r>
      </w:fldSimple>
      <w:r w:rsidR="000A4297">
        <w:t>.</w:t>
      </w:r>
      <w:fldSimple w:instr=" SEQ Supplementary_Figure \* ARABIC \s 1 ">
        <w:r w:rsidR="0023061D">
          <w:rPr>
            <w:noProof/>
          </w:rPr>
          <w:t>1</w:t>
        </w:r>
      </w:fldSimple>
      <w:r>
        <w:t xml:space="preserve"> </w:t>
      </w:r>
      <w:r w:rsidRPr="00AF2F07">
        <w:rPr>
          <w:b w:val="0"/>
        </w:rPr>
        <w:t>Potential anti-inflammatory activity of ethanol precipitate and commercially available lunasin containing products.</w:t>
      </w:r>
      <w:bookmarkEnd w:id="73"/>
    </w:p>
    <w:p w14:paraId="495FFC4E" w14:textId="20C59E8F" w:rsidR="008877B4" w:rsidRPr="00AF2F07" w:rsidRDefault="008877B4" w:rsidP="00AA10AC">
      <w:pPr>
        <w:pStyle w:val="Caption"/>
        <w:spacing w:line="480" w:lineRule="auto"/>
        <w:rPr>
          <w:b w:val="0"/>
        </w:rPr>
      </w:pPr>
      <w:r w:rsidRPr="00F715B4">
        <w:rPr>
          <w:b w:val="0"/>
          <w:bCs w:val="0"/>
        </w:rPr>
        <w:t>Cell viability (</w:t>
      </w:r>
      <w:r w:rsidR="00FE009C">
        <w:rPr>
          <w:b w:val="0"/>
          <w:bCs w:val="0"/>
        </w:rPr>
        <w:t>top</w:t>
      </w:r>
      <w:r w:rsidRPr="00F715B4">
        <w:rPr>
          <w:b w:val="0"/>
          <w:bCs w:val="0"/>
        </w:rPr>
        <w:t>) and release of nitric oxide (</w:t>
      </w:r>
      <w:r w:rsidR="00FE009C">
        <w:rPr>
          <w:b w:val="0"/>
          <w:bCs w:val="0"/>
        </w:rPr>
        <w:t>bottom</w:t>
      </w:r>
      <w:r w:rsidRPr="00F715B4">
        <w:rPr>
          <w:b w:val="0"/>
          <w:bCs w:val="0"/>
        </w:rPr>
        <w:t>) were measured in murine macrophages activated with lipopolysaccharide, in the presence of different concentrations of the ethanolic precipitate or commercial products. Non-treated non-activated cells (-C), and non-treated LPS-activated cells (+C) were used as controls.</w:t>
      </w:r>
    </w:p>
    <w:p w14:paraId="025F1AE6" w14:textId="77777777" w:rsidR="008877B4" w:rsidRPr="00F715B4" w:rsidRDefault="008877B4" w:rsidP="008877B4"/>
    <w:p w14:paraId="1597A5E0" w14:textId="77777777" w:rsidR="008877B4" w:rsidRDefault="008877B4" w:rsidP="00AA10AC">
      <w:pPr>
        <w:spacing w:line="480" w:lineRule="auto"/>
        <w:jc w:val="center"/>
        <w:rPr>
          <w:i/>
          <w:iCs/>
        </w:rPr>
      </w:pPr>
      <w:r w:rsidRPr="00F715B4">
        <w:br w:type="page"/>
      </w:r>
      <w:r w:rsidRPr="00F715B4">
        <w:rPr>
          <w:i/>
          <w:iCs/>
        </w:rPr>
        <w:lastRenderedPageBreak/>
        <w:t>Characterization of fractions with relevant content of lunasin after enrichment and purification of industrially produced tofu whey.</w:t>
      </w:r>
    </w:p>
    <w:p w14:paraId="5E3AA641" w14:textId="6D9A19A2" w:rsidR="00F30BB1" w:rsidRDefault="008877B4" w:rsidP="0030481A">
      <w:pPr>
        <w:spacing w:line="480" w:lineRule="auto"/>
        <w:ind w:firstLine="720"/>
      </w:pPr>
      <w:r>
        <w:t xml:space="preserve">Industrially produced tofu whey was treated with 30% ethanol and then adjusted to pH 4.5. The solid produced was resuspended and purified via gel filtration chromatography. Fractions of the eluate were collected every ten minutes and those with relevant content of lunasin were characterized.  </w:t>
      </w:r>
    </w:p>
    <w:p w14:paraId="4BD64AAC" w14:textId="77777777" w:rsidR="00F30BB1" w:rsidRDefault="00F30BB1">
      <w:r>
        <w:br w:type="page"/>
      </w:r>
    </w:p>
    <w:p w14:paraId="4266676A" w14:textId="77777777" w:rsidR="008877B4" w:rsidRDefault="008877B4" w:rsidP="0030481A">
      <w:pPr>
        <w:spacing w:line="480" w:lineRule="auto"/>
        <w:ind w:firstLine="720"/>
      </w:pPr>
    </w:p>
    <w:p w14:paraId="0B08FD22" w14:textId="77777777" w:rsidR="008877B4" w:rsidRDefault="008877B4" w:rsidP="008877B4">
      <w:pPr>
        <w:rPr>
          <w:b/>
        </w:rPr>
      </w:pPr>
    </w:p>
    <w:p w14:paraId="72E3BBF1" w14:textId="77777777" w:rsidR="005E56E7" w:rsidRDefault="008877B4" w:rsidP="005A09AF">
      <w:pPr>
        <w:keepNext/>
        <w:jc w:val="center"/>
      </w:pPr>
      <w:r>
        <w:rPr>
          <w:b/>
          <w:noProof/>
        </w:rPr>
        <w:drawing>
          <wp:inline distT="0" distB="0" distL="0" distR="0" wp14:anchorId="2FF94272" wp14:editId="0876DED7">
            <wp:extent cx="5610225" cy="22669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10225" cy="2266950"/>
                    </a:xfrm>
                    <a:prstGeom prst="rect">
                      <a:avLst/>
                    </a:prstGeom>
                    <a:noFill/>
                    <a:ln>
                      <a:noFill/>
                    </a:ln>
                  </pic:spPr>
                </pic:pic>
              </a:graphicData>
            </a:graphic>
          </wp:inline>
        </w:drawing>
      </w:r>
    </w:p>
    <w:p w14:paraId="25AE0E67" w14:textId="4F3B7388" w:rsidR="00FD4304" w:rsidRDefault="005E56E7" w:rsidP="0030481A">
      <w:pPr>
        <w:pStyle w:val="Caption"/>
        <w:spacing w:line="480" w:lineRule="auto"/>
        <w:jc w:val="center"/>
      </w:pPr>
      <w:bookmarkStart w:id="74" w:name="_Toc77082199"/>
      <w:r>
        <w:t xml:space="preserve">Supplementary Figure </w:t>
      </w:r>
      <w:fldSimple w:instr=" STYLEREF 1 \s ">
        <w:r w:rsidR="0023061D">
          <w:rPr>
            <w:noProof/>
          </w:rPr>
          <w:t>2</w:t>
        </w:r>
      </w:fldSimple>
      <w:r w:rsidR="000A4297">
        <w:t>.</w:t>
      </w:r>
      <w:fldSimple w:instr=" SEQ Supplementary_Figure \* ARABIC \s 1 ">
        <w:r w:rsidR="0023061D">
          <w:rPr>
            <w:noProof/>
          </w:rPr>
          <w:t>2</w:t>
        </w:r>
      </w:fldSimple>
      <w:r>
        <w:t xml:space="preserve"> </w:t>
      </w:r>
      <w:r w:rsidRPr="005E56E7">
        <w:rPr>
          <w:b w:val="0"/>
        </w:rPr>
        <w:t>Characterization of chromatographic fractions with a significant content of lunasin.</w:t>
      </w:r>
      <w:bookmarkEnd w:id="74"/>
    </w:p>
    <w:p w14:paraId="216B5704" w14:textId="0DBFCC89" w:rsidR="008877B4" w:rsidRPr="005E56E7" w:rsidRDefault="000C4CBA" w:rsidP="0030481A">
      <w:pPr>
        <w:pStyle w:val="Caption"/>
        <w:spacing w:line="480" w:lineRule="auto"/>
        <w:rPr>
          <w:b w:val="0"/>
        </w:rPr>
      </w:pPr>
      <w:r w:rsidRPr="000C4CBA">
        <w:rPr>
          <w:b w:val="0"/>
          <w:bCs w:val="0"/>
        </w:rPr>
        <w:t>(A</w:t>
      </w:r>
      <w:r>
        <w:rPr>
          <w:b w:val="0"/>
        </w:rPr>
        <w:t xml:space="preserve">) </w:t>
      </w:r>
      <w:r w:rsidR="008877B4" w:rsidRPr="005E56E7">
        <w:rPr>
          <w:b w:val="0"/>
        </w:rPr>
        <w:t xml:space="preserve">SDS-PAGE, </w:t>
      </w:r>
      <w:r w:rsidRPr="005E56E7">
        <w:rPr>
          <w:b w:val="0"/>
        </w:rPr>
        <w:t>(B)</w:t>
      </w:r>
      <w:r>
        <w:rPr>
          <w:b w:val="0"/>
        </w:rPr>
        <w:t xml:space="preserve"> </w:t>
      </w:r>
      <w:r w:rsidR="008877B4" w:rsidRPr="005E56E7">
        <w:rPr>
          <w:b w:val="0"/>
        </w:rPr>
        <w:t xml:space="preserve">western blot against lunasin antibody and </w:t>
      </w:r>
      <w:r w:rsidRPr="005E56E7">
        <w:rPr>
          <w:b w:val="0"/>
        </w:rPr>
        <w:t>(C)</w:t>
      </w:r>
      <w:r>
        <w:rPr>
          <w:b w:val="0"/>
        </w:rPr>
        <w:t xml:space="preserve"> </w:t>
      </w:r>
      <w:r w:rsidR="008877B4" w:rsidRPr="005E56E7">
        <w:rPr>
          <w:b w:val="0"/>
        </w:rPr>
        <w:t>molecular weight distribution profile of fractions corresponding to retention times 48, 58, 68, 78, and 88 minutes (lines 1 to 5 respectively).</w:t>
      </w:r>
    </w:p>
    <w:p w14:paraId="2DF606E0" w14:textId="77777777" w:rsidR="008877B4" w:rsidRDefault="008877B4" w:rsidP="008877B4"/>
    <w:p w14:paraId="527291B8" w14:textId="77777777" w:rsidR="008877B4" w:rsidRDefault="008877B4" w:rsidP="008877B4">
      <w:pPr>
        <w:rPr>
          <w:b/>
          <w:bCs/>
        </w:rPr>
      </w:pPr>
      <w:r>
        <w:rPr>
          <w:b/>
          <w:bCs/>
        </w:rPr>
        <w:br w:type="page"/>
      </w:r>
    </w:p>
    <w:p w14:paraId="104D3197" w14:textId="4870F5C9" w:rsidR="000A4297" w:rsidRPr="000A4297" w:rsidRDefault="000A4297" w:rsidP="0030481A">
      <w:pPr>
        <w:pStyle w:val="Caption"/>
        <w:spacing w:line="480" w:lineRule="auto"/>
        <w:jc w:val="center"/>
        <w:rPr>
          <w:b w:val="0"/>
        </w:rPr>
      </w:pPr>
      <w:bookmarkStart w:id="75" w:name="_Toc77082179"/>
      <w:r>
        <w:lastRenderedPageBreak/>
        <w:t xml:space="preserve">Supplementary Table </w:t>
      </w:r>
      <w:fldSimple w:instr=" STYLEREF 1 \s ">
        <w:r w:rsidR="0023061D">
          <w:rPr>
            <w:noProof/>
          </w:rPr>
          <w:t>2</w:t>
        </w:r>
      </w:fldSimple>
      <w:r>
        <w:t>.</w:t>
      </w:r>
      <w:fldSimple w:instr=" SEQ Supplementary_Table_ \* ARABIC \s 1 ">
        <w:r w:rsidR="0023061D">
          <w:rPr>
            <w:noProof/>
          </w:rPr>
          <w:t>4</w:t>
        </w:r>
      </w:fldSimple>
      <w:r>
        <w:t xml:space="preserve"> </w:t>
      </w:r>
      <w:r w:rsidRPr="000A4297">
        <w:rPr>
          <w:b w:val="0"/>
        </w:rPr>
        <w:t>Characteristics of purified fractions obtained from industrial tofu whey via ethanolic-isoelectric precipitation and gel filtration chromatography. F78 and F 88 correspond to eluates collected at 78- and 88-min retention time.</w:t>
      </w:r>
      <w:bookmarkEnd w:id="75"/>
    </w:p>
    <w:tbl>
      <w:tblPr>
        <w:tblW w:w="5954" w:type="dxa"/>
        <w:jc w:val="center"/>
        <w:tblCellMar>
          <w:left w:w="70" w:type="dxa"/>
          <w:right w:w="70" w:type="dxa"/>
        </w:tblCellMar>
        <w:tblLook w:val="04A0" w:firstRow="1" w:lastRow="0" w:firstColumn="1" w:lastColumn="0" w:noHBand="0" w:noVBand="1"/>
      </w:tblPr>
      <w:tblGrid>
        <w:gridCol w:w="3427"/>
        <w:gridCol w:w="1251"/>
        <w:gridCol w:w="1276"/>
      </w:tblGrid>
      <w:tr w:rsidR="008877B4" w:rsidRPr="00CC34E3" w14:paraId="2C680E48" w14:textId="77777777" w:rsidTr="00173C38">
        <w:trPr>
          <w:trHeight w:val="315"/>
          <w:jc w:val="center"/>
        </w:trPr>
        <w:tc>
          <w:tcPr>
            <w:tcW w:w="3427" w:type="dxa"/>
            <w:tcBorders>
              <w:top w:val="single" w:sz="4" w:space="0" w:color="auto"/>
              <w:left w:val="nil"/>
              <w:bottom w:val="single" w:sz="8" w:space="0" w:color="auto"/>
              <w:right w:val="nil"/>
            </w:tcBorders>
            <w:shd w:val="clear" w:color="auto" w:fill="auto"/>
            <w:noWrap/>
            <w:vAlign w:val="center"/>
            <w:hideMark/>
          </w:tcPr>
          <w:p w14:paraId="7C7416FD" w14:textId="77777777" w:rsidR="008877B4" w:rsidRPr="00CC34E3" w:rsidRDefault="008877B4" w:rsidP="00173C38">
            <w:pPr>
              <w:jc w:val="center"/>
              <w:rPr>
                <w:b/>
                <w:bCs/>
                <w:color w:val="000000"/>
                <w:lang w:eastAsia="es-CO"/>
              </w:rPr>
            </w:pPr>
            <w:r w:rsidRPr="00CC34E3">
              <w:rPr>
                <w:b/>
                <w:bCs/>
                <w:color w:val="000000"/>
                <w:lang w:eastAsia="es-CO"/>
              </w:rPr>
              <w:t>Parameter</w:t>
            </w:r>
          </w:p>
        </w:tc>
        <w:tc>
          <w:tcPr>
            <w:tcW w:w="1251" w:type="dxa"/>
            <w:tcBorders>
              <w:top w:val="single" w:sz="4" w:space="0" w:color="auto"/>
              <w:left w:val="nil"/>
              <w:bottom w:val="single" w:sz="8" w:space="0" w:color="auto"/>
              <w:right w:val="nil"/>
            </w:tcBorders>
            <w:shd w:val="clear" w:color="auto" w:fill="auto"/>
            <w:noWrap/>
            <w:vAlign w:val="bottom"/>
            <w:hideMark/>
          </w:tcPr>
          <w:p w14:paraId="0CA2DD67" w14:textId="77777777" w:rsidR="008877B4" w:rsidRPr="00CC34E3" w:rsidRDefault="008877B4" w:rsidP="00173C38">
            <w:pPr>
              <w:jc w:val="center"/>
              <w:rPr>
                <w:b/>
                <w:bCs/>
                <w:color w:val="000000"/>
                <w:lang w:eastAsia="es-CO"/>
              </w:rPr>
            </w:pPr>
            <w:r w:rsidRPr="00CC34E3">
              <w:rPr>
                <w:b/>
                <w:bCs/>
                <w:color w:val="000000"/>
                <w:lang w:eastAsia="es-CO"/>
              </w:rPr>
              <w:t>F</w:t>
            </w:r>
            <w:r>
              <w:rPr>
                <w:b/>
                <w:bCs/>
                <w:color w:val="000000"/>
                <w:lang w:eastAsia="es-CO"/>
              </w:rPr>
              <w:t>78</w:t>
            </w:r>
          </w:p>
        </w:tc>
        <w:tc>
          <w:tcPr>
            <w:tcW w:w="1276" w:type="dxa"/>
            <w:tcBorders>
              <w:top w:val="single" w:sz="4" w:space="0" w:color="auto"/>
              <w:left w:val="nil"/>
              <w:bottom w:val="single" w:sz="8" w:space="0" w:color="auto"/>
              <w:right w:val="nil"/>
            </w:tcBorders>
            <w:shd w:val="clear" w:color="auto" w:fill="auto"/>
            <w:noWrap/>
            <w:vAlign w:val="bottom"/>
            <w:hideMark/>
          </w:tcPr>
          <w:p w14:paraId="5F1464B3" w14:textId="77777777" w:rsidR="008877B4" w:rsidRPr="00CC34E3" w:rsidRDefault="008877B4" w:rsidP="00173C38">
            <w:pPr>
              <w:jc w:val="center"/>
              <w:rPr>
                <w:b/>
                <w:bCs/>
                <w:color w:val="000000"/>
                <w:lang w:eastAsia="es-CO"/>
              </w:rPr>
            </w:pPr>
            <w:r w:rsidRPr="00CC34E3">
              <w:rPr>
                <w:b/>
                <w:bCs/>
                <w:color w:val="000000"/>
                <w:lang w:eastAsia="es-CO"/>
              </w:rPr>
              <w:t>F</w:t>
            </w:r>
            <w:r>
              <w:rPr>
                <w:b/>
                <w:bCs/>
                <w:color w:val="000000"/>
                <w:lang w:eastAsia="es-CO"/>
              </w:rPr>
              <w:t>88</w:t>
            </w:r>
          </w:p>
        </w:tc>
      </w:tr>
      <w:tr w:rsidR="008877B4" w:rsidRPr="00CC34E3" w14:paraId="36CCECFE" w14:textId="77777777" w:rsidTr="00173C38">
        <w:trPr>
          <w:trHeight w:val="300"/>
          <w:jc w:val="center"/>
        </w:trPr>
        <w:tc>
          <w:tcPr>
            <w:tcW w:w="3427" w:type="dxa"/>
            <w:tcBorders>
              <w:top w:val="nil"/>
              <w:left w:val="nil"/>
              <w:bottom w:val="nil"/>
              <w:right w:val="nil"/>
            </w:tcBorders>
            <w:shd w:val="clear" w:color="auto" w:fill="auto"/>
            <w:noWrap/>
            <w:vAlign w:val="center"/>
            <w:hideMark/>
          </w:tcPr>
          <w:p w14:paraId="2EF89F2C" w14:textId="77777777" w:rsidR="008877B4" w:rsidRPr="00CC34E3" w:rsidRDefault="008877B4" w:rsidP="00173C38">
            <w:pPr>
              <w:rPr>
                <w:color w:val="000000"/>
                <w:lang w:eastAsia="es-CO"/>
              </w:rPr>
            </w:pPr>
            <w:r w:rsidRPr="00CC34E3">
              <w:rPr>
                <w:color w:val="000000"/>
                <w:lang w:eastAsia="es-CO"/>
              </w:rPr>
              <w:t>mg solid/L whey</w:t>
            </w:r>
          </w:p>
        </w:tc>
        <w:tc>
          <w:tcPr>
            <w:tcW w:w="1251" w:type="dxa"/>
            <w:tcBorders>
              <w:top w:val="nil"/>
              <w:left w:val="nil"/>
              <w:bottom w:val="nil"/>
              <w:right w:val="nil"/>
            </w:tcBorders>
            <w:shd w:val="clear" w:color="auto" w:fill="auto"/>
            <w:noWrap/>
            <w:vAlign w:val="bottom"/>
            <w:hideMark/>
          </w:tcPr>
          <w:p w14:paraId="12FF2B9C" w14:textId="77777777" w:rsidR="008877B4" w:rsidRPr="00CC34E3" w:rsidRDefault="008877B4" w:rsidP="00173C38">
            <w:pPr>
              <w:jc w:val="center"/>
              <w:rPr>
                <w:color w:val="000000"/>
                <w:lang w:eastAsia="es-CO"/>
              </w:rPr>
            </w:pPr>
            <w:r w:rsidRPr="00CC34E3">
              <w:rPr>
                <w:color w:val="000000"/>
                <w:lang w:eastAsia="es-CO"/>
              </w:rPr>
              <w:t>193 ± 33</w:t>
            </w:r>
          </w:p>
        </w:tc>
        <w:tc>
          <w:tcPr>
            <w:tcW w:w="1276" w:type="dxa"/>
            <w:tcBorders>
              <w:top w:val="nil"/>
              <w:left w:val="nil"/>
              <w:bottom w:val="nil"/>
              <w:right w:val="nil"/>
            </w:tcBorders>
            <w:shd w:val="clear" w:color="auto" w:fill="auto"/>
            <w:noWrap/>
            <w:vAlign w:val="bottom"/>
            <w:hideMark/>
          </w:tcPr>
          <w:p w14:paraId="6238C43B" w14:textId="77777777" w:rsidR="008877B4" w:rsidRPr="00CC34E3" w:rsidRDefault="008877B4" w:rsidP="00173C38">
            <w:pPr>
              <w:jc w:val="center"/>
              <w:rPr>
                <w:color w:val="000000"/>
                <w:lang w:eastAsia="es-CO"/>
              </w:rPr>
            </w:pPr>
            <w:r w:rsidRPr="00CC34E3">
              <w:rPr>
                <w:color w:val="000000"/>
                <w:lang w:eastAsia="es-CO"/>
              </w:rPr>
              <w:t>34 ± 11</w:t>
            </w:r>
          </w:p>
        </w:tc>
      </w:tr>
      <w:tr w:rsidR="008877B4" w:rsidRPr="00CC34E3" w14:paraId="54514DED" w14:textId="77777777" w:rsidTr="00173C38">
        <w:trPr>
          <w:trHeight w:val="300"/>
          <w:jc w:val="center"/>
        </w:trPr>
        <w:tc>
          <w:tcPr>
            <w:tcW w:w="3427" w:type="dxa"/>
            <w:tcBorders>
              <w:top w:val="nil"/>
              <w:left w:val="nil"/>
              <w:bottom w:val="nil"/>
              <w:right w:val="nil"/>
            </w:tcBorders>
            <w:shd w:val="clear" w:color="auto" w:fill="auto"/>
            <w:noWrap/>
            <w:vAlign w:val="center"/>
            <w:hideMark/>
          </w:tcPr>
          <w:p w14:paraId="6EAC92C7" w14:textId="77777777" w:rsidR="008877B4" w:rsidRPr="00CC34E3" w:rsidRDefault="008877B4" w:rsidP="00173C38">
            <w:pPr>
              <w:rPr>
                <w:color w:val="000000"/>
                <w:lang w:eastAsia="es-CO"/>
              </w:rPr>
            </w:pPr>
            <w:r w:rsidRPr="00CC34E3">
              <w:rPr>
                <w:color w:val="000000"/>
                <w:lang w:eastAsia="es-CO"/>
              </w:rPr>
              <w:t>µg protein/mg solid</w:t>
            </w:r>
          </w:p>
        </w:tc>
        <w:tc>
          <w:tcPr>
            <w:tcW w:w="1251" w:type="dxa"/>
            <w:tcBorders>
              <w:top w:val="nil"/>
              <w:left w:val="nil"/>
              <w:bottom w:val="nil"/>
              <w:right w:val="nil"/>
            </w:tcBorders>
            <w:shd w:val="clear" w:color="auto" w:fill="auto"/>
            <w:noWrap/>
            <w:vAlign w:val="bottom"/>
            <w:hideMark/>
          </w:tcPr>
          <w:p w14:paraId="6D87D992" w14:textId="77777777" w:rsidR="008877B4" w:rsidRPr="00CC34E3" w:rsidRDefault="008877B4" w:rsidP="00173C38">
            <w:pPr>
              <w:jc w:val="center"/>
              <w:rPr>
                <w:color w:val="000000"/>
                <w:lang w:eastAsia="es-CO"/>
              </w:rPr>
            </w:pPr>
            <w:r w:rsidRPr="00CC34E3">
              <w:rPr>
                <w:color w:val="000000"/>
                <w:lang w:eastAsia="es-CO"/>
              </w:rPr>
              <w:t>336 ± 32</w:t>
            </w:r>
          </w:p>
        </w:tc>
        <w:tc>
          <w:tcPr>
            <w:tcW w:w="1276" w:type="dxa"/>
            <w:tcBorders>
              <w:top w:val="nil"/>
              <w:left w:val="nil"/>
              <w:bottom w:val="nil"/>
              <w:right w:val="nil"/>
            </w:tcBorders>
            <w:shd w:val="clear" w:color="auto" w:fill="auto"/>
            <w:noWrap/>
            <w:vAlign w:val="bottom"/>
            <w:hideMark/>
          </w:tcPr>
          <w:p w14:paraId="0FB2AADB" w14:textId="77777777" w:rsidR="008877B4" w:rsidRPr="00CC34E3" w:rsidRDefault="008877B4" w:rsidP="00173C38">
            <w:pPr>
              <w:jc w:val="center"/>
              <w:rPr>
                <w:color w:val="000000"/>
                <w:lang w:eastAsia="es-CO"/>
              </w:rPr>
            </w:pPr>
            <w:r w:rsidRPr="00CC34E3">
              <w:rPr>
                <w:color w:val="000000"/>
                <w:lang w:eastAsia="es-CO"/>
              </w:rPr>
              <w:t>227 ± 43</w:t>
            </w:r>
          </w:p>
        </w:tc>
      </w:tr>
      <w:tr w:rsidR="008877B4" w:rsidRPr="00CC34E3" w14:paraId="49B151FE" w14:textId="77777777" w:rsidTr="00173C38">
        <w:trPr>
          <w:trHeight w:val="300"/>
          <w:jc w:val="center"/>
        </w:trPr>
        <w:tc>
          <w:tcPr>
            <w:tcW w:w="3427" w:type="dxa"/>
            <w:tcBorders>
              <w:top w:val="nil"/>
              <w:left w:val="nil"/>
              <w:bottom w:val="nil"/>
              <w:right w:val="nil"/>
            </w:tcBorders>
            <w:shd w:val="clear" w:color="auto" w:fill="auto"/>
            <w:noWrap/>
            <w:vAlign w:val="center"/>
            <w:hideMark/>
          </w:tcPr>
          <w:p w14:paraId="4E276A0B" w14:textId="77777777" w:rsidR="008877B4" w:rsidRPr="00CC34E3" w:rsidRDefault="008877B4" w:rsidP="00173C38">
            <w:pPr>
              <w:rPr>
                <w:color w:val="000000"/>
                <w:lang w:eastAsia="es-CO"/>
              </w:rPr>
            </w:pPr>
            <w:r w:rsidRPr="00CC34E3">
              <w:rPr>
                <w:color w:val="000000"/>
                <w:lang w:eastAsia="es-CO"/>
              </w:rPr>
              <w:t>µg lunasin/mg sample (HPLC)</w:t>
            </w:r>
          </w:p>
        </w:tc>
        <w:tc>
          <w:tcPr>
            <w:tcW w:w="1251" w:type="dxa"/>
            <w:tcBorders>
              <w:top w:val="nil"/>
              <w:left w:val="nil"/>
              <w:bottom w:val="nil"/>
              <w:right w:val="nil"/>
            </w:tcBorders>
            <w:shd w:val="clear" w:color="auto" w:fill="auto"/>
            <w:noWrap/>
            <w:vAlign w:val="bottom"/>
            <w:hideMark/>
          </w:tcPr>
          <w:p w14:paraId="591C05E1" w14:textId="77777777" w:rsidR="008877B4" w:rsidRPr="00CC34E3" w:rsidRDefault="008877B4" w:rsidP="00173C38">
            <w:pPr>
              <w:jc w:val="center"/>
              <w:rPr>
                <w:color w:val="000000"/>
                <w:lang w:eastAsia="es-CO"/>
              </w:rPr>
            </w:pPr>
            <w:r w:rsidRPr="00CC34E3">
              <w:rPr>
                <w:color w:val="000000"/>
                <w:lang w:eastAsia="es-CO"/>
              </w:rPr>
              <w:t>465 ± 3</w:t>
            </w:r>
          </w:p>
        </w:tc>
        <w:tc>
          <w:tcPr>
            <w:tcW w:w="1276" w:type="dxa"/>
            <w:tcBorders>
              <w:top w:val="nil"/>
              <w:left w:val="nil"/>
              <w:bottom w:val="nil"/>
              <w:right w:val="nil"/>
            </w:tcBorders>
            <w:shd w:val="clear" w:color="auto" w:fill="auto"/>
            <w:noWrap/>
            <w:vAlign w:val="bottom"/>
            <w:hideMark/>
          </w:tcPr>
          <w:p w14:paraId="231A796F" w14:textId="77777777" w:rsidR="008877B4" w:rsidRPr="00CC34E3" w:rsidRDefault="008877B4" w:rsidP="00173C38">
            <w:pPr>
              <w:jc w:val="center"/>
              <w:rPr>
                <w:color w:val="000000"/>
                <w:lang w:eastAsia="es-CO"/>
              </w:rPr>
            </w:pPr>
            <w:r w:rsidRPr="00CC34E3">
              <w:rPr>
                <w:color w:val="000000"/>
                <w:lang w:eastAsia="es-CO"/>
              </w:rPr>
              <w:t>804 ± 79</w:t>
            </w:r>
          </w:p>
        </w:tc>
      </w:tr>
      <w:tr w:rsidR="008877B4" w:rsidRPr="00CC34E3" w14:paraId="139B9E7D" w14:textId="77777777" w:rsidTr="00173C38">
        <w:trPr>
          <w:trHeight w:val="315"/>
          <w:jc w:val="center"/>
        </w:trPr>
        <w:tc>
          <w:tcPr>
            <w:tcW w:w="3427" w:type="dxa"/>
            <w:tcBorders>
              <w:top w:val="nil"/>
              <w:left w:val="nil"/>
              <w:bottom w:val="single" w:sz="8" w:space="0" w:color="auto"/>
              <w:right w:val="nil"/>
            </w:tcBorders>
            <w:shd w:val="clear" w:color="auto" w:fill="auto"/>
            <w:noWrap/>
            <w:vAlign w:val="center"/>
            <w:hideMark/>
          </w:tcPr>
          <w:p w14:paraId="32A35FBB" w14:textId="640C07CD" w:rsidR="008877B4" w:rsidRPr="00CC34E3" w:rsidRDefault="008877B4" w:rsidP="00173C38">
            <w:pPr>
              <w:rPr>
                <w:color w:val="000000"/>
                <w:lang w:eastAsia="es-CO"/>
              </w:rPr>
            </w:pPr>
            <w:r w:rsidRPr="00CC34E3">
              <w:rPr>
                <w:color w:val="000000"/>
                <w:lang w:eastAsia="es-CO"/>
              </w:rPr>
              <w:t xml:space="preserve">% </w:t>
            </w:r>
            <w:r w:rsidR="005B6A80">
              <w:rPr>
                <w:color w:val="000000"/>
                <w:lang w:eastAsia="es-CO"/>
              </w:rPr>
              <w:t>l</w:t>
            </w:r>
            <w:r w:rsidR="009924FF" w:rsidRPr="00CC34E3">
              <w:rPr>
                <w:color w:val="000000"/>
                <w:lang w:eastAsia="es-CO"/>
              </w:rPr>
              <w:t>unasin</w:t>
            </w:r>
            <w:r w:rsidRPr="00CC34E3">
              <w:rPr>
                <w:color w:val="000000"/>
                <w:lang w:eastAsia="es-CO"/>
              </w:rPr>
              <w:t xml:space="preserve"> in solid</w:t>
            </w:r>
          </w:p>
        </w:tc>
        <w:tc>
          <w:tcPr>
            <w:tcW w:w="1251" w:type="dxa"/>
            <w:tcBorders>
              <w:top w:val="nil"/>
              <w:left w:val="nil"/>
              <w:bottom w:val="single" w:sz="8" w:space="0" w:color="auto"/>
              <w:right w:val="nil"/>
            </w:tcBorders>
            <w:shd w:val="clear" w:color="auto" w:fill="auto"/>
            <w:noWrap/>
            <w:vAlign w:val="bottom"/>
            <w:hideMark/>
          </w:tcPr>
          <w:p w14:paraId="409C5656" w14:textId="77777777" w:rsidR="008877B4" w:rsidRPr="00CC34E3" w:rsidRDefault="008877B4" w:rsidP="00173C38">
            <w:pPr>
              <w:jc w:val="center"/>
              <w:rPr>
                <w:color w:val="000000"/>
                <w:lang w:eastAsia="es-CO"/>
              </w:rPr>
            </w:pPr>
            <w:r w:rsidRPr="00CC34E3">
              <w:rPr>
                <w:color w:val="000000"/>
                <w:lang w:eastAsia="es-CO"/>
              </w:rPr>
              <w:t>46.5 ± 0.3</w:t>
            </w:r>
          </w:p>
        </w:tc>
        <w:tc>
          <w:tcPr>
            <w:tcW w:w="1276" w:type="dxa"/>
            <w:tcBorders>
              <w:top w:val="nil"/>
              <w:left w:val="nil"/>
              <w:bottom w:val="single" w:sz="8" w:space="0" w:color="auto"/>
              <w:right w:val="nil"/>
            </w:tcBorders>
            <w:shd w:val="clear" w:color="auto" w:fill="auto"/>
            <w:noWrap/>
            <w:vAlign w:val="bottom"/>
            <w:hideMark/>
          </w:tcPr>
          <w:p w14:paraId="48A8ED12" w14:textId="77777777" w:rsidR="008877B4" w:rsidRPr="00CC34E3" w:rsidRDefault="008877B4" w:rsidP="00173C38">
            <w:pPr>
              <w:jc w:val="center"/>
              <w:rPr>
                <w:color w:val="000000"/>
                <w:lang w:eastAsia="es-CO"/>
              </w:rPr>
            </w:pPr>
            <w:r w:rsidRPr="00CC34E3">
              <w:rPr>
                <w:color w:val="000000"/>
                <w:lang w:eastAsia="es-CO"/>
              </w:rPr>
              <w:t>80.4 ± 7.9</w:t>
            </w:r>
          </w:p>
        </w:tc>
      </w:tr>
    </w:tbl>
    <w:p w14:paraId="541BD7CF" w14:textId="77777777" w:rsidR="008877B4" w:rsidRDefault="008877B4" w:rsidP="008877B4"/>
    <w:p w14:paraId="4B32F518" w14:textId="77777777" w:rsidR="008877B4" w:rsidRPr="00CC34E3" w:rsidRDefault="008877B4" w:rsidP="008877B4"/>
    <w:p w14:paraId="7CF16BD6" w14:textId="77777777" w:rsidR="008877B4" w:rsidRPr="00742036" w:rsidRDefault="008877B4" w:rsidP="008877B4">
      <w:pPr>
        <w:rPr>
          <w:b/>
          <w:bCs/>
        </w:rPr>
      </w:pPr>
      <w:r>
        <w:rPr>
          <w:b/>
          <w:bCs/>
        </w:rPr>
        <w:br w:type="page"/>
      </w:r>
    </w:p>
    <w:p w14:paraId="54C2F3F1" w14:textId="77777777" w:rsidR="000A4297" w:rsidRDefault="008877B4" w:rsidP="000A4297">
      <w:pPr>
        <w:keepNext/>
        <w:jc w:val="center"/>
      </w:pPr>
      <w:r w:rsidRPr="00CC34E3">
        <w:rPr>
          <w:noProof/>
        </w:rPr>
        <w:lastRenderedPageBreak/>
        <w:drawing>
          <wp:inline distT="0" distB="0" distL="0" distR="0" wp14:anchorId="534FA643" wp14:editId="31AA2F1C">
            <wp:extent cx="2531059" cy="2095500"/>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r="54885"/>
                    <a:stretch/>
                  </pic:blipFill>
                  <pic:spPr bwMode="auto">
                    <a:xfrm>
                      <a:off x="0" y="0"/>
                      <a:ext cx="2531059" cy="2095500"/>
                    </a:xfrm>
                    <a:prstGeom prst="rect">
                      <a:avLst/>
                    </a:prstGeom>
                    <a:noFill/>
                    <a:ln>
                      <a:noFill/>
                    </a:ln>
                    <a:extLst>
                      <a:ext uri="{53640926-AAD7-44D8-BBD7-CCE9431645EC}">
                        <a14:shadowObscured xmlns:a14="http://schemas.microsoft.com/office/drawing/2010/main"/>
                      </a:ext>
                    </a:extLst>
                  </pic:spPr>
                </pic:pic>
              </a:graphicData>
            </a:graphic>
          </wp:inline>
        </w:drawing>
      </w:r>
    </w:p>
    <w:p w14:paraId="5615407D" w14:textId="675A33B5" w:rsidR="00FD4304" w:rsidRDefault="000A4297" w:rsidP="0030481A">
      <w:pPr>
        <w:pStyle w:val="Caption"/>
        <w:spacing w:line="480" w:lineRule="auto"/>
        <w:jc w:val="center"/>
        <w:rPr>
          <w:b w:val="0"/>
          <w:bCs w:val="0"/>
        </w:rPr>
      </w:pPr>
      <w:bookmarkStart w:id="76" w:name="_Toc77082200"/>
      <w:r>
        <w:t xml:space="preserve">Supplementary Figure </w:t>
      </w:r>
      <w:fldSimple w:instr=" STYLEREF 1 \s ">
        <w:r w:rsidR="0023061D">
          <w:rPr>
            <w:noProof/>
          </w:rPr>
          <w:t>2</w:t>
        </w:r>
      </w:fldSimple>
      <w:r>
        <w:t>.</w:t>
      </w:r>
      <w:fldSimple w:instr=" SEQ Supplementary_Figure \* ARABIC \s 1 ">
        <w:r w:rsidR="0023061D">
          <w:rPr>
            <w:noProof/>
          </w:rPr>
          <w:t>3</w:t>
        </w:r>
      </w:fldSimple>
      <w:r>
        <w:t xml:space="preserve"> </w:t>
      </w:r>
      <w:r w:rsidRPr="000A4297">
        <w:rPr>
          <w:b w:val="0"/>
        </w:rPr>
        <w:t>Corroboration of lunasin identity using antibodies against different fractions of the peptide.</w:t>
      </w:r>
      <w:bookmarkEnd w:id="76"/>
    </w:p>
    <w:p w14:paraId="0857D062" w14:textId="01F3860D" w:rsidR="008877B4" w:rsidRPr="000A4297" w:rsidRDefault="006D254F" w:rsidP="0030481A">
      <w:pPr>
        <w:pStyle w:val="Caption"/>
        <w:spacing w:line="480" w:lineRule="auto"/>
        <w:rPr>
          <w:b w:val="0"/>
        </w:rPr>
      </w:pPr>
      <w:r w:rsidRPr="006D254F">
        <w:rPr>
          <w:b w:val="0"/>
          <w:bCs w:val="0"/>
        </w:rPr>
        <w:t>(A</w:t>
      </w:r>
      <w:r>
        <w:rPr>
          <w:b w:val="0"/>
        </w:rPr>
        <w:t xml:space="preserve">) </w:t>
      </w:r>
      <w:r w:rsidR="008877B4" w:rsidRPr="000A4297">
        <w:rPr>
          <w:b w:val="0"/>
        </w:rPr>
        <w:t xml:space="preserve">SDS-PAGE, </w:t>
      </w:r>
      <w:r w:rsidRPr="000A4297">
        <w:rPr>
          <w:b w:val="0"/>
        </w:rPr>
        <w:t>(B)</w:t>
      </w:r>
      <w:r>
        <w:rPr>
          <w:b w:val="0"/>
        </w:rPr>
        <w:t xml:space="preserve"> </w:t>
      </w:r>
      <w:r w:rsidR="008877B4" w:rsidRPr="000A4297">
        <w:rPr>
          <w:b w:val="0"/>
        </w:rPr>
        <w:t xml:space="preserve">Western blot using lunasin antibodies LUP 3 and </w:t>
      </w:r>
      <w:r w:rsidRPr="000A4297">
        <w:rPr>
          <w:b w:val="0"/>
        </w:rPr>
        <w:t xml:space="preserve">(C) </w:t>
      </w:r>
      <w:r w:rsidR="008877B4" w:rsidRPr="000A4297">
        <w:rPr>
          <w:b w:val="0"/>
        </w:rPr>
        <w:t>LUP 4 for fractions F88 (lane 1), F78 (lane 2) and synthetic lunasin peptide (lane 3).</w:t>
      </w:r>
    </w:p>
    <w:p w14:paraId="2BE1F254" w14:textId="77777777" w:rsidR="008877B4" w:rsidRPr="000A4297" w:rsidRDefault="008877B4" w:rsidP="000A4297">
      <w:pPr>
        <w:spacing w:line="480" w:lineRule="auto"/>
        <w:rPr>
          <w:bCs/>
        </w:rPr>
      </w:pPr>
    </w:p>
    <w:p w14:paraId="161A593C" w14:textId="77777777" w:rsidR="008877B4" w:rsidRDefault="008877B4" w:rsidP="008877B4"/>
    <w:p w14:paraId="0BDE08AD" w14:textId="77777777" w:rsidR="008877B4" w:rsidRDefault="008877B4">
      <w:pPr>
        <w:rPr>
          <w:b/>
          <w:bCs/>
          <w:caps/>
          <w:sz w:val="28"/>
        </w:rPr>
      </w:pPr>
      <w:r>
        <w:rPr>
          <w:b/>
          <w:bCs/>
          <w:caps/>
          <w:sz w:val="28"/>
        </w:rPr>
        <w:br w:type="page"/>
      </w:r>
    </w:p>
    <w:p w14:paraId="5FFF78F6" w14:textId="77777777" w:rsidR="00973FDA" w:rsidRDefault="00973FDA">
      <w:pPr>
        <w:rPr>
          <w:b/>
          <w:bCs/>
          <w:caps/>
          <w:sz w:val="28"/>
        </w:rPr>
        <w:sectPr w:rsidR="00973FDA" w:rsidSect="00A833A4">
          <w:pgSz w:w="12240" w:h="15840" w:code="1"/>
          <w:pgMar w:top="1440" w:right="1800" w:bottom="1872" w:left="1800" w:header="720" w:footer="1440" w:gutter="0"/>
          <w:cols w:space="720"/>
          <w:noEndnote/>
          <w:docGrid w:linePitch="360"/>
        </w:sectPr>
      </w:pPr>
    </w:p>
    <w:p w14:paraId="66D06455" w14:textId="2D239605" w:rsidR="00F71ADC" w:rsidRPr="00973FDA" w:rsidRDefault="009B28C0" w:rsidP="00A25C25">
      <w:pPr>
        <w:pStyle w:val="Heading1"/>
        <w:numPr>
          <w:ilvl w:val="0"/>
          <w:numId w:val="10"/>
        </w:numPr>
        <w:spacing w:line="480" w:lineRule="auto"/>
        <w:rPr>
          <w:caps w:val="0"/>
        </w:rPr>
      </w:pPr>
      <w:bookmarkStart w:id="77" w:name="_Toc77082120"/>
      <w:bookmarkEnd w:id="59"/>
      <w:r w:rsidRPr="009B28C0">
        <w:rPr>
          <w:caps w:val="0"/>
        </w:rPr>
        <w:lastRenderedPageBreak/>
        <w:t>LUNASIN MODULATES THE ACTIVATION OF THE NLRP3 INFLAMMASOME AND REDUCES THE SUSCEPTIBILITY TO INFLAMMATORY BOWEL DISEASE IN IL-10</w:t>
      </w:r>
      <w:r w:rsidR="00E25534">
        <w:rPr>
          <w:caps w:val="0"/>
          <w:vertAlign w:val="superscript"/>
        </w:rPr>
        <w:t>-/-</w:t>
      </w:r>
      <w:r w:rsidRPr="009B28C0">
        <w:rPr>
          <w:caps w:val="0"/>
        </w:rPr>
        <w:t xml:space="preserve"> MICE</w:t>
      </w:r>
      <w:bookmarkEnd w:id="77"/>
      <w:r w:rsidR="00CE3A3E" w:rsidRPr="00973FDA">
        <w:rPr>
          <w:color w:val="FF0000"/>
        </w:rPr>
        <w:br w:type="page"/>
      </w:r>
    </w:p>
    <w:p w14:paraId="63A61174" w14:textId="77777777" w:rsidR="00973FDA" w:rsidRDefault="00973FDA" w:rsidP="00973FDA">
      <w:pPr>
        <w:pStyle w:val="Heading2"/>
        <w:rPr>
          <w:color w:val="FF0000"/>
        </w:rPr>
        <w:sectPr w:rsidR="00973FDA" w:rsidSect="00973FDA">
          <w:pgSz w:w="12240" w:h="15840" w:code="1"/>
          <w:pgMar w:top="1440" w:right="1800" w:bottom="1872" w:left="1800" w:header="720" w:footer="1440" w:gutter="0"/>
          <w:cols w:space="720"/>
          <w:vAlign w:val="center"/>
          <w:noEndnote/>
          <w:docGrid w:linePitch="360"/>
        </w:sectPr>
      </w:pPr>
      <w:bookmarkStart w:id="78" w:name="_Toc289175834"/>
    </w:p>
    <w:p w14:paraId="74F883A7" w14:textId="77777777" w:rsidR="00236E6D" w:rsidRPr="00973FDA" w:rsidRDefault="00973FDA" w:rsidP="000D0605">
      <w:pPr>
        <w:pStyle w:val="Heading2"/>
        <w:spacing w:line="480" w:lineRule="auto"/>
      </w:pPr>
      <w:bookmarkStart w:id="79" w:name="_Toc77082121"/>
      <w:r>
        <w:lastRenderedPageBreak/>
        <w:t xml:space="preserve">3.1 </w:t>
      </w:r>
      <w:r w:rsidR="00CE4D4B" w:rsidRPr="00973FDA">
        <w:t>Abstract</w:t>
      </w:r>
      <w:bookmarkEnd w:id="78"/>
      <w:bookmarkEnd w:id="79"/>
    </w:p>
    <w:p w14:paraId="26908A2D" w14:textId="6AB829E1" w:rsidR="00973FDA" w:rsidRDefault="00973FDA" w:rsidP="000D0605">
      <w:pPr>
        <w:spacing w:line="480" w:lineRule="auto"/>
        <w:ind w:firstLine="720"/>
        <w:rPr>
          <w:color w:val="000000" w:themeColor="text1"/>
        </w:rPr>
      </w:pPr>
      <w:r>
        <w:rPr>
          <w:color w:val="000000" w:themeColor="text1"/>
        </w:rPr>
        <w:t xml:space="preserve">Inflammatory bowel disease (IBD) is a condition of chronic inflammation that can cause severe damage to the gastrointestinal tract, compromising the health and well-being of thousands of people worldwide. Our goal was to investigate the protective effect of the soy peptide lunasin in an </w:t>
      </w:r>
      <w:r>
        <w:rPr>
          <w:i/>
          <w:iCs/>
          <w:color w:val="000000" w:themeColor="text1"/>
        </w:rPr>
        <w:t>in vivo</w:t>
      </w:r>
      <w:r>
        <w:rPr>
          <w:color w:val="000000" w:themeColor="text1"/>
        </w:rPr>
        <w:t xml:space="preserve"> model of susceptibility to IBD and to identify </w:t>
      </w:r>
      <w:r>
        <w:rPr>
          <w:i/>
          <w:iCs/>
          <w:color w:val="000000" w:themeColor="text1"/>
        </w:rPr>
        <w:t>in vitro</w:t>
      </w:r>
      <w:r>
        <w:rPr>
          <w:color w:val="000000" w:themeColor="text1"/>
        </w:rPr>
        <w:t xml:space="preserve"> the potential mechanism of action. In IL-10 deficient mice, oral administration of lunasin reduced the number and frequency of mice exhibiting macroscopic signs of susceptibility to inflammation and significantly decreased levels of the pro-inflammatory cytokines TNF-α, IL-1β, IL-6, and IL-18 by up to 95%, 90%, 90%, and 47%, respectively, in different sections of the small and large intestines. Dose-dependent decrease of caspase-1, IL-1β, and IL-18 in LPS-primed and ATP-activated THP-1 human macrophages demonstrated the ability of lunasin to modulate the NLRP3 inflammasome. The mechanism by which the inflammasome is modulated is through </w:t>
      </w:r>
      <w:r w:rsidR="003A7790">
        <w:rPr>
          <w:color w:val="000000" w:themeColor="text1"/>
        </w:rPr>
        <w:t>reduced protein levels</w:t>
      </w:r>
      <w:r>
        <w:rPr>
          <w:color w:val="000000" w:themeColor="text1"/>
        </w:rPr>
        <w:t xml:space="preserve"> of NLRP3. For the first time, we demonstrated that lunasin can decrease susceptibility to IBD in genetically susceptible mice by exerting anti-inflammatory properties. </w:t>
      </w:r>
    </w:p>
    <w:p w14:paraId="1211A882" w14:textId="77777777" w:rsidR="00CE4D4B" w:rsidRPr="00973FDA" w:rsidRDefault="00973FDA" w:rsidP="00973FDA">
      <w:pPr>
        <w:pStyle w:val="Heading2"/>
      </w:pPr>
      <w:bookmarkStart w:id="80" w:name="_Toc289175835"/>
      <w:bookmarkStart w:id="81" w:name="_Toc77082122"/>
      <w:r>
        <w:t xml:space="preserve">3.2 </w:t>
      </w:r>
      <w:r w:rsidR="00CE4D4B" w:rsidRPr="00973FDA">
        <w:t>Introduction</w:t>
      </w:r>
      <w:bookmarkEnd w:id="80"/>
      <w:bookmarkEnd w:id="81"/>
    </w:p>
    <w:p w14:paraId="4A7A33A1" w14:textId="77777777" w:rsidR="00973FDA" w:rsidRDefault="00973FDA" w:rsidP="00973FDA">
      <w:pPr>
        <w:rPr>
          <w:color w:val="000000" w:themeColor="text1"/>
        </w:rPr>
      </w:pPr>
    </w:p>
    <w:p w14:paraId="0265695F" w14:textId="77777777" w:rsidR="000D0605" w:rsidRDefault="000D0605" w:rsidP="000D0605">
      <w:pPr>
        <w:spacing w:line="480" w:lineRule="auto"/>
        <w:ind w:firstLine="720"/>
        <w:rPr>
          <w:color w:val="000000" w:themeColor="text1"/>
        </w:rPr>
      </w:pPr>
      <w:r>
        <w:rPr>
          <w:color w:val="000000" w:themeColor="text1"/>
        </w:rPr>
        <w:t xml:space="preserve">Inflammatory bowel disease (IBD) is a gastrointestinal disorder characterized by a state of chronic inflammation that results in severe damage of the bowel </w:t>
      </w:r>
      <w:r>
        <w:rPr>
          <w:color w:val="000000" w:themeColor="text1"/>
        </w:rPr>
        <w:fldChar w:fldCharType="begin" w:fldLock="1"/>
      </w:r>
      <w:r>
        <w:rPr>
          <w:color w:val="000000" w:themeColor="text1"/>
        </w:rPr>
        <w:instrText>ADDIN CSL_CITATION {"citationItems":[{"id":"ITEM-1","itemData":{"author":[{"dropping-particle":"","family":"Crohn's and Colitis Foundation of America","given":"","non-dropping-particle":"","parse-names":false,"suffix":""}],"container-title":"The facts about inflammatory bowel diseases","id":"ITEM-1","issued":{"date-parts":[["2014"]]},"page":"1 - 24","title":"Crohn's and Colitis Foundation","type":"webpage"},"uris":["http://www.mendeley.com/documents/?uuid=78db2156-04ee-40a8-bd24-620a51060139"]}],"mendeley":{"formattedCitation":"[1]","plainTextFormattedCitation":"[1]","previouslyFormattedCitation":"[4]"},"properties":{"noteIndex":0},"schema":"https://github.com/citation-style-language/schema/raw/master/csl-citation.json"}</w:instrText>
      </w:r>
      <w:r>
        <w:rPr>
          <w:color w:val="000000" w:themeColor="text1"/>
        </w:rPr>
        <w:fldChar w:fldCharType="separate"/>
      </w:r>
      <w:r w:rsidRPr="006009F4">
        <w:rPr>
          <w:noProof/>
          <w:color w:val="000000" w:themeColor="text1"/>
        </w:rPr>
        <w:t>[1]</w:t>
      </w:r>
      <w:r>
        <w:rPr>
          <w:color w:val="000000" w:themeColor="text1"/>
        </w:rPr>
        <w:fldChar w:fldCharType="end"/>
      </w:r>
      <w:r>
        <w:rPr>
          <w:color w:val="000000" w:themeColor="text1"/>
        </w:rPr>
        <w:t xml:space="preserve">. This results in intolerable intestinal and extra-intestinal symptoms, </w:t>
      </w:r>
      <w:r>
        <w:rPr>
          <w:color w:val="000000" w:themeColor="text1"/>
        </w:rPr>
        <w:lastRenderedPageBreak/>
        <w:t xml:space="preserve">and increases the risk of life-threatening conditions such as colorectal cancer </w:t>
      </w:r>
      <w:r>
        <w:rPr>
          <w:color w:val="000000" w:themeColor="text1"/>
        </w:rPr>
        <w:fldChar w:fldCharType="begin" w:fldLock="1"/>
      </w:r>
      <w:r>
        <w:rPr>
          <w:color w:val="000000" w:themeColor="text1"/>
        </w:rPr>
        <w:instrText>ADDIN CSL_CITATION {"citationItems":[{"id":"ITEM-1","itemData":{"DOI":"10.1016/j.semcancer.2019.05.001","ISSN":"10963650","PMID":"31112753","abstract":"Inflammatory bowel diseases (IBDs) are chronic problems of gastrointestinal tract (GIT) with poorly understood aetiology. Patients with any of the two common entities, Crohn's disease (CD) or ulcerative colitis (UD) have significant increased risk of gastrointestinal and extra-intestinal malignancies. Particularly, the colorectal cancer (CRC) and lymphomas are the most frequently associated cancers with IBD. Although the incidence of CRC has declined in the European countries during last 30 years yet the risk among IBD patients remains higher than the healthy people. In the present study, we have described many common factors influencing the onset and advancement of IBD and CRC including the alterations in gut microbiota, changes in the interleukin pathways and tumour necrosis factor. The other common factors are patient age, race, genetics, family history, diet composition, obesity and level of vitamins and minerals in the body. These multiple factors contribute to the higher incidence of CRC among IBD patients.","author":[{"dropping-particle":"","family":"Nadeem","given":"Muhammad Shahid","non-dropping-particle":"","parse-names":false,"suffix":""},{"dropping-particle":"","family":"Kumar","given":"Vikas","non-dropping-particle":"","parse-names":false,"suffix":""},{"dropping-particle":"","family":"Al-Abbasi","given":"Fahad A.","non-dropping-particle":"","parse-names":false,"suffix":""},{"dropping-particle":"","family":"Kamal","given":"Mohammad Amjad","non-dropping-particle":"","parse-names":false,"suffix":""},{"dropping-particle":"","family":"Anwar","given":"Firoz","non-dropping-particle":"","parse-names":false,"suffix":""}],"container-title":"Seminars in Cancer Biology","id":"ITEM-1","issued":{"date-parts":[["2020","8","1"]]},"page":"51-60","publisher":"Academic Press","title":"Risk of colorectal cancer in inflammatory bowel diseases","type":"article","volume":"64"},"uris":["http://www.mendeley.com/documents/?uuid=5e53ad40-2cea-3335-bd09-8383b861f192"]},{"id":"ITEM-2","itemData":{"author":[{"dropping-particle":"","family":"Crohn's and Colitis Foundation of America","given":"","non-dropping-particle":"","parse-names":false,"suffix":""}],"container-title":"The facts about inflammatory bowel diseases","id":"ITEM-2","issued":{"date-parts":[["2014"]]},"page":"1 - 24","title":"Crohn's and Colitis Foundation","type":"webpage"},"uris":["http://www.mendeley.com/documents/?uuid=78db2156-04ee-40a8-bd24-620a51060139"]}],"mendeley":{"formattedCitation":"[1,2]","plainTextFormattedCitation":"[1,2]","previouslyFormattedCitation":"[4,5]"},"properties":{"noteIndex":0},"schema":"https://github.com/citation-style-language/schema/raw/master/csl-citation.json"}</w:instrText>
      </w:r>
      <w:r>
        <w:rPr>
          <w:color w:val="000000" w:themeColor="text1"/>
        </w:rPr>
        <w:fldChar w:fldCharType="separate"/>
      </w:r>
      <w:r w:rsidRPr="006009F4">
        <w:rPr>
          <w:noProof/>
          <w:color w:val="000000" w:themeColor="text1"/>
        </w:rPr>
        <w:t>[1,2]</w:t>
      </w:r>
      <w:r>
        <w:rPr>
          <w:color w:val="000000" w:themeColor="text1"/>
        </w:rPr>
        <w:fldChar w:fldCharType="end"/>
      </w:r>
      <w:r>
        <w:rPr>
          <w:color w:val="000000" w:themeColor="text1"/>
        </w:rPr>
        <w:t xml:space="preserve">. It is estimated that more than 6.8 million people worldwide suffer from either Crohn’s disease (CD) or ulcerative colitis (UC), the two major forms of IBD </w:t>
      </w:r>
      <w:r>
        <w:rPr>
          <w:color w:val="000000" w:themeColor="text1"/>
        </w:rPr>
        <w:fldChar w:fldCharType="begin" w:fldLock="1"/>
      </w:r>
      <w:r>
        <w:rPr>
          <w:color w:val="000000" w:themeColor="text1"/>
        </w:rPr>
        <w:instrText>ADDIN CSL_CITATION {"citationItems":[{"id":"ITEM-1","itemData":{"DOI":"10.1016/S2468-1253(19)30358-9","ISSN":"24681253","PMID":"31648974","author":[{"dropping-particle":"","family":"Jairath","given":"Vipul","non-dropping-particle":"","parse-names":false,"suffix":""},{"dropping-particle":"","family":"Feagan","given":"Brian G.","non-dropping-particle":"","parse-names":false,"suffix":""}],"container-title":"The Lancet Gastroenterology and Hepatology","id":"ITEM-1","issue":"1","issued":{"date-parts":[["2020","1","1"]]},"page":"2-3","publisher":"Elsevier Ltd","title":"Global burden of inflammatory bowel disease","type":"article","volume":"5"},"uris":["http://www.mendeley.com/documents/?uuid=225ac839-a09f-323e-a1bd-743c3800c0eb"]}],"mendeley":{"formattedCitation":"[3]","plainTextFormattedCitation":"[3]","previouslyFormattedCitation":"[6]"},"properties":{"noteIndex":0},"schema":"https://github.com/citation-style-language/schema/raw/master/csl-citation.json"}</w:instrText>
      </w:r>
      <w:r>
        <w:rPr>
          <w:color w:val="000000" w:themeColor="text1"/>
        </w:rPr>
        <w:fldChar w:fldCharType="separate"/>
      </w:r>
      <w:r w:rsidRPr="006009F4">
        <w:rPr>
          <w:noProof/>
          <w:color w:val="000000" w:themeColor="text1"/>
        </w:rPr>
        <w:t>[3]</w:t>
      </w:r>
      <w:r>
        <w:rPr>
          <w:color w:val="000000" w:themeColor="text1"/>
        </w:rPr>
        <w:fldChar w:fldCharType="end"/>
      </w:r>
      <w:r>
        <w:rPr>
          <w:color w:val="000000" w:themeColor="text1"/>
        </w:rPr>
        <w:t xml:space="preserve">. Immune cells and cytokines are crucial players in IBD, modulating the initiation, development, recurrence, and exacerbation of the inflammatory response and the associated clinical manifestations </w:t>
      </w:r>
      <w:r>
        <w:rPr>
          <w:noProof/>
          <w:color w:val="000000" w:themeColor="text1"/>
          <w:vertAlign w:val="superscript"/>
        </w:rPr>
        <w:fldChar w:fldCharType="begin" w:fldLock="1"/>
      </w:r>
      <w:r>
        <w:rPr>
          <w:noProof/>
          <w:color w:val="000000" w:themeColor="text1"/>
          <w:vertAlign w:val="superscript"/>
        </w:rPr>
        <w:instrText>ADDIN CSL_CITATION {"citationItems":[{"id":"ITEM-1","itemData":{"DOI":"10.1038/nri3661","ISSN":"14741741","PMID":"24751956","abstract":"Cytokines have a crucial role in the pathogenesis of inflammatory bowel diseases (IBDs), such as Crohn's disease and ulcerative colitis, where they control multiple aspects of the inflammatory response. In particular, the imbalance between pro-inflammatory and anti-inflammatory cytokines that occurs in IBD impedes the resolution of inflammation and instead leads to disease perpetuation and tissue destruction. Recent studies suggest the existence of a network of regulatory cytokines that has important implications for disease progression. In this Review, we discuss the role of cytokines produced by innate and adaptive immune cells, as well as their relevance to the future therapy of IBD. © 2014 Macmillan Publishers Limited. All rights reserved.","author":[{"dropping-particle":"","family":"Neurath","given":"Markus F.","non-dropping-particle":"","parse-names":false,"suffix":""}],"container-title":"Nature Reviews Immunology","id":"ITEM-1","issue":"5","issued":{"date-parts":[["2014","4","22"]]},"page":"329-342","publisher":"Nature Publishing Group","title":"Cytokines in inflammatory bowel disease","type":"article","volume":"14"},"uris":["http://www.mendeley.com/documents/?uuid=41dcea7e-db04-4b63-b242-e5af29ee7d4c"]}],"mendeley":{"formattedCitation":"[4]","plainTextFormattedCitation":"[4]","previouslyFormattedCitation":"[32]"},"properties":{"noteIndex":0},"schema":"https://github.com/citation-style-language/schema/raw/master/csl-citation.json"}</w:instrText>
      </w:r>
      <w:r>
        <w:rPr>
          <w:noProof/>
          <w:color w:val="000000" w:themeColor="text1"/>
          <w:vertAlign w:val="superscript"/>
        </w:rPr>
        <w:fldChar w:fldCharType="separate"/>
      </w:r>
      <w:r w:rsidRPr="006009F4">
        <w:rPr>
          <w:noProof/>
          <w:color w:val="000000" w:themeColor="text1"/>
        </w:rPr>
        <w:t>[4]</w:t>
      </w:r>
      <w:r>
        <w:rPr>
          <w:noProof/>
          <w:color w:val="000000" w:themeColor="text1"/>
          <w:vertAlign w:val="superscript"/>
        </w:rPr>
        <w:fldChar w:fldCharType="end"/>
      </w:r>
      <w:r>
        <w:rPr>
          <w:color w:val="000000" w:themeColor="text1"/>
          <w:shd w:val="clear" w:color="auto" w:fill="FFFFFF"/>
        </w:rPr>
        <w:t xml:space="preserve">. </w:t>
      </w:r>
      <w:r>
        <w:rPr>
          <w:color w:val="000000" w:themeColor="text1"/>
        </w:rPr>
        <w:t xml:space="preserve">Hence, therapeutics frequently used to treat IBD such as steroids, aminosalicylates, and immunomodulators are molecules with strong immunosuppressive effects </w:t>
      </w:r>
      <w:r>
        <w:rPr>
          <w:color w:val="000000" w:themeColor="text1"/>
        </w:rPr>
        <w:fldChar w:fldCharType="begin" w:fldLock="1"/>
      </w:r>
      <w:r>
        <w:rPr>
          <w:color w:val="000000" w:themeColor="text1"/>
        </w:rPr>
        <w:instrText>ADDIN CSL_CITATION {"citationItems":[{"id":"ITEM-1","itemData":{"DOI":"10.1016/j.cppeds.2020.100785","ISSN":"15383199","PMID":"32402535","abstract":"Worldwide incidence of inflammatory bowel disease (IBD) is stable in developed countries, but rising in developing countries. Presenting symptoms of IBD can be highly variable. New imaging modalities, a greater armamentarium of therapeutic options, and a greater understanding of complication risks have changed the diagnosis and management of pediatric inflammatory bowel diseases. Effective teamwork among those who care for pediatric patients with IBD minimizes complications and maximizes desired outcomes.","author":[{"dropping-particle":"","family":"Sandberg","given":"Kelly","non-dropping-particle":"","parse-names":false,"suffix":""},{"dropping-particle":"","family":"Yarger","given":"Elizabeth","non-dropping-particle":"","parse-names":false,"suffix":""},{"dropping-particle":"","family":"Saeed","given":"Shehzad","non-dropping-particle":"","parse-names":false,"suffix":""}],"container-title":"Current Problems in Pediatric and Adolescent Health Care","id":"ITEM-1","issue":"5","issued":{"date-parts":[["2020","5","1"]]},"page":"100785","publisher":"Mosby Inc.","title":"Updates in diagnosis and management of inflammatory bowel disease","type":"article-journal","volume":"50"},"uris":["http://www.mendeley.com/documents/?uuid=80479239-2af5-3ec1-9970-328457862a0b"]}],"mendeley":{"formattedCitation":"[5]","plainTextFormattedCitation":"[5]","previouslyFormattedCitation":"[15]"},"properties":{"noteIndex":0},"schema":"https://github.com/citation-style-language/schema/raw/master/csl-citation.json"}</w:instrText>
      </w:r>
      <w:r>
        <w:rPr>
          <w:color w:val="000000" w:themeColor="text1"/>
        </w:rPr>
        <w:fldChar w:fldCharType="separate"/>
      </w:r>
      <w:r w:rsidRPr="006009F4">
        <w:rPr>
          <w:noProof/>
          <w:color w:val="000000" w:themeColor="text1"/>
        </w:rPr>
        <w:t>[5]</w:t>
      </w:r>
      <w:r>
        <w:rPr>
          <w:color w:val="000000" w:themeColor="text1"/>
        </w:rPr>
        <w:fldChar w:fldCharType="end"/>
      </w:r>
      <w:r>
        <w:rPr>
          <w:color w:val="000000" w:themeColor="text1"/>
        </w:rPr>
        <w:t xml:space="preserve">, or biologics that  blockade highly specific inflammatory key targets such as tumor necrosis factor α (TNF-α), integrins, tyrosine kinases or their receptors </w:t>
      </w:r>
      <w:r>
        <w:rPr>
          <w:color w:val="000000" w:themeColor="text1"/>
        </w:rPr>
        <w:fldChar w:fldCharType="begin" w:fldLock="1"/>
      </w:r>
      <w:r>
        <w:rPr>
          <w:color w:val="000000" w:themeColor="text1"/>
        </w:rPr>
        <w:instrText>ADDIN CSL_CITATION {"citationItems":[{"id":"ITEM-1","itemData":{"DOI":"10.5009/gnl14226","ISSN":"20051212","PMID":"25547087","abstract":"Conventional medical treatment for ulcerative colitis can have limited efficacy or severe adverse reactions requiring additional treatment or colectomy. Hence, different biological agents that target specific immunological pathways are being investigated for treating ulcerative colitis. Anti-tumor necrosis factor (TNF) agents were the first biologics to be used for treating inflammatory bowel disease. For example, infliximab and adalimumab, which are anti-TNF agents, are being used for treating ulcerative colitis. Recently, golimumab, another anti-TNF agent, and vedolizumab, an anti-adhesion therapy, have been approved for ulcerative colitis by the U.S. Food and Drug Administration. In addition, new medications such as tofacitinib, a Janus kinase inhibitor, and etrolizumab, another anti-adhesion therapy, are emerging as therapeutic agents. Therefore, there is a need for further studies to select appropriate patient groups for these biologics and to improve the outcomes of ulcerative colitis treatment through appropriate medical usage.","author":[{"dropping-particle":"","family":"Park","given":"Sung Chul","non-dropping-particle":"","parse-names":false,"suffix":""},{"dropping-particle":"","family":"Jeen","given":"Yoon Tae","non-dropping-particle":"","parse-names":false,"suffix":""}],"container-title":"Gut and Liver","id":"ITEM-1","issue":"1","issued":{"date-parts":[["2015","1","1"]]},"page":"18-27","publisher":"Joe Bok Chung","title":"Current and emerging biologics for ulcerative colitis","type":"article-journal","volume":"9"},"uris":["http://www.mendeley.com/documents/?uuid=589f18cb-7563-3a38-b2ae-c527ed8a901a"]}],"mendeley":{"formattedCitation":"[6]","plainTextFormattedCitation":"[6]","previouslyFormattedCitation":"[43]"},"properties":{"noteIndex":0},"schema":"https://github.com/citation-style-language/schema/raw/master/csl-citation.json"}</w:instrText>
      </w:r>
      <w:r>
        <w:rPr>
          <w:color w:val="000000" w:themeColor="text1"/>
        </w:rPr>
        <w:fldChar w:fldCharType="separate"/>
      </w:r>
      <w:r w:rsidRPr="006009F4">
        <w:rPr>
          <w:noProof/>
          <w:color w:val="000000" w:themeColor="text1"/>
        </w:rPr>
        <w:t>[6]</w:t>
      </w:r>
      <w:r>
        <w:rPr>
          <w:color w:val="000000" w:themeColor="text1"/>
        </w:rPr>
        <w:fldChar w:fldCharType="end"/>
      </w:r>
      <w:r>
        <w:rPr>
          <w:color w:val="000000" w:themeColor="text1"/>
        </w:rPr>
        <w:t xml:space="preserve">. However, serious adverse effects associated with these therapeutics include opportunistic infections, peptic ulcers, hepatotoxicity, pancreatitis, renal dysfunction, hypertension, myelosuppression, pulmonary fibrosis, and potential correlation with some malignancies </w:t>
      </w:r>
      <w:r>
        <w:rPr>
          <w:color w:val="000000" w:themeColor="text1"/>
        </w:rPr>
        <w:fldChar w:fldCharType="begin" w:fldLock="1"/>
      </w:r>
      <w:r>
        <w:rPr>
          <w:color w:val="000000" w:themeColor="text1"/>
        </w:rPr>
        <w:instrText>ADDIN CSL_CITATION {"citationItems":[{"id":"ITEM-1","itemData":{"DOI":"10.1016/j.bpg.2009.10.011","ISSN":"15216918","PMID":"20227029","abstract":"Drugs used for treating inflammatory bowel disease are known to have a number of gastrointestinal and liver adverse effects. 5-ASA products are relatively safe and have few adverse events. In contrast sulfasalazine has side effects in 11-40% of treated patients including fatigue, nausea, abdominal pain and diarrhoea. Glucocorticoids can induce or propagate peptic ulcers and upper GI bleeding especially in combination with NSAIDs. Thioguanins may have severe gastrointestinal side effects including gastrointestinal complaints (in up to 12%), hepatotoxicity (up to 4%) and pancreatitis (1%). Nodular regenerative hyperplasia (NRH) is an important potential side effect of thiopurine therapy especially in men with Crohn's disease after ileocecal resection. NRH may ultimately lead to portal hypertension. A major concern of methotrexate therapy in IBD besides myelosuppression and pulmonary fibrosis is hepatotoxicity. 5 mg of folic acid substitution per week potentially decreases gastrointestinal side effects by 80% without interfering with the efficacy of methotrexate. Besides renal dysfunction, tremor, hirsutism, hypertension and gum hyperplasia cyclosporine is known to have a number of gastrointestinal side effects that occur with less frequency such as diarrhoea (up to 8%) nausea and vomiting (up to 10%) and hepatotoxicity in 1-4%. Rare gastrointestinal adverse events are gastritis and peptic ulcers. Paying attention to these potential deleterious side effects is mandatory for physicians treating IBD patients. © 2009 Elsevier Ltd. All rights reserved.","author":[{"dropping-particle":"","family":"Rogler","given":"Gerhard","non-dropping-particle":"","parse-names":false,"suffix":""}],"container-title":"Best Practice and Research: Clinical Gastroenterology","id":"ITEM-1","issue":"2","issued":{"date-parts":[["2010","4","1"]]},"page":"157-165","publisher":"Baillière Tindall","title":"Gastrointestinal and liver adverse effects of drugs used for treating IBD","type":"article-journal","volume":"24"},"uris":["http://www.mendeley.com/documents/?uuid=3d20a427-5a02-3167-b30e-c74abf3ea165"]}],"mendeley":{"formattedCitation":"[7]","plainTextFormattedCitation":"[7]","previouslyFormattedCitation":"[16]"},"properties":{"noteIndex":0},"schema":"https://github.com/citation-style-language/schema/raw/master/csl-citation.json"}</w:instrText>
      </w:r>
      <w:r>
        <w:rPr>
          <w:color w:val="000000" w:themeColor="text1"/>
        </w:rPr>
        <w:fldChar w:fldCharType="separate"/>
      </w:r>
      <w:r w:rsidRPr="006009F4">
        <w:rPr>
          <w:noProof/>
          <w:color w:val="000000" w:themeColor="text1"/>
        </w:rPr>
        <w:t>[7]</w:t>
      </w:r>
      <w:r>
        <w:rPr>
          <w:color w:val="000000" w:themeColor="text1"/>
        </w:rPr>
        <w:fldChar w:fldCharType="end"/>
      </w:r>
      <w:r>
        <w:rPr>
          <w:color w:val="000000" w:themeColor="text1"/>
        </w:rPr>
        <w:t>. Therefore, it is essential to seek effective and safe options to lessen intestinal inflammation with minimum or no adverse consequences.</w:t>
      </w:r>
    </w:p>
    <w:p w14:paraId="0C156E84" w14:textId="77777777" w:rsidR="000D0605" w:rsidRDefault="000D0605" w:rsidP="000D0605">
      <w:pPr>
        <w:spacing w:line="480" w:lineRule="auto"/>
        <w:ind w:firstLine="720"/>
        <w:rPr>
          <w:color w:val="000000" w:themeColor="text1"/>
        </w:rPr>
      </w:pPr>
      <w:r>
        <w:rPr>
          <w:color w:val="000000" w:themeColor="text1"/>
        </w:rPr>
        <w:t xml:space="preserve">Genetic susceptibility that leads to a dysregulated immune response to environmental triggers has been suggested as the potential underlying etiology of IBD </w:t>
      </w:r>
      <w:r>
        <w:rPr>
          <w:color w:val="000000" w:themeColor="text1"/>
        </w:rPr>
        <w:fldChar w:fldCharType="begin" w:fldLock="1"/>
      </w:r>
      <w:r>
        <w:rPr>
          <w:color w:val="000000" w:themeColor="text1"/>
        </w:rPr>
        <w:instrText>ADDIN CSL_CITATION {"citationItems":[{"id":"ITEM-1","itemData":{"DOI":"10.1016/j.jaut.2015.07.013","ISSN":"10959157","PMID":"26257098","abstract":"The major inflammatory bowel diseases, Crohn's disease and ulcerative colitis, are both debilitating disorders of the gastrointestinal tract, characterized by a dysregulated immune response to unknown environmental triggers. Both disorders have an important and overlapping genetic component, and much progress has been made in the last 20 years at elucidating some of the specific factors contributing to disease pathogenesis. Here we review our growing understanding of the immunogenetics of inflammatory bowel disease, from the twin studies that first implicated a role for the genome in disease susceptibility to the latest genome-wide association studies that have identified hundreds of associated loci. We consider the insight this offers into the biological mechanisms of the inflammatory bowel diseases, such as autophagy, barrier defence and T-cell differentiation signalling. We reflect on these findings in the context of other immune-related disorders, both common and rare. These observations include links both obvious, such as to pediatric colitis, and more surprising, such as to leprosy. As a changing picture of the underlying genetic architecture emerges, we turn to future directions for the study of complex human diseases such as these, including the use of next generation sequencing technologies for the identification of rarer risk alleles, and potential approaches for narrowing down associated loci to casual variants. We consider the implications of this work for translation into clinical practice, for example via early therapeutic hypotheses arising from our improved understanding of the biology of inflammatory bowel disease. Finally, we present potential opportunities to better understand environmental risk factors, such as the human microbiota in the context of immunogenetics.","author":[{"dropping-particle":"","family":"Lange","given":"Katrina M.","non-dropping-particle":"de","parse-names":false,"suffix":""},{"dropping-particle":"","family":"Barrett","given":"Jeffrey C.","non-dropping-particle":"","parse-names":false,"suffix":""}],"container-title":"Journal of Autoimmunity","id":"ITEM-1","issued":{"date-parts":[["2015","11","1"]]},"page":"91-100","publisher":"Academic Press","title":"Understanding inflammatory bowel disease via immunogenetics","type":"article","volume":"64"},"uris":["http://www.mendeley.com/documents/?uuid=c2ceeb07-d982-3eee-a80b-80e5832f1c0a"]}],"mendeley":{"formattedCitation":"[8]","plainTextFormattedCitation":"[8]","previouslyFormattedCitation":"[14]"},"properties":{"noteIndex":0},"schema":"https://github.com/citation-style-language/schema/raw/master/csl-citation.json"}</w:instrText>
      </w:r>
      <w:r>
        <w:rPr>
          <w:color w:val="000000" w:themeColor="text1"/>
        </w:rPr>
        <w:fldChar w:fldCharType="separate"/>
      </w:r>
      <w:r w:rsidRPr="006009F4">
        <w:rPr>
          <w:noProof/>
          <w:color w:val="000000" w:themeColor="text1"/>
        </w:rPr>
        <w:t>[8]</w:t>
      </w:r>
      <w:r>
        <w:rPr>
          <w:color w:val="000000" w:themeColor="text1"/>
        </w:rPr>
        <w:fldChar w:fldCharType="end"/>
      </w:r>
      <w:r>
        <w:rPr>
          <w:color w:val="000000" w:themeColor="text1"/>
        </w:rPr>
        <w:t>. Although only 26% and 19% of inheritable CD and UC cases can be explained by common genetic variants, progress has been made by identifying 163 susceptibility loci with direct implication in IBD, affecting pathways related to lymphocyte activation, innate mucosal defense, and the production of pro-</w:t>
      </w:r>
      <w:r>
        <w:rPr>
          <w:color w:val="000000" w:themeColor="text1"/>
        </w:rPr>
        <w:lastRenderedPageBreak/>
        <w:t xml:space="preserve">inflammatory and anti-inflammatory cytokines, particularly IFN-γ, TNF-α, IL-12 and IL-10 </w:t>
      </w:r>
      <w:r>
        <w:rPr>
          <w:color w:val="000000" w:themeColor="text1"/>
        </w:rPr>
        <w:fldChar w:fldCharType="begin" w:fldLock="1"/>
      </w:r>
      <w:r>
        <w:rPr>
          <w:color w:val="000000" w:themeColor="text1"/>
        </w:rPr>
        <w:instrText>ADDIN CSL_CITATION {"citationItems":[{"id":"ITEM-1","itemData":{"DOI":"10.1016/j.jaut.2015.07.013","ISSN":"10959157","PMID":"26257098","abstract":"The major inflammatory bowel diseases, Crohn's disease and ulcerative colitis, are both debilitating disorders of the gastrointestinal tract, characterized by a dysregulated immune response to unknown environmental triggers. Both disorders have an important and overlapping genetic component, and much progress has been made in the last 20 years at elucidating some of the specific factors contributing to disease pathogenesis. Here we review our growing understanding of the immunogenetics of inflammatory bowel disease, from the twin studies that first implicated a role for the genome in disease susceptibility to the latest genome-wide association studies that have identified hundreds of associated loci. We consider the insight this offers into the biological mechanisms of the inflammatory bowel diseases, such as autophagy, barrier defence and T-cell differentiation signalling. We reflect on these findings in the context of other immune-related disorders, both common and rare. These observations include links both obvious, such as to pediatric colitis, and more surprising, such as to leprosy. As a changing picture of the underlying genetic architecture emerges, we turn to future directions for the study of complex human diseases such as these, including the use of next generation sequencing technologies for the identification of rarer risk alleles, and potential approaches for narrowing down associated loci to casual variants. We consider the implications of this work for translation into clinical practice, for example via early therapeutic hypotheses arising from our improved understanding of the biology of inflammatory bowel disease. Finally, we present potential opportunities to better understand environmental risk factors, such as the human microbiota in the context of immunogenetics.","author":[{"dropping-particle":"","family":"Lange","given":"Katrina M.","non-dropping-particle":"de","parse-names":false,"suffix":""},{"dropping-particle":"","family":"Barrett","given":"Jeffrey C.","non-dropping-particle":"","parse-names":false,"suffix":""}],"container-title":"Journal of Autoimmunity","id":"ITEM-1","issued":{"date-parts":[["2015","11","1"]]},"page":"91-100","publisher":"Academic Press","title":"Understanding inflammatory bowel disease via immunogenetics","type":"article","volume":"64"},"uris":["http://www.mendeley.com/documents/?uuid=c2ceeb07-d982-3eee-a80b-80e5832f1c0a"]}],"mendeley":{"formattedCitation":"[8]","plainTextFormattedCitation":"[8]","previouslyFormattedCitation":"[14]"},"properties":{"noteIndex":0},"schema":"https://github.com/citation-style-language/schema/raw/master/csl-citation.json"}</w:instrText>
      </w:r>
      <w:r>
        <w:rPr>
          <w:color w:val="000000" w:themeColor="text1"/>
        </w:rPr>
        <w:fldChar w:fldCharType="separate"/>
      </w:r>
      <w:r w:rsidRPr="006009F4">
        <w:rPr>
          <w:noProof/>
          <w:color w:val="000000" w:themeColor="text1"/>
        </w:rPr>
        <w:t>[8]</w:t>
      </w:r>
      <w:r>
        <w:rPr>
          <w:color w:val="000000" w:themeColor="text1"/>
        </w:rPr>
        <w:fldChar w:fldCharType="end"/>
      </w:r>
      <w:r>
        <w:rPr>
          <w:color w:val="000000" w:themeColor="text1"/>
        </w:rPr>
        <w:t xml:space="preserve">. IL-10 and IL-10 receptor defects result in a severe early onset of the disease in humans, leading to intractable enterocolitis in infants and young children </w:t>
      </w:r>
      <w:r>
        <w:rPr>
          <w:color w:val="000000" w:themeColor="text1"/>
        </w:rPr>
        <w:fldChar w:fldCharType="begin" w:fldLock="1"/>
      </w:r>
      <w:r>
        <w:rPr>
          <w:color w:val="000000" w:themeColor="text1"/>
        </w:rPr>
        <w:instrText>ADDIN CSL_CITATION {"citationItems":[{"id":"ITEM-1","itemData":{"DOI":"10.1111/j.1749-6632.2011.06339.x","ISSN":"17496632","PMID":"22236434","abstract":"Inflammatory bowel disease (IBD), which includes Crohn's disease (CD) and ulcerative colitis (UC), is chronic in nature and is characterized by abdominal pain, diarrhea, bleeding, and malabsorption. It is considered a complex multigenic and multifactorial disorder that results from disturbed interactions between the immune system and commensal bacteria of the gut. Recent work has demonstrated that IBD with an early-onset within the first months of life can be monogenic: mutations in IL-10 or its receptor lead to a loss of IL-10 function and cause severe intractable enterocolitis in infants and small children. Both IL-10 and IL-10 receptor deficiency can be successfully treated by hematopoietic stem cell transplantation. © 2011 New York Academy of Sciences.","author":[{"dropping-particle":"","family":"Glocker","given":"Erik Oliver","non-dropping-particle":"","parse-names":false,"suffix":""},{"dropping-particle":"","family":"Kotlarz","given":"Daniel","non-dropping-particle":"","parse-names":false,"suffix":""},{"dropping-particle":"","family":"Klein","given":"Christoph","non-dropping-particle":"","parse-names":false,"suffix":""},{"dropping-particle":"","family":"Shah","given":"Neil","non-dropping-particle":"","parse-names":false,"suffix":""},{"dropping-particle":"","family":"Grimbacher","given":"Bodo","non-dropping-particle":"","parse-names":false,"suffix":""}],"container-title":"Annals of the New York Academy of Sciences","id":"ITEM-1","issue":"1","issued":{"date-parts":[["2011","12"]]},"page":"102-107","publisher":"Blackwell Publishing Inc.","title":"IL-10 and IL-10 receptor defects in humans","type":"article-journal","volume":"1246"},"uris":["http://www.mendeley.com/documents/?uuid=c0fed133-a826-35fe-ad30-c614637fce6b"]}],"mendeley":{"formattedCitation":"[9]","plainTextFormattedCitation":"[9]","previouslyFormattedCitation":"[147]"},"properties":{"noteIndex":0},"schema":"https://github.com/citation-style-language/schema/raw/master/csl-citation.json"}</w:instrText>
      </w:r>
      <w:r>
        <w:rPr>
          <w:color w:val="000000" w:themeColor="text1"/>
        </w:rPr>
        <w:fldChar w:fldCharType="separate"/>
      </w:r>
      <w:r w:rsidRPr="006009F4">
        <w:rPr>
          <w:noProof/>
          <w:color w:val="000000" w:themeColor="text1"/>
        </w:rPr>
        <w:t>[9]</w:t>
      </w:r>
      <w:r>
        <w:rPr>
          <w:color w:val="000000" w:themeColor="text1"/>
        </w:rPr>
        <w:fldChar w:fldCharType="end"/>
      </w:r>
      <w:r>
        <w:rPr>
          <w:color w:val="000000" w:themeColor="text1"/>
        </w:rPr>
        <w:t>. IL-10 deficient mice (IL-10</w:t>
      </w:r>
      <w:r>
        <w:rPr>
          <w:color w:val="000000" w:themeColor="text1"/>
          <w:vertAlign w:val="superscript"/>
        </w:rPr>
        <w:t>-/-</w:t>
      </w:r>
      <w:r>
        <w:rPr>
          <w:color w:val="000000" w:themeColor="text1"/>
        </w:rPr>
        <w:t xml:space="preserve">) spontaneously develop colitis with transmural inflammatory infiltrates, ulcers, epithelial hyperplasia, crypt abscesses, and mucin depletion, which resemble histological characteristics of the disease in humans </w:t>
      </w:r>
      <w:r>
        <w:rPr>
          <w:color w:val="000000" w:themeColor="text1"/>
        </w:rPr>
        <w:fldChar w:fldCharType="begin" w:fldLock="1"/>
      </w:r>
      <w:r>
        <w:rPr>
          <w:color w:val="000000" w:themeColor="text1"/>
        </w:rPr>
        <w:instrText>ADDIN CSL_CITATION {"citationItems":[{"id":"ITEM-1","itemData":{"DOI":"10.1097/MIB.0000000000000468","ISSN":"1078-0998","abstract":"Complex mechanisms are pulling the strings to initiate the development of inflammatory bowel disease. Current evidence indicates that an interaction of genetic susceptibilities (polymorphisms), environmental factors, and the host microbiota leads to a dysregulation of the mucosal immune system. In the past decades, the interleukin-10-deficient mouse has served as an excellent model to mirror the multifactorial nature of this disease. Here, we want to review in detail the interplay of the genetic factors, immune aspects, and especially summarize and discuss the role of the microbiota contributing to colitis development in the interleukin-10-deficient mouse model of inflammatory bowel disease as a multihit model.","author":[{"dropping-particle":"","family":"Keubler","given":"Lydia M.","non-dropping-particle":"","parse-names":false,"suffix":""},{"dropping-particle":"","family":"Buettner","given":"Manuela","non-dropping-particle":"","parse-names":false,"suffix":""},{"dropping-particle":"","family":"Häger","given":"Christine","non-dropping-particle":"","parse-names":false,"suffix":""},{"dropping-particle":"","family":"Bleich","given":"André","non-dropping-particle":"","parse-names":false,"suffix":""}],"container-title":"Inflammatory Bowel Diseases","id":"ITEM-1","issue":"8","issued":{"date-parts":[["2015","8","29"]]},"page":"1967-1975","publisher":"Lippincott Williams and Wilkins","title":"A Multihit Model: Colitis Lessons from the Interleukin-10–deficient Mouse","type":"article-journal","volume":"21"},"uris":["http://www.mendeley.com/documents/?uuid=68222c37-cfed-3e2c-83ab-ae6c0fa2df8a"]}],"mendeley":{"formattedCitation":"[10]","plainTextFormattedCitation":"[10]","previouslyFormattedCitation":"[148]"},"properties":{"noteIndex":0},"schema":"https://github.com/citation-style-language/schema/raw/master/csl-citation.json"}</w:instrText>
      </w:r>
      <w:r>
        <w:rPr>
          <w:color w:val="000000" w:themeColor="text1"/>
        </w:rPr>
        <w:fldChar w:fldCharType="separate"/>
      </w:r>
      <w:r w:rsidRPr="006009F4">
        <w:rPr>
          <w:noProof/>
          <w:color w:val="000000" w:themeColor="text1"/>
        </w:rPr>
        <w:t>[10]</w:t>
      </w:r>
      <w:r>
        <w:rPr>
          <w:color w:val="000000" w:themeColor="text1"/>
        </w:rPr>
        <w:fldChar w:fldCharType="end"/>
      </w:r>
      <w:r>
        <w:rPr>
          <w:color w:val="000000" w:themeColor="text1"/>
        </w:rPr>
        <w:t>.</w:t>
      </w:r>
    </w:p>
    <w:p w14:paraId="2B8DC39F" w14:textId="362B7F58" w:rsidR="000D0605" w:rsidRDefault="000D0605" w:rsidP="000D0605">
      <w:pPr>
        <w:spacing w:line="480" w:lineRule="auto"/>
        <w:ind w:firstLine="720"/>
        <w:rPr>
          <w:color w:val="000000" w:themeColor="text1"/>
        </w:rPr>
      </w:pPr>
      <w:r>
        <w:rPr>
          <w:color w:val="000000" w:themeColor="text1"/>
        </w:rPr>
        <w:t xml:space="preserve">Activation of the inflammasome nucleotide-binding oligomerization domain-like receptor containing pyrin domain 3 (NLRP3) has been reported in CD and UC patients with long-standing disease </w:t>
      </w:r>
      <w:r>
        <w:rPr>
          <w:color w:val="000000" w:themeColor="text1"/>
        </w:rPr>
        <w:fldChar w:fldCharType="begin" w:fldLock="1"/>
      </w:r>
      <w:r>
        <w:rPr>
          <w:color w:val="000000" w:themeColor="text1"/>
        </w:rPr>
        <w:instrText>ADDIN CSL_CITATION {"citationItems":[{"id":"ITEM-1","itemData":{"DOI":"10.1007/s10620-017-4609-8","ISSN":"15732568","PMID":"28523573","abstract":"Background: NLRP3 inflammasome is a multimolecular cytosol complex that, when activated, contributes to the cleavage of pro-interleukin (IL)-1β to IL-1β. Aims: To investigate NLRP3 inflammasome activation in inflammatory bowel disease. Methods: Peripheral blood mononuclear cells from Crohn’s disease (CD), ulcerative colitis (UC) patients and controls were stimulated with LPS in the absence or presence of MSU. After incubation, concentrations of IL-1β, IL-6, and TNFα were measured in cell supernatants and concentration of pro-IL-1β was measured in cell lysates. NLRP3 activation was defined as more than 30% increase in IL-1β production after MSU addition. In separate experiments, PBMCs were lysed for RNA isolation transcripts of IL-1β, TNFα, NLRP3, and CASP1 were measured by RT-PCR. DNA was isolated from CD patients for ATG16L1 gene genotyping. Results: NLRP3 inflammasome was activated in 60% of CD patients compared to 28.6% of controls (p = 0.042); no significant difference was detected between UC and controls. Among UC patients, NLRP3 activation was associated (p = 0.008) with long-standing disease (&gt;1.5 years). IL-1β levels were significantly higher in CD patents in comparison with controls (p = 0.032). No difference was detected in the levels of IL-6, TNFα, pro-IL-1β and in the numbers IL-1β, TNFα, NLRP3, and CASP1 transcripts among groups. IL-1β production was similar between carriers of wild-type and of SNP alleles of the rs2241880. Conclusions: NLRP3 inflammasome is activated in CD patients and in UC patients with long-standing disease.","author":[{"dropping-particle":"","family":"Lazaridis","given":"Lazaros Dimitrios","non-dropping-particle":"","parse-names":false,"suffix":""},{"dropping-particle":"","family":"Pistiki","given":"Aikaterini","non-dropping-particle":"","parse-names":false,"suffix":""},{"dropping-particle":"","family":"Giamarellos-Bourboulis","given":"Evangelos J.","non-dropping-particle":"","parse-names":false,"suffix":""},{"dropping-particle":"","family":"Georgitsi","given":"Marianna","non-dropping-particle":"","parse-names":false,"suffix":""},{"dropping-particle":"","family":"Damoraki","given":"Georgia","non-dropping-particle":"","parse-names":false,"suffix":""},{"dropping-particle":"","family":"Polymeros","given":"Dimitrios","non-dropping-particle":"","parse-names":false,"suffix":""},{"dropping-particle":"","family":"Dimitriadis","given":"George D.","non-dropping-particle":"","parse-names":false,"suffix":""},{"dropping-particle":"","family":"Triantafyllou","given":"Konstantinos","non-dropping-particle":"","parse-names":false,"suffix":""}],"container-title":"Digestive Diseases and Sciences","id":"ITEM-1","issue":"9","issued":{"date-parts":[["2017","9","1"]]},"page":"2348-2356","publisher":"Springer New York LLC","title":"Activation of NLRP3 Inflammasome in Inflammatory Bowel Disease: Differences Between Crohn’s Disease and Ulcerative Colitis","type":"article-journal","volume":"62"},"uris":["http://www.mendeley.com/documents/?uuid=178eb0d2-af43-39a5-83ce-c38aafabdf9d"]}],"mendeley":{"formattedCitation":"[11]","plainTextFormattedCitation":"[11]","previouslyFormattedCitation":"[149]"},"properties":{"noteIndex":0},"schema":"https://github.com/citation-style-language/schema/raw/master/csl-citation.json"}</w:instrText>
      </w:r>
      <w:r>
        <w:rPr>
          <w:color w:val="000000" w:themeColor="text1"/>
        </w:rPr>
        <w:fldChar w:fldCharType="separate"/>
      </w:r>
      <w:r w:rsidRPr="006009F4">
        <w:rPr>
          <w:noProof/>
          <w:color w:val="000000" w:themeColor="text1"/>
        </w:rPr>
        <w:t>[11]</w:t>
      </w:r>
      <w:r>
        <w:rPr>
          <w:color w:val="000000" w:themeColor="text1"/>
        </w:rPr>
        <w:fldChar w:fldCharType="end"/>
      </w:r>
      <w:r>
        <w:rPr>
          <w:color w:val="000000" w:themeColor="text1"/>
        </w:rPr>
        <w:t xml:space="preserve">. Also, the NLRP3 inflammasome has been found to play an important role in the development of spontaneous colitis in IL-10-/-  mice </w:t>
      </w:r>
      <w:r>
        <w:rPr>
          <w:color w:val="000000" w:themeColor="text1"/>
        </w:rPr>
        <w:fldChar w:fldCharType="begin" w:fldLock="1"/>
      </w:r>
      <w:r>
        <w:rPr>
          <w:color w:val="000000" w:themeColor="text1"/>
        </w:rPr>
        <w:instrText>ADDIN CSL_CITATION {"citationItems":[{"id":"ITEM-1","itemData":{"DOI":"10.1038/mi.2014.1","ISSN":"19353456","PMID":"24472848","abstract":"Inflammatory bowel disease (IBD) is characterized for dysregulated intestinal inflammation. Conflicting reports have shown that activation of inflammasome could promote or decrease intestinal inflammation in an acute colitis model, whereas the involvement of inflammasome activation in chronic colitis is poorly understood. In this study, we investigated the role of inflammasome activation in the development of chronic intestinal inflammation by utilizing interleukin-10 (IL-10) knockout (KO) mouse as an animal model, which develops chronic colitis resembling human IBD. We demonstrate the causative link between inflammasome activation and the development of chronic intestinal inflammation. Our results show that mature IL-1β protein levels were significantly increased in all colon sections from IL-10-deficient mice compared with that of wild-type mice. We found that inhibition of inflammasome activities with IL-1 receptor antagonist or caspase-1 inhibitors suppressed IL-1β and IL-17 production from inflamed colon explants. Furthermore, blocking inflammasome activation with caspase-1 inhibitor in vivo significantly ameliorated the spontaneous colitis in IL-10 KO mice. Taken together, these observations demonstrate that inflammasome activation promotes the development of chronic intestinal inflammation. © 2014 Society for Mucosal Immunology.","author":[{"dropping-particle":"","family":"Zhang","given":"J.","non-dropping-particle":"","parse-names":false,"suffix":""},{"dropping-particle":"","family":"Fu","given":"S.","non-dropping-particle":"","parse-names":false,"suffix":""},{"dropping-particle":"","family":"Sun","given":"S.","non-dropping-particle":"","parse-names":false,"suffix":""},{"dropping-particle":"","family":"Li","given":"Z.","non-dropping-particle":"","parse-names":false,"suffix":""},{"dropping-particle":"","family":"Guo","given":"B.","non-dropping-particle":"","parse-names":false,"suffix":""}],"container-title":"Mucosal Immunology","id":"ITEM-1","issue":"5","issued":{"date-parts":[["2014","1","29"]]},"page":"1139-1150","publisher":"Nature Publishing Group","title":"Inflammasome activation has an important role in the development of spontaneous colitis","type":"article-journal","volume":"7"},"uris":["http://www.mendeley.com/documents/?uuid=64be6c4f-b4ad-3457-95c7-e06f519376ba"]}],"mendeley":{"formattedCitation":"[12]","plainTextFormattedCitation":"[12]","previouslyFormattedCitation":"[150]"},"properties":{"noteIndex":0},"schema":"https://github.com/citation-style-language/schema/raw/master/csl-citation.json"}</w:instrText>
      </w:r>
      <w:r>
        <w:rPr>
          <w:color w:val="000000" w:themeColor="text1"/>
        </w:rPr>
        <w:fldChar w:fldCharType="separate"/>
      </w:r>
      <w:r w:rsidRPr="006009F4">
        <w:rPr>
          <w:noProof/>
          <w:color w:val="000000" w:themeColor="text1"/>
        </w:rPr>
        <w:t>[12]</w:t>
      </w:r>
      <w:r>
        <w:rPr>
          <w:color w:val="000000" w:themeColor="text1"/>
        </w:rPr>
        <w:fldChar w:fldCharType="end"/>
      </w:r>
      <w:r>
        <w:rPr>
          <w:color w:val="000000" w:themeColor="text1"/>
        </w:rPr>
        <w:t xml:space="preserve">. Inflammasomes are multiprotein complexes that regulate the recruitment and activation of caspase-1, leading to maturation of pro-IL-18 and pro-IL-1β into active forms </w:t>
      </w:r>
      <w:r w:rsidR="002502EE">
        <w:rPr>
          <w:color w:val="000000" w:themeColor="text1"/>
        </w:rPr>
        <w:t xml:space="preserve">which are </w:t>
      </w:r>
      <w:r>
        <w:rPr>
          <w:color w:val="000000" w:themeColor="text1"/>
        </w:rPr>
        <w:t xml:space="preserve"> subsequently </w:t>
      </w:r>
      <w:r w:rsidR="002502EE">
        <w:rPr>
          <w:color w:val="000000" w:themeColor="text1"/>
        </w:rPr>
        <w:t xml:space="preserve">released </w:t>
      </w:r>
      <w:r>
        <w:rPr>
          <w:color w:val="000000" w:themeColor="text1"/>
        </w:rPr>
        <w:t xml:space="preserve">to the extracellular environment, contributing to the inflammatory response </w:t>
      </w:r>
      <w:r>
        <w:rPr>
          <w:color w:val="000000" w:themeColor="text1"/>
        </w:rPr>
        <w:fldChar w:fldCharType="begin" w:fldLock="1"/>
      </w:r>
      <w:r>
        <w:rPr>
          <w:color w:val="000000" w:themeColor="text1"/>
        </w:rPr>
        <w:instrText>ADDIN CSL_CITATION {"citationItems":[{"id":"ITEM-1","itemData":{"DOI":"10.1016/j.cell.2010.01.040","ISSN":"00928674","PMID":"20303873","abstract":"Inflammasomes are molecular platforms activated upon cellular infection or stress that trigger the maturation of proinflammatory cytokines such as interleukin-1β to engage innate immune defenses. Strong associations between dysregulated inflammasome activity and human heritable and acquired inflammatory diseases highlight the importance this pathway in tailoring immune responses. Here, we comprehensively review mechanisms directing normal inflammasome function and its dysregulation in disease. Agonists and activation mechanisms of the NLRP1, NLRP3, IPAF, and AIM2 inflammasomes are discussed. Regulatory mechanisms that potentiate or limit inflammasome activation are examined, as well as emerging links between the inflammasome and pyroptosis and autophagy. © 2010 Elsevier Inc.","author":[{"dropping-particle":"","family":"Schroder","given":"Kate","non-dropping-particle":"","parse-names":false,"suffix":""},{"dropping-particle":"","family":"Tschopp","given":"Jurg","non-dropping-particle":"","parse-names":false,"suffix":""}],"container-title":"Cell","id":"ITEM-1","issue":"6","issued":{"date-parts":[["2010","3","19"]]},"page":"821-832","publisher":"Cell Press","title":"The Inflammasomes","type":"article","volume":"140"},"uris":["http://www.mendeley.com/documents/?uuid=199ecdbb-abfc-3277-8e51-9c0409bfc4c5"]}],"mendeley":{"formattedCitation":"[13]","plainTextFormattedCitation":"[13]","previouslyFormattedCitation":"[151]"},"properties":{"noteIndex":0},"schema":"https://github.com/citation-style-language/schema/raw/master/csl-citation.json"}</w:instrText>
      </w:r>
      <w:r>
        <w:rPr>
          <w:color w:val="000000" w:themeColor="text1"/>
        </w:rPr>
        <w:fldChar w:fldCharType="separate"/>
      </w:r>
      <w:r w:rsidRPr="006009F4">
        <w:rPr>
          <w:noProof/>
          <w:color w:val="000000" w:themeColor="text1"/>
        </w:rPr>
        <w:t>[13]</w:t>
      </w:r>
      <w:r>
        <w:rPr>
          <w:color w:val="000000" w:themeColor="text1"/>
        </w:rPr>
        <w:fldChar w:fldCharType="end"/>
      </w:r>
      <w:r>
        <w:rPr>
          <w:color w:val="000000" w:themeColor="text1"/>
        </w:rPr>
        <w:t xml:space="preserve">. </w:t>
      </w:r>
      <w:r>
        <w:t xml:space="preserve">NLRP3 inflammasome activation is a two-step process. During the priming stage, Toll-like receptors (TLR) agonists from pathogenic or commensal bacteria, act as inflammatory stimuli by inducing NF-κB mediated expression of NLRP3 and pro-IL-1β </w:t>
      </w:r>
      <w:r>
        <w:fldChar w:fldCharType="begin" w:fldLock="1"/>
      </w:r>
      <w:r>
        <w:instrText>ADDIN CSL_CITATION {"citationItems":[{"id":"ITEM-1","itemData":{"DOI":"10.1038/s41419-019-1413-8","ISSN":"20414889","PMID":"30755589","abstract":"The NLRP3 inflammasome is a multimeric protein complex that initiates an inflammatory form of cell death and triggers the release of proinflammatory cytokines IL-1β and IL-18. The NLRP3 inflammasome has been implicated in a wide range of diseases, including Alzheimer’s disease, Prion diseases, type 2 diabetes, and some infectious diseases. It has been found that a variety of stimuli including danger-associated molecular patterns (DAMPs, such as silica and uric acid crystals) and pathogen-associated molecular patterns (PAMPs) can activate NLRP3 inflammasome, but the specific regulatory mechanisms of NLRP3 inflammasome activation remain unclear. Understanding the mechanisms of NLRP3 activation will enable the development of its specific inhibitors to treat NLRP3-related diseases. In this review, we summarize current understanding of the regulatory mechanisms of NLRP3 inflammasome activation as well as inhibitors that specifically and directly target NLRP3.","author":[{"dropping-particle":"","family":"Yang","given":"Yang","non-dropping-particle":"","parse-names":false,"suffix":""},{"dropping-particle":"","family":"Wang","given":"Huanan","non-dropping-particle":"","parse-names":false,"suffix":""},{"dropping-particle":"","family":"Kouadir","given":"Mohammed","non-dropping-particle":"","parse-names":false,"suffix":""},{"dropping-particle":"","family":"Song","given":"Houhui","non-dropping-particle":"","parse-names":false,"suffix":""},{"dropping-particle":"","family":"Shi","given":"Fushan","non-dropping-particle":"","parse-names":false,"suffix":""}],"container-title":"Cell Death and Disease","id":"ITEM-1","issue":"2","issued":{"date-parts":[["2019"]]},"publisher":"Springer US","title":"Recent advances in the mechanisms of NLRP3 inflammasome activation and its inhibitors","type":"article-journal","volume":"10"},"uris":["http://www.mendeley.com/documents/?uuid=42a65392-fc62-4c30-a691-a88629fcb5dc"]}],"mendeley":{"formattedCitation":"[14]","plainTextFormattedCitation":"[14]","previouslyFormattedCitation":"[152]"},"properties":{"noteIndex":0},"schema":"https://github.com/citation-style-language/schema/raw/master/csl-citation.json"}</w:instrText>
      </w:r>
      <w:r>
        <w:fldChar w:fldCharType="separate"/>
      </w:r>
      <w:r w:rsidRPr="006009F4">
        <w:rPr>
          <w:noProof/>
        </w:rPr>
        <w:t>[14]</w:t>
      </w:r>
      <w:r>
        <w:fldChar w:fldCharType="end"/>
      </w:r>
      <w:r>
        <w:t xml:space="preserve">. Then the activation stage is triggered by pathogen or danger-associated molecular pattern molecules (PAMPs and DAMPs, respectively) promoting the interaction and assembly of </w:t>
      </w:r>
      <w:r>
        <w:rPr>
          <w:color w:val="000000" w:themeColor="text1"/>
        </w:rPr>
        <w:t xml:space="preserve">NLRP3 with the apoptosis-associated speck-like protein (ASC) containing a caspase recruitment </w:t>
      </w:r>
      <w:r>
        <w:rPr>
          <w:color w:val="000000" w:themeColor="text1"/>
        </w:rPr>
        <w:lastRenderedPageBreak/>
        <w:t xml:space="preserve">domain (CARD) via the pyrin domain, facilitating the interaction between the ASC and pro-caspase-1 CARD domains and mediating the cleavage of pro-caspase-1 into the active effector with proteolytic activity </w:t>
      </w:r>
      <w:r>
        <w:rPr>
          <w:color w:val="000000" w:themeColor="text1"/>
        </w:rPr>
        <w:fldChar w:fldCharType="begin" w:fldLock="1"/>
      </w:r>
      <w:r>
        <w:rPr>
          <w:color w:val="000000" w:themeColor="text1"/>
        </w:rPr>
        <w:instrText>ADDIN CSL_CITATION {"citationItems":[{"id":"ITEM-1","itemData":{"DOI":"10.1038/s41419-019-1413-8","ISSN":"20414889","PMID":"30755589","abstract":"The NLRP3 inflammasome is a multimeric protein complex that initiates an inflammatory form of cell death and triggers the release of proinflammatory cytokines IL-1β and IL-18. The NLRP3 inflammasome has been implicated in a wide range of diseases, including Alzheimer’s disease, Prion diseases, type 2 diabetes, and some infectious diseases. It has been found that a variety of stimuli including danger-associated molecular patterns (DAMPs, such as silica and uric acid crystals) and pathogen-associated molecular patterns (PAMPs) can activate NLRP3 inflammasome, but the specific regulatory mechanisms of NLRP3 inflammasome activation remain unclear. Understanding the mechanisms of NLRP3 activation will enable the development of its specific inhibitors to treat NLRP3-related diseases. In this review, we summarize current understanding of the regulatory mechanisms of NLRP3 inflammasome activation as well as inhibitors that specifically and directly target NLRP3.","author":[{"dropping-particle":"","family":"Yang","given":"Yang","non-dropping-particle":"","parse-names":false,"suffix":""},{"dropping-particle":"","family":"Wang","given":"Huanan","non-dropping-particle":"","parse-names":false,"suffix":""},{"dropping-particle":"","family":"Kouadir","given":"Mohammed","non-dropping-particle":"","parse-names":false,"suffix":""},{"dropping-particle":"","family":"Song","given":"Houhui","non-dropping-particle":"","parse-names":false,"suffix":""},{"dropping-particle":"","family":"Shi","given":"Fushan","non-dropping-particle":"","parse-names":false,"suffix":""}],"container-title":"Cell Death and Disease","id":"ITEM-1","issue":"2","issued":{"date-parts":[["2019"]]},"publisher":"Springer US","title":"Recent advances in the mechanisms of NLRP3 inflammasome activation and its inhibitors","type":"article-journal","volume":"10"},"uris":["http://www.mendeley.com/documents/?uuid=42a65392-fc62-4c30-a691-a88629fcb5dc"]}],"mendeley":{"formattedCitation":"[14]","plainTextFormattedCitation":"[14]","previouslyFormattedCitation":"[152]"},"properties":{"noteIndex":0},"schema":"https://github.com/citation-style-language/schema/raw/master/csl-citation.json"}</w:instrText>
      </w:r>
      <w:r>
        <w:rPr>
          <w:color w:val="000000" w:themeColor="text1"/>
        </w:rPr>
        <w:fldChar w:fldCharType="separate"/>
      </w:r>
      <w:r w:rsidRPr="006009F4">
        <w:rPr>
          <w:noProof/>
          <w:color w:val="000000" w:themeColor="text1"/>
        </w:rPr>
        <w:t>[14]</w:t>
      </w:r>
      <w:r>
        <w:rPr>
          <w:color w:val="000000" w:themeColor="text1"/>
        </w:rPr>
        <w:fldChar w:fldCharType="end"/>
      </w:r>
      <w:r>
        <w:rPr>
          <w:color w:val="000000" w:themeColor="text1"/>
        </w:rPr>
        <w:t xml:space="preserve">. Blockade of the NLRP3 inflammasome by  caspase-1 inhibitors has been shown to ameliorate spontaneous colitis in IL-10-/- mice </w:t>
      </w:r>
      <w:r>
        <w:rPr>
          <w:color w:val="000000" w:themeColor="text1"/>
        </w:rPr>
        <w:fldChar w:fldCharType="begin" w:fldLock="1"/>
      </w:r>
      <w:r>
        <w:rPr>
          <w:color w:val="000000" w:themeColor="text1"/>
        </w:rPr>
        <w:instrText>ADDIN CSL_CITATION {"citationItems":[{"id":"ITEM-1","itemData":{"DOI":"10.1038/mi.2014.1","ISSN":"19353456","PMID":"24472848","abstract":"Inflammatory bowel disease (IBD) is characterized for dysregulated intestinal inflammation. Conflicting reports have shown that activation of inflammasome could promote or decrease intestinal inflammation in an acute colitis model, whereas the involvement of inflammasome activation in chronic colitis is poorly understood. In this study, we investigated the role of inflammasome activation in the development of chronic intestinal inflammation by utilizing interleukin-10 (IL-10) knockout (KO) mouse as an animal model, which develops chronic colitis resembling human IBD. We demonstrate the causative link between inflammasome activation and the development of chronic intestinal inflammation. Our results show that mature IL-1β protein levels were significantly increased in all colon sections from IL-10-deficient mice compared with that of wild-type mice. We found that inhibition of inflammasome activities with IL-1 receptor antagonist or caspase-1 inhibitors suppressed IL-1β and IL-17 production from inflamed colon explants. Furthermore, blocking inflammasome activation with caspase-1 inhibitor in vivo significantly ameliorated the spontaneous colitis in IL-10 KO mice. Taken together, these observations demonstrate that inflammasome activation promotes the development of chronic intestinal inflammation. © 2014 Society for Mucosal Immunology.","author":[{"dropping-particle":"","family":"Zhang","given":"J.","non-dropping-particle":"","parse-names":false,"suffix":""},{"dropping-particle":"","family":"Fu","given":"S.","non-dropping-particle":"","parse-names":false,"suffix":""},{"dropping-particle":"","family":"Sun","given":"S.","non-dropping-particle":"","parse-names":false,"suffix":""},{"dropping-particle":"","family":"Li","given":"Z.","non-dropping-particle":"","parse-names":false,"suffix":""},{"dropping-particle":"","family":"Guo","given":"B.","non-dropping-particle":"","parse-names":false,"suffix":""}],"container-title":"Mucosal Immunology","id":"ITEM-1","issue":"5","issued":{"date-parts":[["2014","1","29"]]},"page":"1139-1150","publisher":"Nature Publishing Group","title":"Inflammasome activation has an important role in the development of spontaneous colitis","type":"article-journal","volume":"7"},"uris":["http://www.mendeley.com/documents/?uuid=64be6c4f-b4ad-3457-95c7-e06f519376ba"]}],"mendeley":{"formattedCitation":"[12]","plainTextFormattedCitation":"[12]","previouslyFormattedCitation":"[150]"},"properties":{"noteIndex":0},"schema":"https://github.com/citation-style-language/schema/raw/master/csl-citation.json"}</w:instrText>
      </w:r>
      <w:r>
        <w:rPr>
          <w:color w:val="000000" w:themeColor="text1"/>
        </w:rPr>
        <w:fldChar w:fldCharType="separate"/>
      </w:r>
      <w:r w:rsidRPr="006009F4">
        <w:rPr>
          <w:noProof/>
          <w:color w:val="000000" w:themeColor="text1"/>
        </w:rPr>
        <w:t>[12]</w:t>
      </w:r>
      <w:r>
        <w:rPr>
          <w:color w:val="000000" w:themeColor="text1"/>
        </w:rPr>
        <w:fldChar w:fldCharType="end"/>
      </w:r>
      <w:r>
        <w:rPr>
          <w:color w:val="000000" w:themeColor="text1"/>
        </w:rPr>
        <w:t xml:space="preserve">. Specific events, such as ion potassium efflux </w:t>
      </w:r>
      <w:r>
        <w:rPr>
          <w:color w:val="000000" w:themeColor="text1"/>
        </w:rPr>
        <w:fldChar w:fldCharType="begin" w:fldLock="1"/>
      </w:r>
      <w:r>
        <w:rPr>
          <w:color w:val="000000" w:themeColor="text1"/>
        </w:rPr>
        <w:instrText>ADDIN CSL_CITATION {"citationItems":[{"id":"ITEM-1","itemData":{"DOI":"10.1016/j.immuni.2013.05.016","ISSN":"10747613","PMID":"23809161","abstract":"The NLRP3 inflammasome is an important component of the innate immune system. However, its mechanism of activation remains largely unknown. We show that NLRP3 activators including bacterial pore-forming toxins, nigericin, ATP, and particulate matter caused mitochondrial perturbation or the opening of a large membrane pore, but this was not required for NLRP3 activation. Furthermore, reactive oxygen species generation or a change in cell volume was not necessary for NLRP3 activation. Instead, the only common activity induced by all NLRP3 agonists was the permeation of the cell membrane to K+ and Na+. Notably, reduction of the intracellular K+ concentration was sufficient to activate NLRP3, whereas an increase in intracellular Na+ modulated but was not strictly required for inflammasome activation. These results provide a unifying model for the activation of the NLRP3 inflammasome in which a drop in cytosolic K+ is the common step that is necessary and sufficient for caspase-1 activation. © 2013 Elsevier Inc..","author":[{"dropping-particle":"","family":"Muñoz-Planillo","given":"Raúl","non-dropping-particle":"","parse-names":false,"suffix":""},{"dropping-particle":"","family":"Kuffa","given":"Peter","non-dropping-particle":"","parse-names":false,"suffix":""},{"dropping-particle":"","family":"Martínez-Colón","given":"Giovanny","non-dropping-particle":"","parse-names":false,"suffix":""},{"dropping-particle":"","family":"Smith","given":"Brenna L.","non-dropping-particle":"","parse-names":false,"suffix":""},{"dropping-particle":"","family":"Rajendiran","given":"Thekkelnaycke M.","non-dropping-particle":"","parse-names":false,"suffix":""},{"dropping-particle":"","family":"Núñez","given":"Gabriel","non-dropping-particle":"","parse-names":false,"suffix":""}],"container-title":"Immunity","id":"ITEM-1","issue":"6","issued":{"date-parts":[["2013","6","27"]]},"page":"1142-1153","publisher":"Immunity","title":"K+ Efflux Is the Common Trigger of NLRP3 Inflammasome Activation by Bacterial Toxins and Particulate Matter","type":"article-journal","volume":"38"},"uris":["http://www.mendeley.com/documents/?uuid=fb988c99-f5fb-3262-be64-384c93a6926e"]}],"mendeley":{"formattedCitation":"[15]","plainTextFormattedCitation":"[15]","previouslyFormattedCitation":"[153]"},"properties":{"noteIndex":0},"schema":"https://github.com/citation-style-language/schema/raw/master/csl-citation.json"}</w:instrText>
      </w:r>
      <w:r>
        <w:rPr>
          <w:color w:val="000000" w:themeColor="text1"/>
        </w:rPr>
        <w:fldChar w:fldCharType="separate"/>
      </w:r>
      <w:r w:rsidRPr="006009F4">
        <w:rPr>
          <w:noProof/>
          <w:color w:val="000000" w:themeColor="text1"/>
        </w:rPr>
        <w:t>[15]</w:t>
      </w:r>
      <w:r>
        <w:rPr>
          <w:color w:val="000000" w:themeColor="text1"/>
        </w:rPr>
        <w:fldChar w:fldCharType="end"/>
      </w:r>
      <w:r>
        <w:rPr>
          <w:color w:val="000000" w:themeColor="text1"/>
        </w:rPr>
        <w:t xml:space="preserve"> and mitochondrial dysfunction, and particularly m</w:t>
      </w:r>
      <w:r>
        <w:t xml:space="preserve">ROS </w:t>
      </w:r>
      <w:r>
        <w:fldChar w:fldCharType="begin" w:fldLock="1"/>
      </w:r>
      <w:r>
        <w:instrText>ADDIN CSL_CITATION {"citationItems":[{"id":"ITEM-1","itemData":{"DOI":"10.1038/nature09663","ISSN":"00280836","PMID":"21124315","abstract":"An inflammatory response initiated by the NLRP3 inflammasome is triggered by a variety of situations of host 'dangerg', including infection and metabolic dysregulation1,2. Previous studies suggested that NLRP3 inflammasome activity is negatively regulated by autophagy and positively regulated by reactive oxygen species (ROS) derived from an uncharacterized organelle. Here we show that mitophagy/autophagy blockade leads to the accumulation of damaged, ROS-generating mitochondria, and this in turn activates the NLRP3 inflammasome. Resting NLRP3 localizes to endoplasmic reticulum structures, whereas on inflammasome activation both NLRP3 and its adaptor ASC redistribute to the perinuclear space where they co-localize with endoplasmic reticulum and mitochondria organelle clusters. Notably, both ROS generation and inflammasome activation are suppressed when mitochondrial activity is dysregulated by inhibition of the voltage-dependent anion channel. This indicates that NLRP3 inflammasome senses mitochondrial dysfunction and may explain the frequent association of mitochondrial damage with inflammatory diseases. © 2011 Macmillan Publishers Limited. All rights reserved.","author":[{"dropping-particle":"","family":"Zhou","given":"Rongbin","non-dropping-particle":"","parse-names":false,"suffix":""},{"dropping-particle":"","family":"Yazdi","given":"Amir S.","non-dropping-particle":"","parse-names":false,"suffix":""},{"dropping-particle":"","family":"Menu","given":"Philippe","non-dropping-particle":"","parse-names":false,"suffix":""},{"dropping-particle":"","family":"Tschopp","given":"Jürg","non-dropping-particle":"","parse-names":false,"suffix":""}],"container-title":"Nature","id":"ITEM-1","issue":"7329","issued":{"date-parts":[["2011","1","13"]]},"page":"221-226","publisher":"Nature Publishing Group","title":"A role for mitochondria in NLRP3 inflammasome activation","type":"article-journal","volume":"469"},"uris":["http://www.mendeley.com/documents/?uuid=f032b145-0bf1-36ec-b0f1-e0d16cee6c1c"]}],"mendeley":{"formattedCitation":"[16]","plainTextFormattedCitation":"[16]","previouslyFormattedCitation":"[154]"},"properties":{"noteIndex":0},"schema":"https://github.com/citation-style-language/schema/raw/master/csl-citation.json"}</w:instrText>
      </w:r>
      <w:r>
        <w:fldChar w:fldCharType="separate"/>
      </w:r>
      <w:r w:rsidRPr="006009F4">
        <w:rPr>
          <w:noProof/>
        </w:rPr>
        <w:t>[16]</w:t>
      </w:r>
      <w:r>
        <w:fldChar w:fldCharType="end"/>
      </w:r>
      <w:r>
        <w:t xml:space="preserve">, have been implicated in the activation of the NLRP3 inflammasome. Mitochondrially targeted antioxidants have been shown to suppress inflammasome-mediated cytokines and improve the outcomes of induced colitis </w:t>
      </w:r>
      <w:r>
        <w:rPr>
          <w:i/>
        </w:rPr>
        <w:t>in vivo</w:t>
      </w:r>
      <w:r>
        <w:t xml:space="preserve"> </w:t>
      </w:r>
      <w:r>
        <w:fldChar w:fldCharType="begin" w:fldLock="1"/>
      </w:r>
      <w:r>
        <w:instrText>ADDIN CSL_CITATION {"citationItems":[{"id":"ITEM-1","itemData":{"DOI":"10.1186/1741-7015-11-178","ISSN":"17417015","PMID":"23915129","abstract":"Background: MitoQ is a mitochondria-targeted derivative of the antioxidant ubiquinone, with antioxidant and anti-apoptotic functions. Reactive oxygen species are involved in many inflammatory diseases including inflammatory bowel disease. In this study, we assessed the therapeutic effects of MitoQ in a mouse model of experimental colitis and investigated the possible mechanisms underlying its effects on intestinal inflammation. Methods: Reactive oxygen species levels and mitochondrial function were measured in blood mononuclear cells of patients with inflammatory bowel disease. The effects of MitoQ were evaluated in a dextran sulfate sodium-induced colitis mouse model. Clinical and pathological markers of disease severity and oxidative injury, and levels of inflammatory cytokines in mouse colonic tissue were measured. The effect of MitoQ on inflammatory cytokines released in the human macrophage-like cell line THP-1 was also analyzed. Results: Cellular and mitochondrial reactive oxygen species levels in mononuclear cells were significantly higher in patients with inflammatory bowel disease (P &lt;0.003, cellular reactive oxygen species; P &lt;0.001, mitochondrial reactive oxygen species). MitoQ significantly ameliorated colitis in the dextran sulfate sodium-induced mouse model in vivo, reduced the increased oxidative stress response (malondialdehyde and 3-nitrotyrosine formation), and suppressed mitochondrial and histopathological injury by decreasing levels of inflammatory cytokines IL-1 beta and IL-18 (P &lt;0.001 and P &lt;0.01 respectively). By decreasing mitochondrial reactive oxygen species, MitoQ also suppressed activation of the NLRP3 inflammasome that was responsible for maturation of IL-1 beta and IL-18. In vitro studies demonstrated that MitoQ decreases IL-1 beta and IL-18 production in human THP-1 cells. Conclusion: Taken together, our results suggest that MitoQ may have potential as a novel therapeutic agent for the treatment of acute phases of inflammatory bowel disease. © 2013 Dashdorj et al.; licensee BioMed Central Ltd.","author":[{"dropping-particle":"","family":"Dashdorj","given":"Amarjargal","non-dropping-particle":"","parse-names":false,"suffix":""},{"dropping-particle":"","family":"KR","given":"Jyothi","non-dropping-particle":"","parse-names":false,"suffix":""},{"dropping-particle":"","family":"Lim","given":"Sangbin","non-dropping-particle":"","parse-names":false,"suffix":""},{"dropping-particle":"","family":"Jo","given":"Ara","non-dropping-particle":"","parse-names":false,"suffix":""},{"dropping-particle":"","family":"Nguyen","given":"Minh N.","non-dropping-particle":"","parse-names":false,"suffix":""},{"dropping-particle":"","family":"Ha","given":"Joohun","non-dropping-particle":"","parse-names":false,"suffix":""},{"dropping-particle":"","family":"Yoon","given":"Kyung Sik","non-dropping-particle":"","parse-names":false,"suffix":""},{"dropping-particle":"","family":"Kim","given":"Hyo J.","non-dropping-particle":"","parse-names":false,"suffix":""},{"dropping-particle":"","family":"Park","given":"Jae Hoon","non-dropping-particle":"","parse-names":false,"suffix":""},{"dropping-particle":"","family":"Murphy","given":"Michael P.","non-dropping-particle":"","parse-names":false,"suffix":""},{"dropping-particle":"","family":"Kim","given":"Sung S.","non-dropping-particle":"","parse-names":false,"suffix":""}],"container-title":"BMC Medicine","id":"ITEM-1","issue":"1","issued":{"date-parts":[["2013","8","6"]]},"publisher":"BMC Med","title":"Mitochondria-targeted antioxidant MitoQ ameliorates experimental mouse colitis by suppressing NLRP3 inflammasome-mediated inflammatory cytokines","type":"article-journal","volume":"11"},"uris":["http://www.mendeley.com/documents/?uuid=b4129728-f130-3549-adb7-964222ba1f49"]}],"mendeley":{"formattedCitation":"[17]","plainTextFormattedCitation":"[17]","previouslyFormattedCitation":"[155]"},"properties":{"noteIndex":0},"schema":"https://github.com/citation-style-language/schema/raw/master/csl-citation.json"}</w:instrText>
      </w:r>
      <w:r>
        <w:fldChar w:fldCharType="separate"/>
      </w:r>
      <w:r w:rsidRPr="006009F4">
        <w:rPr>
          <w:noProof/>
        </w:rPr>
        <w:t>[17]</w:t>
      </w:r>
      <w:r>
        <w:fldChar w:fldCharType="end"/>
      </w:r>
      <w:r>
        <w:t xml:space="preserve">. </w:t>
      </w:r>
      <w:r>
        <w:rPr>
          <w:color w:val="000000" w:themeColor="text1"/>
        </w:rPr>
        <w:t xml:space="preserve">Consequently, targeting the NRLP3 inflammasome has recently been proposed as a new therapeutic strategy for the treatment of IBD </w:t>
      </w:r>
      <w:r>
        <w:rPr>
          <w:color w:val="000000" w:themeColor="text1"/>
        </w:rPr>
        <w:fldChar w:fldCharType="begin" w:fldLock="1"/>
      </w:r>
      <w:r>
        <w:rPr>
          <w:color w:val="000000" w:themeColor="text1"/>
        </w:rPr>
        <w:instrText>ADDIN CSL_CITATION {"citationItems":[{"id":"ITEM-1","itemData":{"DOI":"10.1016/j.biopha.2021.111442","ISSN":"19506007","abstract":"The incidence and prevalence of inflammatory bowel disease (IBD) are increasing worldwide. Current approved medication for IBD treatment in the clinic mainly includes corticosteroids and neutralization antibodies to pro-inflammatory cytokines. However, drug resistance and severe side effect hinder long-term efficacy of these agents. The NOD-like receptor family pyrin domain containing protein 3 (NLRP3) is exclusively expressed in several inflammatory and autoimmune diseases. Excessive expression, aberrant activation, polymorphism, and gain-of-function mutation of the NLRP3 inflammasome contribute to IBD pathogenesis. In this article, we summarize the regulatory factors to NLRP3, and review recently developed NLRP3 inhibitors and their preclinical and clinical applications in treating inflammatory and autoimmune diseases. We present our views on the therapeutic potential of NLRP3 inhibitors as emerging therapeutic avenue for IBD.","author":[{"dropping-particle":"","family":"Chen","given":"Qiu Ling","non-dropping-particle":"","parse-names":false,"suffix":""},{"dropping-particle":"","family":"Yin","given":"Hao Ran","non-dropping-particle":"","parse-names":false,"suffix":""},{"dropping-particle":"","family":"He","given":"Qing Yu","non-dropping-particle":"","parse-names":false,"suffix":""},{"dropping-particle":"","family":"Wang","given":"Ying","non-dropping-particle":"","parse-names":false,"suffix":""}],"container-title":"Biomedicine and Pharmacotherapy","id":"ITEM-1","issued":{"date-parts":[["2021","6","1"]]},"page":"111442","publisher":"Elsevier Masson s.r.l.","title":"Targeting the NLRP3 inflammasome as new therapeutic avenue for inflammatory bowel disease","type":"article-journal","volume":"138"},"uris":["http://www.mendeley.com/documents/?uuid=5bb4f601-53b5-3b3d-ba6d-62fbfb081c80"]}],"mendeley":{"formattedCitation":"[18]","plainTextFormattedCitation":"[18]","previouslyFormattedCitation":"[42]"},"properties":{"noteIndex":0},"schema":"https://github.com/citation-style-language/schema/raw/master/csl-citation.json"}</w:instrText>
      </w:r>
      <w:r>
        <w:rPr>
          <w:color w:val="000000" w:themeColor="text1"/>
        </w:rPr>
        <w:fldChar w:fldCharType="separate"/>
      </w:r>
      <w:r w:rsidRPr="006009F4">
        <w:rPr>
          <w:noProof/>
          <w:color w:val="000000" w:themeColor="text1"/>
        </w:rPr>
        <w:t>[18]</w:t>
      </w:r>
      <w:r>
        <w:rPr>
          <w:color w:val="000000" w:themeColor="text1"/>
        </w:rPr>
        <w:fldChar w:fldCharType="end"/>
      </w:r>
      <w:r>
        <w:rPr>
          <w:color w:val="000000" w:themeColor="text1"/>
        </w:rPr>
        <w:t xml:space="preserve">.  </w:t>
      </w:r>
    </w:p>
    <w:p w14:paraId="3F8CAF16" w14:textId="77777777" w:rsidR="000D0605" w:rsidRDefault="000D0605" w:rsidP="002B3E0C">
      <w:pPr>
        <w:spacing w:line="480" w:lineRule="auto"/>
        <w:ind w:firstLine="720"/>
        <w:rPr>
          <w:color w:val="000000" w:themeColor="text1"/>
        </w:rPr>
      </w:pPr>
      <w:r>
        <w:rPr>
          <w:color w:val="000000" w:themeColor="text1"/>
        </w:rPr>
        <w:t xml:space="preserve">Lunasin is a naturally occurring soybean peptide with antioxidant, anticancer, and anti-inflammatory properties </w:t>
      </w:r>
      <w:r>
        <w:rPr>
          <w:color w:val="000000" w:themeColor="text1"/>
        </w:rPr>
        <w:fldChar w:fldCharType="begin" w:fldLock="1"/>
      </w:r>
      <w:r>
        <w:rPr>
          <w:color w:val="000000" w:themeColor="text1"/>
        </w:rPr>
        <w:instrText>ADDIN CSL_CITATION {"citationItems":[{"id":"ITEM-1","itemData":{"DOI":"10.1016/j.foodres.2018.12.029","ISSN":"18737145","abstract":"Non-communicable diseases have become the medical challenge of the 21st century because of their high incidence and mortality rates. Accumulating evidence has suggested that the modulation of diet and other lifestyle habits is the best strategy for the prevention of these diseases. An increasing number of dietary compounds have been found to exert health promoting benefits beyond their nutritional effects. Among them, lunasin is considered one of the most studied bioactive peptides. Since its discovery in soybean twenty years ago, many researchers around the world have focused their studies on demonstrating the chemopreventive and chemotherapeutic activity of lunasin. Moreover, in the last years, promising protective effects of this peptide against hypercholesterolemia, obesity, metabolic syndrome and associated cardiovascular disorders, and inflammatory and immune-regulated diseases have been described. This review summarizes recent remarkable advances on the use of peptide lunasin as a potential functional ingredient to provide health benefits. Moreover, novel aspects related to the influence of lunasin's digestion and bioavailability, the mechanisms of action proposed to explain the underlying biological properties, and the incorporation of this peptide into nutritional supplements are critically discussed.","author":[{"dropping-particle":"","family":"Fernández-Tomé","given":"Samuel","non-dropping-particle":"","parse-names":false,"suffix":""},{"dropping-particle":"","family":"Hernández-Ledesma","given":"Blanca","non-dropping-particle":"","parse-names":false,"suffix":""}],"container-title":"Food Research International","id":"ITEM-1","issued":{"date-parts":[["2019"]]},"page":"71-78","publisher":"Elsevier Ltd","title":"Current state of art after twenty years of the discovery of bioactive peptide lunasin","type":"article","volume":"116"},"uris":["http://www.mendeley.com/documents/?uuid=28a91601-fb3a-3c60-91ff-6497604da759"]}],"mendeley":{"formattedCitation":"[19]","plainTextFormattedCitation":"[19]","previouslyFormattedCitation":"[57]"},"properties":{"noteIndex":0},"schema":"https://github.com/citation-style-language/schema/raw/master/csl-citation.json"}</w:instrText>
      </w:r>
      <w:r>
        <w:rPr>
          <w:color w:val="000000" w:themeColor="text1"/>
        </w:rPr>
        <w:fldChar w:fldCharType="separate"/>
      </w:r>
      <w:r w:rsidRPr="006009F4">
        <w:rPr>
          <w:noProof/>
          <w:color w:val="000000" w:themeColor="text1"/>
        </w:rPr>
        <w:t>[19]</w:t>
      </w:r>
      <w:r>
        <w:rPr>
          <w:color w:val="000000" w:themeColor="text1"/>
        </w:rPr>
        <w:fldChar w:fldCharType="end"/>
      </w:r>
      <w:r>
        <w:rPr>
          <w:color w:val="000000" w:themeColor="text1"/>
        </w:rPr>
        <w:t>. Lunasin decreases reactive oxygen species and the production of the pro-inflammatory mediators including TNF-α, IL-6, IL-1β, prostaglandin E</w:t>
      </w:r>
      <w:r>
        <w:rPr>
          <w:color w:val="000000" w:themeColor="text1"/>
          <w:vertAlign w:val="subscript"/>
        </w:rPr>
        <w:t xml:space="preserve">2, </w:t>
      </w:r>
      <w:r>
        <w:rPr>
          <w:color w:val="000000" w:themeColor="text1"/>
        </w:rPr>
        <w:t xml:space="preserve">and nitric oxide  through inhibition of nuclear factor – kappa-light-chain-enhancer of activated B cells (NF-κB) pathway </w:t>
      </w:r>
      <w:r>
        <w:rPr>
          <w:color w:val="000000" w:themeColor="text1"/>
        </w:rPr>
        <w:fldChar w:fldCharType="begin" w:fldLock="1"/>
      </w:r>
      <w:r>
        <w:rPr>
          <w:color w:val="000000" w:themeColor="text1"/>
        </w:rPr>
        <w:instrText>ADDIN CSL_CITATION {"citationItems":[{"id":"ITEM-1","itemData":{"DOI":"10.1002/jsfa.8719","ISSN":"10970010","PMID":"28990666","abstract":"Chronic diseases have become the medical challenge of the 21st century because of their high incidence and mortality rates. Modulation of diet and lifestyle habits is considered as the best strategy for the prevention of these disorders. Health promoting benefits beyond their nutritional effects have been described for multiple dietary compounds. Among these compounds, the peptide lunasin is considered as one of the most promising. Naturally present in soybean, lunasin has been extensively studied in the last two decades because of its potential against chronic diseases such as cancer, cardiovascular and immunological disorders. The purpose of this article is to summarise the evidence on the presence of lunasin in soybean and derived foods, and its bioavailability once it is orally ingested. The protective and therapeutic effects of this peptide against cancer, oxidative stress, inflammation, and high cholesterol levels as well as the molecular mechanisms of action involved in these effects are also described in this review. © 2017 Society of Chemical Industry.","author":[{"dropping-particle":"","family":"Hsieh","given":"Chia Chien","non-dropping-particle":"","parse-names":false,"suffix":""},{"dropping-particle":"","family":"Martínez-Villaluenga","given":"Cristina","non-dropping-particle":"","parse-names":false,"suffix":""},{"dropping-particle":"","family":"Lumen","given":"Ben O.","non-dropping-particle":"de","parse-names":false,"suffix":""},{"dropping-particle":"","family":"Hernández-Ledesma","given":"Blanca","non-dropping-particle":"","parse-names":false,"suffix":""}],"container-title":"Journal of the Science of Food and Agriculture","id":"ITEM-1","issue":"6","issued":{"date-parts":[["2018"]]},"page":"2070-2079","title":"Updating the research on the chemopreventive and therapeutic role of the peptide lunasin","type":"article-journal","volume":"98"},"uris":["http://www.mendeley.com/documents/?uuid=43cbf670-6d8c-4843-bcf8-2b316f46d901"]}],"mendeley":{"formattedCitation":"[20]","plainTextFormattedCitation":"[20]","previouslyFormattedCitation":"[61]"},"properties":{"noteIndex":0},"schema":"https://github.com/citation-style-language/schema/raw/master/csl-citation.json"}</w:instrText>
      </w:r>
      <w:r>
        <w:rPr>
          <w:color w:val="000000" w:themeColor="text1"/>
        </w:rPr>
        <w:fldChar w:fldCharType="separate"/>
      </w:r>
      <w:r w:rsidRPr="006009F4">
        <w:rPr>
          <w:noProof/>
          <w:color w:val="000000" w:themeColor="text1"/>
        </w:rPr>
        <w:t>[20]</w:t>
      </w:r>
      <w:r>
        <w:rPr>
          <w:color w:val="000000" w:themeColor="text1"/>
        </w:rPr>
        <w:fldChar w:fldCharType="end"/>
      </w:r>
      <w:r>
        <w:rPr>
          <w:color w:val="000000" w:themeColor="text1"/>
        </w:rPr>
        <w:t xml:space="preserve">. The ability of lunasin to regulate different inflammatory processes significantly involved in the burden of immune-related disorders has raised the scientific interest in this peptide as a potential preventive and therapeutic strategy against chronic diseases. Promising results have been found when evaluating lunasin in </w:t>
      </w:r>
      <w:r>
        <w:rPr>
          <w:i/>
          <w:iCs/>
          <w:color w:val="000000" w:themeColor="text1"/>
        </w:rPr>
        <w:t>in vivo</w:t>
      </w:r>
      <w:r>
        <w:rPr>
          <w:color w:val="000000" w:themeColor="text1"/>
        </w:rPr>
        <w:t xml:space="preserve"> models of breast, melanoma, lung, and metastatic colorectal cancer, as well as cataracts, and cardiovascular disorders derived from lipid imbalance </w:t>
      </w:r>
      <w:r>
        <w:rPr>
          <w:color w:val="000000" w:themeColor="text1"/>
        </w:rPr>
        <w:fldChar w:fldCharType="begin" w:fldLock="1"/>
      </w:r>
      <w:r>
        <w:rPr>
          <w:color w:val="000000" w:themeColor="text1"/>
        </w:rPr>
        <w:instrText>ADDIN CSL_CITATION {"citationItems":[{"id":"ITEM-1","itemData":{"DOI":"10.1002/jsfa.8719","ISSN":"10970010","PMID":"28990666","abstract":"Chronic diseases have become the medical challenge of the 21st century because of their high incidence and mortality rates. Modulation of diet and lifestyle habits is considered as the best strategy for the prevention of these disorders. Health promoting benefits beyond their nutritional effects have been described for multiple dietary compounds. Among these compounds, the peptide lunasin is considered as one of the most promising. Naturally present in soybean, lunasin has been extensively studied in the last two decades because of its potential against chronic diseases such as cancer, cardiovascular and immunological disorders. The purpose of this article is to summarise the evidence on the presence of lunasin in soybean and derived foods, and its bioavailability once it is orally ingested. The protective and therapeutic effects of this peptide against cancer, oxidative stress, inflammation, and high cholesterol levels as well as the molecular mechanisms of action involved in these effects are also described in this review. © 2017 Society of Chemical Industry.","author":[{"dropping-particle":"","family":"Hsieh","given":"Chia Chien","non-dropping-particle":"","parse-names":false,"suffix":""},{"dropping-particle":"","family":"Martínez-Villaluenga","given":"Cristina","non-dropping-particle":"","parse-names":false,"suffix":""},{"dropping-particle":"","family":"Lumen","given":"Ben O.","non-dropping-particle":"de","parse-names":false,"suffix":""},{"dropping-particle":"","family":"Hernández-Ledesma","given":"Blanca","non-dropping-particle":"","parse-names":false,"suffix":""}],"container-title":"Journal of the Science of Food and Agriculture","id":"ITEM-1","issue":"6","issued":{"date-parts":[["2018"]]},"page":"2070-2079","title":"Updating the research on the chemopreventive and therapeutic role of the peptide lunasin","type":"article-journal","volume":"98"},"uris":["http://www.mendeley.com/documents/?uuid=43cbf670-6d8c-4843-bcf8-2b316f46d901"]}],"mendeley":{"formattedCitation":"[20]","plainTextFormattedCitation":"[20]","previouslyFormattedCitation":"[61]"},"properties":{"noteIndex":0},"schema":"https://github.com/citation-style-language/schema/raw/master/csl-citation.json"}</w:instrText>
      </w:r>
      <w:r>
        <w:rPr>
          <w:color w:val="000000" w:themeColor="text1"/>
        </w:rPr>
        <w:fldChar w:fldCharType="separate"/>
      </w:r>
      <w:r w:rsidRPr="006009F4">
        <w:rPr>
          <w:noProof/>
          <w:color w:val="000000" w:themeColor="text1"/>
        </w:rPr>
        <w:t>[20]</w:t>
      </w:r>
      <w:r>
        <w:rPr>
          <w:color w:val="000000" w:themeColor="text1"/>
        </w:rPr>
        <w:fldChar w:fldCharType="end"/>
      </w:r>
      <w:r>
        <w:rPr>
          <w:color w:val="000000" w:themeColor="text1"/>
        </w:rPr>
        <w:t xml:space="preserve">. </w:t>
      </w:r>
      <w:r>
        <w:rPr>
          <w:color w:val="000000" w:themeColor="text1"/>
        </w:rPr>
        <w:lastRenderedPageBreak/>
        <w:t xml:space="preserve">However, the assessment of lunasin in the context of bowel inflammation remains mostly unexplored. </w:t>
      </w:r>
      <w:bookmarkStart w:id="82" w:name="_Hlk71273144"/>
      <w:r>
        <w:rPr>
          <w:color w:val="000000" w:themeColor="text1"/>
        </w:rPr>
        <w:t xml:space="preserve">In this study, we aimed to explore the protective effect of lunasin on </w:t>
      </w:r>
      <w:r>
        <w:rPr>
          <w:i/>
          <w:iCs/>
          <w:color w:val="000000" w:themeColor="text1"/>
        </w:rPr>
        <w:t>in vivo</w:t>
      </w:r>
      <w:r>
        <w:rPr>
          <w:color w:val="000000" w:themeColor="text1"/>
        </w:rPr>
        <w:t xml:space="preserve"> susceptibility to spontaneous colitis and to investigate </w:t>
      </w:r>
      <w:r>
        <w:rPr>
          <w:i/>
          <w:iCs/>
          <w:color w:val="000000" w:themeColor="text1"/>
        </w:rPr>
        <w:t>in vitro</w:t>
      </w:r>
      <w:r>
        <w:rPr>
          <w:color w:val="000000" w:themeColor="text1"/>
        </w:rPr>
        <w:t xml:space="preserve"> the potential mechanisms involved in the modulation of the NLRP3 inflammasome</w:t>
      </w:r>
      <w:bookmarkEnd w:id="82"/>
      <w:r>
        <w:rPr>
          <w:color w:val="000000" w:themeColor="text1"/>
        </w:rPr>
        <w:t xml:space="preserve">. </w:t>
      </w:r>
    </w:p>
    <w:p w14:paraId="1325B1F1" w14:textId="77777777" w:rsidR="000D0605" w:rsidRPr="00973FDA" w:rsidRDefault="000D0605" w:rsidP="002B3E0C">
      <w:pPr>
        <w:pStyle w:val="Heading2"/>
        <w:spacing w:before="0" w:after="0" w:line="480" w:lineRule="auto"/>
      </w:pPr>
      <w:bookmarkStart w:id="83" w:name="_Toc77082123"/>
      <w:r>
        <w:t xml:space="preserve">3.3 Materials and </w:t>
      </w:r>
      <w:r w:rsidRPr="00973FDA">
        <w:t>Methods</w:t>
      </w:r>
      <w:bookmarkEnd w:id="83"/>
    </w:p>
    <w:p w14:paraId="282820F3" w14:textId="77777777" w:rsidR="000D0605" w:rsidRPr="005A5BB1" w:rsidRDefault="000D0605" w:rsidP="002B3E0C">
      <w:pPr>
        <w:pStyle w:val="Heading3"/>
        <w:spacing w:before="0" w:after="0" w:line="480" w:lineRule="auto"/>
        <w:rPr>
          <w:i w:val="0"/>
        </w:rPr>
      </w:pPr>
      <w:bookmarkStart w:id="84" w:name="_Toc77082124"/>
      <w:r>
        <w:rPr>
          <w:i w:val="0"/>
        </w:rPr>
        <w:t xml:space="preserve">3.3.1 </w:t>
      </w:r>
      <w:r w:rsidRPr="005A5BB1">
        <w:rPr>
          <w:i w:val="0"/>
        </w:rPr>
        <w:t>Lunasin isolation</w:t>
      </w:r>
      <w:bookmarkEnd w:id="84"/>
    </w:p>
    <w:p w14:paraId="256B8E80" w14:textId="0CCBE0CA" w:rsidR="000D0605" w:rsidRDefault="000D0605" w:rsidP="002B3E0C">
      <w:pPr>
        <w:spacing w:line="480" w:lineRule="auto"/>
        <w:ind w:firstLine="720"/>
        <w:rPr>
          <w:color w:val="000000" w:themeColor="text1"/>
        </w:rPr>
      </w:pPr>
      <w:r>
        <w:rPr>
          <w:color w:val="000000" w:themeColor="text1"/>
        </w:rPr>
        <w:t xml:space="preserve">Lunasin enriched material was purified from tofu whey kindly provided by Farm Foods LLC (Summertown, TN) as previously described </w:t>
      </w:r>
      <w:r>
        <w:rPr>
          <w:color w:val="000000" w:themeColor="text1"/>
        </w:rPr>
        <w:fldChar w:fldCharType="begin" w:fldLock="1"/>
      </w:r>
      <w:r>
        <w:rPr>
          <w:color w:val="000000" w:themeColor="text1"/>
        </w:rPr>
        <w:instrText>ADDIN CSL_CITATION {"citationItems":[{"id":"ITEM-1","itemData":{"DOI":"10.1016/j.foodchem.2021.130220","ISSN":"03088146","author":[{"dropping-particle":"","family":"Nieto-Veloza","given":"Andrea","non-dropping-particle":"","parse-names":false,"suffix":""},{"dropping-particle":"","family":"Zhong","given":"Qixin","non-dropping-particle":"","parse-names":false,"suffix":""},{"dropping-particle":"","family":"Kim","given":"Won-Seok","non-dropping-particle":"","parse-names":false,"suffix":""},{"dropping-particle":"","family":"D'Souza","given":"Doris","non-dropping-particle":"","parse-names":false,"suffix":""},{"dropping-particle":"","family":"Krishnan","given":"Hari B.","non-dropping-particle":"","parse-names":false,"suffix":""},{"dropping-particle":"","family":"Dia","given":"Vermont P.","non-dropping-particle":"","parse-names":false,"suffix":""}],"container-title":"Food Chemistry","id":"ITEM-1","issued":{"date-parts":[["2021","11","15"]]},"page":"130220","publisher":"Elsevier","title":"Utilization of tofu processing wastewater as a source of the bioactive peptide lunasin","type":"article-journal","volume":"362"},"uris":["http://www.mendeley.com/documents/?uuid=72ac136a-a02f-3dde-951c-484b2fc6f68a"]}],"mendeley":{"formattedCitation":"[21]","plainTextFormattedCitation":"[21]","previouslyFormattedCitation":"[156]"},"properties":{"noteIndex":0},"schema":"https://github.com/citation-style-language/schema/raw/master/csl-citation.json"}</w:instrText>
      </w:r>
      <w:r>
        <w:rPr>
          <w:color w:val="000000" w:themeColor="text1"/>
        </w:rPr>
        <w:fldChar w:fldCharType="separate"/>
      </w:r>
      <w:r w:rsidRPr="006009F4">
        <w:rPr>
          <w:noProof/>
          <w:color w:val="000000" w:themeColor="text1"/>
        </w:rPr>
        <w:t>[21]</w:t>
      </w:r>
      <w:r>
        <w:rPr>
          <w:color w:val="000000" w:themeColor="text1"/>
        </w:rPr>
        <w:fldChar w:fldCharType="end"/>
      </w:r>
      <w:r>
        <w:rPr>
          <w:color w:val="000000" w:themeColor="text1"/>
        </w:rPr>
        <w:t xml:space="preserve">. Briefly, ethanol was added to tofu whey to a final concentration of 30% v/v. After stirring for 10 min and centrifugation at 15800 x </w:t>
      </w:r>
      <w:r>
        <w:rPr>
          <w:i/>
          <w:iCs/>
          <w:color w:val="000000" w:themeColor="text1"/>
        </w:rPr>
        <w:t>g</w:t>
      </w:r>
      <w:r>
        <w:rPr>
          <w:color w:val="000000" w:themeColor="text1"/>
        </w:rPr>
        <w:t xml:space="preserve"> for 15 min, the supernatant was transferred and adjusted to pH 4.5, followed by centrifugation under the same conditions. The precipitate was freeze-dried. For further purification utilizing preparative gel filtration chromatography (AKTA PURE protein purification system, GE Healthcare Life Sciences, Piscataway, NJ), the freeze-dried powder was resuspended in 100 mM ammonium bicarbonate pH 7.8 as mobile phase at 60 mg/mL, followed by filtration through a 0.45 µm nylon filter tip. Three mL of the permeate was injected in the chromatograph and separated on a HiLoad 16/600 75pg Superdex column, at room temperature and 1mL/min mobile phase flow rate. The fraction eluted between 83 and 93 min was collected, placed in a shaking water bath at 40 °C for 5 min to remove the volatile salts from the mobile </w:t>
      </w:r>
      <w:r>
        <w:rPr>
          <w:color w:val="000000" w:themeColor="text1"/>
        </w:rPr>
        <w:lastRenderedPageBreak/>
        <w:t>phase, and then freeze-dried. The final powder had a lunasin purity of at least 80% as assessed via HPLC.</w:t>
      </w:r>
    </w:p>
    <w:p w14:paraId="0AD081A6" w14:textId="77777777" w:rsidR="000D0605" w:rsidRPr="005A5BB1" w:rsidRDefault="000D0605" w:rsidP="002B3E0C">
      <w:pPr>
        <w:pStyle w:val="Heading3"/>
        <w:spacing w:before="0" w:after="0" w:line="480" w:lineRule="auto"/>
        <w:rPr>
          <w:i w:val="0"/>
        </w:rPr>
      </w:pPr>
      <w:bookmarkStart w:id="85" w:name="_Toc77082125"/>
      <w:r>
        <w:rPr>
          <w:i w:val="0"/>
        </w:rPr>
        <w:t xml:space="preserve">3.3.2 </w:t>
      </w:r>
      <w:r w:rsidRPr="005A5BB1">
        <w:t>In vivo</w:t>
      </w:r>
      <w:r w:rsidRPr="005A5BB1">
        <w:rPr>
          <w:i w:val="0"/>
        </w:rPr>
        <w:t xml:space="preserve"> experiments</w:t>
      </w:r>
      <w:bookmarkEnd w:id="85"/>
    </w:p>
    <w:p w14:paraId="3588FA66" w14:textId="3067FD34" w:rsidR="00164FBD" w:rsidRDefault="000D0605" w:rsidP="002B3E0C">
      <w:pPr>
        <w:pStyle w:val="paragraph"/>
        <w:spacing w:before="0" w:beforeAutospacing="0" w:after="0" w:afterAutospacing="0" w:line="480" w:lineRule="auto"/>
        <w:ind w:firstLine="720"/>
        <w:textAlignment w:val="baseline"/>
        <w:rPr>
          <w:rFonts w:ascii="Arial" w:hAnsi="Arial" w:cs="Arial"/>
          <w:color w:val="000000" w:themeColor="text1"/>
          <w:lang w:val="en-US"/>
        </w:rPr>
      </w:pPr>
      <w:r>
        <w:rPr>
          <w:rFonts w:ascii="Arial" w:hAnsi="Arial" w:cs="Arial"/>
          <w:color w:val="000000" w:themeColor="text1"/>
          <w:lang w:val="en-US"/>
        </w:rPr>
        <w:t>Protocols for animal experiments were approved by the Institutional Animal Care and Use Committee of the University of Tennessee Knoxville (#2707-0619) and were conducted under the U.S. Public Health Service Policy on Humane Care and Use of Laboratory Animals and following ARRIVE guidelines. Eighteen IL-10</w:t>
      </w:r>
      <w:r>
        <w:rPr>
          <w:rFonts w:ascii="Arial" w:hAnsi="Arial" w:cs="Arial"/>
          <w:color w:val="000000" w:themeColor="text1"/>
          <w:vertAlign w:val="superscript"/>
          <w:lang w:val="en-US"/>
        </w:rPr>
        <w:t>-/-</w:t>
      </w:r>
      <w:r>
        <w:rPr>
          <w:rFonts w:ascii="Arial" w:hAnsi="Arial" w:cs="Arial"/>
          <w:color w:val="000000" w:themeColor="text1"/>
          <w:lang w:val="en-US"/>
        </w:rPr>
        <w:t xml:space="preserve"> C57/BL6J 13-week-old male mice (Jackson Laboratories, Bar Harbor, ME) were housed in pairs under standard controlled conditions (12 h light/dark cycles, 30-50% relative humidity, 23 ± 3 °C) with free access to water and chow diet provided </w:t>
      </w:r>
      <w:r>
        <w:rPr>
          <w:rFonts w:ascii="Arial" w:hAnsi="Arial" w:cs="Arial"/>
          <w:i/>
          <w:iCs/>
          <w:color w:val="000000" w:themeColor="text1"/>
          <w:lang w:val="en-US"/>
        </w:rPr>
        <w:t>ad libitum</w:t>
      </w:r>
      <w:r>
        <w:rPr>
          <w:rFonts w:ascii="Arial" w:hAnsi="Arial" w:cs="Arial"/>
          <w:color w:val="000000" w:themeColor="text1"/>
          <w:lang w:val="en-US"/>
        </w:rPr>
        <w:t xml:space="preserve">. After one week of acclimatization, mice were randomly divided into three groups, control (n = 6), lunasin (n = 6), and caspase inhibitor (CI, n = 6). For 35 consecutive days, oral gavage of 100 µL of sterile water alone (control and CI groups) or containing 50 mg lunasin/kg body weight (bw) was performed. Based on the method described by Nair and Jacob </w:t>
      </w:r>
      <w:r>
        <w:rPr>
          <w:rFonts w:ascii="Arial" w:hAnsi="Arial" w:cs="Arial"/>
          <w:color w:val="000000" w:themeColor="text1"/>
          <w:lang w:val="en-US"/>
        </w:rPr>
        <w:fldChar w:fldCharType="begin" w:fldLock="1"/>
      </w:r>
      <w:r>
        <w:rPr>
          <w:rFonts w:ascii="Arial" w:hAnsi="Arial" w:cs="Arial"/>
          <w:color w:val="000000" w:themeColor="text1"/>
          <w:lang w:val="en-US"/>
        </w:rPr>
        <w:instrText>ADDIN CSL_CITATION {"citationItems":[{"id":"ITEM-1","itemData":{"DOI":"10.4103/0976-0105.177703","ISSN":"0976-0105","PMID":"27057123","abstract":"Understanding the concept of extrapolation of dose between species is important for pharmaceutical researchers when initiating new animal or human experiments. Interspecies allometric scaling for dose conversion from animal to human studies is one of the most controversial areas in clinical pharmacology. Allometric approach considers the differences in body surface area, which is associated with animal weight while extrapolating the doses of therapeutic agents among the species. This review provides basic information about translation of doses between species and estimation of starting dose for clinical trials using allometric scaling. The method of calculation of injection volume for parenteral formulation based on human equivalent dose is also briefed.","author":[{"dropping-particle":"","family":"Nair","given":"AnroopB","non-dropping-particle":"","parse-names":false,"suffix":""},{"dropping-particle":"","family":"Jacob","given":"Shery","non-dropping-particle":"","parse-names":false,"suffix":""}],"container-title":"Journal of Basic and Clinical Pharmacy","id":"ITEM-1","issue":"2","issued":{"date-parts":[["2016"]]},"page":"27","publisher":"Medknow","title":"A simple practice guide for dose conversion between animals and human","type":"article-journal","volume":"7"},"uris":["http://www.mendeley.com/documents/?uuid=65e43742-d7c8-3698-8bd1-ad0437fbed05"]}],"mendeley":{"formattedCitation":"[22]","plainTextFormattedCitation":"[22]","previouslyFormattedCitation":"[157]"},"properties":{"noteIndex":0},"schema":"https://github.com/citation-style-language/schema/raw/master/csl-citation.json"}</w:instrText>
      </w:r>
      <w:r>
        <w:rPr>
          <w:rFonts w:ascii="Arial" w:hAnsi="Arial" w:cs="Arial"/>
          <w:color w:val="000000" w:themeColor="text1"/>
          <w:lang w:val="en-US"/>
        </w:rPr>
        <w:fldChar w:fldCharType="separate"/>
      </w:r>
      <w:r w:rsidRPr="006009F4">
        <w:rPr>
          <w:rFonts w:ascii="Arial" w:hAnsi="Arial" w:cs="Arial"/>
          <w:noProof/>
          <w:color w:val="000000" w:themeColor="text1"/>
          <w:lang w:val="en-US"/>
        </w:rPr>
        <w:t>[22]</w:t>
      </w:r>
      <w:r>
        <w:rPr>
          <w:rFonts w:ascii="Arial" w:hAnsi="Arial" w:cs="Arial"/>
          <w:color w:val="000000" w:themeColor="text1"/>
          <w:lang w:val="en-US"/>
        </w:rPr>
        <w:fldChar w:fldCharType="end"/>
      </w:r>
      <w:r>
        <w:rPr>
          <w:rFonts w:ascii="Arial" w:hAnsi="Arial" w:cs="Arial"/>
          <w:color w:val="000000" w:themeColor="text1"/>
          <w:lang w:val="en-US"/>
        </w:rPr>
        <w:t xml:space="preserve">, the human equivalent dose of lunasin supplementation is 4 mg/kg bw. The CI group received daily intraperitoneal injection of caspase- inhibitor Ac-YVAD-cmK at 1.25 mg/kg bw for 24 days before euthanasia. </w:t>
      </w:r>
      <w:r>
        <w:rPr>
          <w:rStyle w:val="normaltextrun"/>
          <w:rFonts w:ascii="Arial" w:hAnsi="Arial" w:cs="Arial"/>
          <w:color w:val="000000" w:themeColor="text1"/>
          <w:lang w:val="en-US"/>
        </w:rPr>
        <w:t xml:space="preserve">Due to the involvement of the inflammasome in the development of spontaneous colitis in this animal model, the CI </w:t>
      </w:r>
      <w:r>
        <w:rPr>
          <w:rFonts w:ascii="Arial" w:hAnsi="Arial" w:cs="Arial"/>
          <w:color w:val="000000" w:themeColor="text1"/>
          <w:lang w:val="en-US"/>
        </w:rPr>
        <w:t xml:space="preserve">Ac-YVAD-cmK is often used as a control treatment with positive outcomes </w:t>
      </w:r>
      <w:r>
        <w:rPr>
          <w:rFonts w:ascii="Arial" w:hAnsi="Arial" w:cs="Arial"/>
          <w:color w:val="000000" w:themeColor="text1"/>
          <w:lang w:val="en-US"/>
        </w:rPr>
        <w:fldChar w:fldCharType="begin" w:fldLock="1"/>
      </w:r>
      <w:r>
        <w:rPr>
          <w:rFonts w:ascii="Arial" w:hAnsi="Arial" w:cs="Arial"/>
          <w:color w:val="000000" w:themeColor="text1"/>
          <w:lang w:val="en-US"/>
        </w:rPr>
        <w:instrText>ADDIN CSL_CITATION {"citationItems":[{"id":"ITEM-1","itemData":{"DOI":"10.1038/mi.2014.1","ISSN":"19353456","PMID":"24472848","abstract":"Inflammatory bowel disease (IBD) is characterized for dysregulated intestinal inflammation. Conflicting reports have shown that activation of inflammasome could promote or decrease intestinal inflammation in an acute colitis model, whereas the involvement of inflammasome activation in chronic colitis is poorly understood. In this study, we investigated the role of inflammasome activation in the development of chronic intestinal inflammation by utilizing interleukin-10 (IL-10) knockout (KO) mouse as an animal model, which develops chronic colitis resembling human IBD. We demonstrate the causative link between inflammasome activation and the development of chronic intestinal inflammation. Our results show that mature IL-1β protein levels were significantly increased in all colon sections from IL-10-deficient mice compared with that of wild-type mice. We found that inhibition of inflammasome activities with IL-1 receptor antagonist or caspase-1 inhibitors suppressed IL-1β and IL-17 production from inflamed colon explants. Furthermore, blocking inflammasome activation with caspase-1 inhibitor in vivo significantly ameliorated the spontaneous colitis in IL-10 KO mice. Taken together, these observations demonstrate that inflammasome activation promotes the development of chronic intestinal inflammation. © 2014 Society for Mucosal Immunology.","author":[{"dropping-particle":"","family":"Zhang","given":"J.","non-dropping-particle":"","parse-names":false,"suffix":""},{"dropping-particle":"","family":"Fu","given":"S.","non-dropping-particle":"","parse-names":false,"suffix":""},{"dropping-particle":"","family":"Sun","given":"S.","non-dropping-particle":"","parse-names":false,"suffix":""},{"dropping-particle":"","family":"Li","given":"Z.","non-dropping-particle":"","parse-names":false,"suffix":""},{"dropping-particle":"","family":"Guo","given":"B.","non-dropping-particle":"","parse-names":false,"suffix":""}],"container-title":"Mucosal Immunology","id":"ITEM-1","issue":"5","issued":{"date-parts":[["2014","1","29"]]},"page":"1139-1150","publisher":"Nature Publishing Group","title":"Inflammasome activation has an important role in the development of spontaneous colitis","type":"article-journal","volume":"7"},"uris":["http://www.mendeley.com/documents/?uuid=64be6c4f-b4ad-3457-95c7-e06f519376ba"]}],"mendeley":{"formattedCitation":"[12]","plainTextFormattedCitation":"[12]","previouslyFormattedCitation":"[150]"},"properties":{"noteIndex":0},"schema":"https://github.com/citation-style-language/schema/raw/master/csl-citation.json"}</w:instrText>
      </w:r>
      <w:r>
        <w:rPr>
          <w:rFonts w:ascii="Arial" w:hAnsi="Arial" w:cs="Arial"/>
          <w:color w:val="000000" w:themeColor="text1"/>
          <w:lang w:val="en-US"/>
        </w:rPr>
        <w:fldChar w:fldCharType="separate"/>
      </w:r>
      <w:r w:rsidRPr="006009F4">
        <w:rPr>
          <w:rFonts w:ascii="Arial" w:hAnsi="Arial" w:cs="Arial"/>
          <w:noProof/>
          <w:color w:val="000000" w:themeColor="text1"/>
          <w:lang w:val="en-US"/>
        </w:rPr>
        <w:t>[12]</w:t>
      </w:r>
      <w:r>
        <w:rPr>
          <w:rFonts w:ascii="Arial" w:hAnsi="Arial" w:cs="Arial"/>
          <w:color w:val="000000" w:themeColor="text1"/>
          <w:lang w:val="en-US"/>
        </w:rPr>
        <w:fldChar w:fldCharType="end"/>
      </w:r>
      <w:r>
        <w:rPr>
          <w:rFonts w:ascii="Arial" w:hAnsi="Arial" w:cs="Arial"/>
          <w:color w:val="000000" w:themeColor="text1"/>
          <w:lang w:val="en-US"/>
        </w:rPr>
        <w:t xml:space="preserve">. On day 36, mice were euthanized via cervical dislocation. The small intestine was harvested and divided into duodenum, </w:t>
      </w:r>
      <w:r>
        <w:rPr>
          <w:rFonts w:ascii="Arial" w:hAnsi="Arial" w:cs="Arial"/>
          <w:color w:val="000000" w:themeColor="text1"/>
          <w:lang w:val="en-US"/>
        </w:rPr>
        <w:lastRenderedPageBreak/>
        <w:t>jejunum, and ileum. Colon was dissected at the ileocecal junction and the length was recorded. Every intestinal section was gently rinsed to remove luminal contents and longitudinally dissected into two sections. One section of each tissue was fixed in formalin and paraffin-embedded for histopathological assessment, while the other half of each tissue was immediately frozen in liquid nitrogen and stored at -80 °C for further analysis.</w:t>
      </w:r>
    </w:p>
    <w:p w14:paraId="1DEFED08" w14:textId="77777777" w:rsidR="000D0605" w:rsidRPr="005A5BB1" w:rsidRDefault="000D0605" w:rsidP="002B3E0C">
      <w:pPr>
        <w:pStyle w:val="Heading3"/>
        <w:spacing w:before="0" w:after="0" w:line="480" w:lineRule="auto"/>
        <w:rPr>
          <w:i w:val="0"/>
        </w:rPr>
      </w:pPr>
      <w:bookmarkStart w:id="86" w:name="_Toc77082126"/>
      <w:r>
        <w:rPr>
          <w:i w:val="0"/>
        </w:rPr>
        <w:t xml:space="preserve">3.3.3 </w:t>
      </w:r>
      <w:r w:rsidRPr="005A5BB1">
        <w:rPr>
          <w:i w:val="0"/>
        </w:rPr>
        <w:t>Macroscopic disease activity index (DAI)</w:t>
      </w:r>
      <w:bookmarkEnd w:id="86"/>
    </w:p>
    <w:p w14:paraId="093E429E" w14:textId="13950BBF" w:rsidR="007F2E79" w:rsidRDefault="000D0605" w:rsidP="002B3E0C">
      <w:pPr>
        <w:spacing w:line="480" w:lineRule="auto"/>
        <w:ind w:firstLine="720"/>
        <w:rPr>
          <w:color w:val="000000" w:themeColor="text1"/>
        </w:rPr>
      </w:pPr>
      <w:r>
        <w:rPr>
          <w:color w:val="000000" w:themeColor="text1"/>
        </w:rPr>
        <w:t xml:space="preserve">Body weight and fresh stool were monitored daily and scored from 0 to 3 according to the following parameters: stool consistency (0: normal, 1: moist and sticky, 2: soft, 3: diarrhea), hematochezia (0: normal color, 1: brown reddish stool, 2: visible blood in stool, 3: rectal bleeding), and weight loss (0: &lt;2%, 1: 2 to 5%, 2: 5 to 10%, 3: &gt;10% compared to the bw at the beginning of the study). The disease activity index was calculated as the sum of the scores for the three parameters, with 0 being the minimum and 9 being the maximum.   </w:t>
      </w:r>
    </w:p>
    <w:p w14:paraId="73DE9CD6" w14:textId="77777777" w:rsidR="000D0605" w:rsidRPr="005A5BB1" w:rsidRDefault="000D0605" w:rsidP="002B3E0C">
      <w:pPr>
        <w:pStyle w:val="Heading3"/>
        <w:spacing w:before="0" w:after="0" w:line="480" w:lineRule="auto"/>
        <w:rPr>
          <w:i w:val="0"/>
        </w:rPr>
      </w:pPr>
      <w:bookmarkStart w:id="87" w:name="_Toc77082127"/>
      <w:r>
        <w:rPr>
          <w:i w:val="0"/>
        </w:rPr>
        <w:t xml:space="preserve">3.3.4 </w:t>
      </w:r>
      <w:r w:rsidRPr="005A5BB1">
        <w:rPr>
          <w:i w:val="0"/>
        </w:rPr>
        <w:t>Analysis of fecal occult blood</w:t>
      </w:r>
      <w:bookmarkEnd w:id="87"/>
    </w:p>
    <w:p w14:paraId="54C26F3A" w14:textId="56BCC9D4" w:rsidR="007F2E79" w:rsidRDefault="000D0605" w:rsidP="002B3E0C">
      <w:pPr>
        <w:spacing w:line="480" w:lineRule="auto"/>
        <w:ind w:firstLine="720"/>
        <w:rPr>
          <w:color w:val="000000" w:themeColor="text1"/>
        </w:rPr>
      </w:pPr>
      <w:r>
        <w:rPr>
          <w:color w:val="000000" w:themeColor="text1"/>
        </w:rPr>
        <w:t xml:space="preserve">Samples of stool were collected from the cages every third day, freeze-dried, and ground to analyze the presence of occult blood by quantifying hemoglobin content as previously reported </w:t>
      </w:r>
      <w:r>
        <w:rPr>
          <w:color w:val="000000" w:themeColor="text1"/>
        </w:rPr>
        <w:fldChar w:fldCharType="begin" w:fldLock="1"/>
      </w:r>
      <w:r>
        <w:rPr>
          <w:color w:val="000000" w:themeColor="text1"/>
        </w:rPr>
        <w:instrText>ADDIN CSL_CITATION {"citationItems":[{"id":"ITEM-1","itemData":{"DOI":"10.3390/antiox8060175","ISSN":"2076-3921","abstract":"BG-4 isolated from bitter gourd has been reported for anti-cancer properties. The objective was to evaluate the anti-inflammatory properties of BG-4 in vitro and in vivo. Comparative study of the anti-inflammatory properties of BG-4 in vitro and in vivo was conducted on lipopolysaccharide (LPS)-activated mouse macrophages, and on dextran sodium sulfate (DSS)-induced colitis in mice. BG-4 reduced the production of pro-inflammatory markers in LPS-activated macrophages. On the other hand, intraperitoneal administration of BG-4 in DSS-induced colitis led to colon shortening, elevated neutrophils infiltration and myeloperoxidase activity, presence of blood in the stool, and loss of body weight, with differential systemic and local effects on pro-inflammatory cytokines in vivo. The results demonstrated that BG-4 differentially affected inflammation in vitro and in vivo.","author":[{"dropping-particle":"","family":"Nieto-Veloza","given":"Andrea","non-dropping-particle":"","parse-names":false,"suffix":""},{"dropping-particle":"","family":"Wang","given":"Zhihong","non-dropping-particle":"","parse-names":false,"suffix":""},{"dropping-particle":"","family":"Zhong","given":"Qixin","non-dropping-particle":"","parse-names":false,"suffix":""},{"dropping-particle":"","family":"Krishnan","given":"Hari B.","non-dropping-particle":"","parse-names":false,"suffix":""},{"dropping-particle":"","family":"Dia","given":"Vermont P.","non-dropping-particle":"","parse-names":false,"suffix":""}],"container-title":"Antioxidants","id":"ITEM-1","issue":"6","issued":{"date-parts":[["2019","6","14"]]},"page":"175","publisher":"MDPI AG","title":"BG-4 from Bitter Gourd (Momordica charantia) Differentially Affects Inflammation In Vitro and In Vivo","type":"article-journal","volume":"8"},"uris":["http://www.mendeley.com/documents/?uuid=096f71f8-8446-4a73-a6af-de6ea49a0106"]}],"mendeley":{"formattedCitation":"[23]","plainTextFormattedCitation":"[23]","previouslyFormattedCitation":"[115]"},"properties":{"noteIndex":0},"schema":"https://github.com/citation-style-language/schema/raw/master/csl-citation.json"}</w:instrText>
      </w:r>
      <w:r>
        <w:rPr>
          <w:color w:val="000000" w:themeColor="text1"/>
        </w:rPr>
        <w:fldChar w:fldCharType="separate"/>
      </w:r>
      <w:r w:rsidRPr="006009F4">
        <w:rPr>
          <w:noProof/>
          <w:color w:val="000000" w:themeColor="text1"/>
        </w:rPr>
        <w:t>[23]</w:t>
      </w:r>
      <w:r>
        <w:rPr>
          <w:color w:val="000000" w:themeColor="text1"/>
        </w:rPr>
        <w:fldChar w:fldCharType="end"/>
      </w:r>
      <w:r>
        <w:rPr>
          <w:color w:val="000000" w:themeColor="text1"/>
        </w:rPr>
        <w:t>.</w:t>
      </w:r>
    </w:p>
    <w:p w14:paraId="16BD228E" w14:textId="77777777" w:rsidR="000D0605" w:rsidRPr="005A5BB1" w:rsidRDefault="000D0605" w:rsidP="002B3E0C">
      <w:pPr>
        <w:pStyle w:val="Heading3"/>
        <w:spacing w:before="0" w:after="0" w:line="480" w:lineRule="auto"/>
        <w:rPr>
          <w:i w:val="0"/>
        </w:rPr>
      </w:pPr>
      <w:bookmarkStart w:id="88" w:name="_Toc77082128"/>
      <w:r>
        <w:rPr>
          <w:i w:val="0"/>
        </w:rPr>
        <w:t xml:space="preserve">3.3.5 </w:t>
      </w:r>
      <w:r w:rsidRPr="005A5BB1">
        <w:rPr>
          <w:i w:val="0"/>
        </w:rPr>
        <w:t>Histopathological assessment</w:t>
      </w:r>
      <w:bookmarkEnd w:id="88"/>
    </w:p>
    <w:p w14:paraId="0EFE1B1A" w14:textId="7DF0D664" w:rsidR="007F2E79" w:rsidRDefault="000D0605" w:rsidP="002B3E0C">
      <w:pPr>
        <w:spacing w:line="480" w:lineRule="auto"/>
        <w:ind w:firstLine="720"/>
        <w:rPr>
          <w:color w:val="000000" w:themeColor="text1"/>
        </w:rPr>
      </w:pPr>
      <w:r>
        <w:rPr>
          <w:color w:val="000000" w:themeColor="text1"/>
        </w:rPr>
        <w:t xml:space="preserve">Hematoxylin and eosin-stained slides were used for histopathological disease scoring in a blinded fashion by board certified veterinary pathologist (MMS). Cellular infiltration, mucosal architecture, and epithelial changes were </w:t>
      </w:r>
      <w:r>
        <w:rPr>
          <w:color w:val="000000" w:themeColor="text1"/>
        </w:rPr>
        <w:lastRenderedPageBreak/>
        <w:t xml:space="preserve">evaluated in the three sections of the small and large intestine. Crypt abscess formation and depletion of goblet cells were also included for the evaluation of the colonic tissue. Scores were assigned following the criteria described by Erben </w:t>
      </w:r>
      <w:r>
        <w:rPr>
          <w:i/>
          <w:iCs/>
          <w:color w:val="000000" w:themeColor="text1"/>
        </w:rPr>
        <w:t>et al</w:t>
      </w:r>
      <w:r>
        <w:rPr>
          <w:color w:val="000000" w:themeColor="text1"/>
        </w:rPr>
        <w:t xml:space="preserve"> for small intestine and colonic inflammation </w:t>
      </w:r>
      <w:r>
        <w:rPr>
          <w:color w:val="000000" w:themeColor="text1"/>
        </w:rPr>
        <w:fldChar w:fldCharType="begin" w:fldLock="1"/>
      </w:r>
      <w:r>
        <w:rPr>
          <w:color w:val="000000" w:themeColor="text1"/>
        </w:rPr>
        <w:instrText>ADDIN CSL_CITATION {"citationItems":[{"id":"ITEM-1","itemData":{"abstract":"Histomorphology remains a powerful routine evaluating intestinal inflammation in animal models. Emphasizing the focus of a given animal study, histopathology can overstate differences between established models. We aimed to systematize histopathological evaluation of intestinal inflammation in mouse models facilitating inter-study comparisons. Samples of all parts of the intestinal tract from well-established mouse models of intestinal inflammation were evaluated from hematoxylin/eosin-stained sections and specific observations confirmed by subsequent immunohistochemistry. Three main categories sufficiently reflected the severity of histopathology independent of the localization and the overall extent of an inflammation: (i) quality and dimension of inflammatory cell infiltrates, (ii) epithelial changes and (iii) overall mucosal architecture. Scoring schemata were defined along specified criteria for each of the three categories. The direction of the initial hit proved crucial for the comparability of histological changes. Chemical noxes, infection with intestinal parasites or other models where the barrier was disturbed from outside, the luminal side, showed high levels of similarity and distinct differences to changes in the intestinal balance resulting from inside events like altered cytokine responses or disruption of the immune cell homeostasis. With a high degree of generalisation and maximum scores from 4-8 suitable scoring schemata accounted specific histopathological hallmarks. Truly integrating demands and experiences of gastroenterologists, mouse researchers, microbiologists and pathologists we provide an easy-to-use guideline evaluating histomorphol-ogy in mouse models of intestinal inflammation. Standard criteria and definitions facilitate classification and rating of new relevant models, allow comparison in animal studies and transfer of functional findings to comparable his-topathologies in human disease.","author":[{"dropping-particle":"","family":"Erben","given":"Ulrike","non-dropping-particle":"","parse-names":false,"suffix":""},{"dropping-particle":"","family":"Loddenkemper","given":"Christoph","non-dropping-particle":"","parse-names":false,"suffix":""},{"dropping-particle":"","family":"Doerfel","given":"Katja","non-dropping-particle":"","parse-names":false,"suffix":""},{"dropping-particle":"","family":"Spieckermann","given":"Simone","non-dropping-particle":"","parse-names":false,"suffix":""},{"dropping-particle":"","family":"Haller","given":"Dirk","non-dropping-particle":"","parse-names":false,"suffix":""},{"dropping-particle":"","family":"Heimesaat","given":"Markus M","non-dropping-particle":"","parse-names":false,"suffix":""},{"dropping-particle":"","family":"Zeitz","given":"Martin","non-dropping-particle":"","parse-names":false,"suffix":""},{"dropping-particle":"","family":"Siegmund","given":"Britta","non-dropping-particle":"","parse-names":false,"suffix":""},{"dropping-particle":"","family":"Kühl","given":"Anja A","non-dropping-particle":"","parse-names":false,"suffix":""}],"container-title":"Int J Clin Exp Pathol","id":"ITEM-1","issue":"8","issued":{"date-parts":[["2014"]]},"number-of-pages":"4557-4576","title":"A guide to histomorphological evaluation of intestinal inflammation in mouse models","type":"report","volume":"7"},"uris":["http://www.mendeley.com/documents/?uuid=ed42042c-d22d-3608-8e95-d71a9f6d5a38"]}],"mendeley":{"formattedCitation":"[24]","plainTextFormattedCitation":"[24]","previouslyFormattedCitation":"[158]"},"properties":{"noteIndex":0},"schema":"https://github.com/citation-style-language/schema/raw/master/csl-citation.json"}</w:instrText>
      </w:r>
      <w:r>
        <w:rPr>
          <w:color w:val="000000" w:themeColor="text1"/>
        </w:rPr>
        <w:fldChar w:fldCharType="separate"/>
      </w:r>
      <w:r w:rsidRPr="006009F4">
        <w:rPr>
          <w:noProof/>
          <w:color w:val="000000" w:themeColor="text1"/>
        </w:rPr>
        <w:t>[24]</w:t>
      </w:r>
      <w:r>
        <w:rPr>
          <w:color w:val="000000" w:themeColor="text1"/>
        </w:rPr>
        <w:fldChar w:fldCharType="end"/>
      </w:r>
      <w:r>
        <w:rPr>
          <w:color w:val="000000" w:themeColor="text1"/>
        </w:rPr>
        <w:t xml:space="preserve">.  </w:t>
      </w:r>
    </w:p>
    <w:p w14:paraId="2E06F57B" w14:textId="77777777" w:rsidR="000D0605" w:rsidRPr="005A5BB1" w:rsidRDefault="000D0605" w:rsidP="002B3E0C">
      <w:pPr>
        <w:pStyle w:val="Heading3"/>
        <w:spacing w:before="0" w:after="0" w:line="480" w:lineRule="auto"/>
        <w:rPr>
          <w:i w:val="0"/>
        </w:rPr>
      </w:pPr>
      <w:bookmarkStart w:id="89" w:name="_Toc77082129"/>
      <w:r>
        <w:rPr>
          <w:i w:val="0"/>
        </w:rPr>
        <w:t xml:space="preserve">3.3.6 </w:t>
      </w:r>
      <w:r w:rsidRPr="005A5BB1">
        <w:rPr>
          <w:i w:val="0"/>
        </w:rPr>
        <w:t>Quantification of pro-inflammatory cytokines and myeloperoxidase activity (MPO)</w:t>
      </w:r>
      <w:bookmarkEnd w:id="89"/>
    </w:p>
    <w:p w14:paraId="6E1C592B" w14:textId="39A9713E" w:rsidR="007F2E79" w:rsidRDefault="000D0605" w:rsidP="002B3E0C">
      <w:pPr>
        <w:spacing w:line="480" w:lineRule="auto"/>
        <w:ind w:firstLine="720"/>
        <w:rPr>
          <w:color w:val="000000" w:themeColor="text1"/>
        </w:rPr>
      </w:pPr>
      <w:r>
        <w:rPr>
          <w:color w:val="000000" w:themeColor="text1"/>
        </w:rPr>
        <w:t xml:space="preserve">Tissue extracts or cell culture supernatants were used for the quantification of pro-inflammatory cytokines. Mouse TNF-α, IL-1β, and IL-6 were from BioLegend (San Diego, CA), human IL-1β and mouse IL-18 were from Invitrogen (Waltham, MA), human caspase-1 and IL-18 were from R&amp;D Systems (Minneapolis, MN). Immunoassays were performed as described by the protocol provided by the manufacturer. Preparation of tissue extracts and evaluation of MPO activity were performed following previously published methods </w:t>
      </w:r>
      <w:r>
        <w:rPr>
          <w:color w:val="000000" w:themeColor="text1"/>
        </w:rPr>
        <w:fldChar w:fldCharType="begin" w:fldLock="1"/>
      </w:r>
      <w:r>
        <w:rPr>
          <w:color w:val="000000" w:themeColor="text1"/>
        </w:rPr>
        <w:instrText>ADDIN CSL_CITATION {"citationItems":[{"id":"ITEM-1","itemData":{"DOI":"10.3390/antiox8060175","ISSN":"2076-3921","abstract":"BG-4 isolated from bitter gourd has been reported for anti-cancer properties. The objective was to evaluate the anti-inflammatory properties of BG-4 in vitro and in vivo. Comparative study of the anti-inflammatory properties of BG-4 in vitro and in vivo was conducted on lipopolysaccharide (LPS)-activated mouse macrophages, and on dextran sodium sulfate (DSS)-induced colitis in mice. BG-4 reduced the production of pro-inflammatory markers in LPS-activated macrophages. On the other hand, intraperitoneal administration of BG-4 in DSS-induced colitis led to colon shortening, elevated neutrophils infiltration and myeloperoxidase activity, presence of blood in the stool, and loss of body weight, with differential systemic and local effects on pro-inflammatory cytokines in vivo. The results demonstrated that BG-4 differentially affected inflammation in vitro and in vivo.","author":[{"dropping-particle":"","family":"Nieto-Veloza","given":"Andrea","non-dropping-particle":"","parse-names":false,"suffix":""},{"dropping-particle":"","family":"Wang","given":"Zhihong","non-dropping-particle":"","parse-names":false,"suffix":""},{"dropping-particle":"","family":"Zhong","given":"Qixin","non-dropping-particle":"","parse-names":false,"suffix":""},{"dropping-particle":"","family":"Krishnan","given":"Hari B.","non-dropping-particle":"","parse-names":false,"suffix":""},{"dropping-particle":"","family":"Dia","given":"Vermont P.","non-dropping-particle":"","parse-names":false,"suffix":""}],"container-title":"Antioxidants","id":"ITEM-1","issue":"6","issued":{"date-parts":[["2019","6","14"]]},"page":"175","publisher":"MDPI AG","title":"BG-4 from Bitter Gourd (Momordica charantia) Differentially Affects Inflammation In Vitro and In Vivo","type":"article-journal","volume":"8"},"uris":["http://www.mendeley.com/documents/?uuid=096f71f8-8446-4a73-a6af-de6ea49a0106"]}],"mendeley":{"formattedCitation":"[23]","plainTextFormattedCitation":"[23]","previouslyFormattedCitation":"[115]"},"properties":{"noteIndex":0},"schema":"https://github.com/citation-style-language/schema/raw/master/csl-citation.json"}</w:instrText>
      </w:r>
      <w:r>
        <w:rPr>
          <w:color w:val="000000" w:themeColor="text1"/>
        </w:rPr>
        <w:fldChar w:fldCharType="separate"/>
      </w:r>
      <w:r w:rsidRPr="006009F4">
        <w:rPr>
          <w:noProof/>
          <w:color w:val="000000" w:themeColor="text1"/>
        </w:rPr>
        <w:t>[23]</w:t>
      </w:r>
      <w:r>
        <w:rPr>
          <w:color w:val="000000" w:themeColor="text1"/>
        </w:rPr>
        <w:fldChar w:fldCharType="end"/>
      </w:r>
      <w:r>
        <w:rPr>
          <w:color w:val="000000" w:themeColor="text1"/>
        </w:rPr>
        <w:t>.</w:t>
      </w:r>
    </w:p>
    <w:p w14:paraId="4A2DCB32" w14:textId="77777777" w:rsidR="000D0605" w:rsidRDefault="000D0605" w:rsidP="002B3E0C">
      <w:pPr>
        <w:pStyle w:val="Heading3"/>
        <w:spacing w:before="0" w:after="0" w:line="480" w:lineRule="auto"/>
        <w:rPr>
          <w:i w:val="0"/>
        </w:rPr>
      </w:pPr>
      <w:bookmarkStart w:id="90" w:name="_Toc77082130"/>
      <w:r>
        <w:rPr>
          <w:i w:val="0"/>
        </w:rPr>
        <w:t xml:space="preserve">3.3.7 </w:t>
      </w:r>
      <w:r w:rsidRPr="005A5BB1">
        <w:rPr>
          <w:i w:val="0"/>
        </w:rPr>
        <w:t>Cell culture, differentiation, and assessment of viability</w:t>
      </w:r>
      <w:bookmarkEnd w:id="90"/>
    </w:p>
    <w:p w14:paraId="0734C94A" w14:textId="3AD1AD45" w:rsidR="007F2E79" w:rsidRDefault="000D0605" w:rsidP="002B3E0C">
      <w:pPr>
        <w:spacing w:line="480" w:lineRule="auto"/>
        <w:ind w:firstLine="720"/>
        <w:rPr>
          <w:color w:val="000000" w:themeColor="text1"/>
        </w:rPr>
      </w:pPr>
      <w:r>
        <w:rPr>
          <w:color w:val="000000" w:themeColor="text1"/>
        </w:rPr>
        <w:t>THP-1 monocytes (ATCC, Manassas, VA) were cultured in RPMI-1640 basal medium supplemented with 10% heat-inactivated fetal bovine serum and 1% penicillin/streptomycin at 37°C in a humidified 5% CO</w:t>
      </w:r>
      <w:r>
        <w:rPr>
          <w:color w:val="000000" w:themeColor="text1"/>
          <w:vertAlign w:val="subscript"/>
        </w:rPr>
        <w:t>2</w:t>
      </w:r>
      <w:r>
        <w:rPr>
          <w:color w:val="000000" w:themeColor="text1"/>
        </w:rPr>
        <w:t xml:space="preserve"> incubator. The same incubation conditions were used for all the experiments.  β-mercaptoethanol at 0.05 nM was added to the complete media for regular maintenance of the culture. When required, cells were seeded at a density of 1 x 10</w:t>
      </w:r>
      <w:r>
        <w:rPr>
          <w:color w:val="000000" w:themeColor="text1"/>
          <w:vertAlign w:val="superscript"/>
        </w:rPr>
        <w:t>5</w:t>
      </w:r>
      <w:r>
        <w:rPr>
          <w:color w:val="000000" w:themeColor="text1"/>
        </w:rPr>
        <w:t xml:space="preserve"> cells/well in 96-well plates, or 1 x 10</w:t>
      </w:r>
      <w:r>
        <w:rPr>
          <w:color w:val="000000" w:themeColor="text1"/>
          <w:vertAlign w:val="superscript"/>
        </w:rPr>
        <w:t>6</w:t>
      </w:r>
      <w:r>
        <w:rPr>
          <w:color w:val="000000" w:themeColor="text1"/>
        </w:rPr>
        <w:t xml:space="preserve"> cells/well in 6-well plates, incubated in complete media with 100 ng/mL of phorbol 12-myristate-13-acetate (Millipore Sigma, St. Louis, MO) </w:t>
      </w:r>
      <w:r>
        <w:rPr>
          <w:color w:val="000000" w:themeColor="text1"/>
        </w:rPr>
        <w:lastRenderedPageBreak/>
        <w:t xml:space="preserve">for 48 h to induce differentiation into macrophages. A subsequent resting phase of 48 h in complete media alone was allowed before the initiation of the indicated experiment. After the specific treatment was performed, cell viability was assessed by the MTS assay (Promega, Madison, WI) following the manufacturer's protocol.  </w:t>
      </w:r>
    </w:p>
    <w:p w14:paraId="6A002B27" w14:textId="77777777" w:rsidR="000D0605" w:rsidRPr="005A5BB1" w:rsidRDefault="000D0605" w:rsidP="002B3E0C">
      <w:pPr>
        <w:pStyle w:val="Heading3"/>
        <w:spacing w:before="0" w:after="0" w:line="480" w:lineRule="auto"/>
        <w:rPr>
          <w:i w:val="0"/>
        </w:rPr>
      </w:pPr>
      <w:bookmarkStart w:id="91" w:name="_Toc77082131"/>
      <w:r>
        <w:rPr>
          <w:i w:val="0"/>
        </w:rPr>
        <w:t xml:space="preserve">3.3.8 </w:t>
      </w:r>
      <w:r w:rsidRPr="005A5BB1">
        <w:rPr>
          <w:i w:val="0"/>
        </w:rPr>
        <w:t>Activation of NLRP3 inflammasome via NLRP3 agonist</w:t>
      </w:r>
      <w:bookmarkEnd w:id="91"/>
    </w:p>
    <w:p w14:paraId="26EDC259" w14:textId="0DB3BE1E" w:rsidR="000D0605" w:rsidRDefault="000D0605" w:rsidP="002B3E0C">
      <w:pPr>
        <w:spacing w:line="480" w:lineRule="auto"/>
        <w:ind w:firstLine="720"/>
        <w:rPr>
          <w:color w:val="000000" w:themeColor="text1"/>
        </w:rPr>
      </w:pPr>
      <w:r>
        <w:rPr>
          <w:color w:val="000000" w:themeColor="text1"/>
        </w:rPr>
        <w:t xml:space="preserve">After the resting period, differentiated macrophages were primed for 6 h with 1 µg/mL lipopolysaccharide (LPS) from </w:t>
      </w:r>
      <w:r>
        <w:rPr>
          <w:i/>
          <w:iCs/>
          <w:color w:val="000000" w:themeColor="text1"/>
        </w:rPr>
        <w:t>Escherichia coli</w:t>
      </w:r>
      <w:r>
        <w:rPr>
          <w:color w:val="000000" w:themeColor="text1"/>
        </w:rPr>
        <w:t xml:space="preserve"> O55:B5 (Sigma, St. Louis, MO) in plain media, in the presence or absence of lunasin at the indicated concentration. Then, adenosine triphosphate (ATP) (Alfa Aesar, Tewksbury, MA) was added to each well to reach a final concentration of 5 mM and incubated for 2 h. Treatment media was collected to test for pro-inflammatory cytokines and cells were used for cell viability test or lysed and harvested for western blot analysis. Plain media without LPS or ATP were used as the negative control.  </w:t>
      </w:r>
    </w:p>
    <w:p w14:paraId="0A4595CB" w14:textId="77777777" w:rsidR="000D0605" w:rsidRPr="005A5BB1" w:rsidRDefault="000D0605" w:rsidP="002B3E0C">
      <w:pPr>
        <w:pStyle w:val="Heading3"/>
        <w:spacing w:before="0" w:after="0" w:line="480" w:lineRule="auto"/>
        <w:rPr>
          <w:i w:val="0"/>
        </w:rPr>
      </w:pPr>
      <w:bookmarkStart w:id="92" w:name="_Toc77082132"/>
      <w:r>
        <w:rPr>
          <w:i w:val="0"/>
        </w:rPr>
        <w:t xml:space="preserve">3.3.9 </w:t>
      </w:r>
      <w:r w:rsidRPr="005A5BB1">
        <w:rPr>
          <w:i w:val="0"/>
        </w:rPr>
        <w:t>Western Blot</w:t>
      </w:r>
      <w:bookmarkEnd w:id="92"/>
    </w:p>
    <w:p w14:paraId="00ABF3BD" w14:textId="1A374D87" w:rsidR="007F2E79" w:rsidRDefault="000D0605" w:rsidP="002B3E0C">
      <w:pPr>
        <w:spacing w:line="480" w:lineRule="auto"/>
        <w:ind w:firstLine="720"/>
        <w:rPr>
          <w:color w:val="000000" w:themeColor="text1"/>
        </w:rPr>
      </w:pPr>
      <w:r>
        <w:rPr>
          <w:color w:val="000000" w:themeColor="text1"/>
        </w:rPr>
        <w:t xml:space="preserve">Western blot was performed following standard protocol with the following specifications: proteins in the gel were transferred to PVDF-membranes using a Trans-Blot Turbo transfer system (Bio-Rad, Hercules, CA), membranes were blocked with 5% non-fat dry milk in 0.01% Tween 20 Tris-buffered saline for 1 h at room temperature, primary antibodies against the indicated antigens (Proteintech, Chicago, IL) were incubated at 1:1000 dilution overnight at 4 °C, and secondary antibody at 1:2000 dilution for 1 h at room temperature. </w:t>
      </w:r>
      <w:r>
        <w:rPr>
          <w:color w:val="000000" w:themeColor="text1"/>
        </w:rPr>
        <w:lastRenderedPageBreak/>
        <w:t>Immunoreactive bands were visualized via chemiluminescence using a C-Digit Blot scanner (</w:t>
      </w:r>
      <w:r>
        <w:t>LI-COR Biosciences, Lincoln, NE</w:t>
      </w:r>
      <w:r>
        <w:rPr>
          <w:color w:val="000000" w:themeColor="text1"/>
        </w:rPr>
        <w:t>) and analyzed using Image Studio</w:t>
      </w:r>
      <w:r>
        <w:rPr>
          <w:color w:val="000000" w:themeColor="text1"/>
          <w:vertAlign w:val="superscript"/>
        </w:rPr>
        <w:t>TM</w:t>
      </w:r>
      <w:r>
        <w:rPr>
          <w:color w:val="000000" w:themeColor="text1"/>
        </w:rPr>
        <w:t xml:space="preserve"> software.       </w:t>
      </w:r>
    </w:p>
    <w:p w14:paraId="47AAB74F" w14:textId="77777777" w:rsidR="000D0605" w:rsidRPr="005A5BB1" w:rsidRDefault="000D0605" w:rsidP="002B3E0C">
      <w:pPr>
        <w:pStyle w:val="Heading3"/>
        <w:spacing w:before="0" w:after="0" w:line="480" w:lineRule="auto"/>
        <w:rPr>
          <w:i w:val="0"/>
        </w:rPr>
      </w:pPr>
      <w:bookmarkStart w:id="93" w:name="_Toc77082133"/>
      <w:r>
        <w:rPr>
          <w:i w:val="0"/>
        </w:rPr>
        <w:t xml:space="preserve">3.3.10 </w:t>
      </w:r>
      <w:r w:rsidRPr="005A5BB1">
        <w:rPr>
          <w:i w:val="0"/>
        </w:rPr>
        <w:t>Mitochondrial reactive oxygen species (mROS)</w:t>
      </w:r>
      <w:bookmarkEnd w:id="93"/>
      <w:r w:rsidRPr="005A5BB1">
        <w:rPr>
          <w:i w:val="0"/>
        </w:rPr>
        <w:t xml:space="preserve"> </w:t>
      </w:r>
    </w:p>
    <w:p w14:paraId="7213B92F" w14:textId="42233C7E" w:rsidR="000D0605" w:rsidRDefault="000D0605" w:rsidP="000D0605">
      <w:pPr>
        <w:spacing w:line="480" w:lineRule="auto"/>
        <w:ind w:firstLine="720"/>
        <w:rPr>
          <w:color w:val="000000" w:themeColor="text1"/>
        </w:rPr>
      </w:pPr>
      <w:r>
        <w:t xml:space="preserve">Antimycin A is a powerful inhibitor of the mitochondrial respiratory chain that blocks complex III and induces superoxide production </w:t>
      </w:r>
      <w:r>
        <w:fldChar w:fldCharType="begin" w:fldLock="1"/>
      </w:r>
      <w:r>
        <w:instrText>ADDIN CSL_CITATION {"citationItems":[{"id":"ITEM-1","itemData":{"DOI":"10.1074/jbc.M111.267898","ISSN":"00219258","PMID":"21708945","abstract":"Superoxide production from antimycin-inhibited complex III in isolated mitochondria first increased to a maximum then decreased as substrate supply was modulated in three different ways. In each case, superoxide production had a similar bell-shaped relationship to the reduction state of cytochrome b 566, suggesting that superoxide production peaks at intermediate Q-reduction state because it comes from a semiquinone in the outer quinone-binding site in complex III (Q o). Imposition of a membrane potential changed the relationships between superoxide production and b 566 reduction and between b 562 and b 566 redox states, suggesting that b 562 reduction also affects semiquinone concentration and superoxide production. To assess whether this behavior was consistent with the Q-cycle mechanism of complex III, we generated a kinetic model of the antimycin- inhibited Q o site. Using published rate constants (determined without antimycin), with unknown rate constants allowed to vary, the model failed to fit the data. However, when we allowed the rate constant for quinol oxidation to decrease 1000-fold and the rate constant for semiquinone oxidation by b 566 to depend on the b 562 redox state, the model fit the energized and de-energized data well. In such fits, quinol oxidation was much slower than literature values and slowed further when b 566 was reduced, and reduction of b 562 stabilized the semiquinone when b566 was oxidized. Thus, superoxide production at Q o depends on the reduction states of b 566 and b 562 and fits the Q-cycle only if particular rate constants are altered when b oxidation is prevented by antimycin. These mechanisms limit superoxide production and short circuiting of the Q-cycle when electron transfer slows. © 2011 by The American Society for Biochemistry and Molecular Biology, Inc.","author":[{"dropping-particle":"","family":"Quinlan","given":"Casey L.","non-dropping-particle":"","parse-names":false,"suffix":""},{"dropping-particle":"","family":"Gerencser","given":"Akos A.","non-dropping-particle":"","parse-names":false,"suffix":""},{"dropping-particle":"","family":"Treberg","given":"Jason R.","non-dropping-particle":"","parse-names":false,"suffix":""},{"dropping-particle":"","family":"Brand","given":"Martin D.","non-dropping-particle":"","parse-names":false,"suffix":""}],"container-title":"Journal of Biological Chemistry","id":"ITEM-1","issue":"36","issued":{"date-parts":[["2011","9","9"]]},"page":"31361-31372","publisher":"Elsevier","title":"The mechanism of superoxide production by the antimycin-inhibited mitochondrial Q-cycle","type":"article-journal","volume":"286"},"uris":["http://www.mendeley.com/documents/?uuid=30df4414-eabc-3d65-82cb-6e37a8500fb2"]}],"mendeley":{"formattedCitation":"[25]","plainTextFormattedCitation":"[25]","previouslyFormattedCitation":"[159]"},"properties":{"noteIndex":0},"schema":"https://github.com/citation-style-language/schema/raw/master/csl-citation.json"}</w:instrText>
      </w:r>
      <w:r>
        <w:fldChar w:fldCharType="separate"/>
      </w:r>
      <w:r w:rsidRPr="006009F4">
        <w:rPr>
          <w:noProof/>
        </w:rPr>
        <w:t>[25]</w:t>
      </w:r>
      <w:r>
        <w:fldChar w:fldCharType="end"/>
      </w:r>
      <w:r>
        <w:t xml:space="preserve">. </w:t>
      </w:r>
      <w:r>
        <w:rPr>
          <w:color w:val="000000" w:themeColor="text1"/>
        </w:rPr>
        <w:t xml:space="preserve">THP-1 monocytes were incubated for 1 h with plain media with or without 5 mg/mL of lunasin. Antimycin A from </w:t>
      </w:r>
      <w:r>
        <w:rPr>
          <w:i/>
          <w:iCs/>
          <w:color w:val="000000" w:themeColor="text1"/>
        </w:rPr>
        <w:t>Streptomyces sp.</w:t>
      </w:r>
      <w:r>
        <w:rPr>
          <w:color w:val="000000" w:themeColor="text1"/>
        </w:rPr>
        <w:t xml:space="preserve"> (Sigma Aldrich, St. Louis, MO) was added to a final concentration of 40 µg/mL and incubated for 5 h. After removal of the treatment media, cells were incubated for 30 min with 3 µM MitoSOx</w:t>
      </w:r>
      <w:r>
        <w:rPr>
          <w:color w:val="000000" w:themeColor="text1"/>
          <w:vertAlign w:val="superscript"/>
        </w:rPr>
        <w:t>TM</w:t>
      </w:r>
      <w:r>
        <w:rPr>
          <w:color w:val="000000" w:themeColor="text1"/>
        </w:rPr>
        <w:t xml:space="preserve"> (Thermo Scientific, Waltham, MA), washed with Hank's balanced salt solution (HBSS), and then analyzed using a MACSQuant10 flow cytometer (Miltenyi Biotec, Auburn, CA). For fluorescence microscopy, 1 x 10</w:t>
      </w:r>
      <w:r>
        <w:rPr>
          <w:color w:val="000000" w:themeColor="text1"/>
          <w:vertAlign w:val="superscript"/>
        </w:rPr>
        <w:t>5</w:t>
      </w:r>
      <w:r>
        <w:rPr>
          <w:color w:val="000000" w:themeColor="text1"/>
        </w:rPr>
        <w:t xml:space="preserve"> cells/well were seeded in 8-well ibidi µ-slides and differentiated into macrophages as indicated in section 3.3.7. After the resting phase, cells were treated with lunasin and antimycin A as previously described. The treatment media was collected to evaluate pro-inflammatory cytokines, and the cells were incubated with MitoSOx probe. Micrographs of the cells were captured using bright</w:t>
      </w:r>
      <w:r w:rsidR="004B193F">
        <w:rPr>
          <w:color w:val="000000" w:themeColor="text1"/>
        </w:rPr>
        <w:t>-</w:t>
      </w:r>
      <w:r>
        <w:rPr>
          <w:color w:val="000000" w:themeColor="text1"/>
        </w:rPr>
        <w:t>field and red fluorescence channels in an EVOS</w:t>
      </w:r>
      <w:r>
        <w:rPr>
          <w:color w:val="000000" w:themeColor="text1"/>
          <w:vertAlign w:val="superscript"/>
        </w:rPr>
        <w:t>TM</w:t>
      </w:r>
      <w:r>
        <w:rPr>
          <w:color w:val="000000" w:themeColor="text1"/>
        </w:rPr>
        <w:t xml:space="preserve"> M7000 microscope (Invitrogen, Waltham, MA) using a 20x objective. The number of positively stained cells was manually counted in the merged image of at least six different fields taken for each replication.</w:t>
      </w:r>
    </w:p>
    <w:p w14:paraId="54CD7A54" w14:textId="77777777" w:rsidR="007F2E79" w:rsidRPr="00300212" w:rsidRDefault="007F2E79" w:rsidP="000D0605">
      <w:pPr>
        <w:spacing w:line="480" w:lineRule="auto"/>
        <w:ind w:firstLine="720"/>
      </w:pPr>
    </w:p>
    <w:p w14:paraId="79B43CAD" w14:textId="77777777" w:rsidR="000D0605" w:rsidRDefault="000D0605" w:rsidP="000D0605">
      <w:pPr>
        <w:pStyle w:val="Heading3"/>
        <w:spacing w:line="480" w:lineRule="auto"/>
        <w:rPr>
          <w:color w:val="000000" w:themeColor="text1"/>
          <w:szCs w:val="24"/>
        </w:rPr>
      </w:pPr>
      <w:bookmarkStart w:id="94" w:name="_Toc77082134"/>
      <w:r>
        <w:rPr>
          <w:i w:val="0"/>
        </w:rPr>
        <w:t xml:space="preserve">3.3.11 </w:t>
      </w:r>
      <w:r w:rsidRPr="005A5BB1">
        <w:rPr>
          <w:i w:val="0"/>
        </w:rPr>
        <w:t>Activation of the inflammasome via induced K</w:t>
      </w:r>
      <w:r w:rsidRPr="002449FA">
        <w:rPr>
          <w:i w:val="0"/>
          <w:vertAlign w:val="superscript"/>
        </w:rPr>
        <w:t xml:space="preserve">+ </w:t>
      </w:r>
      <w:r w:rsidRPr="005A5BB1">
        <w:rPr>
          <w:i w:val="0"/>
        </w:rPr>
        <w:t>efflux</w:t>
      </w:r>
      <w:bookmarkEnd w:id="94"/>
      <w:r w:rsidRPr="005A5BB1">
        <w:rPr>
          <w:i w:val="0"/>
        </w:rPr>
        <w:t xml:space="preserve"> </w:t>
      </w:r>
    </w:p>
    <w:p w14:paraId="0A6FD6F0" w14:textId="2FEFB8AD" w:rsidR="007F2E79" w:rsidRDefault="000D0605" w:rsidP="002B3E0C">
      <w:pPr>
        <w:spacing w:line="480" w:lineRule="auto"/>
        <w:ind w:firstLine="720"/>
        <w:rPr>
          <w:color w:val="000000" w:themeColor="text1"/>
        </w:rPr>
      </w:pPr>
      <w:r>
        <w:rPr>
          <w:color w:val="000000" w:themeColor="text1"/>
        </w:rPr>
        <w:t>Differentiated macrophages were primed for 6 h with or without LPS, in the presence or absence of 5 mg/mL lunasin. K</w:t>
      </w:r>
      <w:r>
        <w:rPr>
          <w:color w:val="000000" w:themeColor="text1"/>
          <w:vertAlign w:val="superscript"/>
        </w:rPr>
        <w:t>+</w:t>
      </w:r>
      <w:r>
        <w:rPr>
          <w:color w:val="000000" w:themeColor="text1"/>
        </w:rPr>
        <w:t xml:space="preserve"> conditioned media consisted of K</w:t>
      </w:r>
      <w:r>
        <w:rPr>
          <w:color w:val="000000" w:themeColor="text1"/>
          <w:vertAlign w:val="superscript"/>
        </w:rPr>
        <w:t>+</w:t>
      </w:r>
      <w:r>
        <w:rPr>
          <w:color w:val="000000" w:themeColor="text1"/>
        </w:rPr>
        <w:t xml:space="preserve"> free PBS supplemented with KCl to reach the specified concentration of potassium (0, 0.5, 1.0 or 5.0 mM). Priming media was removed and K</w:t>
      </w:r>
      <w:r>
        <w:rPr>
          <w:color w:val="000000" w:themeColor="text1"/>
          <w:vertAlign w:val="superscript"/>
        </w:rPr>
        <w:t>+</w:t>
      </w:r>
      <w:r>
        <w:rPr>
          <w:color w:val="000000" w:themeColor="text1"/>
        </w:rPr>
        <w:t xml:space="preserve"> conditioned media with or without 5 mg/mL of lunasin was added to the cells and incubated for the specified time to induce inflammasome activation. After treatment, K</w:t>
      </w:r>
      <w:r>
        <w:rPr>
          <w:color w:val="000000" w:themeColor="text1"/>
          <w:vertAlign w:val="superscript"/>
        </w:rPr>
        <w:t>+</w:t>
      </w:r>
      <w:r>
        <w:rPr>
          <w:color w:val="000000" w:themeColor="text1"/>
        </w:rPr>
        <w:t xml:space="preserve"> conditioned media was collected and used for the quantification of pro-inflammatory cytokines. Regular growth media was used as control to compare the effect of K</w:t>
      </w:r>
      <w:r>
        <w:rPr>
          <w:color w:val="000000" w:themeColor="text1"/>
          <w:vertAlign w:val="superscript"/>
        </w:rPr>
        <w:t>+</w:t>
      </w:r>
      <w:r>
        <w:rPr>
          <w:color w:val="000000" w:themeColor="text1"/>
        </w:rPr>
        <w:t xml:space="preserve"> conditioned media. </w:t>
      </w:r>
    </w:p>
    <w:p w14:paraId="27693504" w14:textId="77777777" w:rsidR="000D0605" w:rsidRDefault="000D0605" w:rsidP="002B3E0C">
      <w:pPr>
        <w:pStyle w:val="Heading3"/>
        <w:spacing w:before="0" w:after="0" w:line="480" w:lineRule="auto"/>
        <w:rPr>
          <w:color w:val="000000" w:themeColor="text1"/>
          <w:szCs w:val="24"/>
        </w:rPr>
      </w:pPr>
      <w:bookmarkStart w:id="95" w:name="_Toc77082135"/>
      <w:r>
        <w:rPr>
          <w:i w:val="0"/>
        </w:rPr>
        <w:t xml:space="preserve">3.3.12 </w:t>
      </w:r>
      <w:r w:rsidRPr="005A5BB1">
        <w:rPr>
          <w:i w:val="0"/>
        </w:rPr>
        <w:t>Statistical analysis</w:t>
      </w:r>
      <w:bookmarkEnd w:id="95"/>
    </w:p>
    <w:p w14:paraId="167236CD" w14:textId="77777777" w:rsidR="000D0605" w:rsidRDefault="000D0605" w:rsidP="000D0605">
      <w:pPr>
        <w:spacing w:line="480" w:lineRule="auto"/>
        <w:ind w:firstLine="720"/>
        <w:rPr>
          <w:color w:val="000000" w:themeColor="text1"/>
          <w:shd w:val="clear" w:color="auto" w:fill="FFFFFF"/>
        </w:rPr>
      </w:pPr>
      <w:r>
        <w:rPr>
          <w:color w:val="000000" w:themeColor="text1"/>
          <w:shd w:val="clear" w:color="auto" w:fill="FFFFFF"/>
        </w:rPr>
        <w:t xml:space="preserve">A Principal Component Analysis (PCA) of the data from </w:t>
      </w:r>
      <w:r>
        <w:rPr>
          <w:i/>
          <w:iCs/>
          <w:color w:val="000000" w:themeColor="text1"/>
          <w:shd w:val="clear" w:color="auto" w:fill="FFFFFF"/>
        </w:rPr>
        <w:t>in vivo</w:t>
      </w:r>
      <w:r>
        <w:rPr>
          <w:color w:val="000000" w:themeColor="text1"/>
          <w:shd w:val="clear" w:color="auto" w:fill="FFFFFF"/>
        </w:rPr>
        <w:t xml:space="preserve"> experiments was performed using MATLAB (The Mathworks Inc., USA). An 18 x 127 matrix was created containing the following data: daily relative bw, stool consistency and hematochezia scores, colon length, myeloperoxidase activity, and pro-inflammatory cytokines for the duodenum, jejunum, ileum, and colon, for every mouse belonging to the three treatment groups. The technique of Wilks' lambda was carried out to select the variables with higher discriminant potential among treatments. A 18 x 42 matrix was created with the 33% of variables with the highest lambda coefficient and used to generate the PCA model with the graphical user interface for PCA developed by the Milano Chemometrics and </w:t>
      </w:r>
      <w:r>
        <w:rPr>
          <w:color w:val="000000" w:themeColor="text1"/>
          <w:shd w:val="clear" w:color="auto" w:fill="FFFFFF"/>
        </w:rPr>
        <w:lastRenderedPageBreak/>
        <w:t xml:space="preserve">QSAR Research Group, Department of Earth and Environmental Sciences, University of Milano–Bicocca, Milano, Italy </w:t>
      </w:r>
      <w:r>
        <w:rPr>
          <w:color w:val="000000" w:themeColor="text1"/>
          <w:shd w:val="clear" w:color="auto" w:fill="FFFFFF"/>
        </w:rPr>
        <w:fldChar w:fldCharType="begin" w:fldLock="1"/>
      </w:r>
      <w:r>
        <w:rPr>
          <w:color w:val="000000" w:themeColor="text1"/>
          <w:shd w:val="clear" w:color="auto" w:fill="FFFFFF"/>
        </w:rPr>
        <w:instrText>ADDIN CSL_CITATION {"citationItems":[{"id":"ITEM-1","itemData":{"DOI":"10.1016/j.chemolab.2015.10.003","ISSN":"18733239","abstract":"Principal Component Analysis is a multivariate method to project data in a reduced hyperspace, defined by orthogonal principal components, which are linear combinations of the original variables. In this way, data dimension can be reduced, noise can be excluded from the subsequent analysis, and therefore, data interpretation is extremely facilitated. For these reasons, Principal Component Analysis is nowadays the most common chemometric strategy for unsupervised exploratory data analysis.In this paper, the PCA toolbox for MATLAB is described. This is a collection of modules for calculating Principal Component Analysis, as well as Cluster Analysis and Multidimensional Scaling, which are two other well-known multivariate methods for unsupervised data exploration. The toolbox is freely available via Internet and comprises a graphical user interface (GUI), which allows the calculation in an easy-to-use graphical environment. It aims to be useful for both beginners and advanced users. The use of the toolbox is discussed here with an appropriate practical example.","author":[{"dropping-particle":"","family":"Ballabio","given":"Davide","non-dropping-particle":"","parse-names":false,"suffix":""}],"container-title":"Chemometrics and Intelligent Laboratory Systems","id":"ITEM-1","issued":{"date-parts":[["2015","12","15"]]},"page":"1-9","publisher":"Elsevier","title":"A MATLAB toolbox for Principal Component Analysis and unsupervised exploration of data structure","type":"article-journal","volume":"149"},"uris":["http://www.mendeley.com/documents/?uuid=d7bf209c-5015-32cc-b282-0cedadff3c0c"]}],"mendeley":{"formattedCitation":"[26]","plainTextFormattedCitation":"[26]","previouslyFormattedCitation":"[160]"},"properties":{"noteIndex":0},"schema":"https://github.com/citation-style-language/schema/raw/master/csl-citation.json"}</w:instrText>
      </w:r>
      <w:r>
        <w:rPr>
          <w:color w:val="000000" w:themeColor="text1"/>
          <w:shd w:val="clear" w:color="auto" w:fill="FFFFFF"/>
        </w:rPr>
        <w:fldChar w:fldCharType="separate"/>
      </w:r>
      <w:r w:rsidRPr="006009F4">
        <w:rPr>
          <w:noProof/>
          <w:color w:val="000000" w:themeColor="text1"/>
          <w:shd w:val="clear" w:color="auto" w:fill="FFFFFF"/>
        </w:rPr>
        <w:t>[26]</w:t>
      </w:r>
      <w:r>
        <w:rPr>
          <w:color w:val="000000" w:themeColor="text1"/>
          <w:shd w:val="clear" w:color="auto" w:fill="FFFFFF"/>
        </w:rPr>
        <w:fldChar w:fldCharType="end"/>
      </w:r>
      <w:r>
        <w:rPr>
          <w:color w:val="000000" w:themeColor="text1"/>
          <w:shd w:val="clear" w:color="auto" w:fill="FFFFFF"/>
        </w:rPr>
        <w:t>.</w:t>
      </w:r>
    </w:p>
    <w:p w14:paraId="0D2BA818" w14:textId="30029BAE" w:rsidR="007F2E79" w:rsidRDefault="000D0605" w:rsidP="002B3E0C">
      <w:pPr>
        <w:spacing w:line="480" w:lineRule="auto"/>
        <w:ind w:firstLine="720"/>
        <w:rPr>
          <w:color w:val="000000" w:themeColor="text1"/>
        </w:rPr>
      </w:pPr>
      <w:r>
        <w:rPr>
          <w:color w:val="000000" w:themeColor="text1"/>
        </w:rPr>
        <w:t xml:space="preserve">Results are reported as mean ± SEM for </w:t>
      </w:r>
      <w:r>
        <w:rPr>
          <w:i/>
          <w:iCs/>
          <w:color w:val="000000" w:themeColor="text1"/>
        </w:rPr>
        <w:t>in vivo</w:t>
      </w:r>
      <w:r>
        <w:rPr>
          <w:color w:val="000000" w:themeColor="text1"/>
        </w:rPr>
        <w:t xml:space="preserve"> experiments, and as mean ± SD for </w:t>
      </w:r>
      <w:r>
        <w:rPr>
          <w:i/>
          <w:iCs/>
          <w:color w:val="000000" w:themeColor="text1"/>
        </w:rPr>
        <w:t>in vitro</w:t>
      </w:r>
      <w:r>
        <w:rPr>
          <w:color w:val="000000" w:themeColor="text1"/>
        </w:rPr>
        <w:t xml:space="preserve"> analyses. Significant differences (p &lt; 0.05) were assessed using the non-parametric Mann-Whitney test, or the parametric t-student test, accordingly, when comparing two treatments. ANOVA followed by the post hoc Tukey test, was used for the comparison of three or more treatment groups. </w:t>
      </w:r>
    </w:p>
    <w:p w14:paraId="350B6FDC" w14:textId="77777777" w:rsidR="000D0605" w:rsidRPr="00973FDA" w:rsidRDefault="000D0605" w:rsidP="002B3E0C">
      <w:pPr>
        <w:pStyle w:val="Heading2"/>
        <w:spacing w:before="0" w:after="0" w:line="480" w:lineRule="auto"/>
      </w:pPr>
      <w:bookmarkStart w:id="96" w:name="_Toc77082136"/>
      <w:r>
        <w:t xml:space="preserve">3.4 </w:t>
      </w:r>
      <w:r w:rsidRPr="00973FDA">
        <w:t>Results</w:t>
      </w:r>
      <w:bookmarkEnd w:id="96"/>
    </w:p>
    <w:p w14:paraId="12CF1B40" w14:textId="77777777" w:rsidR="000D0605" w:rsidRPr="005A5BB1" w:rsidRDefault="000D0605" w:rsidP="002B3E0C">
      <w:pPr>
        <w:pStyle w:val="Heading3"/>
        <w:spacing w:before="0" w:after="0" w:line="480" w:lineRule="auto"/>
        <w:rPr>
          <w:i w:val="0"/>
        </w:rPr>
      </w:pPr>
      <w:bookmarkStart w:id="97" w:name="_Toc77082137"/>
      <w:r>
        <w:rPr>
          <w:i w:val="0"/>
        </w:rPr>
        <w:t xml:space="preserve">3.4.1 </w:t>
      </w:r>
      <w:r w:rsidRPr="005A5BB1">
        <w:rPr>
          <w:i w:val="0"/>
        </w:rPr>
        <w:t>Oral administration of lunasin attenuated macroscopic indicators of intestinal inflammation and reduced pro-inflammatory cytokines in the bowel of IL-10</w:t>
      </w:r>
      <w:r w:rsidRPr="002449FA">
        <w:rPr>
          <w:i w:val="0"/>
          <w:vertAlign w:val="superscript"/>
        </w:rPr>
        <w:t>-/-</w:t>
      </w:r>
      <w:r>
        <w:rPr>
          <w:i w:val="0"/>
          <w:vertAlign w:val="superscript"/>
        </w:rPr>
        <w:t xml:space="preserve"> </w:t>
      </w:r>
      <w:r w:rsidRPr="005A5BB1">
        <w:rPr>
          <w:i w:val="0"/>
        </w:rPr>
        <w:t>mice.</w:t>
      </w:r>
      <w:bookmarkEnd w:id="97"/>
    </w:p>
    <w:p w14:paraId="102AD8DE" w14:textId="32020013" w:rsidR="000D0605" w:rsidRDefault="000D0605" w:rsidP="000D0605">
      <w:pPr>
        <w:pStyle w:val="paragraph"/>
        <w:spacing w:before="0" w:beforeAutospacing="0" w:after="0" w:afterAutospacing="0" w:line="480" w:lineRule="auto"/>
        <w:ind w:firstLine="720"/>
        <w:textAlignment w:val="baseline"/>
        <w:rPr>
          <w:rStyle w:val="normaltextrun"/>
          <w:rFonts w:ascii="Arial" w:hAnsi="Arial" w:cs="Arial"/>
          <w:color w:val="000000" w:themeColor="text1"/>
          <w:shd w:val="clear" w:color="auto" w:fill="FFFFFF"/>
          <w:lang w:val="en-US"/>
        </w:rPr>
      </w:pPr>
      <w:r>
        <w:rPr>
          <w:rStyle w:val="normaltextrun"/>
          <w:rFonts w:ascii="Arial" w:hAnsi="Arial" w:cs="Arial"/>
          <w:color w:val="000000" w:themeColor="text1"/>
          <w:lang w:val="en-US"/>
        </w:rPr>
        <w:t>B</w:t>
      </w:r>
      <w:r w:rsidR="00722711">
        <w:rPr>
          <w:rStyle w:val="normaltextrun"/>
          <w:rFonts w:ascii="Arial" w:hAnsi="Arial" w:cs="Arial"/>
          <w:color w:val="000000" w:themeColor="text1"/>
          <w:lang w:val="en-US"/>
        </w:rPr>
        <w:t>ody</w:t>
      </w:r>
      <w:r w:rsidR="003C5744">
        <w:rPr>
          <w:rStyle w:val="normaltextrun"/>
          <w:rFonts w:ascii="Arial" w:hAnsi="Arial" w:cs="Arial"/>
          <w:color w:val="000000" w:themeColor="text1"/>
          <w:lang w:val="en-US"/>
        </w:rPr>
        <w:t xml:space="preserve"> </w:t>
      </w:r>
      <w:r w:rsidR="00722711">
        <w:rPr>
          <w:rStyle w:val="normaltextrun"/>
          <w:rFonts w:ascii="Arial" w:hAnsi="Arial" w:cs="Arial"/>
          <w:color w:val="000000" w:themeColor="text1"/>
          <w:lang w:val="en-US"/>
        </w:rPr>
        <w:t>weight</w:t>
      </w:r>
      <w:r>
        <w:rPr>
          <w:rStyle w:val="normaltextrun"/>
          <w:rFonts w:ascii="Arial" w:hAnsi="Arial" w:cs="Arial"/>
          <w:color w:val="000000" w:themeColor="text1"/>
          <w:lang w:val="en-US"/>
        </w:rPr>
        <w:t xml:space="preserve"> loss, diarrhea, and the presence of blood in the stool are among the most common manifestations of IBD </w:t>
      </w:r>
      <w:r>
        <w:rPr>
          <w:rStyle w:val="normaltextrun"/>
          <w:rFonts w:ascii="Arial" w:hAnsi="Arial" w:cs="Arial"/>
          <w:color w:val="000000" w:themeColor="text1"/>
          <w:lang w:val="en-US"/>
        </w:rPr>
        <w:fldChar w:fldCharType="begin" w:fldLock="1"/>
      </w:r>
      <w:r>
        <w:rPr>
          <w:rStyle w:val="normaltextrun"/>
          <w:rFonts w:ascii="Arial" w:hAnsi="Arial" w:cs="Arial"/>
          <w:color w:val="000000" w:themeColor="text1"/>
          <w:lang w:val="en-US"/>
        </w:rPr>
        <w:instrText>ADDIN CSL_CITATION {"citationItems":[{"id":"ITEM-1","itemData":{"author":[{"dropping-particle":"","family":"Crohn's and Colitis Foundation of America","given":"","non-dropping-particle":"","parse-names":false,"suffix":""}],"container-title":"The facts about inflammatory bowel diseases","id":"ITEM-1","issued":{"date-parts":[["2014"]]},"page":"1 - 24","title":"Crohn's and Colitis Foundation","type":"webpage"},"uris":["http://www.mendeley.com/documents/?uuid=78db2156-04ee-40a8-bd24-620a51060139"]}],"mendeley":{"formattedCitation":"[1]","plainTextFormattedCitation":"[1]","previouslyFormattedCitation":"[4]"},"properties":{"noteIndex":0},"schema":"https://github.com/citation-style-language/schema/raw/master/csl-citation.json"}</w:instrText>
      </w:r>
      <w:r>
        <w:rPr>
          <w:rStyle w:val="normaltextrun"/>
          <w:rFonts w:ascii="Arial" w:hAnsi="Arial" w:cs="Arial"/>
          <w:color w:val="000000" w:themeColor="text1"/>
          <w:lang w:val="en-US"/>
        </w:rPr>
        <w:fldChar w:fldCharType="separate"/>
      </w:r>
      <w:r w:rsidRPr="006009F4">
        <w:rPr>
          <w:rStyle w:val="normaltextrun"/>
          <w:rFonts w:ascii="Arial" w:hAnsi="Arial" w:cs="Arial"/>
          <w:noProof/>
          <w:color w:val="000000" w:themeColor="text1"/>
          <w:lang w:val="en-US"/>
        </w:rPr>
        <w:t>[1]</w:t>
      </w:r>
      <w:r>
        <w:rPr>
          <w:rStyle w:val="normaltextrun"/>
          <w:rFonts w:ascii="Arial" w:hAnsi="Arial" w:cs="Arial"/>
          <w:color w:val="000000" w:themeColor="text1"/>
          <w:lang w:val="en-US"/>
        </w:rPr>
        <w:fldChar w:fldCharType="end"/>
      </w:r>
      <w:r>
        <w:rPr>
          <w:rStyle w:val="normaltextrun"/>
          <w:rFonts w:ascii="Arial" w:hAnsi="Arial" w:cs="Arial"/>
          <w:color w:val="000000" w:themeColor="text1"/>
          <w:lang w:val="en-US"/>
        </w:rPr>
        <w:t xml:space="preserve">. We applied a scoring system to keep track of noticeable changes related to these symptoms. No significant decrease in the average bw was observed for any group at any time during the experiments (Figure 3.1A). However, our records indicated that decreases of up to 7, 6, and 8% of the initial bw occurred in individual mice for the control, lunasin, and CI groups, respectively, at different time points. Also, although no significant differences were found between control and lunasin groups on any given day, the trend indicated that while lunasin administration maintained constant bw, control mice gradually gained weight over time. Interestingly, administration of the CI resulted in a </w:t>
      </w:r>
      <w:r>
        <w:rPr>
          <w:rStyle w:val="normaltextrun"/>
          <w:rFonts w:ascii="Arial" w:hAnsi="Arial" w:cs="Arial"/>
          <w:color w:val="000000" w:themeColor="text1"/>
          <w:lang w:val="en-US"/>
        </w:rPr>
        <w:lastRenderedPageBreak/>
        <w:t>significantly lower relative bw in comparison to lunasin supplementation between days 12 and 16, and significantly lower relative bw than the control over the last 12 days of the experiment. </w:t>
      </w:r>
      <w:r>
        <w:rPr>
          <w:rStyle w:val="normaltextrun"/>
          <w:rFonts w:ascii="Arial" w:hAnsi="Arial" w:cs="Arial"/>
          <w:color w:val="000000" w:themeColor="text1"/>
          <w:shd w:val="clear" w:color="auto" w:fill="FFFFFF"/>
          <w:lang w:val="en-US"/>
        </w:rPr>
        <w:t xml:space="preserve"> </w:t>
      </w:r>
    </w:p>
    <w:p w14:paraId="4B50EF09" w14:textId="73563DD8" w:rsidR="000D0605" w:rsidRPr="00973FDA" w:rsidRDefault="000D0605" w:rsidP="000D0605">
      <w:pPr>
        <w:pStyle w:val="paragraph"/>
        <w:spacing w:before="0" w:beforeAutospacing="0" w:after="0" w:afterAutospacing="0" w:line="480" w:lineRule="auto"/>
        <w:ind w:firstLine="720"/>
        <w:textAlignment w:val="baseline"/>
        <w:rPr>
          <w:lang w:val="en-US"/>
        </w:rPr>
      </w:pPr>
      <w:r>
        <w:rPr>
          <w:rStyle w:val="normaltextrun"/>
          <w:rFonts w:ascii="Arial" w:hAnsi="Arial" w:cs="Arial"/>
          <w:color w:val="000000" w:themeColor="text1"/>
          <w:lang w:val="en-US"/>
        </w:rPr>
        <w:t xml:space="preserve">Upon visual inspection, no evident blood was identified in the stool or perianal region of any mice, but variation in the color of the fecal matter towards a red tone, receiving a score of one, was registered more frequently for the control group than for the lunasin and CI groups (Figure 3.1B). To account for the possible presence of occult blood in the fecal matter, hemoglobin content was measured in the stool sample. Figure 3.1C revealed two periods of time when the presence of hemoglobin, for the control group, was up to six times higher than the baseline. These results suggest that potential minor intestinal injuries led to a subtle but recurrent presence of blood in the stool of control mice, </w:t>
      </w:r>
      <w:r w:rsidR="00BB17B0">
        <w:rPr>
          <w:rStyle w:val="normaltextrun"/>
          <w:rFonts w:ascii="Arial" w:hAnsi="Arial" w:cs="Arial"/>
          <w:color w:val="000000" w:themeColor="text1"/>
          <w:lang w:val="en-US"/>
        </w:rPr>
        <w:t>which</w:t>
      </w:r>
      <w:r>
        <w:rPr>
          <w:rStyle w:val="normaltextrun"/>
          <w:rFonts w:ascii="Arial" w:hAnsi="Arial" w:cs="Arial"/>
          <w:color w:val="000000" w:themeColor="text1"/>
          <w:lang w:val="en-US"/>
        </w:rPr>
        <w:t xml:space="preserve"> could not be detected by simple inspection, but enough to produce a change in the color of the feces. Moreover, we found that with the lack of treatment, stool became stickier and softer (scores 1 and 2, respectively) between two and three times more often for the control group than for treated mice (Figure 3.1D). </w:t>
      </w:r>
      <w:r w:rsidR="00BB17B0">
        <w:rPr>
          <w:rStyle w:val="normaltextrun"/>
          <w:rFonts w:ascii="Arial" w:hAnsi="Arial" w:cs="Arial"/>
          <w:color w:val="000000" w:themeColor="text1"/>
          <w:lang w:val="en-US"/>
        </w:rPr>
        <w:t>The disease activity index</w:t>
      </w:r>
      <w:r>
        <w:rPr>
          <w:rStyle w:val="normaltextrun"/>
          <w:rFonts w:ascii="Arial" w:hAnsi="Arial" w:cs="Arial"/>
          <w:color w:val="000000" w:themeColor="text1"/>
          <w:lang w:val="en-US"/>
        </w:rPr>
        <w:t xml:space="preserve"> (Figure 3.1E) indicated that, overall, the animals exhibited mild macroscopic symptoms of bowel inflammation, with scores 1 and 2 being the more frequent for all the groups. The maximum scores observed for individual mice were 4 (1 mouse each in control and lunasin groups) and 3 (4 mice in control, 1 in lunasin, and 2 in CI groups). DAI scoring was strongly affected by the observed decrease in bw in the CI group. </w:t>
      </w:r>
      <w:r>
        <w:rPr>
          <w:rStyle w:val="eop"/>
          <w:rFonts w:ascii="Arial" w:hAnsi="Arial" w:cs="Arial"/>
          <w:color w:val="000000" w:themeColor="text1"/>
          <w:lang w:val="en-US"/>
        </w:rPr>
        <w:t xml:space="preserve">Taken </w:t>
      </w:r>
      <w:r>
        <w:rPr>
          <w:rStyle w:val="eop"/>
          <w:rFonts w:ascii="Arial" w:hAnsi="Arial" w:cs="Arial"/>
          <w:color w:val="000000" w:themeColor="text1"/>
          <w:lang w:val="en-US"/>
        </w:rPr>
        <w:lastRenderedPageBreak/>
        <w:t xml:space="preserve">together, our observations indicate that the susceptibility to minor inflammatory events (frequency and severity) was reduced when oral supplementation of lunasin was provided. </w:t>
      </w:r>
    </w:p>
    <w:p w14:paraId="3DEFBBAC" w14:textId="2F526804" w:rsidR="000D0605" w:rsidRDefault="000D0605" w:rsidP="000D0605">
      <w:pPr>
        <w:pStyle w:val="paragraph"/>
        <w:spacing w:before="0" w:beforeAutospacing="0" w:after="0" w:afterAutospacing="0" w:line="480" w:lineRule="auto"/>
        <w:ind w:firstLine="720"/>
        <w:textAlignment w:val="baseline"/>
        <w:rPr>
          <w:rFonts w:ascii="Arial" w:hAnsi="Arial" w:cs="Arial"/>
          <w:color w:val="000000" w:themeColor="text1"/>
          <w:lang w:val="en-US"/>
        </w:rPr>
      </w:pPr>
      <w:r>
        <w:rPr>
          <w:rStyle w:val="normaltextrun"/>
          <w:rFonts w:ascii="Arial" w:hAnsi="Arial" w:cs="Arial"/>
          <w:color w:val="000000" w:themeColor="text1"/>
          <w:lang w:val="en-US"/>
        </w:rPr>
        <w:t xml:space="preserve">To further evaluate the effect of lunasin administration on the intestinal tissues, we harvested the small and large intestines at the end of the experiment. We observed that the characteristic colon shortening in </w:t>
      </w:r>
      <w:r>
        <w:rPr>
          <w:rFonts w:ascii="Arial" w:hAnsi="Arial" w:cs="Arial"/>
          <w:color w:val="000000" w:themeColor="text1"/>
          <w:lang w:val="en-US"/>
        </w:rPr>
        <w:t>IL-10</w:t>
      </w:r>
      <w:r>
        <w:rPr>
          <w:rFonts w:ascii="Arial" w:hAnsi="Arial" w:cs="Arial"/>
          <w:color w:val="000000" w:themeColor="text1"/>
          <w:vertAlign w:val="superscript"/>
          <w:lang w:val="en-US"/>
        </w:rPr>
        <w:t xml:space="preserve">-/- </w:t>
      </w:r>
      <w:r>
        <w:rPr>
          <w:rStyle w:val="normaltextrun"/>
          <w:rFonts w:ascii="Arial" w:hAnsi="Arial" w:cs="Arial"/>
          <w:color w:val="000000" w:themeColor="text1"/>
          <w:lang w:val="en-US"/>
        </w:rPr>
        <w:t xml:space="preserve">mice (Figures 3.1F and 3.1G) was significantly alleviated by lunasin, exhibiting colons on average 13 mm longer than those from the control and CI groups. Colon shortening or stiffening is a potential outcome of the involvement of the mucosal and submucosal layers of the colon during chronic inflammation </w:t>
      </w:r>
      <w:r>
        <w:rPr>
          <w:rStyle w:val="normaltextrun"/>
          <w:rFonts w:ascii="Arial" w:hAnsi="Arial" w:cs="Arial"/>
          <w:color w:val="000000" w:themeColor="text1"/>
          <w:lang w:val="en-US"/>
        </w:rPr>
        <w:fldChar w:fldCharType="begin" w:fldLock="1"/>
      </w:r>
      <w:r>
        <w:rPr>
          <w:rStyle w:val="normaltextrun"/>
          <w:rFonts w:ascii="Arial" w:hAnsi="Arial" w:cs="Arial"/>
          <w:color w:val="000000" w:themeColor="text1"/>
          <w:lang w:val="en-US"/>
        </w:rPr>
        <w:instrText>ADDIN CSL_CITATION {"citationItems":[{"id":"ITEM-1","itemData":{"DOI":"10.1016/j.crohns.2008.05.009","ISSN":"18739946","abstract":"Background and aims: Intestinal fibrosis is a common complication of IBD that can become seriously symptomatic and may require surgical intervention if stricture formation ensues. This review discusses existing and developing knowledge of intestinal fibrosis and its implications for therapy. Methods: Review of the literature, personal communications, unpublished observations. Results: Known mechanisms of intestinal fibrosis include fibroblast proliferation and migration, activation of stellate cells, and extraintestinal fibroblast recruitment. However, novel mechanisms are being uncovered, including epithelial-to-mesenchymal transition, endothelial-to-mesenchymal transition, pericyte differentiation, and fibrocyte recruitment. Most of the traditional and novel mechanisms underlying intestinal fibrosis are associated to the presence of chronic inflammation, but is also possible that fibrosis develops independently of persistent immune activation in the gut. At the moment, the development of preventive, non-interventional, and more effective management of intestinal fibrosis is hampered by the lack of a greater knowledge of its basic pathophysiology and predisposing factors. Conclusions: It is reasonable to expect that therapy of IBD-associated fibrosis will radically improve once the underlying mechanisms are better understood, and therapeutic modalities will emerge that prevent or reverse this complication of IBD. © 2008 European Crohn's and Colitis Organisation.","author":[{"dropping-particle":"","family":"Rieder","given":"Florian","non-dropping-particle":"","parse-names":false,"suffix":""},{"dropping-particle":"","family":"Fiocchi","given":"Claudio","non-dropping-particle":"","parse-names":false,"suffix":""}],"container-title":"Journal of Crohn's and Colitis","id":"ITEM-1","issue":"4","issued":{"date-parts":[["2008","12","1"]]},"page":"279-290","publisher":"No longer published by Elsevier","title":"Intestinal fibrosis in inflammatory bowel disease - Current knowledge and future perspectives","type":"article","volume":"2"},"uris":["http://www.mendeley.com/documents/?uuid=c5547495-a881-3357-87a1-faaba68676ba"]}],"mendeley":{"formattedCitation":"[27]","plainTextFormattedCitation":"[27]","previouslyFormattedCitation":"[161]"},"properties":{"noteIndex":0},"schema":"https://github.com/citation-style-language/schema/raw/master/csl-citation.json"}</w:instrText>
      </w:r>
      <w:r>
        <w:rPr>
          <w:rStyle w:val="normaltextrun"/>
          <w:rFonts w:ascii="Arial" w:hAnsi="Arial" w:cs="Arial"/>
          <w:color w:val="000000" w:themeColor="text1"/>
          <w:lang w:val="en-US"/>
        </w:rPr>
        <w:fldChar w:fldCharType="separate"/>
      </w:r>
      <w:r w:rsidRPr="006009F4">
        <w:rPr>
          <w:rStyle w:val="normaltextrun"/>
          <w:rFonts w:ascii="Arial" w:hAnsi="Arial" w:cs="Arial"/>
          <w:noProof/>
          <w:color w:val="000000" w:themeColor="text1"/>
          <w:lang w:val="en-US"/>
        </w:rPr>
        <w:t>[27]</w:t>
      </w:r>
      <w:r>
        <w:rPr>
          <w:rStyle w:val="normaltextrun"/>
          <w:rFonts w:ascii="Arial" w:hAnsi="Arial" w:cs="Arial"/>
          <w:color w:val="000000" w:themeColor="text1"/>
          <w:lang w:val="en-US"/>
        </w:rPr>
        <w:fldChar w:fldCharType="end"/>
      </w:r>
      <w:r>
        <w:rPr>
          <w:rStyle w:val="normaltextrun"/>
          <w:rFonts w:ascii="Arial" w:hAnsi="Arial" w:cs="Arial"/>
          <w:color w:val="000000" w:themeColor="text1"/>
          <w:lang w:val="en-US"/>
        </w:rPr>
        <w:t>, hence we examined for potential microscopic morphological alterations. Interestingly, histomorphology evaluation indicated that neither the colon nor the small intestine had significant structural changes associated with inflammation. No damage in mucosal architecture, epithelial changes, depletion of goblet cells, or formation of crypt abscess was detected in any intestinal section. Low cellular infiltration with scattered individual eosinophils was seldomly observed in different sections of the small intestine in random mice but was common in the colonic mucosa of most mice in all the groups. Histological evaluation agreed with the macroscopic observations as the possible inflammation flares that led to the presence of blood in the stool occurred during the first two weeks of the experiment, but no indicators of inflammatory events were observed during the last weeks.</w:t>
      </w:r>
      <w:r>
        <w:rPr>
          <w:rStyle w:val="eop"/>
          <w:rFonts w:ascii="Arial" w:hAnsi="Arial" w:cs="Arial"/>
          <w:color w:val="000000" w:themeColor="text1"/>
          <w:lang w:val="en-US"/>
        </w:rPr>
        <w:t> </w:t>
      </w:r>
    </w:p>
    <w:p w14:paraId="58102A7A" w14:textId="076D27E4" w:rsidR="000D0605" w:rsidRDefault="000D0605" w:rsidP="000D0605">
      <w:pPr>
        <w:spacing w:line="480" w:lineRule="auto"/>
        <w:ind w:firstLine="720"/>
        <w:rPr>
          <w:rStyle w:val="eop"/>
          <w:shd w:val="clear" w:color="auto" w:fill="FFFFFF"/>
        </w:rPr>
      </w:pPr>
      <w:r>
        <w:rPr>
          <w:rStyle w:val="normaltextrun"/>
          <w:color w:val="000000" w:themeColor="text1"/>
        </w:rPr>
        <w:lastRenderedPageBreak/>
        <w:t xml:space="preserve">The potential contribution of immune cells to intestinal inflammation was investigated by quantifying MPO activity and levels of pro-inflammatory cytokines in the tissues. MPO is an enzyme that catalyzes the production of potent reactive oxygen species and has been directly correlated with immune cell trafficking during intestinal inflammation </w:t>
      </w:r>
      <w:r>
        <w:rPr>
          <w:rStyle w:val="normaltextrun"/>
          <w:color w:val="000000" w:themeColor="text1"/>
        </w:rPr>
        <w:fldChar w:fldCharType="begin" w:fldLock="1"/>
      </w:r>
      <w:r>
        <w:rPr>
          <w:rStyle w:val="normaltextrun"/>
          <w:color w:val="000000" w:themeColor="text1"/>
        </w:rPr>
        <w:instrText>ADDIN CSL_CITATION {"citationItems":[{"id":"ITEM-1","itemData":{"DOI":"10.1016/j.abb.2018.03.012","ISSN":"10960384","PMID":"29548776","abstract":"Inflammatory bowel disease (IBD) is a debilitating disorder involving inflammation of the gastrointestinal tract. The incidence of IBD is increasing worldwide. Immunological responses in the gastrointestinal (GI) tract to altered gut microbiota, mucosal injury and loss of intestinal epithelial cell function all contribute to a complex mechanism underlying IBD pathogenesis. Immune cell infiltration, particularly neutrophils, is a histological feature of IBD. This innate immune response is aimed at resolving intestinal damage however, neutrophils and monocytes that are recruited and accumulate in the GI wall, participate in IBD pathogenesis by producing inflammatory cytokines and soluble mediators such as reactive oxygen species (ROS; one- and two-electron oxidants). Unregulated ROS production in host tissue is linked to oxidative damage and inflammation and may potentiate mucosal injury. Neutrophil-myeloperoxidase (MPO) is an abundant granule enzyme that catalyses production of potent ROS; biomarkers of oxidative damage (and MPO protein) are increased in the mucosa of patients with IBD. Targeting MPO may mitigate oxidative damage to host tissue and ensuing inflammation. Here we identify mechanisms by which MPO activity perpetuates inflammation and contributes to host-tissue injury in patients with IBD and discuss MPO as a potential therapeutic target to protect the colon from inflammatory injury.","author":[{"dropping-particle":"","family":"Chami","given":"Belal","non-dropping-particle":"","parse-names":false,"suffix":""},{"dropping-particle":"","family":"Martin","given":"Nathan J.J.","non-dropping-particle":"","parse-names":false,"suffix":""},{"dropping-particle":"","family":"Dennis","given":"Joanne M.","non-dropping-particle":"","parse-names":false,"suffix":""},{"dropping-particle":"","family":"Witting","given":"Paul K.","non-dropping-particle":"","parse-names":false,"suffix":""}],"container-title":"Archives of Biochemistry and Biophysics","id":"ITEM-1","issued":{"date-parts":[["2018","5","1"]]},"page":"61-71","publisher":"Academic Press Inc.","title":"Myeloperoxidase in the inflamed colon: A novel target for treating inflammatory bowel disease","type":"article","volume":"645"},"uris":["http://www.mendeley.com/documents/?uuid=43c5c85c-4317-3669-bf06-881a73cbc6cf"]}],"mendeley":{"formattedCitation":"[28]","plainTextFormattedCitation":"[28]","previouslyFormattedCitation":"[162]"},"properties":{"noteIndex":0},"schema":"https://github.com/citation-style-language/schema/raw/master/csl-citation.json"}</w:instrText>
      </w:r>
      <w:r>
        <w:rPr>
          <w:rStyle w:val="normaltextrun"/>
          <w:color w:val="000000" w:themeColor="text1"/>
        </w:rPr>
        <w:fldChar w:fldCharType="separate"/>
      </w:r>
      <w:r w:rsidRPr="006009F4">
        <w:rPr>
          <w:rStyle w:val="normaltextrun"/>
          <w:noProof/>
          <w:color w:val="000000" w:themeColor="text1"/>
        </w:rPr>
        <w:t>[28]</w:t>
      </w:r>
      <w:r>
        <w:rPr>
          <w:rStyle w:val="normaltextrun"/>
          <w:color w:val="000000" w:themeColor="text1"/>
        </w:rPr>
        <w:fldChar w:fldCharType="end"/>
      </w:r>
      <w:r>
        <w:rPr>
          <w:rStyle w:val="normaltextrun"/>
          <w:color w:val="000000" w:themeColor="text1"/>
        </w:rPr>
        <w:t xml:space="preserve">. No significant differences were detected in MPO activity among the three groups for any of the intestinal sections. Neutrophils are a major source of MPO </w:t>
      </w:r>
      <w:r>
        <w:rPr>
          <w:rStyle w:val="normaltextrun"/>
          <w:color w:val="000000" w:themeColor="text1"/>
        </w:rPr>
        <w:fldChar w:fldCharType="begin" w:fldLock="1"/>
      </w:r>
      <w:r>
        <w:rPr>
          <w:rStyle w:val="normaltextrun"/>
          <w:color w:val="000000" w:themeColor="text1"/>
        </w:rPr>
        <w:instrText>ADDIN CSL_CITATION {"citationItems":[{"id":"ITEM-1","itemData":{"DOI":"10.1155/2016/2349817","ISSN":"23147156","PMID":"26904693","abstract":"Neutrophils are no longer seen as leukocytes with a sole function of being the essential first responders in the removal of pathogens at sites of infection. Being armed with numerous pro- and anti-inflammatory mediators, these phagocytes can also contribute to the development of various autoimmune diseases and can positively or negatively regulate the generation of adaptive immune responses. In this review, we will discuss how myeloperoxidase, the most abundant neutrophil granule protein, plays a key role in the various functions of neutrophils in innate and adaptive immunity.","author":[{"dropping-particle":"","family":"Odobasic","given":"Dragana","non-dropping-particle":"","parse-names":false,"suffix":""},{"dropping-particle":"","family":"Kitching","given":"A. Richard","non-dropping-particle":"","parse-names":false,"suffix":""},{"dropping-particle":"","family":"Holdsworth","given":"Stephen R.","non-dropping-particle":"","parse-names":false,"suffix":""}],"container-title":"Journal of Immunology Research","id":"ITEM-1","issued":{"date-parts":[["2016"]]},"publisher":"Hindawi Limited","title":"Neutrophil-mediated regulation of innate and adaptive immunity: The role of myeloperoxidase","type":"article","volume":"2016"},"uris":["http://www.mendeley.com/documents/?uuid=1fbdb90e-d2a1-3d7c-a987-cb1fcf853e1f"]}],"mendeley":{"formattedCitation":"[29]","plainTextFormattedCitation":"[29]","previouslyFormattedCitation":"[163]"},"properties":{"noteIndex":0},"schema":"https://github.com/citation-style-language/schema/raw/master/csl-citation.json"}</w:instrText>
      </w:r>
      <w:r>
        <w:rPr>
          <w:rStyle w:val="normaltextrun"/>
          <w:color w:val="000000" w:themeColor="text1"/>
        </w:rPr>
        <w:fldChar w:fldCharType="separate"/>
      </w:r>
      <w:r w:rsidRPr="006009F4">
        <w:rPr>
          <w:rStyle w:val="normaltextrun"/>
          <w:noProof/>
          <w:color w:val="000000" w:themeColor="text1"/>
        </w:rPr>
        <w:t>[29]</w:t>
      </w:r>
      <w:r>
        <w:rPr>
          <w:rStyle w:val="normaltextrun"/>
          <w:color w:val="000000" w:themeColor="text1"/>
        </w:rPr>
        <w:fldChar w:fldCharType="end"/>
      </w:r>
      <w:r>
        <w:rPr>
          <w:rStyle w:val="normaltextrun"/>
          <w:color w:val="000000" w:themeColor="text1"/>
        </w:rPr>
        <w:t xml:space="preserve">, hence </w:t>
      </w:r>
      <w:r w:rsidR="00BB17B0">
        <w:rPr>
          <w:rStyle w:val="normaltextrun"/>
          <w:color w:val="000000" w:themeColor="text1"/>
        </w:rPr>
        <w:t>t</w:t>
      </w:r>
      <w:r>
        <w:rPr>
          <w:rStyle w:val="normaltextrun"/>
          <w:color w:val="000000" w:themeColor="text1"/>
        </w:rPr>
        <w:t>hese results corroborate histological findings and indicate that, at least by the end of the experiment, the presence and activity of granulocytes (neutrophils and eosinophils) in the intestine were not significant.</w:t>
      </w:r>
    </w:p>
    <w:p w14:paraId="0BE513B3" w14:textId="77EF2AB3" w:rsidR="007F2E79" w:rsidRPr="002449FA" w:rsidRDefault="000D0605" w:rsidP="002B3E0C">
      <w:pPr>
        <w:pStyle w:val="paragraph"/>
        <w:spacing w:before="0" w:beforeAutospacing="0" w:after="0" w:afterAutospacing="0" w:line="480" w:lineRule="auto"/>
        <w:ind w:firstLine="720"/>
        <w:textAlignment w:val="baseline"/>
        <w:rPr>
          <w:rFonts w:ascii="Arial" w:hAnsi="Arial" w:cs="Arial"/>
          <w:color w:val="000000" w:themeColor="text1"/>
          <w:lang w:val="en-US"/>
        </w:rPr>
      </w:pPr>
      <w:r>
        <w:rPr>
          <w:rStyle w:val="normaltextrun"/>
          <w:rFonts w:ascii="Arial" w:hAnsi="Arial" w:cs="Arial"/>
          <w:color w:val="000000" w:themeColor="text1"/>
          <w:lang w:val="en-US"/>
        </w:rPr>
        <w:t xml:space="preserve">The profile of pro-inflammatory cytokines for the four intestinal sections of each mouse is outlined in Figure 3.2A. Although some sections exhibit higher levels of cytokines than others, not all the mice in the same treatment group are identically affected. The dissimilar distribution of the proinflammatory cytokines throughout the bowel for mice sharing the same environmental conditions, genetic background and feeding patterns, serves as a display of the inherent variability in predisposition to inflammation that characterizes IBD. We observed that, on average, TNF-α (Figure 3.2B) and IL-1β (Figure 3.2D) were prevalent in the distal regions of the bowel (ileum and colon), while IL-6 (Figure 3.2C) was more evenly distributed among all the sections and IL-18 (Figure 3.2E) was more strongly </w:t>
      </w:r>
      <w:r w:rsidR="003A7790">
        <w:rPr>
          <w:rStyle w:val="normaltextrun"/>
          <w:rFonts w:ascii="Arial" w:hAnsi="Arial" w:cs="Arial"/>
          <w:color w:val="000000" w:themeColor="text1"/>
          <w:lang w:val="en-US"/>
        </w:rPr>
        <w:t xml:space="preserve">present </w:t>
      </w:r>
      <w:r>
        <w:rPr>
          <w:rStyle w:val="normaltextrun"/>
          <w:rFonts w:ascii="Arial" w:hAnsi="Arial" w:cs="Arial"/>
          <w:color w:val="000000" w:themeColor="text1"/>
          <w:lang w:val="en-US"/>
        </w:rPr>
        <w:t>in the proximal regions of the intestine (duodenum and jejunum). </w:t>
      </w:r>
      <w:r>
        <w:rPr>
          <w:rStyle w:val="eop"/>
          <w:rFonts w:ascii="Arial" w:hAnsi="Arial" w:cs="Arial"/>
          <w:color w:val="000000" w:themeColor="text1"/>
          <w:lang w:val="en-US"/>
        </w:rPr>
        <w:t> Reports show increased l</w:t>
      </w:r>
      <w:r>
        <w:rPr>
          <w:rFonts w:ascii="Arial" w:hAnsi="Arial" w:cs="Arial"/>
          <w:color w:val="000000" w:themeColor="text1"/>
          <w:lang w:val="en-US"/>
        </w:rPr>
        <w:t>evels of TNF-</w:t>
      </w:r>
      <w:r>
        <w:rPr>
          <w:rStyle w:val="normaltextrun"/>
          <w:rFonts w:ascii="Arial" w:hAnsi="Arial" w:cs="Arial"/>
          <w:color w:val="000000" w:themeColor="text1"/>
          <w:lang w:val="en-US"/>
        </w:rPr>
        <w:t xml:space="preserve"> α</w:t>
      </w:r>
      <w:r>
        <w:rPr>
          <w:rFonts w:ascii="Arial" w:hAnsi="Arial" w:cs="Arial"/>
          <w:color w:val="000000" w:themeColor="text1"/>
          <w:lang w:val="en-US"/>
        </w:rPr>
        <w:t xml:space="preserve">, IL-6, and IL-18, relative </w:t>
      </w:r>
      <w:r>
        <w:rPr>
          <w:rFonts w:ascii="Arial" w:hAnsi="Arial" w:cs="Arial"/>
          <w:color w:val="000000" w:themeColor="text1"/>
          <w:lang w:val="en-US"/>
        </w:rPr>
        <w:lastRenderedPageBreak/>
        <w:t xml:space="preserve">to healthy controls, in biopsies of CD and UC patients in absence of mucosal markers of damage, indicating that these cytokines may exert immune activating roles without triggering immediate tissue injury </w:t>
      </w:r>
      <w:r>
        <w:rPr>
          <w:rFonts w:ascii="Arial" w:hAnsi="Arial" w:cs="Arial"/>
          <w:color w:val="000000" w:themeColor="text1"/>
          <w:lang w:val="en-US"/>
        </w:rPr>
        <w:fldChar w:fldCharType="begin" w:fldLock="1"/>
      </w:r>
      <w:r>
        <w:rPr>
          <w:rFonts w:ascii="Arial" w:hAnsi="Arial" w:cs="Arial"/>
          <w:color w:val="000000" w:themeColor="text1"/>
          <w:lang w:val="en-US"/>
        </w:rPr>
        <w:instrText>ADDIN CSL_CITATION {"citationItems":[{"id":"ITEM-1","itemData":{"DOI":"10.1016/j.abb.2018.03.012","ISSN":"10960384","PMID":"29548776","abstract":"Inflammatory bowel disease (IBD) is a debilitating disorder involving inflammation of the gastrointestinal tract. The incidence of IBD is increasing worldwide. Immunological responses in the gastrointestinal (GI) tract to altered gut microbiota, mucosal injury and loss of intestinal epithelial cell function all contribute to a complex mechanism underlying IBD pathogenesis. Immune cell infiltration, particularly neutrophils, is a histological feature of IBD. This innate immune response is aimed at resolving intestinal damage however, neutrophils and monocytes that are recruited and accumulate in the GI wall, participate in IBD pathogenesis by producing inflammatory cytokines and soluble mediators such as reactive oxygen species (ROS; one- and two-electron oxidants). Unregulated ROS production in host tissue is linked to oxidative damage and inflammation and may potentiate mucosal injury. Neutrophil-myeloperoxidase (MPO) is an abundant granule enzyme that catalyses production of potent ROS; biomarkers of oxidative damage (and MPO protein) are increased in the mucosa of patients with IBD. Targeting MPO may mitigate oxidative damage to host tissue and ensuing inflammation. Here we identify mechanisms by which MPO activity perpetuates inflammation and contributes to host-tissue injury in patients with IBD and discuss MPO as a potential therapeutic target to protect the colon from inflammatory injury.","author":[{"dropping-particle":"","family":"Chami","given":"Belal","non-dropping-particle":"","parse-names":false,"suffix":""},{"dropping-particle":"","family":"Martin","given":"Nathan J.J.","non-dropping-particle":"","parse-names":false,"suffix":""},{"dropping-particle":"","family":"Dennis","given":"Joanne M.","non-dropping-particle":"","parse-names":false,"suffix":""},{"dropping-particle":"","family":"Witting","given":"Paul K.","non-dropping-particle":"","parse-names":false,"suffix":""}],"container-title":"Archives of Biochemistry and Biophysics","id":"ITEM-1","issued":{"date-parts":[["2018","5","1"]]},"page":"61-71","publisher":"Academic Press Inc.","title":"Myeloperoxidase in the inflamed colon: A novel target for treating inflammatory bowel disease","type":"article","volume":"645"},"uris":["http://www.mendeley.com/documents/?uuid=43c5c85c-4317-3669-bf06-881a73cbc6cf"]}],"mendeley":{"formattedCitation":"[28]","plainTextFormattedCitation":"[28]","previouslyFormattedCitation":"[162]"},"properties":{"noteIndex":0},"schema":"https://github.com/citation-style-language/schema/raw/master/csl-citation.json"}</w:instrText>
      </w:r>
      <w:r>
        <w:rPr>
          <w:rFonts w:ascii="Arial" w:hAnsi="Arial" w:cs="Arial"/>
          <w:color w:val="000000" w:themeColor="text1"/>
          <w:lang w:val="en-US"/>
        </w:rPr>
        <w:fldChar w:fldCharType="separate"/>
      </w:r>
      <w:r w:rsidRPr="006009F4">
        <w:rPr>
          <w:rFonts w:ascii="Arial" w:hAnsi="Arial" w:cs="Arial"/>
          <w:noProof/>
          <w:color w:val="000000" w:themeColor="text1"/>
          <w:lang w:val="en-US"/>
        </w:rPr>
        <w:t>[28]</w:t>
      </w:r>
      <w:r>
        <w:rPr>
          <w:rFonts w:ascii="Arial" w:hAnsi="Arial" w:cs="Arial"/>
          <w:color w:val="000000" w:themeColor="text1"/>
          <w:lang w:val="en-US"/>
        </w:rPr>
        <w:fldChar w:fldCharType="end"/>
      </w:r>
      <w:r>
        <w:rPr>
          <w:rFonts w:ascii="Arial" w:hAnsi="Arial" w:cs="Arial"/>
          <w:color w:val="000000" w:themeColor="text1"/>
          <w:lang w:val="en-US"/>
        </w:rPr>
        <w:t xml:space="preserve">. </w:t>
      </w:r>
      <w:r>
        <w:rPr>
          <w:rStyle w:val="normaltextrun"/>
          <w:rFonts w:ascii="Arial" w:hAnsi="Arial" w:cs="Arial"/>
          <w:color w:val="000000" w:themeColor="text1"/>
          <w:lang w:val="en-US"/>
        </w:rPr>
        <w:t>Lunasin effectively reduced IL-18 in the colon by 47%, IL-6 in the jejunum by 90%, IL-1β in the duodenum and colon by 90% and 80%, respectively, and TNF-α in the colon by 95%. In contrast, the administration of caspase-1 inhibitor led to a reduction of IL-1β that was only significant in the colon but like those observed for lunasin treatment in the small intestine. Caspase inhibition led to a significant decrease of TNF-α as well, but not IL-18, in the ileum and colon. </w:t>
      </w:r>
    </w:p>
    <w:p w14:paraId="61C603FA" w14:textId="77777777" w:rsidR="000D0605" w:rsidRPr="005A5BB1" w:rsidRDefault="000D0605" w:rsidP="002B3E0C">
      <w:pPr>
        <w:pStyle w:val="Heading3"/>
        <w:spacing w:before="0" w:after="0" w:line="480" w:lineRule="auto"/>
        <w:rPr>
          <w:i w:val="0"/>
        </w:rPr>
      </w:pPr>
      <w:bookmarkStart w:id="98" w:name="_Toc77082138"/>
      <w:r>
        <w:rPr>
          <w:i w:val="0"/>
        </w:rPr>
        <w:t xml:space="preserve">3.4.2 </w:t>
      </w:r>
      <w:r w:rsidRPr="005A5BB1">
        <w:rPr>
          <w:i w:val="0"/>
        </w:rPr>
        <w:t>Principal component analysis of characteristic in vivo parameters</w:t>
      </w:r>
      <w:bookmarkEnd w:id="98"/>
    </w:p>
    <w:p w14:paraId="25AA6397" w14:textId="3A48A8EA" w:rsidR="007F2E79" w:rsidRPr="002B3E0C" w:rsidRDefault="000D0605" w:rsidP="002B3E0C">
      <w:pPr>
        <w:pStyle w:val="paragraph"/>
        <w:spacing w:before="0" w:beforeAutospacing="0" w:after="0" w:afterAutospacing="0" w:line="480" w:lineRule="auto"/>
        <w:ind w:firstLine="720"/>
        <w:textAlignment w:val="baseline"/>
        <w:rPr>
          <w:rFonts w:ascii="Arial" w:hAnsi="Arial" w:cs="Arial"/>
          <w:color w:val="000000" w:themeColor="text1"/>
          <w:shd w:val="clear" w:color="auto" w:fill="FFFFFF"/>
          <w:lang w:val="en-US"/>
        </w:rPr>
      </w:pPr>
      <w:r>
        <w:rPr>
          <w:rStyle w:val="normaltextrun"/>
          <w:rFonts w:ascii="Arial" w:hAnsi="Arial" w:cs="Arial"/>
          <w:color w:val="000000" w:themeColor="text1"/>
          <w:shd w:val="clear" w:color="auto" w:fill="FFFFFF"/>
          <w:lang w:val="en-US"/>
        </w:rPr>
        <w:t>Considering the high variability observed, we performed a multivariate analysis via PCA to establish the potential categorization of the mice based on the evaluated variables. We observed that the three treatment groups can be clearly differentiated (Figure 3.3A). The control group was characterized by a markedly elevated level of the pro-inflammatory cytokines TNF-α and IL-1β in the duodenum, ileum, and colon, and IL-6 in the jejunum, a noticeably softer stool consistency on days 15, 19, 27, and 30, and a perceptible change in the color of the stool on days 9, 12, and 22 that was probably due to the presence of occult blood (Figure 3.3B). The distribution of the relative bw indicate that the lunasin group had a heavier bw during the first 10 days of the experiment, while the control group weighed heavier for the last 10 days, and the CI-treated group had </w:t>
      </w:r>
      <w:r w:rsidR="006D7F67">
        <w:rPr>
          <w:rStyle w:val="normaltextrun"/>
          <w:rFonts w:ascii="Arial" w:hAnsi="Arial" w:cs="Arial"/>
          <w:color w:val="000000" w:themeColor="text1"/>
          <w:shd w:val="clear" w:color="auto" w:fill="FFFFFF"/>
          <w:lang w:val="en-US"/>
        </w:rPr>
        <w:t xml:space="preserve">the lowest </w:t>
      </w:r>
      <w:r>
        <w:rPr>
          <w:rStyle w:val="normaltextrun"/>
          <w:rFonts w:ascii="Arial" w:hAnsi="Arial" w:cs="Arial"/>
          <w:color w:val="000000" w:themeColor="text1"/>
          <w:shd w:val="clear" w:color="auto" w:fill="FFFFFF"/>
          <w:lang w:val="en-US"/>
        </w:rPr>
        <w:t xml:space="preserve">bw throughout the study. Collectively, </w:t>
      </w:r>
      <w:r>
        <w:rPr>
          <w:rStyle w:val="normaltextrun"/>
          <w:rFonts w:ascii="Arial" w:hAnsi="Arial" w:cs="Arial"/>
          <w:color w:val="000000" w:themeColor="text1"/>
          <w:shd w:val="clear" w:color="auto" w:fill="FFFFFF"/>
          <w:lang w:val="en-US"/>
        </w:rPr>
        <w:lastRenderedPageBreak/>
        <w:t>evaluation</w:t>
      </w:r>
      <w:r>
        <w:rPr>
          <w:rFonts w:ascii="Arial" w:hAnsi="Arial" w:cs="Arial"/>
          <w:color w:val="000000" w:themeColor="text1"/>
          <w:lang w:val="en-US"/>
        </w:rPr>
        <w:t xml:space="preserve"> </w:t>
      </w:r>
      <w:r>
        <w:rPr>
          <w:rStyle w:val="normaltextrun"/>
          <w:rFonts w:ascii="Arial" w:hAnsi="Arial" w:cs="Arial"/>
          <w:color w:val="000000" w:themeColor="text1"/>
          <w:shd w:val="clear" w:color="auto" w:fill="FFFFFF"/>
          <w:lang w:val="en-US"/>
        </w:rPr>
        <w:t xml:space="preserve">of macroscopic manifestations and intestinal tissues suggests that potential inflammatory events occurred in the </w:t>
      </w:r>
      <w:r w:rsidR="009E36E1">
        <w:rPr>
          <w:rStyle w:val="normaltextrun"/>
          <w:rFonts w:ascii="Arial" w:hAnsi="Arial" w:cs="Arial"/>
          <w:color w:val="000000" w:themeColor="text1"/>
          <w:shd w:val="clear" w:color="auto" w:fill="FFFFFF"/>
          <w:lang w:val="en-US"/>
        </w:rPr>
        <w:t>intestines of mice in the control group</w:t>
      </w:r>
      <w:r>
        <w:rPr>
          <w:rStyle w:val="normaltextrun"/>
          <w:rFonts w:ascii="Arial" w:hAnsi="Arial" w:cs="Arial"/>
          <w:color w:val="000000" w:themeColor="text1"/>
          <w:shd w:val="clear" w:color="auto" w:fill="FFFFFF"/>
          <w:lang w:val="en-US"/>
        </w:rPr>
        <w:t>. Administration of lunasin was effective in alleviating these events and reduced pro-inflammatory cytokines throughout the bowel.</w:t>
      </w:r>
    </w:p>
    <w:p w14:paraId="27AF7D3C" w14:textId="77777777" w:rsidR="000D0605" w:rsidRPr="005A5BB1" w:rsidRDefault="000D0605" w:rsidP="002B3E0C">
      <w:pPr>
        <w:pStyle w:val="Heading3"/>
        <w:spacing w:before="0" w:after="0" w:line="480" w:lineRule="auto"/>
        <w:rPr>
          <w:i w:val="0"/>
        </w:rPr>
      </w:pPr>
      <w:bookmarkStart w:id="99" w:name="_Toc77082139"/>
      <w:r>
        <w:rPr>
          <w:i w:val="0"/>
        </w:rPr>
        <w:t xml:space="preserve">3.4.3 </w:t>
      </w:r>
      <w:r w:rsidRPr="005A5BB1">
        <w:rPr>
          <w:i w:val="0"/>
        </w:rPr>
        <w:t xml:space="preserve">Lunasin modulates the activation of the NLRP3 </w:t>
      </w:r>
      <w:bookmarkStart w:id="100" w:name="_Hlk70955135"/>
      <w:r w:rsidRPr="005A5BB1">
        <w:rPr>
          <w:i w:val="0"/>
        </w:rPr>
        <w:t>inflammasome.</w:t>
      </w:r>
      <w:bookmarkEnd w:id="99"/>
    </w:p>
    <w:p w14:paraId="73CC64F1" w14:textId="79AC1B45" w:rsidR="007F2E79" w:rsidRPr="002B3E0C" w:rsidRDefault="000D0605" w:rsidP="002B3E0C">
      <w:pPr>
        <w:pStyle w:val="ListParagraph"/>
        <w:spacing w:after="0" w:line="480" w:lineRule="auto"/>
        <w:ind w:left="0" w:firstLine="720"/>
        <w:rPr>
          <w:rFonts w:ascii="Arial" w:hAnsi="Arial" w:cs="Arial"/>
          <w:color w:val="000000" w:themeColor="text1"/>
          <w:sz w:val="24"/>
          <w:szCs w:val="24"/>
          <w:shd w:val="clear" w:color="auto" w:fill="FFFFFF"/>
        </w:rPr>
      </w:pPr>
      <w:bookmarkStart w:id="101" w:name="_Hlk71715699"/>
      <w:bookmarkStart w:id="102" w:name="_Hlk71281277"/>
      <w:bookmarkEnd w:id="100"/>
      <w:r>
        <w:rPr>
          <w:rStyle w:val="normaltextrun"/>
          <w:rFonts w:ascii="Arial" w:hAnsi="Arial" w:cs="Arial"/>
          <w:color w:val="000000" w:themeColor="text1"/>
          <w:sz w:val="24"/>
          <w:szCs w:val="24"/>
          <w:shd w:val="clear" w:color="auto" w:fill="FFFFFF"/>
        </w:rPr>
        <w:t>To address the potential role of lunasin in the modulation of the inflammasome, we used LPS-primed and ATP- activated differentiated THP-1 human macrophages with or without lunasin treatment. No detrimental effect was observed over the viability of the cells upon exposure to the different stimuli (Figure 3.4A). Priming with LPS induced a significant increase in the extracellular concentration of IL-1β (Figure 3.4B) and IL-18 (Figure 3.4C). The presence of both cytokines in the medium was further increased by the addition of ATP. We observed a dose-dependent decrease in the production of these cytokines in the presence of lunasin. At 2.5 mg/mL lunasin, the release of IL-18 and IL-1β was significantly reduced by 40% and 45%, respectively. At a concentration of 5.0 mg/mL, their extracellular concentration was reduced by 63% (IL-18) and 67% (IL-1β). This dose-dependent reduction observed upon lunasin treatment</w:t>
      </w:r>
      <w:r>
        <w:rPr>
          <w:rFonts w:ascii="Arial" w:hAnsi="Arial" w:cs="Arial"/>
          <w:color w:val="000000" w:themeColor="text1"/>
          <w:sz w:val="24"/>
          <w:szCs w:val="24"/>
        </w:rPr>
        <w:t> suggests the involvement of a common upstream mechanism. The shared activator molecule caspase</w:t>
      </w:r>
      <w:r>
        <w:rPr>
          <w:rStyle w:val="normaltextrun"/>
          <w:rFonts w:ascii="Arial" w:hAnsi="Arial" w:cs="Arial"/>
          <w:color w:val="000000" w:themeColor="text1"/>
          <w:sz w:val="24"/>
          <w:szCs w:val="24"/>
          <w:shd w:val="clear" w:color="auto" w:fill="FFFFFF"/>
        </w:rPr>
        <w:t xml:space="preserve">-1 (Figure 3.4D) had the same level of reduction in concentration (42% and 66% for 2.5 and 5 mg/mL treatments, respectively). To further clarify the potential role of lunasin, we analyzed the protein </w:t>
      </w:r>
      <w:r w:rsidR="003A7790">
        <w:rPr>
          <w:rStyle w:val="normaltextrun"/>
          <w:rFonts w:ascii="Arial" w:hAnsi="Arial" w:cs="Arial"/>
          <w:color w:val="000000" w:themeColor="text1"/>
          <w:sz w:val="24"/>
          <w:szCs w:val="24"/>
          <w:shd w:val="clear" w:color="auto" w:fill="FFFFFF"/>
        </w:rPr>
        <w:t>levels </w:t>
      </w:r>
      <w:r>
        <w:rPr>
          <w:rStyle w:val="normaltextrun"/>
          <w:rFonts w:ascii="Arial" w:hAnsi="Arial" w:cs="Arial"/>
          <w:color w:val="000000" w:themeColor="text1"/>
          <w:sz w:val="24"/>
          <w:szCs w:val="24"/>
          <w:shd w:val="clear" w:color="auto" w:fill="FFFFFF"/>
        </w:rPr>
        <w:t xml:space="preserve">of the molecules involved in the assembly of the NLRP3 </w:t>
      </w:r>
      <w:r>
        <w:rPr>
          <w:rStyle w:val="normaltextrun"/>
          <w:rFonts w:ascii="Arial" w:hAnsi="Arial" w:cs="Arial"/>
          <w:color w:val="000000" w:themeColor="text1"/>
          <w:sz w:val="24"/>
          <w:szCs w:val="24"/>
          <w:shd w:val="clear" w:color="auto" w:fill="FFFFFF"/>
        </w:rPr>
        <w:lastRenderedPageBreak/>
        <w:t xml:space="preserve">inflammasome (Figure 3.4E). Lunasin treatment led to a significant 3-fold decrease </w:t>
      </w:r>
      <w:r w:rsidR="0071207C">
        <w:rPr>
          <w:rStyle w:val="normaltextrun"/>
          <w:rFonts w:ascii="Arial" w:hAnsi="Arial" w:cs="Arial"/>
          <w:color w:val="000000" w:themeColor="text1"/>
          <w:sz w:val="24"/>
          <w:szCs w:val="24"/>
          <w:shd w:val="clear" w:color="auto" w:fill="FFFFFF"/>
        </w:rPr>
        <w:t>in the</w:t>
      </w:r>
      <w:r>
        <w:rPr>
          <w:rStyle w:val="normaltextrun"/>
          <w:rFonts w:ascii="Arial" w:hAnsi="Arial" w:cs="Arial"/>
          <w:color w:val="000000" w:themeColor="text1"/>
          <w:sz w:val="24"/>
          <w:szCs w:val="24"/>
          <w:shd w:val="clear" w:color="auto" w:fill="FFFFFF"/>
        </w:rPr>
        <w:t> sensing molecule NLRP3, with no significant effect on ASC and pro-caspase-1. These data indicate that the modulatory effect of lunasin over the pro-inflammatory cytokines IL-18 and IL-1β was mediated by the abrogat</w:t>
      </w:r>
      <w:r w:rsidR="003A7790">
        <w:rPr>
          <w:rStyle w:val="normaltextrun"/>
          <w:rFonts w:ascii="Arial" w:hAnsi="Arial" w:cs="Arial"/>
          <w:color w:val="000000" w:themeColor="text1"/>
          <w:sz w:val="24"/>
          <w:szCs w:val="24"/>
          <w:shd w:val="clear" w:color="auto" w:fill="FFFFFF"/>
        </w:rPr>
        <w:t xml:space="preserve">ion </w:t>
      </w:r>
      <w:r>
        <w:rPr>
          <w:rStyle w:val="normaltextrun"/>
          <w:rFonts w:ascii="Arial" w:hAnsi="Arial" w:cs="Arial"/>
          <w:color w:val="000000" w:themeColor="text1"/>
          <w:sz w:val="24"/>
          <w:szCs w:val="24"/>
          <w:shd w:val="clear" w:color="auto" w:fill="FFFFFF"/>
        </w:rPr>
        <w:t>of NLRP3</w:t>
      </w:r>
      <w:bookmarkEnd w:id="101"/>
      <w:r>
        <w:rPr>
          <w:rStyle w:val="normaltextrun"/>
          <w:rFonts w:ascii="Arial" w:hAnsi="Arial" w:cs="Arial"/>
          <w:color w:val="000000" w:themeColor="text1"/>
          <w:sz w:val="24"/>
          <w:szCs w:val="24"/>
          <w:shd w:val="clear" w:color="auto" w:fill="FFFFFF"/>
        </w:rPr>
        <w:t>.   </w:t>
      </w:r>
      <w:bookmarkEnd w:id="102"/>
      <w:r>
        <w:rPr>
          <w:rStyle w:val="normaltextrun"/>
          <w:rFonts w:ascii="Arial" w:hAnsi="Arial" w:cs="Arial"/>
          <w:color w:val="000000" w:themeColor="text1"/>
          <w:sz w:val="24"/>
          <w:szCs w:val="24"/>
          <w:shd w:val="clear" w:color="auto" w:fill="FFFFFF"/>
        </w:rPr>
        <w:t> </w:t>
      </w:r>
      <w:r>
        <w:rPr>
          <w:rStyle w:val="eop"/>
          <w:rFonts w:ascii="Arial" w:hAnsi="Arial" w:cs="Arial"/>
          <w:color w:val="000000" w:themeColor="text1"/>
          <w:sz w:val="24"/>
          <w:szCs w:val="24"/>
          <w:shd w:val="clear" w:color="auto" w:fill="FFFFFF"/>
        </w:rPr>
        <w:t> </w:t>
      </w:r>
    </w:p>
    <w:p w14:paraId="31763438" w14:textId="2D917576" w:rsidR="000D0605" w:rsidRPr="005A5BB1" w:rsidRDefault="000D0605" w:rsidP="002B3E0C">
      <w:pPr>
        <w:pStyle w:val="Heading3"/>
        <w:spacing w:before="0" w:after="0" w:line="480" w:lineRule="auto"/>
        <w:rPr>
          <w:i w:val="0"/>
        </w:rPr>
      </w:pPr>
      <w:bookmarkStart w:id="103" w:name="_Toc77082140"/>
      <w:r>
        <w:rPr>
          <w:i w:val="0"/>
        </w:rPr>
        <w:t xml:space="preserve">3.4.4 </w:t>
      </w:r>
      <w:r w:rsidRPr="005A5BB1">
        <w:rPr>
          <w:i w:val="0"/>
        </w:rPr>
        <w:t xml:space="preserve">Lunasin-induced decline of extracellular IL-1β is independent of </w:t>
      </w:r>
      <w:bookmarkEnd w:id="103"/>
      <w:r w:rsidR="005266D3" w:rsidRPr="005A5BB1">
        <w:rPr>
          <w:i w:val="0"/>
        </w:rPr>
        <w:t>mROS.</w:t>
      </w:r>
    </w:p>
    <w:p w14:paraId="7E15A38C" w14:textId="4063F0BC" w:rsidR="000D0605" w:rsidRDefault="000D0605" w:rsidP="002B3E0C">
      <w:pPr>
        <w:pStyle w:val="ListParagraph"/>
        <w:spacing w:after="0" w:line="480" w:lineRule="auto"/>
        <w:ind w:left="0" w:firstLine="720"/>
        <w:rPr>
          <w:rStyle w:val="normaltextrun"/>
          <w:rFonts w:ascii="Arial" w:hAnsi="Arial" w:cs="Arial"/>
          <w:color w:val="000000" w:themeColor="text1"/>
          <w:sz w:val="24"/>
          <w:szCs w:val="24"/>
          <w:shd w:val="clear" w:color="auto" w:fill="FFFFFF"/>
        </w:rPr>
      </w:pPr>
      <w:r>
        <w:rPr>
          <w:rStyle w:val="normaltextrun"/>
          <w:rFonts w:ascii="Arial" w:hAnsi="Arial" w:cs="Arial"/>
          <w:color w:val="000000" w:themeColor="text1"/>
          <w:sz w:val="24"/>
          <w:szCs w:val="24"/>
          <w:shd w:val="clear" w:color="auto" w:fill="FFFFFF"/>
        </w:rPr>
        <w:t>To assess whether the antioxidant properties of lunasin can be translated into the mitochondria, we used antimycin A to induce mROS production. Challenging the cells with antimycin A led to a 6-fold increase of IL-1β (Figure 3.5A) that was reduced by half in the presence of lunasin. Detection and quantification of mROS by the mitochondria-targeted probe MitoSOx</w:t>
      </w:r>
      <w:r>
        <w:rPr>
          <w:rStyle w:val="normaltextrun"/>
          <w:rFonts w:ascii="Arial" w:hAnsi="Arial" w:cs="Arial"/>
          <w:color w:val="000000" w:themeColor="text1"/>
          <w:sz w:val="24"/>
          <w:szCs w:val="24"/>
          <w:shd w:val="clear" w:color="auto" w:fill="FFFFFF"/>
          <w:vertAlign w:val="superscript"/>
        </w:rPr>
        <w:t>TM</w:t>
      </w:r>
      <w:r>
        <w:rPr>
          <w:rStyle w:val="normaltextrun"/>
          <w:rFonts w:ascii="Arial" w:hAnsi="Arial" w:cs="Arial"/>
          <w:color w:val="000000" w:themeColor="text1"/>
          <w:sz w:val="24"/>
          <w:szCs w:val="24"/>
          <w:shd w:val="clear" w:color="auto" w:fill="FFFFFF"/>
        </w:rPr>
        <w:t xml:space="preserve">, via fluorescence microscopy (Figures 3.5B and 3.5C) and flow cytometry (Figures 3.5D and 3.5E) revealed that non-stimulated cells exhibit basal levels of mROS. The number of cells and the intensity of the staining, which accounts for mROS present in the cells, were significantly increased by antimycin A. No effect was observed in the presence of lunasin, demonstrating that the decreased release of IL-1β to the extracellular media was mediated by mechanism independent of mROS.  </w:t>
      </w:r>
    </w:p>
    <w:p w14:paraId="551726D9" w14:textId="77777777" w:rsidR="007F2E79" w:rsidRDefault="007F2E79" w:rsidP="000D0605">
      <w:pPr>
        <w:pStyle w:val="ListParagraph"/>
        <w:spacing w:after="0" w:line="480" w:lineRule="auto"/>
        <w:ind w:left="0" w:firstLine="720"/>
        <w:rPr>
          <w:rFonts w:ascii="Arial" w:hAnsi="Arial" w:cs="Arial"/>
          <w:color w:val="000000" w:themeColor="text1"/>
          <w:sz w:val="24"/>
          <w:szCs w:val="24"/>
        </w:rPr>
      </w:pPr>
    </w:p>
    <w:p w14:paraId="1F30239A" w14:textId="77777777" w:rsidR="000D0605" w:rsidRPr="005A5BB1" w:rsidRDefault="000D0605" w:rsidP="000D0605">
      <w:pPr>
        <w:pStyle w:val="Heading3"/>
        <w:spacing w:line="480" w:lineRule="auto"/>
        <w:rPr>
          <w:i w:val="0"/>
        </w:rPr>
      </w:pPr>
      <w:bookmarkStart w:id="104" w:name="_Toc77082141"/>
      <w:r>
        <w:rPr>
          <w:i w:val="0"/>
        </w:rPr>
        <w:lastRenderedPageBreak/>
        <w:t xml:space="preserve">3.4.5 </w:t>
      </w:r>
      <w:r w:rsidRPr="005A5BB1">
        <w:rPr>
          <w:i w:val="0"/>
        </w:rPr>
        <w:t>Lunasin-induced decline of extracellular IL-1β is not mediated by blockade of potassium efflux.</w:t>
      </w:r>
      <w:bookmarkEnd w:id="104"/>
      <w:r w:rsidRPr="005A5BB1">
        <w:rPr>
          <w:i w:val="0"/>
        </w:rPr>
        <w:t xml:space="preserve"> </w:t>
      </w:r>
    </w:p>
    <w:p w14:paraId="6E819647" w14:textId="77777777" w:rsidR="000D0605" w:rsidRDefault="000D0605" w:rsidP="000D0605">
      <w:pPr>
        <w:pStyle w:val="paragraph"/>
        <w:spacing w:before="0" w:beforeAutospacing="0" w:after="0" w:afterAutospacing="0" w:line="480" w:lineRule="auto"/>
        <w:ind w:firstLine="720"/>
        <w:textAlignment w:val="baseline"/>
        <w:rPr>
          <w:rFonts w:ascii="Arial" w:hAnsi="Arial" w:cs="Arial"/>
          <w:color w:val="000000" w:themeColor="text1"/>
          <w:lang w:val="en-US"/>
        </w:rPr>
      </w:pPr>
      <w:r>
        <w:rPr>
          <w:rFonts w:ascii="Arial" w:hAnsi="Arial" w:cs="Arial"/>
          <w:color w:val="000000" w:themeColor="text1"/>
          <w:lang w:val="en-US"/>
        </w:rPr>
        <w:t>Efflux of intracellular K</w:t>
      </w:r>
      <w:r>
        <w:rPr>
          <w:rFonts w:ascii="Arial" w:hAnsi="Arial" w:cs="Arial"/>
          <w:color w:val="000000" w:themeColor="text1"/>
          <w:vertAlign w:val="superscript"/>
          <w:lang w:val="en-US"/>
        </w:rPr>
        <w:t>+</w:t>
      </w:r>
      <w:r>
        <w:rPr>
          <w:rFonts w:ascii="Arial" w:hAnsi="Arial" w:cs="Arial"/>
          <w:color w:val="000000" w:themeColor="text1"/>
          <w:lang w:val="en-US"/>
        </w:rPr>
        <w:t xml:space="preserve"> has been demonstrated as the common and vital upstream trigger required to induce the assembly of the inflammasome </w:t>
      </w:r>
      <w:r>
        <w:rPr>
          <w:rFonts w:ascii="Arial" w:hAnsi="Arial" w:cs="Arial"/>
          <w:color w:val="000000" w:themeColor="text1"/>
          <w:lang w:val="en-US"/>
        </w:rPr>
        <w:fldChar w:fldCharType="begin" w:fldLock="1"/>
      </w:r>
      <w:r>
        <w:rPr>
          <w:rFonts w:ascii="Arial" w:hAnsi="Arial" w:cs="Arial"/>
          <w:color w:val="000000" w:themeColor="text1"/>
          <w:lang w:val="en-US"/>
        </w:rPr>
        <w:instrText>ADDIN CSL_CITATION {"citationItems":[{"id":"ITEM-1","itemData":{"DOI":"10.1016/j.immuni.2013.05.016","ISSN":"10747613","PMID":"23809161","abstract":"The NLRP3 inflammasome is an important component of the innate immune system. However, its mechanism of activation remains largely unknown. We show that NLRP3 activators including bacterial pore-forming toxins, nigericin, ATP, and particulate matter caused mitochondrial perturbation or the opening of a large membrane pore, but this was not required for NLRP3 activation. Furthermore, reactive oxygen species generation or a change in cell volume was not necessary for NLRP3 activation. Instead, the only common activity induced by all NLRP3 agonists was the permeation of the cell membrane to K+ and Na+. Notably, reduction of the intracellular K+ concentration was sufficient to activate NLRP3, whereas an increase in intracellular Na+ modulated but was not strictly required for inflammasome activation. These results provide a unifying model for the activation of the NLRP3 inflammasome in which a drop in cytosolic K+ is the common step that is necessary and sufficient for caspase-1 activation. © 2013 Elsevier Inc..","author":[{"dropping-particle":"","family":"Muñoz-Planillo","given":"Raúl","non-dropping-particle":"","parse-names":false,"suffix":""},{"dropping-particle":"","family":"Kuffa","given":"Peter","non-dropping-particle":"","parse-names":false,"suffix":""},{"dropping-particle":"","family":"Martínez-Colón","given":"Giovanny","non-dropping-particle":"","parse-names":false,"suffix":""},{"dropping-particle":"","family":"Smith","given":"Brenna L.","non-dropping-particle":"","parse-names":false,"suffix":""},{"dropping-particle":"","family":"Rajendiran","given":"Thekkelnaycke M.","non-dropping-particle":"","parse-names":false,"suffix":""},{"dropping-particle":"","family":"Núñez","given":"Gabriel","non-dropping-particle":"","parse-names":false,"suffix":""}],"container-title":"Immunity","id":"ITEM-1","issue":"6","issued":{"date-parts":[["2013","6","27"]]},"page":"1142-1153","publisher":"Immunity","title":"K+ Efflux Is the Common Trigger of NLRP3 Inflammasome Activation by Bacterial Toxins and Particulate Matter","type":"article-journal","volume":"38"},"uris":["http://www.mendeley.com/documents/?uuid=fb988c99-f5fb-3262-be64-384c93a6926e"]}],"mendeley":{"formattedCitation":"[15]","plainTextFormattedCitation":"[15]","previouslyFormattedCitation":"[153]"},"properties":{"noteIndex":0},"schema":"https://github.com/citation-style-language/schema/raw/master/csl-citation.json"}</w:instrText>
      </w:r>
      <w:r>
        <w:rPr>
          <w:rFonts w:ascii="Arial" w:hAnsi="Arial" w:cs="Arial"/>
          <w:color w:val="000000" w:themeColor="text1"/>
          <w:lang w:val="en-US"/>
        </w:rPr>
        <w:fldChar w:fldCharType="separate"/>
      </w:r>
      <w:r w:rsidRPr="006009F4">
        <w:rPr>
          <w:rFonts w:ascii="Arial" w:hAnsi="Arial" w:cs="Arial"/>
          <w:noProof/>
          <w:color w:val="000000" w:themeColor="text1"/>
          <w:lang w:val="en-US"/>
        </w:rPr>
        <w:t>[15]</w:t>
      </w:r>
      <w:r>
        <w:rPr>
          <w:rFonts w:ascii="Arial" w:hAnsi="Arial" w:cs="Arial"/>
          <w:color w:val="000000" w:themeColor="text1"/>
          <w:lang w:val="en-US"/>
        </w:rPr>
        <w:fldChar w:fldCharType="end"/>
      </w:r>
      <w:r>
        <w:rPr>
          <w:rFonts w:ascii="Arial" w:hAnsi="Arial" w:cs="Arial"/>
          <w:color w:val="000000" w:themeColor="text1"/>
          <w:lang w:val="en-US"/>
        </w:rPr>
        <w:t>. Therefore, to investigate the potential involvement of lunasin in this process, we manipulated the extracellular concentration of K</w:t>
      </w:r>
      <w:r>
        <w:rPr>
          <w:rFonts w:ascii="Arial" w:hAnsi="Arial" w:cs="Arial"/>
          <w:color w:val="000000" w:themeColor="text1"/>
          <w:vertAlign w:val="superscript"/>
          <w:lang w:val="en-US"/>
        </w:rPr>
        <w:t>+</w:t>
      </w:r>
      <w:r>
        <w:rPr>
          <w:rFonts w:ascii="Arial" w:hAnsi="Arial" w:cs="Arial"/>
          <w:color w:val="000000" w:themeColor="text1"/>
          <w:lang w:val="en-US"/>
        </w:rPr>
        <w:t xml:space="preserve"> to induce a natural efflux of the ion and the consequent activation of the NLRP3 inflammasome in the presence and absence of lunasin. First, we exposed LPS-primed cells to media with reduced K</w:t>
      </w:r>
      <w:r>
        <w:rPr>
          <w:rFonts w:ascii="Arial" w:hAnsi="Arial" w:cs="Arial"/>
          <w:color w:val="000000" w:themeColor="text1"/>
          <w:vertAlign w:val="superscript"/>
          <w:lang w:val="en-US"/>
        </w:rPr>
        <w:t>+</w:t>
      </w:r>
      <w:r>
        <w:rPr>
          <w:rFonts w:ascii="Arial" w:hAnsi="Arial" w:cs="Arial"/>
          <w:color w:val="000000" w:themeColor="text1"/>
          <w:lang w:val="en-US"/>
        </w:rPr>
        <w:t xml:space="preserve"> levels for different time-lengths and quantified the release of IL-1β (Figure 3.6A). At 15 and 60 min of treatment, no significant differences on IL-1β were observed among the reduced concentrations of extracellular K</w:t>
      </w:r>
      <w:r>
        <w:rPr>
          <w:rFonts w:ascii="Arial" w:hAnsi="Arial" w:cs="Arial"/>
          <w:color w:val="000000" w:themeColor="text1"/>
          <w:vertAlign w:val="superscript"/>
          <w:lang w:val="en-US"/>
        </w:rPr>
        <w:t>+</w:t>
      </w:r>
      <w:r>
        <w:rPr>
          <w:rFonts w:ascii="Arial" w:hAnsi="Arial" w:cs="Arial"/>
          <w:color w:val="000000" w:themeColor="text1"/>
          <w:lang w:val="en-US"/>
        </w:rPr>
        <w:t>. After 2 h of exposure to reduced K</w:t>
      </w:r>
      <w:r>
        <w:rPr>
          <w:rFonts w:ascii="Arial" w:hAnsi="Arial" w:cs="Arial"/>
          <w:color w:val="000000" w:themeColor="text1"/>
          <w:vertAlign w:val="superscript"/>
          <w:lang w:val="en-US"/>
        </w:rPr>
        <w:t>+</w:t>
      </w:r>
      <w:r>
        <w:rPr>
          <w:rFonts w:ascii="Arial" w:hAnsi="Arial" w:cs="Arial"/>
          <w:color w:val="000000" w:themeColor="text1"/>
          <w:lang w:val="en-US"/>
        </w:rPr>
        <w:t>, the concentration of the pro-inflammatory cytokine in the extracellular environment was inversely proportional to the concentration of extracellular K</w:t>
      </w:r>
      <w:r>
        <w:rPr>
          <w:rFonts w:ascii="Arial" w:hAnsi="Arial" w:cs="Arial"/>
          <w:color w:val="000000" w:themeColor="text1"/>
          <w:vertAlign w:val="superscript"/>
          <w:lang w:val="en-US"/>
        </w:rPr>
        <w:t>+</w:t>
      </w:r>
      <w:r>
        <w:rPr>
          <w:rFonts w:ascii="Arial" w:hAnsi="Arial" w:cs="Arial"/>
          <w:color w:val="000000" w:themeColor="text1"/>
          <w:lang w:val="en-US"/>
        </w:rPr>
        <w:t xml:space="preserve"> and was significantly different among all the tested conditions. This indicates that approximately 2 h is needed for the cells to elicit a response proportional to the extracellular levels of K</w:t>
      </w:r>
      <w:r>
        <w:rPr>
          <w:rFonts w:ascii="Arial" w:hAnsi="Arial" w:cs="Arial"/>
          <w:color w:val="000000" w:themeColor="text1"/>
          <w:vertAlign w:val="superscript"/>
          <w:lang w:val="en-US"/>
        </w:rPr>
        <w:t>+</w:t>
      </w:r>
      <w:r>
        <w:rPr>
          <w:rFonts w:ascii="Arial" w:hAnsi="Arial" w:cs="Arial"/>
          <w:color w:val="000000" w:themeColor="text1"/>
          <w:lang w:val="en-US"/>
        </w:rPr>
        <w:t>. During this time, the cells sense and then react to the decreased levels of K</w:t>
      </w:r>
      <w:r>
        <w:rPr>
          <w:rFonts w:ascii="Arial" w:hAnsi="Arial" w:cs="Arial"/>
          <w:color w:val="000000" w:themeColor="text1"/>
          <w:vertAlign w:val="superscript"/>
          <w:lang w:val="en-US"/>
        </w:rPr>
        <w:t>+</w:t>
      </w:r>
      <w:r>
        <w:rPr>
          <w:rFonts w:ascii="Arial" w:hAnsi="Arial" w:cs="Arial"/>
          <w:color w:val="000000" w:themeColor="text1"/>
          <w:lang w:val="en-US"/>
        </w:rPr>
        <w:t>, activate the inflammasome, and release mature IL-1β. Hence, 2 h was selected as treatment time for further analysis.</w:t>
      </w:r>
    </w:p>
    <w:p w14:paraId="4C27E006" w14:textId="77777777" w:rsidR="000D0605" w:rsidRDefault="000D0605" w:rsidP="000D0605">
      <w:pPr>
        <w:spacing w:line="480" w:lineRule="auto"/>
        <w:ind w:firstLine="720"/>
        <w:rPr>
          <w:color w:val="000000" w:themeColor="text1"/>
          <w:shd w:val="clear" w:color="auto" w:fill="FFFFFF"/>
        </w:rPr>
      </w:pPr>
      <w:r>
        <w:rPr>
          <w:color w:val="000000" w:themeColor="text1"/>
        </w:rPr>
        <w:t>Next, we compared the viability and the release of IL-1β and IL-18, in non-primed (LPS -) and LPS-primed (LPS+) cells exposed to different concentrations of extracellular K</w:t>
      </w:r>
      <w:r>
        <w:rPr>
          <w:color w:val="000000" w:themeColor="text1"/>
          <w:vertAlign w:val="superscript"/>
        </w:rPr>
        <w:t>+</w:t>
      </w:r>
      <w:r>
        <w:rPr>
          <w:color w:val="000000" w:themeColor="text1"/>
        </w:rPr>
        <w:t>. K</w:t>
      </w:r>
      <w:r>
        <w:rPr>
          <w:color w:val="000000" w:themeColor="text1"/>
          <w:vertAlign w:val="superscript"/>
        </w:rPr>
        <w:t>+</w:t>
      </w:r>
      <w:r>
        <w:rPr>
          <w:color w:val="000000" w:themeColor="text1"/>
        </w:rPr>
        <w:t xml:space="preserve"> free medium had a detrimental effect by decreasing viable cells between 20 and 40%, while 0.5 mM only decreased viability of non-primed </w:t>
      </w:r>
      <w:r>
        <w:rPr>
          <w:color w:val="000000" w:themeColor="text1"/>
        </w:rPr>
        <w:lastRenderedPageBreak/>
        <w:t>cells by 8% (Figure 3.6B) when compared to cells maintained in regular media. At 1.0 and 5.0 mM, the observed significant increase in viability is probably due to an incremented metabolic activity of the cells associated with K</w:t>
      </w:r>
      <w:r>
        <w:rPr>
          <w:color w:val="000000" w:themeColor="text1"/>
          <w:vertAlign w:val="superscript"/>
        </w:rPr>
        <w:t xml:space="preserve">+ </w:t>
      </w:r>
      <w:r>
        <w:rPr>
          <w:color w:val="000000" w:themeColor="text1"/>
        </w:rPr>
        <w:t>efflux. K</w:t>
      </w:r>
      <w:r>
        <w:rPr>
          <w:color w:val="000000" w:themeColor="text1"/>
          <w:vertAlign w:val="superscript"/>
        </w:rPr>
        <w:t>+</w:t>
      </w:r>
      <w:r>
        <w:rPr>
          <w:color w:val="000000" w:themeColor="text1"/>
        </w:rPr>
        <w:t xml:space="preserve"> concentration lower than 1.0 mM was enough to induce activation of the inflammasome in primed and non-primed cells, leading to a significantly increased release of IL-1β (Figure 3.6C) and to a lower extent of IL-18 (Figure 6D). These results are consistent with previous observation reported by Muñoz-Planillo </w:t>
      </w:r>
      <w:r>
        <w:rPr>
          <w:i/>
          <w:iCs/>
          <w:color w:val="000000" w:themeColor="text1"/>
        </w:rPr>
        <w:t>et. al</w:t>
      </w:r>
      <w:r>
        <w:rPr>
          <w:color w:val="000000" w:themeColor="text1"/>
        </w:rPr>
        <w:t xml:space="preserve"> in bone marrow derived macrophages </w:t>
      </w:r>
      <w:r>
        <w:rPr>
          <w:color w:val="000000" w:themeColor="text1"/>
        </w:rPr>
        <w:fldChar w:fldCharType="begin" w:fldLock="1"/>
      </w:r>
      <w:r>
        <w:rPr>
          <w:color w:val="000000" w:themeColor="text1"/>
        </w:rPr>
        <w:instrText>ADDIN CSL_CITATION {"citationItems":[{"id":"ITEM-1","itemData":{"DOI":"10.1016/j.immuni.2013.05.016","ISSN":"10747613","PMID":"23809161","abstract":"The NLRP3 inflammasome is an important component of the innate immune system. However, its mechanism of activation remains largely unknown. We show that NLRP3 activators including bacterial pore-forming toxins, nigericin, ATP, and particulate matter caused mitochondrial perturbation or the opening of a large membrane pore, but this was not required for NLRP3 activation. Furthermore, reactive oxygen species generation or a change in cell volume was not necessary for NLRP3 activation. Instead, the only common activity induced by all NLRP3 agonists was the permeation of the cell membrane to K+ and Na+. Notably, reduction of the intracellular K+ concentration was sufficient to activate NLRP3, whereas an increase in intracellular Na+ modulated but was not strictly required for inflammasome activation. These results provide a unifying model for the activation of the NLRP3 inflammasome in which a drop in cytosolic K+ is the common step that is necessary and sufficient for caspase-1 activation. © 2013 Elsevier Inc..","author":[{"dropping-particle":"","family":"Muñoz-Planillo","given":"Raúl","non-dropping-particle":"","parse-names":false,"suffix":""},{"dropping-particle":"","family":"Kuffa","given":"Peter","non-dropping-particle":"","parse-names":false,"suffix":""},{"dropping-particle":"","family":"Martínez-Colón","given":"Giovanny","non-dropping-particle":"","parse-names":false,"suffix":""},{"dropping-particle":"","family":"Smith","given":"Brenna L.","non-dropping-particle":"","parse-names":false,"suffix":""},{"dropping-particle":"","family":"Rajendiran","given":"Thekkelnaycke M.","non-dropping-particle":"","parse-names":false,"suffix":""},{"dropping-particle":"","family":"Núñez","given":"Gabriel","non-dropping-particle":"","parse-names":false,"suffix":""}],"container-title":"Immunity","id":"ITEM-1","issue":"6","issued":{"date-parts":[["2013","6","27"]]},"page":"1142-1153","publisher":"Immunity","title":"K+ Efflux Is the Common Trigger of NLRP3 Inflammasome Activation by Bacterial Toxins and Particulate Matter","type":"article-journal","volume":"38"},"uris":["http://www.mendeley.com/documents/?uuid=fb988c99-f5fb-3262-be64-384c93a6926e"]}],"mendeley":{"formattedCitation":"[15]","plainTextFormattedCitation":"[15]","previouslyFormattedCitation":"[153]"},"properties":{"noteIndex":0},"schema":"https://github.com/citation-style-language/schema/raw/master/csl-citation.json"}</w:instrText>
      </w:r>
      <w:r>
        <w:rPr>
          <w:color w:val="000000" w:themeColor="text1"/>
        </w:rPr>
        <w:fldChar w:fldCharType="separate"/>
      </w:r>
      <w:r w:rsidRPr="006009F4">
        <w:rPr>
          <w:noProof/>
          <w:color w:val="000000" w:themeColor="text1"/>
        </w:rPr>
        <w:t>[15]</w:t>
      </w:r>
      <w:r>
        <w:rPr>
          <w:color w:val="000000" w:themeColor="text1"/>
        </w:rPr>
        <w:fldChar w:fldCharType="end"/>
      </w:r>
      <w:r>
        <w:rPr>
          <w:color w:val="000000" w:themeColor="text1"/>
        </w:rPr>
        <w:t>, indicating that a low concentration of K</w:t>
      </w:r>
      <w:r>
        <w:rPr>
          <w:color w:val="000000" w:themeColor="text1"/>
          <w:vertAlign w:val="superscript"/>
        </w:rPr>
        <w:t>+</w:t>
      </w:r>
      <w:r>
        <w:rPr>
          <w:color w:val="000000" w:themeColor="text1"/>
        </w:rPr>
        <w:t xml:space="preserve"> in the extracellular media is enough to activate the NLRP3 inflammasome, in absence of a priming signal or an NLRP3 agonist. In our study, the high levels of IL-1β and IL-18 concomitant to the reduced viability in K</w:t>
      </w:r>
      <w:r>
        <w:rPr>
          <w:color w:val="000000" w:themeColor="text1"/>
          <w:vertAlign w:val="superscript"/>
        </w:rPr>
        <w:t>+</w:t>
      </w:r>
      <w:r>
        <w:rPr>
          <w:color w:val="000000" w:themeColor="text1"/>
        </w:rPr>
        <w:t xml:space="preserve"> free media suggests that this condition may be detrimental to the cells. Pyroptosis is a form of cell death regulated by the activation of caspases via the inflammasome </w:t>
      </w:r>
      <w:r>
        <w:rPr>
          <w:color w:val="000000" w:themeColor="text1"/>
        </w:rPr>
        <w:fldChar w:fldCharType="begin" w:fldLock="1"/>
      </w:r>
      <w:r>
        <w:rPr>
          <w:color w:val="000000" w:themeColor="text1"/>
        </w:rPr>
        <w:instrText>ADDIN CSL_CITATION {"citationItems":[{"id":"ITEM-1","itemData":{"DOI":"10.1016/j.cub.2016.02.019","ISSN":"09609822","PMID":"27404251","abstract":"Injury and physical trauma may inflict accidental cell death, but we have come to realize during the past four decades that cells may also actively engage cell death when needed. These regulated cell death forms are intrinsically connected with human embryonic development, homeostatic maintenance and disease pathology. For instance, the human body is composed of approximately 1014 cells, millions of which are removed daily by apoptosis and replaced with newly differentiated cells in order to secure organ functionality. Apoptotic cells are orderly packed in ‘apoptotic bodies’ for uptake by neighboring cells and professional phagocytes, thereby avoiding deleterious inflammatory responses by circulating leukocytes. Unlike apoptosis, however, more recently identified forms of regulated cell death — such as necroptosis and pyroptosis — are characterized by an early breach of the plasma membrane integrity, which results in extracellular spilling of the intracellular contents. Here, we will describe and discuss this and other features of pyroptosis.","author":[{"dropping-particle":"","family":"Walle","given":"Lieselotte","non-dropping-particle":"Vande","parse-names":false,"suffix":""},{"dropping-particle":"","family":"Lamkanfi","given":"Mohamed","non-dropping-particle":"","parse-names":false,"suffix":""}],"container-title":"Current Biology","id":"ITEM-1","issue":"13","issued":{"date-parts":[["2016","7","11"]]},"page":"R568-R572","publisher":"Cell Press","title":"Pyroptosis","type":"article","volume":"26"},"uris":["http://www.mendeley.com/documents/?uuid=3b43e0b8-cad6-39dd-82df-acf64186f50b"]}],"mendeley":{"formattedCitation":"[30]","plainTextFormattedCitation":"[30]","previouslyFormattedCitation":"[164]"},"properties":{"noteIndex":0},"schema":"https://github.com/citation-style-language/schema/raw/master/csl-citation.json"}</w:instrText>
      </w:r>
      <w:r>
        <w:rPr>
          <w:color w:val="000000" w:themeColor="text1"/>
        </w:rPr>
        <w:fldChar w:fldCharType="separate"/>
      </w:r>
      <w:r w:rsidRPr="006009F4">
        <w:rPr>
          <w:noProof/>
          <w:color w:val="000000" w:themeColor="text1"/>
        </w:rPr>
        <w:t>[30]</w:t>
      </w:r>
      <w:r>
        <w:rPr>
          <w:color w:val="000000" w:themeColor="text1"/>
        </w:rPr>
        <w:fldChar w:fldCharType="end"/>
      </w:r>
      <w:r>
        <w:rPr>
          <w:color w:val="000000" w:themeColor="text1"/>
        </w:rPr>
        <w:t>. Though pyroptosis may be occurring in all the tested concentrations, it seems to start becoming significant at [K</w:t>
      </w:r>
      <w:r>
        <w:rPr>
          <w:color w:val="000000" w:themeColor="text1"/>
          <w:vertAlign w:val="superscript"/>
        </w:rPr>
        <w:t>+</w:t>
      </w:r>
      <w:r>
        <w:rPr>
          <w:color w:val="000000" w:themeColor="text1"/>
        </w:rPr>
        <w:t>] of 0.5 mM or lower. Based on these observations, we selected 1.0 mM K</w:t>
      </w:r>
      <w:r>
        <w:rPr>
          <w:color w:val="000000" w:themeColor="text1"/>
          <w:vertAlign w:val="superscript"/>
        </w:rPr>
        <w:t>+</w:t>
      </w:r>
      <w:r>
        <w:rPr>
          <w:color w:val="000000" w:themeColor="text1"/>
        </w:rPr>
        <w:t xml:space="preserve"> as the appropriate condition to test the involvement of lunasin in the modulation of the inflammasome triggered by potassium efflux. </w:t>
      </w:r>
    </w:p>
    <w:p w14:paraId="56F5DD92" w14:textId="387BEA83" w:rsidR="000D0605" w:rsidRDefault="000D0605" w:rsidP="000D0605">
      <w:pPr>
        <w:pStyle w:val="paragraph"/>
        <w:spacing w:before="0" w:beforeAutospacing="0" w:after="0" w:afterAutospacing="0" w:line="480" w:lineRule="auto"/>
        <w:ind w:firstLine="720"/>
        <w:textAlignment w:val="baseline"/>
        <w:rPr>
          <w:rFonts w:ascii="Arial" w:hAnsi="Arial" w:cs="Arial"/>
          <w:color w:val="000000" w:themeColor="text1"/>
          <w:lang w:val="en-US"/>
        </w:rPr>
      </w:pPr>
      <w:r>
        <w:rPr>
          <w:rFonts w:ascii="Arial" w:hAnsi="Arial" w:cs="Arial"/>
          <w:color w:val="000000" w:themeColor="text1"/>
          <w:lang w:val="en-US"/>
        </w:rPr>
        <w:t xml:space="preserve">First, we evaluated the effect of lunasin treatment during the priming phase. We primed the differentiated macrophage with LPS (LPS+) in the presence or absence of lunasin (Lunasin+ or Lunasin- respectively). Cells treated with lunasin only (LPS- and Lunasin+) and non-stimulated cells (LPS- and </w:t>
      </w:r>
      <w:r>
        <w:rPr>
          <w:rFonts w:ascii="Arial" w:hAnsi="Arial" w:cs="Arial"/>
          <w:color w:val="000000" w:themeColor="text1"/>
          <w:lang w:val="en-US"/>
        </w:rPr>
        <w:lastRenderedPageBreak/>
        <w:t>Lunasin-) were used as controls. At the end of the priming phase, the media was replaced by 1.0 mM K</w:t>
      </w:r>
      <w:r>
        <w:rPr>
          <w:rFonts w:ascii="Arial" w:hAnsi="Arial" w:cs="Arial"/>
          <w:color w:val="000000" w:themeColor="text1"/>
          <w:vertAlign w:val="superscript"/>
          <w:lang w:val="en-US"/>
        </w:rPr>
        <w:t>+</w:t>
      </w:r>
      <w:r>
        <w:rPr>
          <w:rFonts w:ascii="Arial" w:hAnsi="Arial" w:cs="Arial"/>
          <w:color w:val="000000" w:themeColor="text1"/>
          <w:lang w:val="en-US"/>
        </w:rPr>
        <w:t xml:space="preserve"> conditioned media for 2</w:t>
      </w:r>
      <w:r w:rsidR="007B0D19">
        <w:rPr>
          <w:rFonts w:ascii="Arial" w:hAnsi="Arial" w:cs="Arial"/>
          <w:color w:val="000000" w:themeColor="text1"/>
          <w:lang w:val="en-US"/>
        </w:rPr>
        <w:t xml:space="preserve"> </w:t>
      </w:r>
      <w:r>
        <w:rPr>
          <w:rFonts w:ascii="Arial" w:hAnsi="Arial" w:cs="Arial"/>
          <w:color w:val="000000" w:themeColor="text1"/>
          <w:lang w:val="en-US"/>
        </w:rPr>
        <w:t>h to induce the activation of the inflammasome. Release of IL-1β (Figure 3.6E) and IL-18 (Figure 3.6F) was evaluated after the priming and activation phases. During the priming phase we did not detect the release of IL-1β by non-stimulated cells, but a significant release was observed in cells treated with lunasin alone. LPS-priming alone induced the release of IL-1β, but it was reduced by 60% when primed cells were simultaneously treated with lunasin during the priming phase. After activation, extracellular IL-1β increased for all samples as expected. However, LPS-primed only, lunasin-treated only, and cells primed in the presence of lunasin, all exhibited the same concentration of IL-1β after activation. In contrast, IL-18 was detected during the priming phase in all the samples, although the concentration in non-stimulated cells was significantly lower.  The release of IL-18 was boosted after inflammasome activation, but surprisingly the highest levels were observed when cells had been treated with lunasin. It is possible that the presence of lunasin somehow leads to the accumulation of intracellular pro-IL-18, that upon induction of K</w:t>
      </w:r>
      <w:r>
        <w:rPr>
          <w:rFonts w:ascii="Arial" w:hAnsi="Arial" w:cs="Arial"/>
          <w:color w:val="000000" w:themeColor="text1"/>
          <w:vertAlign w:val="superscript"/>
          <w:lang w:val="en-US"/>
        </w:rPr>
        <w:t>+</w:t>
      </w:r>
      <w:r>
        <w:rPr>
          <w:rFonts w:ascii="Arial" w:hAnsi="Arial" w:cs="Arial"/>
          <w:color w:val="000000" w:themeColor="text1"/>
          <w:lang w:val="en-US"/>
        </w:rPr>
        <w:t xml:space="preserve"> efflux was activated and released to the extracellular environment. By contrasting these results with those observed in Figures 3.4B and 3.4C we inferred that the activity of lunasin may not be limited to the priming step. </w:t>
      </w:r>
    </w:p>
    <w:p w14:paraId="439AA258" w14:textId="6C905F7F" w:rsidR="007F2E79" w:rsidRDefault="000D0605" w:rsidP="002B3E0C">
      <w:pPr>
        <w:pStyle w:val="paragraph"/>
        <w:spacing w:before="0" w:beforeAutospacing="0" w:after="0" w:afterAutospacing="0" w:line="480" w:lineRule="auto"/>
        <w:ind w:firstLine="720"/>
        <w:textAlignment w:val="baseline"/>
        <w:rPr>
          <w:rFonts w:ascii="Arial" w:hAnsi="Arial" w:cs="Arial"/>
          <w:color w:val="000000" w:themeColor="text1"/>
          <w:lang w:val="en-US"/>
        </w:rPr>
      </w:pPr>
      <w:r>
        <w:rPr>
          <w:rFonts w:ascii="Arial" w:hAnsi="Arial" w:cs="Arial"/>
          <w:color w:val="000000" w:themeColor="text1"/>
          <w:lang w:val="en-US"/>
        </w:rPr>
        <w:t>Then, in a different approach, we examined if lunasin could be engaged in the modulation of K</w:t>
      </w:r>
      <w:r>
        <w:rPr>
          <w:rFonts w:ascii="Arial" w:hAnsi="Arial" w:cs="Arial"/>
          <w:color w:val="000000" w:themeColor="text1"/>
          <w:vertAlign w:val="superscript"/>
          <w:lang w:val="en-US"/>
        </w:rPr>
        <w:t>+</w:t>
      </w:r>
      <w:r>
        <w:rPr>
          <w:rFonts w:ascii="Arial" w:hAnsi="Arial" w:cs="Arial"/>
          <w:color w:val="000000" w:themeColor="text1"/>
          <w:lang w:val="en-US"/>
        </w:rPr>
        <w:t xml:space="preserve"> efflux during the activation phase, by evaluating the cellular </w:t>
      </w:r>
      <w:r>
        <w:rPr>
          <w:rFonts w:ascii="Arial" w:hAnsi="Arial" w:cs="Arial"/>
          <w:color w:val="000000" w:themeColor="text1"/>
          <w:lang w:val="en-US"/>
        </w:rPr>
        <w:lastRenderedPageBreak/>
        <w:t>response in the presence or absence of the peptide. We postulated that if lunasin was able to inhibit K</w:t>
      </w:r>
      <w:r>
        <w:rPr>
          <w:rFonts w:ascii="Arial" w:hAnsi="Arial" w:cs="Arial"/>
          <w:color w:val="000000" w:themeColor="text1"/>
          <w:vertAlign w:val="superscript"/>
          <w:lang w:val="en-US"/>
        </w:rPr>
        <w:t>+</w:t>
      </w:r>
      <w:r>
        <w:rPr>
          <w:rFonts w:ascii="Arial" w:hAnsi="Arial" w:cs="Arial"/>
          <w:color w:val="000000" w:themeColor="text1"/>
          <w:lang w:val="en-US"/>
        </w:rPr>
        <w:t xml:space="preserve"> efflux to some extent, extracellular concentration of both cytokines (in both LPS-primed and non-primed cells) should be lower than in conditions where lunasin was absent. </w:t>
      </w:r>
      <w:r w:rsidR="001976C1">
        <w:rPr>
          <w:rFonts w:ascii="Arial" w:hAnsi="Arial" w:cs="Arial"/>
          <w:color w:val="000000" w:themeColor="text1"/>
          <w:lang w:val="en-US"/>
        </w:rPr>
        <w:t>T</w:t>
      </w:r>
      <w:r>
        <w:rPr>
          <w:rFonts w:ascii="Arial" w:hAnsi="Arial" w:cs="Arial"/>
          <w:color w:val="000000" w:themeColor="text1"/>
          <w:lang w:val="en-US"/>
        </w:rPr>
        <w:t>his was only observed for IL-1β produced by LPS-primed cells (Figure 3.6G)</w:t>
      </w:r>
      <w:r w:rsidR="001976C1">
        <w:rPr>
          <w:rFonts w:ascii="Arial" w:hAnsi="Arial" w:cs="Arial"/>
          <w:color w:val="000000" w:themeColor="text1"/>
          <w:lang w:val="en-US"/>
        </w:rPr>
        <w:t>.</w:t>
      </w:r>
      <w:r>
        <w:rPr>
          <w:rFonts w:ascii="Arial" w:hAnsi="Arial" w:cs="Arial"/>
          <w:color w:val="000000" w:themeColor="text1"/>
          <w:lang w:val="en-US"/>
        </w:rPr>
        <w:t xml:space="preserve"> </w:t>
      </w:r>
      <w:r w:rsidR="001976C1">
        <w:rPr>
          <w:rFonts w:ascii="Arial" w:hAnsi="Arial" w:cs="Arial"/>
          <w:color w:val="000000" w:themeColor="text1"/>
          <w:lang w:val="en-US"/>
        </w:rPr>
        <w:t xml:space="preserve">As </w:t>
      </w:r>
      <w:r>
        <w:rPr>
          <w:rFonts w:ascii="Arial" w:hAnsi="Arial" w:cs="Arial"/>
          <w:color w:val="000000" w:themeColor="text1"/>
          <w:lang w:val="en-US"/>
        </w:rPr>
        <w:t xml:space="preserve">no positive effect was observed in the extracellular concentration of IL-18 (Figure 3.6H) under any condition, we deduced that lunasin was not able to inhibit potassium efflux.  </w:t>
      </w:r>
    </w:p>
    <w:p w14:paraId="401C049B" w14:textId="77777777" w:rsidR="000D0605" w:rsidRPr="00973FDA" w:rsidRDefault="000D0605" w:rsidP="002B3E0C">
      <w:pPr>
        <w:pStyle w:val="Heading2"/>
        <w:spacing w:before="0" w:after="0" w:line="480" w:lineRule="auto"/>
      </w:pPr>
      <w:bookmarkStart w:id="105" w:name="_Toc77082142"/>
      <w:r>
        <w:t xml:space="preserve">3.5 </w:t>
      </w:r>
      <w:r w:rsidRPr="00973FDA">
        <w:t>Discussion</w:t>
      </w:r>
      <w:bookmarkEnd w:id="105"/>
    </w:p>
    <w:p w14:paraId="52A8D085" w14:textId="755EACB1" w:rsidR="000D0605" w:rsidRDefault="000D0605" w:rsidP="000D0605">
      <w:pPr>
        <w:spacing w:line="480" w:lineRule="auto"/>
        <w:ind w:firstLine="720"/>
        <w:rPr>
          <w:color w:val="000000" w:themeColor="text1"/>
        </w:rPr>
      </w:pPr>
      <w:r>
        <w:rPr>
          <w:color w:val="000000" w:themeColor="text1"/>
        </w:rPr>
        <w:t xml:space="preserve">Here, for the first time, we have demonstrated that lunasin decreases markers associated with susceptibility to chronic intestinal inflammation </w:t>
      </w:r>
      <w:r>
        <w:rPr>
          <w:i/>
          <w:iCs/>
          <w:color w:val="000000" w:themeColor="text1"/>
        </w:rPr>
        <w:t>in vivo</w:t>
      </w:r>
      <w:r>
        <w:rPr>
          <w:color w:val="000000" w:themeColor="text1"/>
        </w:rPr>
        <w:t xml:space="preserve">. We further demonstrated the direct inhibitory role of lunasin in the maturation of the pro-inflammatory cytokines IL-18 and IL-1β by impacting the activation of the NLRP3 inflammasome via reducing the </w:t>
      </w:r>
      <w:r w:rsidR="003A7790">
        <w:rPr>
          <w:color w:val="000000" w:themeColor="text1"/>
        </w:rPr>
        <w:t xml:space="preserve">protein levels </w:t>
      </w:r>
      <w:r>
        <w:rPr>
          <w:color w:val="000000" w:themeColor="text1"/>
        </w:rPr>
        <w:t xml:space="preserve">of the sensing molecule NLRP3. IL-10 acts as an anti-inflammatory cytokine that moderates the inflammatory response triggered by bacterial antigens </w:t>
      </w:r>
      <w:r>
        <w:rPr>
          <w:color w:val="000000" w:themeColor="text1"/>
        </w:rPr>
        <w:fldChar w:fldCharType="begin" w:fldLock="1"/>
      </w:r>
      <w:r>
        <w:rPr>
          <w:color w:val="000000" w:themeColor="text1"/>
        </w:rPr>
        <w:instrText>ADDIN CSL_CITATION {"citationItems":[{"id":"ITEM-1","itemData":{"DOI":"10.3748/wjg.14.4280","ISSN":"10079327","PMID":"18666314","abstract":"Inflammatory bowel disease (IBD), which includes Crohn's disease (CD) and ulcerative colitis (UC), represents a group of chronic disorders characterized by inflammation of the gastrointestinal tract, typically with a relapsing and remitting clinical course. Mucosal macrophages play an important role in the mucosal immune system, and an increase in the number of newly recruited monocytes and activated macrophages has been noted in the inflamed gut of patients with IBD. Activated macrophages are thought to be major contributors to the production of inflammatory cytokines in the gut, and imbalance of cytokines is contributing to the pathogenesis of IBD. The intestinal inflammation in IBD is controlled by a complex interplay of innate and adaptive immune mechanisms. Cytokines play a key role in IBD that determine T cell differentiation of Th1, Th2, T regulatory and newly described Th17 cells. Cytokines levels in time and space orchestrate the development, recurrence and exacerbation of the inflammatory process in IBD. Therefore, several cytokine therapies have been developed and tested for the treatment of IBD patients. © 2008 The WJG Press. All rights reserved.","author":[{"dropping-particle":"","family":"Sanchez-Muñoz","given":"Fausto","non-dropping-particle":"","parse-names":false,"suffix":""},{"dropping-particle":"","family":"Dominguez-Lopez","given":"Aaron","non-dropping-particle":"","parse-names":false,"suffix":""},{"dropping-particle":"","family":"Yamamoto-Furusho","given":"Jesus K.","non-dropping-particle":"","parse-names":false,"suffix":""}],"container-title":"World Journal of Gastroenterology","id":"ITEM-1","issue":"27","issued":{"date-parts":[["2008","7","21"]]},"page":"4280-4288","publisher":"Baishideng Publishing Group Inc","title":"Role of cytokines in inflammatory bowel disease","type":"article","volume":"14"},"uris":["http://www.mendeley.com/documents/?uuid=6351940b-5020-369a-a060-6f93ce687bef"]}],"mendeley":{"formattedCitation":"[31]","plainTextFormattedCitation":"[31]","previouslyFormattedCitation":"[44]"},"properties":{"noteIndex":0},"schema":"https://github.com/citation-style-language/schema/raw/master/csl-citation.json"}</w:instrText>
      </w:r>
      <w:r>
        <w:rPr>
          <w:color w:val="000000" w:themeColor="text1"/>
        </w:rPr>
        <w:fldChar w:fldCharType="separate"/>
      </w:r>
      <w:r w:rsidRPr="006009F4">
        <w:rPr>
          <w:noProof/>
          <w:color w:val="000000" w:themeColor="text1"/>
        </w:rPr>
        <w:t>[31]</w:t>
      </w:r>
      <w:r>
        <w:rPr>
          <w:color w:val="000000" w:themeColor="text1"/>
        </w:rPr>
        <w:fldChar w:fldCharType="end"/>
      </w:r>
      <w:r>
        <w:rPr>
          <w:color w:val="000000" w:themeColor="text1"/>
        </w:rPr>
        <w:t xml:space="preserve">. It can suppress the release of pro-inflammatory cytokines and regulate the differentiation, proliferation, and effector functions of different subsets of innate and adaptive immune cells, acting as a key mediator of immunotolerance </w:t>
      </w:r>
      <w:r>
        <w:rPr>
          <w:color w:val="000000" w:themeColor="text1"/>
        </w:rPr>
        <w:fldChar w:fldCharType="begin" w:fldLock="1"/>
      </w:r>
      <w:r>
        <w:rPr>
          <w:color w:val="000000" w:themeColor="text1"/>
        </w:rPr>
        <w:instrText>ADDIN CSL_CITATION {"citationItems":[{"id":"ITEM-1","itemData":{"DOI":"10.3748/wjg.14.4280","ISSN":"10079327","PMID":"18666314","abstract":"Inflammatory bowel disease (IBD), which includes Crohn's disease (CD) and ulcerative colitis (UC), represents a group of chronic disorders characterized by inflammation of the gastrointestinal tract, typically with a relapsing and remitting clinical course. Mucosal macrophages play an important role in the mucosal immune system, and an increase in the number of newly recruited monocytes and activated macrophages has been noted in the inflamed gut of patients with IBD. Activated macrophages are thought to be major contributors to the production of inflammatory cytokines in the gut, and imbalance of cytokines is contributing to the pathogenesis of IBD. The intestinal inflammation in IBD is controlled by a complex interplay of innate and adaptive immune mechanisms. Cytokines play a key role in IBD that determine T cell differentiation of Th1, Th2, T regulatory and newly described Th17 cells. Cytokines levels in time and space orchestrate the development, recurrence and exacerbation of the inflammatory process in IBD. Therefore, several cytokine therapies have been developed and tested for the treatment of IBD patients. © 2008 The WJG Press. All rights reserved.","author":[{"dropping-particle":"","family":"Sanchez-Muñoz","given":"Fausto","non-dropping-particle":"","parse-names":false,"suffix":""},{"dropping-particle":"","family":"Dominguez-Lopez","given":"Aaron","non-dropping-particle":"","parse-names":false,"suffix":""},{"dropping-particle":"","family":"Yamamoto-Furusho","given":"Jesus K.","non-dropping-particle":"","parse-names":false,"suffix":""}],"container-title":"World Journal of Gastroenterology","id":"ITEM-1","issue":"27","issued":{"date-parts":[["2008","7","21"]]},"page":"4280-4288","publisher":"Baishideng Publishing Group Inc","title":"Role of cytokines in inflammatory bowel disease","type":"article","volume":"14"},"uris":["http://www.mendeley.com/documents/?uuid=6351940b-5020-369a-a060-6f93ce687bef"]},{"id":"ITEM-2","itemData":{"DOI":"10.3748/wjg.v10.i5.620","ISSN":"10079327","PMID":"14991925","abstract":"Inflammatory bowel diseases (IBDs), including Crohn's disease and ulcerative colitis are chronic inflammatory disorders of gastrointestinal tract. Although the etiology is incompletely understood, initiation and aggravation of the inflammatory process seem to be due to a massive local mucosal immune response. Interleukin-10 (IL-10) is a regulatory cytokine which inhibits both antigen presentation and subsequent pro-inflammatory cytokine release, and it is proposed as a potent anti-inflammatory biological therapy in chronic IBD. Many methods of IL-10 as a treatment for IBD have been published. The new strategies of IL-10 treatment, including recombinant IL-10, the use of genetically modified bacteria, gelatine microsphere containing IL-10, adenoviral vectors encoding IL-10 and combining regulatory T cells are discussed in this review. The advantages and disadvantages of these IL-10 therapies are summarized. Although most results of recombinant IL-10 therapies are disappointing in clinical testing because of lacking efficacy or side effects, therapeutic strategies utilizing gene therapy may enhance mucosal delivery and increase therapeutic response. Novel IL-10-related cytokines, including IL-19, IL-20, IL-22, IL-24, IL-26, IL-28 and IL-29, are involved in regulation of inflammatory and immune responses. The use of IL-10 and IL-10-related cytokines will provide new insights into cell-based and gene-based treatment against IBD in near future. Copyright © 2004 by The WJG Press.","author":[{"dropping-particle":"","family":"Li","given":"Ming Cai","non-dropping-particle":"","parse-names":false,"suffix":""},{"dropping-particle":"","family":"He","given":"Shao Heng","non-dropping-particle":"","parse-names":false,"suffix":""}],"container-title":"World Journal of Gastroenterology","id":"ITEM-2","issue":"5","issued":{"date-parts":[["2004","3","1"]]},"page":"620-625","publisher":"WJG Press","title":"IL-10 and its related cytokines for treatment of inflammatory bowel disease","type":"article","volume":"10"},"uris":["http://www.mendeley.com/documents/?uuid=b6283733-83a8-34d1-8dc1-19b52e89a215"]}],"mendeley":{"formattedCitation":"[31,32]","plainTextFormattedCitation":"[31,32]","previouslyFormattedCitation":"[44,165]"},"properties":{"noteIndex":0},"schema":"https://github.com/citation-style-language/schema/raw/master/csl-citation.json"}</w:instrText>
      </w:r>
      <w:r>
        <w:rPr>
          <w:color w:val="000000" w:themeColor="text1"/>
        </w:rPr>
        <w:fldChar w:fldCharType="separate"/>
      </w:r>
      <w:r w:rsidRPr="006009F4">
        <w:rPr>
          <w:noProof/>
          <w:color w:val="000000" w:themeColor="text1"/>
        </w:rPr>
        <w:t>[31,32]</w:t>
      </w:r>
      <w:r>
        <w:rPr>
          <w:color w:val="000000" w:themeColor="text1"/>
        </w:rPr>
        <w:fldChar w:fldCharType="end"/>
      </w:r>
      <w:r>
        <w:rPr>
          <w:color w:val="000000" w:themeColor="text1"/>
        </w:rPr>
        <w:t xml:space="preserve">. Upon the defective or absent immunoregulatory function of IL-10, intestinal homeostasis is lost, leading to a dysregulated inflammatory response characterized by the persistent activation of pro-inflammatory pathways that result in adverse consequences for the intestinal tissue  </w:t>
      </w:r>
      <w:r>
        <w:rPr>
          <w:color w:val="000000" w:themeColor="text1"/>
        </w:rPr>
        <w:fldChar w:fldCharType="begin" w:fldLock="1"/>
      </w:r>
      <w:r>
        <w:rPr>
          <w:color w:val="000000" w:themeColor="text1"/>
        </w:rPr>
        <w:instrText>ADDIN CSL_CITATION {"citationItems":[{"id":"ITEM-1","itemData":{"DOI":"10.1097/MIB.0000000000000468","ISSN":"1078-0998","abstract":"Complex mechanisms are pulling the strings to initiate the development of inflammatory bowel disease. Current evidence indicates that an interaction of genetic susceptibilities (polymorphisms), environmental factors, and the host microbiota leads to a dysregulation of the mucosal immune system. In the past decades, the interleukin-10-deficient mouse has served as an excellent model to mirror the multifactorial nature of this disease. Here, we want to review in detail the interplay of the genetic factors, immune aspects, and especially summarize and discuss the role of the microbiota contributing to colitis development in the interleukin-10-deficient mouse model of inflammatory bowel disease as a multihit model.","author":[{"dropping-particle":"","family":"Keubler","given":"Lydia M.","non-dropping-particle":"","parse-names":false,"suffix":""},{"dropping-particle":"","family":"Buettner","given":"Manuela","non-dropping-particle":"","parse-names":false,"suffix":""},{"dropping-particle":"","family":"Häger","given":"Christine","non-dropping-particle":"","parse-names":false,"suffix":""},{"dropping-particle":"","family":"Bleich","given":"André","non-dropping-particle":"","parse-names":false,"suffix":""}],"container-title":"Inflammatory Bowel Diseases","id":"ITEM-1","issue":"8","issued":{"date-parts":[["2015","8","29"]]},"page":"1967-1975","publisher":"Lippincott Williams and Wilkins","title":"A Multihit Model: Colitis Lessons from the Interleukin-10–deficient Mouse","type":"article-journal","volume":"21"},"uris":["http://www.mendeley.com/documents/?uuid=68222c37-cfed-3e2c-83ab-ae6c0fa2df8a"]}],"mendeley":{"formattedCitation":"[10]","plainTextFormattedCitation":"[10]","previouslyFormattedCitation":"[148]"},"properties":{"noteIndex":0},"schema":"https://github.com/citation-style-language/schema/raw/master/csl-citation.json"}</w:instrText>
      </w:r>
      <w:r>
        <w:rPr>
          <w:color w:val="000000" w:themeColor="text1"/>
        </w:rPr>
        <w:fldChar w:fldCharType="separate"/>
      </w:r>
      <w:r w:rsidRPr="006009F4">
        <w:rPr>
          <w:noProof/>
          <w:color w:val="000000" w:themeColor="text1"/>
        </w:rPr>
        <w:t>[10]</w:t>
      </w:r>
      <w:r>
        <w:rPr>
          <w:color w:val="000000" w:themeColor="text1"/>
        </w:rPr>
        <w:fldChar w:fldCharType="end"/>
      </w:r>
      <w:r>
        <w:rPr>
          <w:color w:val="000000" w:themeColor="text1"/>
        </w:rPr>
        <w:t xml:space="preserve">. </w:t>
      </w:r>
    </w:p>
    <w:p w14:paraId="0CCC5C70" w14:textId="36776333" w:rsidR="000D0605" w:rsidRDefault="000D0605" w:rsidP="000D0605">
      <w:pPr>
        <w:spacing w:line="480" w:lineRule="auto"/>
        <w:ind w:firstLine="720"/>
        <w:rPr>
          <w:rStyle w:val="normaltextrun"/>
          <w:color w:val="000000" w:themeColor="text1"/>
          <w:shd w:val="clear" w:color="auto" w:fill="FFFFFF"/>
        </w:rPr>
      </w:pPr>
      <w:r>
        <w:rPr>
          <w:color w:val="000000" w:themeColor="text1"/>
        </w:rPr>
        <w:lastRenderedPageBreak/>
        <w:t xml:space="preserve">Our results indicate that the exacerbated levels of pro-inflammatory signals occurring in the bowel, and the frequency of spontaneous intestinal symptoms, due to the absence of IL-10, can be </w:t>
      </w:r>
      <w:r w:rsidR="001976C1">
        <w:rPr>
          <w:color w:val="000000" w:themeColor="text1"/>
        </w:rPr>
        <w:t xml:space="preserve">modulated </w:t>
      </w:r>
      <w:r>
        <w:rPr>
          <w:color w:val="000000" w:themeColor="text1"/>
        </w:rPr>
        <w:t>by the oral administration of lunasin. Upon the absence of IL-10, antigens from the natural intestinal microflora trigger an abnormal release of pro-inflammatory signals that are harmful to the intestine and lead to disease symptoms (loss of bw, diarrhea, and intestinal bleeding). When lunasin was administered, the mechanisms involved in the production of those pro-inflammatory signals, particularly TNF-α, IL-6, IL-18</w:t>
      </w:r>
      <w:r w:rsidR="007B0D19">
        <w:rPr>
          <w:color w:val="000000" w:themeColor="text1"/>
        </w:rPr>
        <w:t>,</w:t>
      </w:r>
      <w:r>
        <w:rPr>
          <w:color w:val="000000" w:themeColor="text1"/>
        </w:rPr>
        <w:t xml:space="preserve"> and IL-1β, are hindered, counteracting the inflammatory imbalance, and therefore reducing the adverse consequences.  These observed effects indicate the immunomodulatory potential of lunasin peptide as a strategy to return the balance lost when natural immunomodulatory mechanisms fail.  </w:t>
      </w:r>
      <w:r>
        <w:rPr>
          <w:rStyle w:val="normaltextrun"/>
          <w:color w:val="000000" w:themeColor="text1"/>
          <w:shd w:val="clear" w:color="auto" w:fill="FFFFFF"/>
        </w:rPr>
        <w:t xml:space="preserve">The negative impact of the caspase inhibitor over bw can be explained by the role of caspase-1 in the regulation of metabolic functions that influence body weight, such as glucose homeostasis and lipid metabolism </w:t>
      </w:r>
      <w:r>
        <w:rPr>
          <w:rStyle w:val="normaltextrun"/>
          <w:color w:val="000000" w:themeColor="text1"/>
          <w:shd w:val="clear" w:color="auto" w:fill="FFFFFF"/>
        </w:rPr>
        <w:fldChar w:fldCharType="begin" w:fldLock="1"/>
      </w:r>
      <w:r>
        <w:rPr>
          <w:rStyle w:val="normaltextrun"/>
          <w:color w:val="000000" w:themeColor="text1"/>
          <w:shd w:val="clear" w:color="auto" w:fill="FFFFFF"/>
        </w:rPr>
        <w:instrText>ADDIN CSL_CITATION {"citationItems":[{"id":"ITEM-1","itemData":{"DOI":"10.1186/s12944-020-01220-y","ISSN":"1476511X","PMID":"32143623","abstract":"Caspase-1 is an evolutionarily conserved inflammatory mediated enzyme that cleaves and activates inflammatory cytokines. It can be activated through the assembly of inflammasome and its major effect is to activate the pro-inflammatory cytokines; interleukin 1β (IL-1β) and interluekine-18 (IL-18). In addition to IL-1β and IL-8, several lines of evidence showed that caspase-1 targets the substrates that are involved in different metabolic pathways, including lipid metabolism. Caspase-1 regulates lipid metabolism through cytokine dependent or cytokine independent regulation of genes that involved in lipid metabolism and its regulation. To date, there are several reports on the role of caspase-1 in lipid metabolism. Therefore, this review is aimed to summarize the role of caspase-1 in lipid metabolism and its regulation.","author":[{"dropping-particle":"","family":"Molla","given":"Meseret Derbew","non-dropping-particle":"","parse-names":false,"suffix":""},{"dropping-particle":"","family":"Ayelign","given":"Birhanu","non-dropping-particle":"","parse-names":false,"suffix":""},{"dropping-particle":"","family":"Dessie","given":"Gashaw","non-dropping-particle":"","parse-names":false,"suffix":""},{"dropping-particle":"","family":"Geto","given":"Zeleke","non-dropping-particle":"","parse-names":false,"suffix":""},{"dropping-particle":"","family":"Admasu","given":"Tesfahun Dessale","non-dropping-particle":"","parse-names":false,"suffix":""}],"container-title":"Lipids in Health and Disease","id":"ITEM-1","issue":"1","issued":{"date-parts":[["2020","3","6"]]},"page":"34","publisher":"BioMed Central Ltd.","title":"Caspase-1 as a regulatory molecule of lipid metabolism","type":"article","volume":"19"},"uris":["http://www.mendeley.com/documents/?uuid=cd04fb81-26cd-448c-aa45-2d02cf9c64be"]}],"mendeley":{"formattedCitation":"[33]","plainTextFormattedCitation":"[33]","previouslyFormattedCitation":"[166]"},"properties":{"noteIndex":0},"schema":"https://github.com/citation-style-language/schema/raw/master/csl-citation.json"}</w:instrText>
      </w:r>
      <w:r>
        <w:rPr>
          <w:rStyle w:val="normaltextrun"/>
          <w:color w:val="000000" w:themeColor="text1"/>
          <w:shd w:val="clear" w:color="auto" w:fill="FFFFFF"/>
        </w:rPr>
        <w:fldChar w:fldCharType="separate"/>
      </w:r>
      <w:r w:rsidRPr="006009F4">
        <w:rPr>
          <w:rStyle w:val="normaltextrun"/>
          <w:noProof/>
          <w:color w:val="000000" w:themeColor="text1"/>
          <w:shd w:val="clear" w:color="auto" w:fill="FFFFFF"/>
        </w:rPr>
        <w:t>[33]</w:t>
      </w:r>
      <w:r>
        <w:rPr>
          <w:rStyle w:val="normaltextrun"/>
          <w:color w:val="000000" w:themeColor="text1"/>
          <w:shd w:val="clear" w:color="auto" w:fill="FFFFFF"/>
        </w:rPr>
        <w:fldChar w:fldCharType="end"/>
      </w:r>
      <w:r>
        <w:rPr>
          <w:rStyle w:val="normaltextrun"/>
          <w:color w:val="000000" w:themeColor="text1"/>
          <w:shd w:val="clear" w:color="auto" w:fill="FFFFFF"/>
        </w:rPr>
        <w:t xml:space="preserve">. Treatment of obese mice for two weeks with caspase-1 inhibitors has shown a decreased gain of body weight accompanied by an altered composition of the white adipose tissue </w:t>
      </w:r>
      <w:r>
        <w:rPr>
          <w:rStyle w:val="normaltextrun"/>
          <w:color w:val="000000" w:themeColor="text1"/>
          <w:shd w:val="clear" w:color="auto" w:fill="FFFFFF"/>
        </w:rPr>
        <w:fldChar w:fldCharType="begin" w:fldLock="1"/>
      </w:r>
      <w:r>
        <w:rPr>
          <w:rStyle w:val="normaltextrun"/>
          <w:color w:val="000000" w:themeColor="text1"/>
          <w:shd w:val="clear" w:color="auto" w:fill="FFFFFF"/>
        </w:rPr>
        <w:instrText>ADDIN CSL_CITATION {"citationItems":[{"id":"ITEM-1","itemData":{"DOI":"10.1016/j.cmet.2010.11.011","ISSN":"15504131","PMID":"21109192","abstract":"Obesity-induced inflammation originating from expanding adipose tissue interferes with insulin sensitivity. Important metabolic effects have been recently attributed to IL-1β and IL-18, two members of the IL-1 family of cytokines. Processing of IL-1β and IL-18 requires cleavage by caspase-1, a cysteine protease regulated by a protein complex called the inflammasome. We demonstrate that the inflammasome/caspase-1 governs adipocyte differentiation and insulin sensitivity. Caspase-1 is upregulated during adipocyte differentiation and directs adipocytes toward a more insulin-resistant phenotype. Treatment of differentiating adipocytes with recombinant IL-1β and IL-18, or blocking their effects by inhibitors, reveals that the effects of caspase-1 on adipocyte differentiation are largely conveyed by IL-1β. Caspase-1 and IL-1β activity in adipose tissue is increased both in diet-induced and genetically induced obese animal models. Conversely, mice deficient in caspase-1 are more insulin sensitive as compared to wild-type animals. In addition, differentiation of preadipocytes isolated from caspase-1-/- or NLRP3-/- mice resulted in more metabolically active fat cells. In vivo, treatment of obese mice with a caspase-1 inhibitor significantly increases their insulin sensitivity. Indirect calorimetry analysis revealed higher fat oxidation rates in caspase-1 -/- animals. In conclusion, the inflammasome is an important regulator of adipocyte function and insulin sensitivity, and caspase-1 inhibition may represent a novel therapeutic target in clinical conditions associated with obesity and insulin resistance. © 2010 Elsevier Inc.","author":[{"dropping-particle":"","family":"Stienstra","given":"Rinke","non-dropping-particle":"","parse-names":false,"suffix":""},{"dropping-particle":"","family":"Joosten","given":"Leo A.B.","non-dropping-particle":"","parse-names":false,"suffix":""},{"dropping-particle":"","family":"Koenen","given":"Tim","non-dropping-particle":"","parse-names":false,"suffix":""},{"dropping-particle":"","family":"Tits","given":"Berry","non-dropping-particle":"Van","parse-names":false,"suffix":""},{"dropping-particle":"","family":"Diepen","given":"Janna A.","non-dropping-particle":"Van","parse-names":false,"suffix":""},{"dropping-particle":"","family":"Berg","given":"Sjoerd A.A.","non-dropping-particle":"Van Den","parse-names":false,"suffix":""},{"dropping-particle":"","family":"Rensen","given":"Patrick C.N.","non-dropping-particle":"","parse-names":false,"suffix":""},{"dropping-particle":"","family":"Voshol","given":"Peter J.","non-dropping-particle":"","parse-names":false,"suffix":""},{"dropping-particle":"","family":"Fantuzzi","given":"Giamilla","non-dropping-particle":"","parse-names":false,"suffix":""},{"dropping-particle":"","family":"Hijmans","given":"Anneke","non-dropping-particle":"","parse-names":false,"suffix":""},{"dropping-particle":"","family":"Kersten","given":"Sander","non-dropping-particle":"","parse-names":false,"suffix":""},{"dropping-particle":"","family":"Müller","given":"Michael","non-dropping-particle":"","parse-names":false,"suffix":""},{"dropping-particle":"","family":"Berg","given":"Wim B.","non-dropping-particle":"Van Den","parse-names":false,"suffix":""},{"dropping-particle":"","family":"Rooijen","given":"Nico","non-dropping-particle":"Van","parse-names":false,"suffix":""},{"dropping-particle":"","family":"Wabitsch","given":"Martin","non-dropping-particle":"","parse-names":false,"suffix":""},{"dropping-particle":"","family":"Kullberg","given":"Bart Jan","non-dropping-particle":"","parse-names":false,"suffix":""},{"dropping-particle":"","family":"Meer","given":"Jos W.M.","non-dropping-particle":"Van Der","parse-names":false,"suffix":""},{"dropping-particle":"","family":"Kanneganti","given":"Thirumala","non-dropping-particle":"","parse-names":false,"suffix":""},{"dropping-particle":"","family":"Tack","given":"Cees J.","non-dropping-particle":"","parse-names":false,"suffix":""},{"dropping-particle":"","family":"Netea","given":"Mihai G.","non-dropping-particle":"","parse-names":false,"suffix":""}],"container-title":"Cell Metabolism","id":"ITEM-1","issue":"6","issued":{"date-parts":[["2010","12","1"]]},"page":"593-605","publisher":"Elsevier","title":"The inflammasome-mediated caspase-1 activation controls adipocyte differentiation and insulin sensitivity","type":"article-journal","volume":"12"},"uris":["http://www.mendeley.com/documents/?uuid=68b2615c-a944-3363-82bf-7aeefffca4e5"]}],"mendeley":{"formattedCitation":"[34]","plainTextFormattedCitation":"[34]","previouslyFormattedCitation":"[167]"},"properties":{"noteIndex":0},"schema":"https://github.com/citation-style-language/schema/raw/master/csl-citation.json"}</w:instrText>
      </w:r>
      <w:r>
        <w:rPr>
          <w:rStyle w:val="normaltextrun"/>
          <w:color w:val="000000" w:themeColor="text1"/>
          <w:shd w:val="clear" w:color="auto" w:fill="FFFFFF"/>
        </w:rPr>
        <w:fldChar w:fldCharType="separate"/>
      </w:r>
      <w:r w:rsidRPr="006009F4">
        <w:rPr>
          <w:rStyle w:val="normaltextrun"/>
          <w:noProof/>
          <w:color w:val="000000" w:themeColor="text1"/>
          <w:shd w:val="clear" w:color="auto" w:fill="FFFFFF"/>
        </w:rPr>
        <w:t>[34]</w:t>
      </w:r>
      <w:r>
        <w:rPr>
          <w:rStyle w:val="normaltextrun"/>
          <w:color w:val="000000" w:themeColor="text1"/>
          <w:shd w:val="clear" w:color="auto" w:fill="FFFFFF"/>
        </w:rPr>
        <w:fldChar w:fldCharType="end"/>
      </w:r>
      <w:r>
        <w:rPr>
          <w:rStyle w:val="normaltextrun"/>
          <w:color w:val="000000" w:themeColor="text1"/>
          <w:shd w:val="clear" w:color="auto" w:fill="FFFFFF"/>
        </w:rPr>
        <w:t xml:space="preserve">. </w:t>
      </w:r>
    </w:p>
    <w:p w14:paraId="66CAB6D5" w14:textId="77777777" w:rsidR="000D0605" w:rsidRDefault="000D0605" w:rsidP="000D0605">
      <w:pPr>
        <w:spacing w:line="480" w:lineRule="auto"/>
        <w:ind w:firstLine="720"/>
        <w:rPr>
          <w:rStyle w:val="eop"/>
          <w:color w:val="000000" w:themeColor="text1"/>
        </w:rPr>
      </w:pPr>
      <w:r>
        <w:rPr>
          <w:rStyle w:val="normaltextrun"/>
          <w:color w:val="000000" w:themeColor="text1"/>
          <w:shd w:val="clear" w:color="auto" w:fill="FFFFFF"/>
        </w:rPr>
        <w:t xml:space="preserve">Our research group reported that pepsin and pancreatin hydrolysis can impair the ability of lunasin preparations to inhibit activation of the inflammasome </w:t>
      </w:r>
      <w:r>
        <w:rPr>
          <w:rStyle w:val="normaltextrun"/>
          <w:color w:val="000000" w:themeColor="text1"/>
          <w:shd w:val="clear" w:color="auto" w:fill="FFFFFF"/>
        </w:rPr>
        <w:fldChar w:fldCharType="begin" w:fldLock="1"/>
      </w:r>
      <w:r>
        <w:rPr>
          <w:rStyle w:val="normaltextrun"/>
          <w:color w:val="000000" w:themeColor="text1"/>
          <w:shd w:val="clear" w:color="auto" w:fill="FFFFFF"/>
        </w:rPr>
        <w:instrText>ADDIN CSL_CITATION {"citationItems":[{"id":"ITEM-1","itemData":{"DOI":"10.1039/c7fo00992e","ISSN":"2042650X","PMID":"29090713","abstract":"Inflammation caused by the NLRP3 inflammasome has been linked to many diseases. Lunasin is a bioactive peptide from soybeans with reported anti-inflammatory properties. The objective of this work was to determine the effect of pepsin-pancreatin hydrolysis (PPH) on the ability of lunasin-enriched preparation (LEP) to inhibit inflammasome activation in differentiated THP-1 human macrophages. THP-1 macrophages were treated with different concentrations of LEP (0.0625 to 0.25 mg mL-1), primed with 1 μg mL-1 lipopolysaccharide for 6 h and activated by 5 mM adenosine triphosphate for 1 h. LEP reduced secretion of IL-1β and IL-18. In addition, LEP treatment inhibited the production of intracellular reactive oxygen species (ROS) in THP-1 human macrophages without affecting the expressions of NLRP3 and ASC proteins involved in inflammasomes. PPH reduced the ability of LEP to inhibit production of intracellular ROS. Our results showed that LEP inhibited activation of inflammasomes by reducing intracellular ROS in vitro which was reduced by PPH.","author":[{"dropping-particle":"","family":"Price","given":"Samuel James","non-dropping-particle":"","parse-names":false,"suffix":""},{"dropping-particle":"","family":"Pangloli","given":"Philipus","non-dropping-particle":"","parse-names":false,"suffix":""},{"dropping-particle":"","family":"Dia","given":"Vermont P.","non-dropping-particle":"","parse-names":false,"suffix":""}],"container-title":"Food and Function","id":"ITEM-1","issue":"12","issued":{"date-parts":[["2017","12","1"]]},"page":"4449-4458","publisher":"Royal Society of Chemistry","title":"Pepsin-pancreatin hydrolysis reduced the ability of lunasin-enriched material to inhibit activation of the inflammasomes in THP-1 human macrophages","type":"article-journal","volume":"8"},"uris":["http://www.mendeley.com/documents/?uuid=4bb6a9ca-c641-3240-ba8b-b6fe04a178c2"]}],"mendeley":{"formattedCitation":"[35]","plainTextFormattedCitation":"[35]","previouslyFormattedCitation":"[168]"},"properties":{"noteIndex":0},"schema":"https://github.com/citation-style-language/schema/raw/master/csl-citation.json"}</w:instrText>
      </w:r>
      <w:r>
        <w:rPr>
          <w:rStyle w:val="normaltextrun"/>
          <w:color w:val="000000" w:themeColor="text1"/>
          <w:shd w:val="clear" w:color="auto" w:fill="FFFFFF"/>
        </w:rPr>
        <w:fldChar w:fldCharType="separate"/>
      </w:r>
      <w:r w:rsidRPr="006009F4">
        <w:rPr>
          <w:rStyle w:val="normaltextrun"/>
          <w:noProof/>
          <w:color w:val="000000" w:themeColor="text1"/>
          <w:shd w:val="clear" w:color="auto" w:fill="FFFFFF"/>
        </w:rPr>
        <w:t>[35]</w:t>
      </w:r>
      <w:r>
        <w:rPr>
          <w:rStyle w:val="normaltextrun"/>
          <w:color w:val="000000" w:themeColor="text1"/>
          <w:shd w:val="clear" w:color="auto" w:fill="FFFFFF"/>
        </w:rPr>
        <w:fldChar w:fldCharType="end"/>
      </w:r>
      <w:r>
        <w:rPr>
          <w:rStyle w:val="normaltextrun"/>
          <w:color w:val="000000" w:themeColor="text1"/>
          <w:shd w:val="clear" w:color="auto" w:fill="FFFFFF"/>
        </w:rPr>
        <w:t xml:space="preserve">; however, differences in the </w:t>
      </w:r>
      <w:r>
        <w:rPr>
          <w:rStyle w:val="normaltextrun"/>
          <w:i/>
          <w:iCs/>
          <w:color w:val="000000" w:themeColor="text1"/>
          <w:shd w:val="clear" w:color="auto" w:fill="FFFFFF"/>
        </w:rPr>
        <w:t>in vitro</w:t>
      </w:r>
      <w:r>
        <w:rPr>
          <w:rStyle w:val="normaltextrun"/>
          <w:color w:val="000000" w:themeColor="text1"/>
          <w:shd w:val="clear" w:color="auto" w:fill="FFFFFF"/>
        </w:rPr>
        <w:t xml:space="preserve"> and </w:t>
      </w:r>
      <w:r>
        <w:rPr>
          <w:rStyle w:val="normaltextrun"/>
          <w:i/>
          <w:iCs/>
          <w:color w:val="000000" w:themeColor="text1"/>
          <w:shd w:val="clear" w:color="auto" w:fill="FFFFFF"/>
        </w:rPr>
        <w:t>in vivo</w:t>
      </w:r>
      <w:r>
        <w:rPr>
          <w:rStyle w:val="normaltextrun"/>
          <w:color w:val="000000" w:themeColor="text1"/>
          <w:shd w:val="clear" w:color="auto" w:fill="FFFFFF"/>
        </w:rPr>
        <w:t xml:space="preserve"> digestion mechanisms could result in different digestion products with distinct biological activity. In addition, it </w:t>
      </w:r>
      <w:r>
        <w:rPr>
          <w:rStyle w:val="normaltextrun"/>
          <w:color w:val="000000" w:themeColor="text1"/>
          <w:shd w:val="clear" w:color="auto" w:fill="FFFFFF"/>
        </w:rPr>
        <w:lastRenderedPageBreak/>
        <w:t xml:space="preserve">is important to note that the lunasin enriched preparation contained considerable amounts of other proteins that were affected by the proteolytic process. It is possible that the decrease observed in the inflammasome inhibitory activity was the result of the diminished contribution of these components, rather than a direct result of lunasin digestion. This idea is supported by a recent report that indicates the antihypertensive and antioxidant activity of fragments released from the </w:t>
      </w:r>
      <w:r>
        <w:rPr>
          <w:rStyle w:val="normaltextrun"/>
          <w:i/>
          <w:iCs/>
          <w:color w:val="000000" w:themeColor="text1"/>
          <w:shd w:val="clear" w:color="auto" w:fill="FFFFFF"/>
        </w:rPr>
        <w:t>in vitro</w:t>
      </w:r>
      <w:r>
        <w:rPr>
          <w:rStyle w:val="normaltextrun"/>
          <w:color w:val="000000" w:themeColor="text1"/>
          <w:shd w:val="clear" w:color="auto" w:fill="FFFFFF"/>
        </w:rPr>
        <w:t xml:space="preserve"> gastrointestinal digestion of synthetic lunasin, as well as their protective effect against oxidative damage and inflammatory stimulation of murine macrophages </w:t>
      </w:r>
      <w:r>
        <w:rPr>
          <w:rStyle w:val="normaltextrun"/>
          <w:color w:val="000000" w:themeColor="text1"/>
          <w:shd w:val="clear" w:color="auto" w:fill="FFFFFF"/>
        </w:rPr>
        <w:fldChar w:fldCharType="begin" w:fldLock="1"/>
      </w:r>
      <w:r>
        <w:rPr>
          <w:rStyle w:val="normaltextrun"/>
          <w:color w:val="000000" w:themeColor="text1"/>
          <w:shd w:val="clear" w:color="auto" w:fill="FFFFFF"/>
        </w:rPr>
        <w:instrText>ADDIN CSL_CITATION {"citationItems":[{"id":"ITEM-1","itemData":{"DOI":"10.1016/j.foodres.2019.108513","ISSN":"18737145","PMID":"31554062","abstract":"Oxidative stress, inflammation, and hypertension are recognized risk factors for non-communicable diseases. Because of the preventable character of these factors, the searching of dietary compounds with counteracting effects against them would provide a new framework for the development of novel multifunctional foods or nutraceuticals. Lunasin is a naturally occurring soybean peptide with chemopreventive and anti-inflammatory properties. Upon oral intake, lunasin is susceptible to the action of digestive enzymes during its transit through gastrointestinal tract. In spite of its cleavage into smaller peptides, these fragments have been suggested to contribute on the health beneficial effects attributed to lunasin. To confirm this hypothesis, the multifunctionality of lunasin derived-fragments was investigated. In vitro, peptides corresponding to the N-terminal and central regions of lunasin were demonstrated to inhibit angiotensin converting enzyme and to scavenge peroxyl and 2,2′-azino-bis(3-ethylbenzothiazoline-6-sulphonic acid (ABTS) radicals. Moreover, lunasin and fragments released during its gastrointestinal digestion exerted potent protective effects on cell viability and oxidative status in macrophages RAW264.7 challenged with chemicals tert-butylhydroperoxide and hydrogen peroxide. These peptides were also able to reduce the nitric oxide production in pro-inflammatory lipopolysaccharide-induced macrophages. These results confirm the promising role of lunasin and its derived-fragments as protective agents against oxidative damage and inflammation-associated diseases.","author":[{"dropping-particle":"","family":"Indiano-Romacho","given":"Pedro","non-dropping-particle":"","parse-names":false,"suffix":""},{"dropping-particle":"","family":"Fernández-Tomé","given":"Samuel","non-dropping-particle":"","parse-names":false,"suffix":""},{"dropping-particle":"","family":"Amigo","given":"Lourdes","non-dropping-particle":"","parse-names":false,"suffix":""},{"dropping-particle":"","family":"Hernández-Ledesma","given":"Blanca","non-dropping-particle":"","parse-names":false,"suffix":""}],"container-title":"Food Research International","id":"ITEM-1","issued":{"date-parts":[["2019","11","1"]]},"publisher":"Elsevier Ltd","title":"Multifunctionality of lunasin and peptides released during its simulated gastrointestinal digestion","type":"article-journal","volume":"125"},"uris":["http://www.mendeley.com/documents/?uuid=c86512e7-04b6-3ad5-a7df-a6769ab99b78"]}],"mendeley":{"formattedCitation":"[36]","plainTextFormattedCitation":"[36]","previouslyFormattedCitation":"[107]"},"properties":{"noteIndex":0},"schema":"https://github.com/citation-style-language/schema/raw/master/csl-citation.json"}</w:instrText>
      </w:r>
      <w:r>
        <w:rPr>
          <w:rStyle w:val="normaltextrun"/>
          <w:color w:val="000000" w:themeColor="text1"/>
          <w:shd w:val="clear" w:color="auto" w:fill="FFFFFF"/>
        </w:rPr>
        <w:fldChar w:fldCharType="separate"/>
      </w:r>
      <w:r w:rsidRPr="006009F4">
        <w:rPr>
          <w:rStyle w:val="normaltextrun"/>
          <w:noProof/>
          <w:color w:val="000000" w:themeColor="text1"/>
          <w:shd w:val="clear" w:color="auto" w:fill="FFFFFF"/>
        </w:rPr>
        <w:t>[36]</w:t>
      </w:r>
      <w:r>
        <w:rPr>
          <w:rStyle w:val="normaltextrun"/>
          <w:color w:val="000000" w:themeColor="text1"/>
          <w:shd w:val="clear" w:color="auto" w:fill="FFFFFF"/>
        </w:rPr>
        <w:fldChar w:fldCharType="end"/>
      </w:r>
      <w:r>
        <w:rPr>
          <w:rStyle w:val="normaltextrun"/>
          <w:color w:val="000000" w:themeColor="text1"/>
          <w:shd w:val="clear" w:color="auto" w:fill="FFFFFF"/>
        </w:rPr>
        <w:t xml:space="preserve">. Our findings corroborate that upon oral administration, lunasin digestion products exert anti-inflammatory properties and can efficiently decrease levels of pro-inflammatory cytokines along the small and large intestines. </w:t>
      </w:r>
      <w:r>
        <w:rPr>
          <w:rStyle w:val="normaltextrun"/>
          <w:color w:val="000000" w:themeColor="text1"/>
        </w:rPr>
        <w:t xml:space="preserve">Biodistribution of lunasin derived peptides along the bowel may be responsible for the variable activity observed in the cytokine’s profile for each intestinal section. </w:t>
      </w:r>
      <w:r>
        <w:rPr>
          <w:rStyle w:val="normaltextrun"/>
          <w:color w:val="000000" w:themeColor="text1"/>
          <w:shd w:val="clear" w:color="auto" w:fill="FFFFFF"/>
        </w:rPr>
        <w:t>The substantial impact observed in the levels of IL-1β and IL-18 in lunasin treated mice suggests that the peptide could have a modulatory role over the inflammasome.</w:t>
      </w:r>
      <w:r>
        <w:rPr>
          <w:rStyle w:val="normaltextrun"/>
          <w:color w:val="000000" w:themeColor="text1"/>
        </w:rPr>
        <w:t> </w:t>
      </w:r>
      <w:r>
        <w:rPr>
          <w:rStyle w:val="eop"/>
          <w:color w:val="000000" w:themeColor="text1"/>
        </w:rPr>
        <w:t> </w:t>
      </w:r>
    </w:p>
    <w:p w14:paraId="48B8BA86" w14:textId="1D255B38" w:rsidR="000D0605" w:rsidRDefault="000D0605" w:rsidP="000D0605">
      <w:pPr>
        <w:pStyle w:val="paragraph"/>
        <w:spacing w:before="0" w:beforeAutospacing="0" w:after="0" w:afterAutospacing="0" w:line="480" w:lineRule="auto"/>
        <w:ind w:firstLine="720"/>
        <w:textAlignment w:val="baseline"/>
        <w:rPr>
          <w:rFonts w:ascii="Arial" w:hAnsi="Arial" w:cs="Arial"/>
          <w:color w:val="000000" w:themeColor="text1"/>
          <w:lang w:val="en-US"/>
        </w:rPr>
      </w:pPr>
      <w:r>
        <w:rPr>
          <w:rStyle w:val="normaltextrun"/>
          <w:rFonts w:ascii="Arial" w:hAnsi="Arial" w:cs="Arial"/>
          <w:color w:val="000000" w:themeColor="text1"/>
          <w:shd w:val="clear" w:color="auto" w:fill="FFFFFF"/>
          <w:lang w:val="en-US"/>
        </w:rPr>
        <w:t xml:space="preserve">Liu </w:t>
      </w:r>
      <w:r>
        <w:rPr>
          <w:rStyle w:val="normaltextrun"/>
          <w:rFonts w:ascii="Arial" w:hAnsi="Arial" w:cs="Arial"/>
          <w:i/>
          <w:iCs/>
          <w:color w:val="000000" w:themeColor="text1"/>
          <w:shd w:val="clear" w:color="auto" w:fill="FFFFFF"/>
          <w:lang w:val="en-US"/>
        </w:rPr>
        <w:t>et al.</w:t>
      </w:r>
      <w:r>
        <w:rPr>
          <w:rStyle w:val="normaltextrun"/>
          <w:rFonts w:ascii="Arial" w:hAnsi="Arial" w:cs="Arial"/>
          <w:color w:val="000000" w:themeColor="text1"/>
          <w:shd w:val="clear" w:color="auto" w:fill="FFFFFF"/>
          <w:lang w:val="en-US"/>
        </w:rPr>
        <w:t xml:space="preserve"> reported that the activity of NLRP3 inflammasome was elevated before colitis onset, progressively increasing as the disease worsened, and reached a maximum peak when the macroscopic indicators appeared </w:t>
      </w:r>
      <w:r>
        <w:rPr>
          <w:rStyle w:val="normaltextrun"/>
          <w:rFonts w:ascii="Arial" w:hAnsi="Arial" w:cs="Arial"/>
          <w:color w:val="000000" w:themeColor="text1"/>
          <w:shd w:val="clear" w:color="auto" w:fill="FFFFFF"/>
          <w:lang w:val="en-US"/>
        </w:rPr>
        <w:fldChar w:fldCharType="begin" w:fldLock="1"/>
      </w:r>
      <w:r>
        <w:rPr>
          <w:rStyle w:val="normaltextrun"/>
          <w:rFonts w:ascii="Arial" w:hAnsi="Arial" w:cs="Arial"/>
          <w:color w:val="000000" w:themeColor="text1"/>
          <w:shd w:val="clear" w:color="auto" w:fill="FFFFFF"/>
          <w:lang w:val="en-US"/>
        </w:rPr>
        <w:instrText>ADDIN CSL_CITATION {"citationItems":[{"id":"ITEM-1","itemData":{"DOI":"10.1093/ecco-jcc/jjw219","ISSN":"18764479","PMID":"27993998","abstract":"Background and Aims: NLRP3 inflammasome is known to be involved in inflammatory bowel diseases. However, it is controversial whether it is pathogenic or beneficial. This study evaluated the roles of NLRP3 inflammasome in the pathogenesis of inflammatory bowel disease in IL-10-/- mice and humans.\nMethods: NLRP3 inflammasome in colonic mucosa, macrophages, and colonic epithelial cells were analysed by western blotting. The NLRP3 inflammasome components were studied by sucrose density gradient fractionation, chemical cross-linking, and co-immunoprecipitation. The role of NLPR3 inflammasome in the pathogenesis of colitis was extensively evaluated in IL-10-/- mice, using a specific NLPR3 inflammasome inhibitor glyburide.\nResults: NLRP3 inflammasome was upregulated in colonic mucosa of both IL-10-/- mice and Crohn's patients. NLRP3 inflammasome activity in IL-10-/- mice was elevated prior to colitis onset; it progressively increased as disease worsened and peaked as macroscopic disease emerged. NLRP3 inflammasome was found in both intestinal epithelial cells and colonic macrophages, as a large complex with a molecular weight of ≥ 360 kDa in size. In the absence of IL-10, NLRP3 inflammasome was spontaneously active and more robustly responsive when activated by LPS and nigericin. Glyburide markedly suppressed NLRP3 inflammasome expression/activation in IL-10-/- mice, leading to not only alleviation of ongoing colitis but also prevention/delay of disease onset. Glyburide also effectively inhibited the release of proinflammatory cytokines/chemokines by mucosal explants from Crohn's patients.\nConclusions: Abnormal activation of NLRP3 inflammasome plays a major pathogenic role in the development of chronic colitis in IL-10-/- mice and humans. Glyburide, an FDA-approved drug, may have great potential in the management of inflammatory bowel diseases.","author":[{"dropping-particle":"","family":"Liu","given":"Ling","non-dropping-particle":"","parse-names":false,"suffix":""},{"dropping-particle":"","family":"Dong","given":"Ying","non-dropping-particle":"","parse-names":false,"suffix":""},{"dropping-particle":"","family":"Ye","given":"Mei","non-dropping-particle":"","parse-names":false,"suffix":""},{"dropping-particle":"","family":"Jin","given":"Shi","non-dropping-particle":"","parse-names":false,"suffix":""},{"dropping-particle":"","family":"Yang","given":"Jianbo","non-dropping-particle":"","parse-names":false,"suffix":""},{"dropping-particle":"","family":"Joosse","given":"Maria E.","non-dropping-particle":"","parse-names":false,"suffix":""},{"dropping-particle":"","family":"Sun","given":"Yu","non-dropping-particle":"","parse-names":false,"suffix":""},{"dropping-particle":"","family":"Zhang","given":"Jennifer","non-dropping-particle":"","parse-names":false,"suffix":""},{"dropping-particle":"","family":"Lazarev","given":"Mark","non-dropping-particle":"","parse-names":false,"suffix":""},{"dropping-particle":"","family":"Brant","given":"Steven R.","non-dropping-particle":"","parse-names":false,"suffix":""},{"dropping-particle":"","family":"Safar","given":"Bashar","non-dropping-particle":"","parse-names":false,"suffix":""},{"dropping-particle":"","family":"Marohn","given":"Michael","non-dropping-particle":"","parse-names":false,"suffix":""},{"dropping-particle":"","family":"Mezey","given":"Esteban","non-dropping-particle":"","parse-names":false,"suffix":""},{"dropping-particle":"","family":"Li","given":"Xuhang","non-dropping-particle":"","parse-names":false,"suffix":""}],"container-title":"Journal of Crohn's &amp; colitis","id":"ITEM-1","issue":"6","issued":{"date-parts":[["2017","6","1"]]},"page":"737-750","publisher":"Oxford University Press","title":"The Pathogenic Role of NLRP3 Inflammasome Activation in Inflammatory Bowel Diseases of Both Mice and Humans","type":"article-journal","volume":"11"},"uris":["http://www.mendeley.com/documents/?uuid=007c991f-c6c0-3622-84e1-49ad8416ebc0"]}],"mendeley":{"formattedCitation":"[37]","plainTextFormattedCitation":"[37]","previouslyFormattedCitation":"[169]"},"properties":{"noteIndex":0},"schema":"https://github.com/citation-style-language/schema/raw/master/csl-citation.json"}</w:instrText>
      </w:r>
      <w:r>
        <w:rPr>
          <w:rStyle w:val="normaltextrun"/>
          <w:rFonts w:ascii="Arial" w:hAnsi="Arial" w:cs="Arial"/>
          <w:color w:val="000000" w:themeColor="text1"/>
          <w:shd w:val="clear" w:color="auto" w:fill="FFFFFF"/>
          <w:lang w:val="en-US"/>
        </w:rPr>
        <w:fldChar w:fldCharType="separate"/>
      </w:r>
      <w:r w:rsidRPr="006009F4">
        <w:rPr>
          <w:rStyle w:val="normaltextrun"/>
          <w:rFonts w:ascii="Arial" w:hAnsi="Arial" w:cs="Arial"/>
          <w:noProof/>
          <w:color w:val="000000" w:themeColor="text1"/>
          <w:shd w:val="clear" w:color="auto" w:fill="FFFFFF"/>
          <w:lang w:val="en-US"/>
        </w:rPr>
        <w:t>[37]</w:t>
      </w:r>
      <w:r>
        <w:rPr>
          <w:rStyle w:val="normaltextrun"/>
          <w:rFonts w:ascii="Arial" w:hAnsi="Arial" w:cs="Arial"/>
          <w:color w:val="000000" w:themeColor="text1"/>
          <w:shd w:val="clear" w:color="auto" w:fill="FFFFFF"/>
          <w:lang w:val="en-US"/>
        </w:rPr>
        <w:fldChar w:fldCharType="end"/>
      </w:r>
      <w:r>
        <w:rPr>
          <w:rStyle w:val="normaltextrun"/>
          <w:rFonts w:ascii="Arial" w:hAnsi="Arial" w:cs="Arial"/>
          <w:color w:val="000000" w:themeColor="text1"/>
          <w:shd w:val="clear" w:color="auto" w:fill="FFFFFF"/>
          <w:lang w:val="en-US"/>
        </w:rPr>
        <w:t>. Hence</w:t>
      </w:r>
      <w:r>
        <w:rPr>
          <w:rStyle w:val="normaltextrun"/>
          <w:rFonts w:ascii="Arial" w:hAnsi="Arial" w:cs="Arial"/>
          <w:color w:val="000000" w:themeColor="text1"/>
          <w:lang w:val="en-US"/>
        </w:rPr>
        <w:t xml:space="preserve">, this inflammatory mechanism has been proposed as a new therapeutic target in the pursuit of better clinical outcomes for IBD </w:t>
      </w:r>
      <w:r>
        <w:rPr>
          <w:rStyle w:val="normaltextrun"/>
          <w:rFonts w:ascii="Arial" w:hAnsi="Arial" w:cs="Arial"/>
          <w:color w:val="000000" w:themeColor="text1"/>
          <w:lang w:val="en-US"/>
        </w:rPr>
        <w:fldChar w:fldCharType="begin" w:fldLock="1"/>
      </w:r>
      <w:r>
        <w:rPr>
          <w:rStyle w:val="normaltextrun"/>
          <w:rFonts w:ascii="Arial" w:hAnsi="Arial" w:cs="Arial"/>
          <w:color w:val="000000" w:themeColor="text1"/>
          <w:lang w:val="en-US"/>
        </w:rPr>
        <w:instrText>ADDIN CSL_CITATION {"citationItems":[{"id":"ITEM-1","itemData":{"DOI":"10.1007/s10753-019-01008-y","ISSN":"15732576","PMID":"30937839","abstract":"Inflammatory bowel disease (IBD) is a group of inflammatory conditions of the colon and small intestine, comprised of ulcerative colitis and Crohn’s disease. Among the complicated pathogenic factors of IBD, the overaction of inflammatory and immune reaction serves as an important factor. Inflammasome is a form of innate immunity as well as inflammation. Among all kinds of inflammasomes, the NOD-like receptor family, pyrin domain-containing 3 (NLRP3) inflammasome is the most studied one, and has been revealed to be involved in the pathogenesis and progression of IBD. Here, in this review, the association between the NLRP3 inflammasome and IBD will be discussed. Furthermore, several NLRP3 inflammasome inhibitors which have been demonstrated to be effective in the alleviation of IBD will be described in this review.","author":[{"dropping-particle":"","family":"Shao","given":"Bo Zong","non-dropping-particle":"","parse-names":false,"suffix":""},{"dropping-particle":"","family":"Wang","given":"Shu Ling","non-dropping-particle":"","parse-names":false,"suffix":""},{"dropping-particle":"","family":"Pan","given":"Peng","non-dropping-particle":"","parse-names":false,"suffix":""},{"dropping-particle":"","family":"Yao","given":"Jun","non-dropping-particle":"","parse-names":false,"suffix":""},{"dropping-particle":"","family":"Wu","given":"Kai","non-dropping-particle":"","parse-names":false,"suffix":""},{"dropping-particle":"","family":"Li","given":"Zhao Shen","non-dropping-particle":"","parse-names":false,"suffix":""},{"dropping-particle":"","family":"Bai","given":"Yu","non-dropping-particle":"","parse-names":false,"suffix":""},{"dropping-particle":"","family":"Linghu","given":"En Qiang","non-dropping-particle":"","parse-names":false,"suffix":""}],"container-title":"Inflammation","id":"ITEM-1","issue":"4","issued":{"date-parts":[["2019","8","15"]]},"page":"1147-1159","publisher":"Springer New York LLC","title":"Targeting NLRP3 Inflammasome in Inflammatory Bowel Disease: Putting out the Fire of Inflammation","type":"article","volume":"42"},"uris":["http://www.mendeley.com/documents/?uuid=f20f7d89-9342-37af-8d66-f3d66343a626"]},{"id":"ITEM-2","itemData":{"DOI":"10.1016/j.biopha.2021.111442","ISSN":"19506007","abstract":"The incidence and prevalence of inflammatory bowel disease (IBD) are increasing worldwide. Current approved medication for IBD treatment in the clinic mainly includes corticosteroids and neutralization antibodies to pro-inflammatory cytokines. However, drug resistance and severe side effect hinder long-term efficacy of these agents. The NOD-like receptor family pyrin domain containing protein 3 (NLRP3) is exclusively expressed in several inflammatory and autoimmune diseases. Excessive expression, aberrant activation, polymorphism, and gain-of-function mutation of the NLRP3 inflammasome contribute to IBD pathogenesis. In this article, we summarize the regulatory factors to NLRP3, and review recently developed NLRP3 inhibitors and their preclinical and clinical applications in treating inflammatory and autoimmune diseases. We present our views on the therapeutic potential of NLRP3 inhibitors as emerging therapeutic avenue for IBD.","author":[{"dropping-particle":"","family":"Chen","given":"Qiu Ling","non-dropping-particle":"","parse-names":false,"suffix":""},{"dropping-particle":"","family":"Yin","given":"Hao Ran","non-dropping-particle":"","parse-names":false,"suffix":""},{"dropping-particle":"","family":"He","given":"Qing Yu","non-dropping-particle":"","parse-names":false,"suffix":""},{"dropping-particle":"","family":"Wang","given":"Ying","non-dropping-particle":"","parse-names":false,"suffix":""}],"container-title":"Biomedicine and Pharmacotherapy","id":"ITEM-2","issued":{"date-parts":[["2021","6","1"]]},"page":"111442","publisher":"Elsevier Masson s.r.l.","title":"Targeting the NLRP3 inflammasome as new therapeutic avenue for inflammatory bowel disease","type":"article-journal","volume":"138"},"uris":["http://www.mendeley.com/documents/?uuid=5bb4f601-53b5-3b3d-ba6d-62fbfb081c80"]}],"mendeley":{"formattedCitation":"[18,38]","plainTextFormattedCitation":"[18,38]","previouslyFormattedCitation":"[42,170]"},"properties":{"noteIndex":0},"schema":"https://github.com/citation-style-language/schema/raw/master/csl-citation.json"}</w:instrText>
      </w:r>
      <w:r>
        <w:rPr>
          <w:rStyle w:val="normaltextrun"/>
          <w:rFonts w:ascii="Arial" w:hAnsi="Arial" w:cs="Arial"/>
          <w:color w:val="000000" w:themeColor="text1"/>
          <w:lang w:val="en-US"/>
        </w:rPr>
        <w:fldChar w:fldCharType="separate"/>
      </w:r>
      <w:r w:rsidRPr="006009F4">
        <w:rPr>
          <w:rStyle w:val="normaltextrun"/>
          <w:rFonts w:ascii="Arial" w:hAnsi="Arial" w:cs="Arial"/>
          <w:noProof/>
          <w:color w:val="000000" w:themeColor="text1"/>
          <w:lang w:val="en-US"/>
        </w:rPr>
        <w:t>[18,38]</w:t>
      </w:r>
      <w:r>
        <w:rPr>
          <w:rStyle w:val="normaltextrun"/>
          <w:rFonts w:ascii="Arial" w:hAnsi="Arial" w:cs="Arial"/>
          <w:color w:val="000000" w:themeColor="text1"/>
          <w:lang w:val="en-US"/>
        </w:rPr>
        <w:fldChar w:fldCharType="end"/>
      </w:r>
      <w:r>
        <w:rPr>
          <w:rStyle w:val="normaltextrun"/>
          <w:rFonts w:ascii="Arial" w:hAnsi="Arial" w:cs="Arial"/>
          <w:color w:val="000000" w:themeColor="text1"/>
          <w:lang w:val="en-US"/>
        </w:rPr>
        <w:t xml:space="preserve">. </w:t>
      </w:r>
      <w:r>
        <w:rPr>
          <w:rStyle w:val="normaltextrun"/>
          <w:rFonts w:ascii="Arial" w:hAnsi="Arial" w:cs="Arial"/>
          <w:color w:val="000000" w:themeColor="text1"/>
          <w:shd w:val="clear" w:color="auto" w:fill="FFFFFF"/>
          <w:lang w:val="en-US"/>
        </w:rPr>
        <w:t xml:space="preserve">Here we </w:t>
      </w:r>
      <w:r w:rsidR="001976C1">
        <w:rPr>
          <w:rStyle w:val="normaltextrun"/>
          <w:rFonts w:ascii="Arial" w:hAnsi="Arial" w:cs="Arial"/>
          <w:color w:val="000000" w:themeColor="text1"/>
          <w:shd w:val="clear" w:color="auto" w:fill="FFFFFF"/>
          <w:lang w:val="en-US"/>
        </w:rPr>
        <w:t xml:space="preserve">demonstrated </w:t>
      </w:r>
      <w:r>
        <w:rPr>
          <w:rStyle w:val="normaltextrun"/>
          <w:rFonts w:ascii="Arial" w:hAnsi="Arial" w:cs="Arial"/>
          <w:color w:val="000000" w:themeColor="text1"/>
          <w:shd w:val="clear" w:color="auto" w:fill="FFFFFF"/>
          <w:lang w:val="en-US"/>
        </w:rPr>
        <w:t xml:space="preserve">that lunasin can modulate the activation of the NLRP3 </w:t>
      </w:r>
      <w:r>
        <w:rPr>
          <w:rStyle w:val="normaltextrun"/>
          <w:rFonts w:ascii="Arial" w:hAnsi="Arial" w:cs="Arial"/>
          <w:color w:val="000000" w:themeColor="text1"/>
          <w:shd w:val="clear" w:color="auto" w:fill="FFFFFF"/>
          <w:lang w:val="en-US"/>
        </w:rPr>
        <w:lastRenderedPageBreak/>
        <w:t xml:space="preserve">inflammasome. </w:t>
      </w:r>
      <w:r>
        <w:rPr>
          <w:rFonts w:ascii="Arial" w:hAnsi="Arial" w:cs="Arial"/>
          <w:color w:val="000000" w:themeColor="text1"/>
          <w:lang w:val="en-US"/>
        </w:rPr>
        <w:t>The observed trends during inflammasome activation triggered by potassium efflux indicate that the presence of the peptide during the activation phase is necessary for limiting the release of the mature IL-1β but not of IL-18. In addition, under the absence of pathogenic stimuli, lunasin can act as a priming signal to induce inflammasome activation at a lower extent and appears to promote the accumulation of pro-IL-18, but these effects are altered by the presence of inflammatory signals. These observations are in agreement with recent studies that have demonstrated immunomodulatory activity of lunasin by the upregulation of pro-inflammatory signals such as IL-6 and IL-1</w:t>
      </w:r>
      <w:r>
        <w:rPr>
          <w:rFonts w:ascii="Arial" w:hAnsi="Arial" w:cs="Arial"/>
          <w:color w:val="000000" w:themeColor="text1"/>
        </w:rPr>
        <w:t>β</w:t>
      </w:r>
      <w:r>
        <w:rPr>
          <w:rFonts w:ascii="Arial" w:hAnsi="Arial" w:cs="Arial"/>
          <w:color w:val="000000" w:themeColor="text1"/>
          <w:lang w:val="en-US"/>
        </w:rPr>
        <w:t xml:space="preserve"> in dendritic cells </w:t>
      </w:r>
      <w:r>
        <w:rPr>
          <w:rFonts w:ascii="Arial" w:hAnsi="Arial" w:cs="Arial"/>
          <w:color w:val="000000" w:themeColor="text1"/>
        </w:rPr>
        <w:fldChar w:fldCharType="begin" w:fldLock="1"/>
      </w:r>
      <w:r>
        <w:rPr>
          <w:rFonts w:ascii="Arial" w:hAnsi="Arial" w:cs="Arial"/>
          <w:color w:val="000000" w:themeColor="text1"/>
          <w:lang w:val="en-US"/>
        </w:rPr>
        <w:instrText>ADDIN CSL_CITATION {"citationItems":[{"id":"ITEM-1","itemData":{"DOI":"10.1016/j.vaccine.2014.07.103","ISSN":"18732518","abstract":"The addition of an appropriate adjuvant that activates the innate immunity is essential to subsequent development of the adaptive immunity specific to the vaccine antigens. Thus, any innovation capable of improving the immune responses may lead to a more efficacious vaccine. We recently identified a novel immune modulator using a naturally occurring seed peptide called lunasin. Lunasin was originally isolated from soybeans, and it is a small peptide containing 43 amino acids. Our studies revealed stimulatory effects of lunasin on innate immune cells by regulating expression of a number of genes that are important for immune responses. The objective was to define the effectiveness of lunasin as an adjuvant that enhances immune responses. The immune modulating functions of lunasin were characterized in dendritic cells (DCs) from human peripheral blood mononuclear cells (PBMCs). Lunasin-treated conventional DCs (cDCs) not only expressed elevated levels of co-stimulatory molecules (CD86, CD40) but also exhibited up-regulation of cytokines (IL1B, IL6) and chemokines (CCL3, CCL4). Lunasin-treated cDCs induced higher proliferation of allogeneic CD4+ T cells when comparing with medium control treatment in the mixed leukocyte reaction (MLR). Immunization of mice with ovalbumin (OVA) and lunasin inhibited the growth of OVA-expressing A20 B-lymphomas, which was correlated with OVA-specific CD8+ T cells. In addition, lunasin was an effective adjuvant for immunization with OVA, which together improved animal survival against lethal challenge with influenza virus expressing the MHC class I OVA peptide SIINFEKL (PR8-OTI). These results suggest that lunasin may function as a vaccine adjuvant by promoting DC maturation, which in turn enhances the development of protective immune responses to the vaccine antigens.","author":[{"dropping-particle":"","family":"Tung","given":"Chun Yu","non-dropping-particle":"","parse-names":false,"suffix":""},{"dropping-particle":"","family":"Lewis","given":"David E.","non-dropping-particle":"","parse-names":false,"suffix":""},{"dropping-particle":"","family":"Han","given":"Ling","non-dropping-particle":"","parse-names":false,"suffix":""},{"dropping-particle":"","family":"Jaja","given":"Morayo","non-dropping-particle":"","parse-names":false,"suffix":""},{"dropping-particle":"","family":"Yao","given":"Shuyu","non-dropping-particle":"","parse-names":false,"suffix":""},{"dropping-particle":"","family":"Li","given":"Fang","non-dropping-particle":"","parse-names":false,"suffix":""},{"dropping-particle":"","family":"Robertson","given":"Michael J.","non-dropping-particle":"","parse-names":false,"suffix":""},{"dropping-particle":"","family":"Zhou","given":"Baohua","non-dropping-particle":"","parse-names":false,"suffix":""},{"dropping-particle":"","family":"Sun","given":"Jie","non-dropping-particle":"","parse-names":false,"suffix":""},{"dropping-particle":"","family":"Chang","given":"Hua Chen","non-dropping-particle":"","parse-names":false,"suffix":""}],"container-title":"Vaccine","id":"ITEM-1","issue":"42","issued":{"date-parts":[["2014","9","22"]]},"page":"5411-5419","publisher":"Elsevier Ltd","title":"Activation of dendritic cell function by soypeptide lunasin as a novel vaccine adjuvant","type":"article-journal","volume":"32"},"uris":["http://www.mendeley.com/documents/?uuid=0347418b-1278-32e6-b081-9b5c2d8507a0"]}],"mendeley":{"formattedCitation":"[39]","plainTextFormattedCitation":"[39]","previouslyFormattedCitation":"[171]"},"properties":{"noteIndex":0},"schema":"https://github.com/citation-style-language/schema/raw/master/csl-citation.json"}</w:instrText>
      </w:r>
      <w:r>
        <w:rPr>
          <w:rFonts w:ascii="Arial" w:hAnsi="Arial" w:cs="Arial"/>
          <w:color w:val="000000" w:themeColor="text1"/>
        </w:rPr>
        <w:fldChar w:fldCharType="separate"/>
      </w:r>
      <w:r w:rsidRPr="006009F4">
        <w:rPr>
          <w:rFonts w:ascii="Arial" w:hAnsi="Arial" w:cs="Arial"/>
          <w:noProof/>
          <w:color w:val="000000" w:themeColor="text1"/>
          <w:lang w:val="en-US"/>
        </w:rPr>
        <w:t>[39]</w:t>
      </w:r>
      <w:r>
        <w:rPr>
          <w:rFonts w:ascii="Arial" w:hAnsi="Arial" w:cs="Arial"/>
          <w:color w:val="000000" w:themeColor="text1"/>
        </w:rPr>
        <w:fldChar w:fldCharType="end"/>
      </w:r>
      <w:r>
        <w:rPr>
          <w:rFonts w:ascii="Arial" w:hAnsi="Arial" w:cs="Arial"/>
          <w:color w:val="000000" w:themeColor="text1"/>
          <w:lang w:val="en-US"/>
        </w:rPr>
        <w:t>, TNF-</w:t>
      </w:r>
      <w:r>
        <w:rPr>
          <w:rFonts w:ascii="Arial" w:hAnsi="Arial" w:cs="Arial"/>
          <w:color w:val="000000" w:themeColor="text1"/>
        </w:rPr>
        <w:t>α</w:t>
      </w:r>
      <w:r>
        <w:rPr>
          <w:rFonts w:ascii="Arial" w:hAnsi="Arial" w:cs="Arial"/>
          <w:color w:val="000000" w:themeColor="text1"/>
          <w:lang w:val="en-US"/>
        </w:rPr>
        <w:t>, IL-1</w:t>
      </w:r>
      <w:r>
        <w:rPr>
          <w:rFonts w:ascii="Arial" w:hAnsi="Arial" w:cs="Arial"/>
          <w:color w:val="000000" w:themeColor="text1"/>
        </w:rPr>
        <w:t>β</w:t>
      </w:r>
      <w:r>
        <w:rPr>
          <w:rFonts w:ascii="Arial" w:hAnsi="Arial" w:cs="Arial"/>
          <w:color w:val="000000" w:themeColor="text1"/>
          <w:lang w:val="en-US"/>
        </w:rPr>
        <w:t>, and COX-2/ PGE</w:t>
      </w:r>
      <w:r>
        <w:rPr>
          <w:rFonts w:ascii="Arial" w:hAnsi="Arial" w:cs="Arial"/>
          <w:color w:val="000000" w:themeColor="text1"/>
          <w:vertAlign w:val="subscript"/>
          <w:lang w:val="en-US"/>
        </w:rPr>
        <w:t>2</w:t>
      </w:r>
      <w:r>
        <w:rPr>
          <w:rFonts w:ascii="Arial" w:hAnsi="Arial" w:cs="Arial"/>
          <w:color w:val="000000" w:themeColor="text1"/>
          <w:lang w:val="en-US"/>
        </w:rPr>
        <w:t xml:space="preserve"> in </w:t>
      </w:r>
      <w:r>
        <w:rPr>
          <w:rFonts w:ascii="Arial" w:hAnsi="Arial" w:cs="Arial"/>
          <w:i/>
          <w:iCs/>
          <w:color w:val="000000" w:themeColor="text1"/>
          <w:lang w:val="en-US"/>
        </w:rPr>
        <w:t>ex-vivo</w:t>
      </w:r>
      <w:r>
        <w:rPr>
          <w:rFonts w:ascii="Arial" w:hAnsi="Arial" w:cs="Arial"/>
          <w:color w:val="000000" w:themeColor="text1"/>
          <w:lang w:val="en-US"/>
        </w:rPr>
        <w:t xml:space="preserve"> explants of human mucosa  </w:t>
      </w:r>
      <w:r>
        <w:rPr>
          <w:rFonts w:ascii="Arial" w:hAnsi="Arial" w:cs="Arial"/>
          <w:color w:val="000000" w:themeColor="text1"/>
        </w:rPr>
        <w:fldChar w:fldCharType="begin" w:fldLock="1"/>
      </w:r>
      <w:r>
        <w:rPr>
          <w:rFonts w:ascii="Arial" w:hAnsi="Arial" w:cs="Arial"/>
          <w:color w:val="000000" w:themeColor="text1"/>
          <w:lang w:val="en-US"/>
        </w:rPr>
        <w:instrText>ADDIN CSL_CITATION {"citationItems":[{"id":"ITEM-1","itemData":{"DOI":"10.1002/mnfr.202001034","ISSN":"1613-4125","abstract":"Abbreviations conventional dendritic cells (cDC); cyclooxygenase (COX); healthy controls (HC); inflammatory bowel diseases (IBD); interleukins (IL); lamina propria mononuclear cells (LPMC); macrophages (Mφ); nitric oxide (NO); nuclear factor-kappa B (NF-κB); tumor necrosis factor-α (TNF-α) Abstract Scope: Lunasin is a soybean bioactive peptide with a variety of beneficial properties against chronic disorders. However, its effect in human primary intestinal cells remains unknown. Hence, we aimed to characterize its ex vivo biological activity in the human intestinal mucosa. Methods and results: Human intestinal biopsies, obtained from healthy controls, were ex vivo conditioned with lunasin both in the presence/absence of lipopolysaccharide (LPS). Peptide maintained its stability during biopsy culture by HPLC-MS/MS analysis. Lunasin was bioactive in the human mucosa as it induced IL-1β, TNF-α, IL-17A, CCL2, and PGE2/COX-2 gene expression together with an increased expression of tolerogenic IL-10 and TGFβ while it also downregulated the expression of iNOS and subunit p65 from NF-κB. Indeed, lunasin also abrogated the LPS-induced pro-inflammatory response, downregulating IL-17A, IFNγ, and IL-8 expression, and inducing IL-10 and TGFβ expression. These results were also mirrored in the cell-free culture supernatants at the protein level by Multiplex. Moreover, lunasin further induced a regulatory phenotype and function on human intestinal conventional dendritic cell and macrophage subsets as assessed by flow cytometry. Conclusions: We hereby have characterized lunasin as an immunomodulatory peptide with potential capacity to prevent immune and inflammatory-mediated disorders in the human gastrointestinal tract.","author":[{"dropping-particle":"","family":"Fernández</w:instrText>
      </w:r>
      <w:r>
        <w:rPr>
          <w:rFonts w:ascii="Cambria Math" w:hAnsi="Cambria Math" w:cs="Cambria Math"/>
          <w:color w:val="000000" w:themeColor="text1"/>
          <w:lang w:val="en-US"/>
        </w:rPr>
        <w:instrText>‐</w:instrText>
      </w:r>
      <w:r>
        <w:rPr>
          <w:rFonts w:ascii="Arial" w:hAnsi="Arial" w:cs="Arial"/>
          <w:color w:val="000000" w:themeColor="text1"/>
          <w:lang w:val="en-US"/>
        </w:rPr>
        <w:instrText>Tomé","given":"Samuel","non-dropping-particle":"","parse-names":false,"suffix":""},{"dropping-particle":"","family":"Indiano</w:instrText>
      </w:r>
      <w:r>
        <w:rPr>
          <w:rFonts w:ascii="Cambria Math" w:hAnsi="Cambria Math" w:cs="Cambria Math"/>
          <w:color w:val="000000" w:themeColor="text1"/>
          <w:lang w:val="en-US"/>
        </w:rPr>
        <w:instrText>‐</w:instrText>
      </w:r>
      <w:r>
        <w:rPr>
          <w:rFonts w:ascii="Arial" w:hAnsi="Arial" w:cs="Arial"/>
          <w:color w:val="000000" w:themeColor="text1"/>
          <w:lang w:val="en-US"/>
        </w:rPr>
        <w:instrText>Romacho","given":"Pedro","non-dropping-particle":"","parse-names":false,"suffix":""},{"dropping-particle":"","family":"Mora</w:instrText>
      </w:r>
      <w:r>
        <w:rPr>
          <w:rFonts w:ascii="Cambria Math" w:hAnsi="Cambria Math" w:cs="Cambria Math"/>
          <w:color w:val="000000" w:themeColor="text1"/>
          <w:lang w:val="en-US"/>
        </w:rPr>
        <w:instrText>‐</w:instrText>
      </w:r>
      <w:r>
        <w:rPr>
          <w:rFonts w:ascii="Arial" w:hAnsi="Arial" w:cs="Arial"/>
          <w:color w:val="000000" w:themeColor="text1"/>
          <w:lang w:val="en-US"/>
        </w:rPr>
        <w:instrText>Gutiérrez","given":"Irene","non-dropping-particle":"","parse-names":false,"suffix":""},{"dropping-particle":"","family":"Pérez</w:instrText>
      </w:r>
      <w:r>
        <w:rPr>
          <w:rFonts w:ascii="Cambria Math" w:hAnsi="Cambria Math" w:cs="Cambria Math"/>
          <w:color w:val="000000" w:themeColor="text1"/>
          <w:lang w:val="en-US"/>
        </w:rPr>
        <w:instrText>‐</w:instrText>
      </w:r>
      <w:r>
        <w:rPr>
          <w:rFonts w:ascii="Arial" w:hAnsi="Arial" w:cs="Arial"/>
          <w:color w:val="000000" w:themeColor="text1"/>
          <w:lang w:val="en-US"/>
        </w:rPr>
        <w:instrText>Rodríguez","given":"Leticia","non-dropping-particle":"","parse-names":false,"suffix":""},{"dropping-particle":"","family":"Moreno","given":"Lorena Ortega","non-dropping-particle":"","parse-names":false,"suffix":""},{"dropping-particle":"","family":"Marin","given":"Alicia C.","non-dropping-particle":"","parse-names":false,"suffix":""},{"dropping-particle":"","family":"Baldán</w:instrText>
      </w:r>
      <w:r>
        <w:rPr>
          <w:rFonts w:ascii="Cambria Math" w:hAnsi="Cambria Math" w:cs="Cambria Math"/>
          <w:color w:val="000000" w:themeColor="text1"/>
          <w:lang w:val="en-US"/>
        </w:rPr>
        <w:instrText>‐</w:instrText>
      </w:r>
      <w:r>
        <w:rPr>
          <w:rFonts w:ascii="Arial" w:hAnsi="Arial" w:cs="Arial"/>
          <w:color w:val="000000" w:themeColor="text1"/>
          <w:lang w:val="en-US"/>
        </w:rPr>
        <w:instrText>Martín","given":"Montserrat","non-dropping-particle":"","parse-names":false,"suffix":""},{"dropping-particle":"","family":"Moreno</w:instrText>
      </w:r>
      <w:r>
        <w:rPr>
          <w:rFonts w:ascii="Cambria Math" w:hAnsi="Cambria Math" w:cs="Cambria Math"/>
          <w:color w:val="000000" w:themeColor="text1"/>
          <w:lang w:val="en-US"/>
        </w:rPr>
        <w:instrText>‐</w:instrText>
      </w:r>
      <w:r>
        <w:rPr>
          <w:rFonts w:ascii="Arial" w:hAnsi="Arial" w:cs="Arial"/>
          <w:color w:val="000000" w:themeColor="text1"/>
          <w:lang w:val="en-US"/>
        </w:rPr>
        <w:instrText>Monteagudo","given":"José Andrés","non-dropping-particle":"","parse-names":false,"suffix":""},{"dropping-particle":"","family":"Santander","given":"Cecilio","non-dropping-particle":"","parse-names":false,"suffix":""},{"dropping-particle":"","family":"Chaparro","given":"María","non-dropping-particle":"","parse-names":false,"suffix":""},{"dropping-particle":"","family":"Hernández</w:instrText>
      </w:r>
      <w:r>
        <w:rPr>
          <w:rFonts w:ascii="Cambria Math" w:hAnsi="Cambria Math" w:cs="Cambria Math"/>
          <w:color w:val="000000" w:themeColor="text1"/>
          <w:lang w:val="en-US"/>
        </w:rPr>
        <w:instrText>‐</w:instrText>
      </w:r>
      <w:r>
        <w:rPr>
          <w:rFonts w:ascii="Arial" w:hAnsi="Arial" w:cs="Arial"/>
          <w:color w:val="000000" w:themeColor="text1"/>
          <w:lang w:val="en-US"/>
        </w:rPr>
        <w:instrText>Ledesma","given":"Blanca","non-dropping-particle":"","parse-names":false,"suffix":""},{"dropping-particle":"","family":"Gisbert","given":"Javier P.","non-dropping-particle":"","parse-names":false,"suffix":""},{"dropping-particle":"","family":"Bernardo","given":"David","non-dropping-particle":"","parse-names":false,"suffix":""}],"container-title":"Molecular Nutrition &amp; Food Research","id":"ITEM-1","issued":{"date-parts":[["2021","4","22"]]},"page":"2001034","publisher":"John Wiley &amp; Sons, Ltd","title":"Lunasin Peptide is a Modulator of the Immune Response in the Human Gastrointestinal Tract","type":"article-journal"},"uris":["http://www.mendeley.com/documents/?uuid=ef4cbb23-2c82-38be-aed7-66ba1675410f"]}],"mendeley":{"formattedCitation":"[40]","plainTextFormattedCitation":"[40]","previouslyFormattedCitation":"[111]"},"properties":{"noteIndex":0},"schema":"https://github.com/citation-style-language/schema/raw/master/csl-citation.json"}</w:instrText>
      </w:r>
      <w:r>
        <w:rPr>
          <w:rFonts w:ascii="Arial" w:hAnsi="Arial" w:cs="Arial"/>
          <w:color w:val="000000" w:themeColor="text1"/>
        </w:rPr>
        <w:fldChar w:fldCharType="separate"/>
      </w:r>
      <w:r w:rsidRPr="006009F4">
        <w:rPr>
          <w:rFonts w:ascii="Arial" w:hAnsi="Arial" w:cs="Arial"/>
          <w:noProof/>
          <w:color w:val="000000" w:themeColor="text1"/>
          <w:lang w:val="en-US"/>
        </w:rPr>
        <w:t>[40]</w:t>
      </w:r>
      <w:r>
        <w:rPr>
          <w:rFonts w:ascii="Arial" w:hAnsi="Arial" w:cs="Arial"/>
          <w:color w:val="000000" w:themeColor="text1"/>
        </w:rPr>
        <w:fldChar w:fldCharType="end"/>
      </w:r>
      <w:r>
        <w:rPr>
          <w:rFonts w:ascii="Arial" w:hAnsi="Arial" w:cs="Arial"/>
          <w:color w:val="000000" w:themeColor="text1"/>
          <w:lang w:val="en-US"/>
        </w:rPr>
        <w:t>, and interferon-</w:t>
      </w:r>
      <w:r>
        <w:rPr>
          <w:rFonts w:ascii="Arial" w:hAnsi="Arial" w:cs="Arial"/>
          <w:color w:val="000000" w:themeColor="text1"/>
        </w:rPr>
        <w:t>γ</w:t>
      </w:r>
      <w:r>
        <w:rPr>
          <w:rFonts w:ascii="Arial" w:hAnsi="Arial" w:cs="Arial"/>
          <w:color w:val="000000" w:themeColor="text1"/>
          <w:lang w:val="en-US"/>
        </w:rPr>
        <w:t xml:space="preserve"> and granzyme B in natural killer cells </w:t>
      </w:r>
      <w:r>
        <w:rPr>
          <w:rFonts w:ascii="Arial" w:hAnsi="Arial" w:cs="Arial"/>
          <w:color w:val="000000" w:themeColor="text1"/>
        </w:rPr>
        <w:fldChar w:fldCharType="begin" w:fldLock="1"/>
      </w:r>
      <w:r>
        <w:rPr>
          <w:rFonts w:ascii="Arial" w:hAnsi="Arial" w:cs="Arial"/>
          <w:color w:val="000000" w:themeColor="text1"/>
          <w:lang w:val="en-US"/>
        </w:rPr>
        <w:instrText>ADDIN CSL_CITATION {"citationItems":[{"id":"ITEM-1","itemData":{"DOI":"10.1007/s00262-013-1513-8","ISSN":"03407004","PMID":"24363024","abstract":"Immunostimulatory cytokines can enhance anti-tumor immunity and are part of the therapeutic armamentarium for cancer treatment. We have previously reported that post-transplant lymphoma patients have an acquired deficiency of signal transducer and activator of transcription 4, which results in defective IFNγ production during clinical immunotherapy. With the goal of further improving cytokine-based immunotherapy, we examined the effects of a soybean peptide called lunasin that synergistically works with cytokines on natural killer (NK) cells. Peripheral blood mononuclear cells of healthy donors and post-transplant lymphoma patients were stimulated with or without lunasin in the presence of IL-12 or IL-2. NK activation was evaluated, and its tumoricidal activity was assessed using in vitro and in vivo tumor models. Chromatin immunoprecipitation assay was performed to evaluate the histone modification of gene loci that are regulated by lunasin and cytokine. Adding lunasin to IL-12- or IL-2-stimulated NK cells demonstrated synergistic effects in the induction of IFNG and GZMB involved in cytotoxicity. The combination of lunasin and cytokines (IL-12 plus IL-2) was capable of restoring IFNγ production by NK cells from post-transplant lymphoma patients. In addition, NK cells stimulated with lunasin plus cytokines displayed higher tumoricidal activity than those stimulated with cytokines alone using in vitro and in vivo tumor models. The underlying mechanism responsible for the effects of lunasin on NK cells is likely due to epigenetic modulation on target gene loci. Lunasin represents a different class of immune modulating agent that may augment the therapeutic responses mediated by cytokine-based immunotherapy. © 2013 The Author(s).","author":[{"dropping-particle":"","family":"Chang","given":"Hua Chen","non-dropping-particle":"","parse-names":false,"suffix":""},{"dropping-particle":"","family":"Lewis","given":"David","non-dropping-particle":"","parse-names":false,"suffix":""},{"dropping-particle":"","family":"Tung","given":"Chun Yu","non-dropping-particle":"","parse-names":false,"suffix":""},{"dropping-particle":"","family":"Han","given":"Ling","non-dropping-particle":"","parse-names":false,"suffix":""},{"dropping-particle":"","family":"Henriquez","given":"Sarah M.P.","non-dropping-particle":"","parse-names":false,"suffix":""},{"dropping-particle":"","family":"Voiles","given":"Larry","non-dropping-particle":"","parse-names":false,"suffix":""},{"dropping-particle":"","family":"Lupov","given":"Ivan P.","non-dropping-particle":"","parse-names":false,"suffix":""},{"dropping-particle":"","family":"Pelloso","given":"David","non-dropping-particle":"","parse-names":false,"suffix":""},{"dropping-particle":"","family":"Sinn","given":"Anthony L.","non-dropping-particle":"","parse-names":false,"suffix":""},{"dropping-particle":"","family":"Pollok","given":"Karen E.","non-dropping-particle":"","parse-names":false,"suffix":""},{"dropping-particle":"","family":"Lumen","given":"Ben O.","non-dropping-particle":"De","parse-names":false,"suffix":""},{"dropping-particle":"","family":"Li","given":"Fang","non-dropping-particle":"","parse-names":false,"suffix":""},{"dropping-particle":"","family":"Blum","given":"Janice S.","non-dropping-particle":"","parse-names":false,"suffix":""},{"dropping-particle":"","family":"Srivastava","given":"Shivani","non-dropping-particle":"","parse-names":false,"suffix":""},{"dropping-particle":"","family":"Robertson","given":"Michael J.","non-dropping-particle":"","parse-names":false,"suffix":""}],"container-title":"Cancer Immunology, Immunotherapy","id":"ITEM-1","issue":"3","issued":{"date-parts":[["2014","3"]]},"page":"283-295","publisher":"Springer","title":"Soypeptide lunasin in cytokine immunotherapy for lymphoma","type":"article-journal","volume":"63"},"uris":["http://www.mendeley.com/documents/?uuid=dea28f8a-d413-3cb4-a0be-36e90413f172"]}],"mendeley":{"formattedCitation":"[41]","plainTextFormattedCitation":"[41]","previouslyFormattedCitation":"[172]"},"properties":{"noteIndex":0},"schema":"https://github.com/citation-style-language/schema/raw/master/csl-citation.json"}</w:instrText>
      </w:r>
      <w:r>
        <w:rPr>
          <w:rFonts w:ascii="Arial" w:hAnsi="Arial" w:cs="Arial"/>
          <w:color w:val="000000" w:themeColor="text1"/>
        </w:rPr>
        <w:fldChar w:fldCharType="separate"/>
      </w:r>
      <w:r w:rsidRPr="006009F4">
        <w:rPr>
          <w:rFonts w:ascii="Arial" w:hAnsi="Arial" w:cs="Arial"/>
          <w:noProof/>
          <w:color w:val="000000" w:themeColor="text1"/>
          <w:lang w:val="en-US"/>
        </w:rPr>
        <w:t>[41]</w:t>
      </w:r>
      <w:r>
        <w:rPr>
          <w:rFonts w:ascii="Arial" w:hAnsi="Arial" w:cs="Arial"/>
          <w:color w:val="000000" w:themeColor="text1"/>
        </w:rPr>
        <w:fldChar w:fldCharType="end"/>
      </w:r>
      <w:r>
        <w:rPr>
          <w:rFonts w:ascii="Arial" w:hAnsi="Arial" w:cs="Arial"/>
          <w:color w:val="000000" w:themeColor="text1"/>
          <w:lang w:val="en-US"/>
        </w:rPr>
        <w:t>. Our results are the first report demonstrating the upregulation of IL-18 and IL-1</w:t>
      </w:r>
      <w:r>
        <w:rPr>
          <w:rFonts w:ascii="Arial" w:hAnsi="Arial" w:cs="Arial"/>
          <w:color w:val="000000" w:themeColor="text1"/>
        </w:rPr>
        <w:t>β</w:t>
      </w:r>
      <w:r>
        <w:rPr>
          <w:rFonts w:ascii="Arial" w:hAnsi="Arial" w:cs="Arial"/>
          <w:color w:val="000000" w:themeColor="text1"/>
          <w:lang w:val="en-US"/>
        </w:rPr>
        <w:t xml:space="preserve"> in human macrophages. Further investigation is required to corroborate our observations and identify the potential mechanisms that regulate the observed effect over IL-18.  </w:t>
      </w:r>
    </w:p>
    <w:p w14:paraId="17A238B1" w14:textId="5D4A7478" w:rsidR="000D0605" w:rsidRPr="00686E43" w:rsidRDefault="000D0605" w:rsidP="000D0605">
      <w:pPr>
        <w:pStyle w:val="paragraph"/>
        <w:spacing w:before="0" w:beforeAutospacing="0" w:after="0" w:afterAutospacing="0" w:line="480" w:lineRule="auto"/>
        <w:ind w:firstLine="720"/>
        <w:textAlignment w:val="baseline"/>
        <w:rPr>
          <w:rStyle w:val="normaltextrun"/>
          <w:shd w:val="clear" w:color="auto" w:fill="FFFFFF"/>
          <w:lang w:val="en-US"/>
        </w:rPr>
      </w:pPr>
      <w:r>
        <w:rPr>
          <w:rStyle w:val="normaltextrun"/>
          <w:rFonts w:ascii="Arial" w:hAnsi="Arial" w:cs="Arial"/>
          <w:color w:val="000000" w:themeColor="text1"/>
          <w:shd w:val="clear" w:color="auto" w:fill="FFFFFF"/>
          <w:lang w:val="en-US"/>
        </w:rPr>
        <w:t xml:space="preserve">The mechanism of action of lunasin does not involve mitochondrial ROS or a direct inhibitory effect over potassium efflux, but rather the blockade of the </w:t>
      </w:r>
      <w:r w:rsidR="003A7790">
        <w:rPr>
          <w:rStyle w:val="normaltextrun"/>
          <w:rFonts w:ascii="Arial" w:hAnsi="Arial" w:cs="Arial"/>
          <w:color w:val="000000" w:themeColor="text1"/>
          <w:shd w:val="clear" w:color="auto" w:fill="FFFFFF"/>
          <w:lang w:val="en-US"/>
        </w:rPr>
        <w:t xml:space="preserve">NLRP3 inflammasome by reducing the protein levels </w:t>
      </w:r>
      <w:r>
        <w:rPr>
          <w:rStyle w:val="normaltextrun"/>
          <w:rFonts w:ascii="Arial" w:hAnsi="Arial" w:cs="Arial"/>
          <w:color w:val="000000" w:themeColor="text1"/>
          <w:shd w:val="clear" w:color="auto" w:fill="FFFFFF"/>
          <w:lang w:val="en-US"/>
        </w:rPr>
        <w:t xml:space="preserve">of NLRP3. NLRP3 transcriptional regulation is dependent on the NF-κB pathway </w:t>
      </w:r>
      <w:r>
        <w:rPr>
          <w:rStyle w:val="normaltextrun"/>
          <w:rFonts w:ascii="Arial" w:hAnsi="Arial" w:cs="Arial"/>
          <w:color w:val="000000" w:themeColor="text1"/>
          <w:shd w:val="clear" w:color="auto" w:fill="FFFFFF"/>
          <w:lang w:val="en-US"/>
        </w:rPr>
        <w:fldChar w:fldCharType="begin" w:fldLock="1"/>
      </w:r>
      <w:r>
        <w:rPr>
          <w:rStyle w:val="normaltextrun"/>
          <w:rFonts w:ascii="Arial" w:hAnsi="Arial" w:cs="Arial"/>
          <w:color w:val="000000" w:themeColor="text1"/>
          <w:shd w:val="clear" w:color="auto" w:fill="FFFFFF"/>
          <w:lang w:val="en-US"/>
        </w:rPr>
        <w:instrText>ADDIN CSL_CITATION {"citationItems":[{"id":"ITEM-1","itemData":{"DOI":"10.1016/j.biopha.2021.111442","ISSN":"19506007","abstract":"The incidence and prevalence of inflammatory bowel disease (IBD) are increasing worldwide. Current approved medication for IBD treatment in the clinic mainly includes corticosteroids and neutralization antibodies to pro-inflammatory cytokines. However, drug resistance and severe side effect hinder long-term efficacy of these agents. The NOD-like receptor family pyrin domain containing protein 3 (NLRP3) is exclusively expressed in several inflammatory and autoimmune diseases. Excessive expression, aberrant activation, polymorphism, and gain-of-function mutation of the NLRP3 inflammasome contribute to IBD pathogenesis. In this article, we summarize the regulatory factors to NLRP3, and review recently developed NLRP3 inhibitors and their preclinical and clinical applications in treating inflammatory and autoimmune diseases. We present our views on the therapeutic potential of NLRP3 inhibitors as emerging therapeutic avenue for IBD.","author":[{"dropping-particle":"","family":"Chen","given":"Qiu Ling","non-dropping-particle":"","parse-names":false,"suffix":""},{"dropping-particle":"","family":"Yin","given":"Hao Ran","non-dropping-particle":"","parse-names":false,"suffix":""},{"dropping-particle":"","family":"He","given":"Qing Yu","non-dropping-particle":"","parse-names":false,"suffix":""},{"dropping-particle":"","family":"Wang","given":"Ying","non-dropping-particle":"","parse-names":false,"suffix":""}],"container-title":"Biomedicine and Pharmacotherapy","id":"ITEM-1","issued":{"date-parts":[["2021","6","1"]]},"page":"111442","publisher":"Elsevier Masson s.r.l.","title":"Targeting the NLRP3 inflammasome as new therapeutic avenue for inflammatory bowel disease","type":"article-journal","volume":"138"},"uris":["http://www.mendeley.com/documents/?uuid=5bb4f601-53b5-3b3d-ba6d-62fbfb081c80"]}],"mendeley":{"formattedCitation":"[18]","plainTextFormattedCitation":"[18]","previouslyFormattedCitation":"[42]"},"properties":{"noteIndex":0},"schema":"https://github.com/citation-style-language/schema/raw/master/csl-citation.json"}</w:instrText>
      </w:r>
      <w:r>
        <w:rPr>
          <w:rStyle w:val="normaltextrun"/>
          <w:rFonts w:ascii="Arial" w:hAnsi="Arial" w:cs="Arial"/>
          <w:color w:val="000000" w:themeColor="text1"/>
          <w:shd w:val="clear" w:color="auto" w:fill="FFFFFF"/>
          <w:lang w:val="en-US"/>
        </w:rPr>
        <w:fldChar w:fldCharType="separate"/>
      </w:r>
      <w:r w:rsidRPr="006009F4">
        <w:rPr>
          <w:rStyle w:val="normaltextrun"/>
          <w:rFonts w:ascii="Arial" w:hAnsi="Arial" w:cs="Arial"/>
          <w:noProof/>
          <w:color w:val="000000" w:themeColor="text1"/>
          <w:shd w:val="clear" w:color="auto" w:fill="FFFFFF"/>
          <w:lang w:val="en-US"/>
        </w:rPr>
        <w:t>[18]</w:t>
      </w:r>
      <w:r>
        <w:rPr>
          <w:rStyle w:val="normaltextrun"/>
          <w:rFonts w:ascii="Arial" w:hAnsi="Arial" w:cs="Arial"/>
          <w:color w:val="000000" w:themeColor="text1"/>
          <w:shd w:val="clear" w:color="auto" w:fill="FFFFFF"/>
          <w:lang w:val="en-US"/>
        </w:rPr>
        <w:fldChar w:fldCharType="end"/>
      </w:r>
      <w:r>
        <w:rPr>
          <w:rStyle w:val="normaltextrun"/>
          <w:rFonts w:ascii="Arial" w:hAnsi="Arial" w:cs="Arial"/>
          <w:color w:val="000000" w:themeColor="text1"/>
          <w:shd w:val="clear" w:color="auto" w:fill="FFFFFF"/>
          <w:lang w:val="en-US"/>
        </w:rPr>
        <w:t>. NF-κB</w:t>
      </w:r>
      <w:r w:rsidR="001976C1">
        <w:rPr>
          <w:rStyle w:val="normaltextrun"/>
          <w:rFonts w:ascii="Arial" w:hAnsi="Arial" w:cs="Arial"/>
          <w:color w:val="000000" w:themeColor="text1"/>
          <w:shd w:val="clear" w:color="auto" w:fill="FFFFFF"/>
          <w:lang w:val="en-US"/>
        </w:rPr>
        <w:t>,</w:t>
      </w:r>
      <w:r>
        <w:rPr>
          <w:rStyle w:val="normaltextrun"/>
          <w:rFonts w:ascii="Arial" w:hAnsi="Arial" w:cs="Arial"/>
          <w:color w:val="000000" w:themeColor="text1"/>
          <w:shd w:val="clear" w:color="auto" w:fill="FFFFFF"/>
          <w:lang w:val="en-US"/>
        </w:rPr>
        <w:t xml:space="preserve"> one of the most important regulators of proinflammatory gene expression</w:t>
      </w:r>
      <w:r w:rsidR="001976C1">
        <w:rPr>
          <w:rStyle w:val="normaltextrun"/>
          <w:rFonts w:ascii="Arial" w:hAnsi="Arial" w:cs="Arial"/>
          <w:color w:val="000000" w:themeColor="text1"/>
          <w:shd w:val="clear" w:color="auto" w:fill="FFFFFF"/>
          <w:lang w:val="en-US"/>
        </w:rPr>
        <w:t>,</w:t>
      </w:r>
      <w:r>
        <w:rPr>
          <w:rStyle w:val="normaltextrun"/>
          <w:rFonts w:ascii="Arial" w:hAnsi="Arial" w:cs="Arial"/>
          <w:color w:val="000000" w:themeColor="text1"/>
          <w:shd w:val="clear" w:color="auto" w:fill="FFFFFF"/>
          <w:lang w:val="en-US"/>
        </w:rPr>
        <w:t xml:space="preserve"> control</w:t>
      </w:r>
      <w:r w:rsidR="001976C1">
        <w:rPr>
          <w:rStyle w:val="normaltextrun"/>
          <w:rFonts w:ascii="Arial" w:hAnsi="Arial" w:cs="Arial"/>
          <w:color w:val="000000" w:themeColor="text1"/>
          <w:shd w:val="clear" w:color="auto" w:fill="FFFFFF"/>
          <w:lang w:val="en-US"/>
        </w:rPr>
        <w:t>s</w:t>
      </w:r>
      <w:r>
        <w:rPr>
          <w:rStyle w:val="normaltextrun"/>
          <w:rFonts w:ascii="Arial" w:hAnsi="Arial" w:cs="Arial"/>
          <w:color w:val="000000" w:themeColor="text1"/>
          <w:shd w:val="clear" w:color="auto" w:fill="FFFFFF"/>
          <w:lang w:val="en-US"/>
        </w:rPr>
        <w:t xml:space="preserve"> the synthesis of TNF-α, IL-6, IL-1β, and IL-8, and the expression of COX-2, among others, upon activation by pro-inflammatory signals such as PAMPs and pro-</w:t>
      </w:r>
      <w:r>
        <w:rPr>
          <w:rStyle w:val="normaltextrun"/>
          <w:rFonts w:ascii="Arial" w:hAnsi="Arial" w:cs="Arial"/>
          <w:color w:val="000000" w:themeColor="text1"/>
          <w:shd w:val="clear" w:color="auto" w:fill="FFFFFF"/>
          <w:lang w:val="en-US"/>
        </w:rPr>
        <w:lastRenderedPageBreak/>
        <w:t xml:space="preserve">inflammatory cytokines </w:t>
      </w:r>
      <w:r>
        <w:rPr>
          <w:rStyle w:val="normaltextrun"/>
          <w:rFonts w:ascii="Arial" w:hAnsi="Arial" w:cs="Arial"/>
          <w:color w:val="000000" w:themeColor="text1"/>
          <w:shd w:val="clear" w:color="auto" w:fill="FFFFFF"/>
          <w:lang w:val="en-US"/>
        </w:rPr>
        <w:fldChar w:fldCharType="begin" w:fldLock="1"/>
      </w:r>
      <w:r>
        <w:rPr>
          <w:rStyle w:val="normaltextrun"/>
          <w:rFonts w:ascii="Arial" w:hAnsi="Arial" w:cs="Arial"/>
          <w:color w:val="000000" w:themeColor="text1"/>
          <w:shd w:val="clear" w:color="auto" w:fill="FFFFFF"/>
          <w:lang w:val="en-US"/>
        </w:rPr>
        <w:instrText>ADDIN CSL_CITATION {"citationItems":[{"id":"ITEM-1","itemData":{"DOI":"10.1172/JCI11830","ISSN":"00219738","PMID":"11134171","author":[{"dropping-particle":"","family":"Tak","given":"Paul P.","non-dropping-particle":"","parse-names":false,"suffix":""},{"dropping-particle":"","family":"Firestein","given":"Gary S.","non-dropping-particle":"","parse-names":false,"suffix":""}],"container-title":"Journal of Clinical Investigation","id":"ITEM-1","issue":"1","issued":{"date-parts":[["2001","1","1"]]},"page":"7-11","publisher":"The American Society for Clinical Investigation","title":"NF-κB: A key role in inflammatory diseases","type":"article","volume":"107"},"uris":["http://www.mendeley.com/documents/?uuid=11360f1e-b504-320b-959f-576cdd35b3dc"]}],"mendeley":{"formattedCitation":"[42]","plainTextFormattedCitation":"[42]","previouslyFormattedCitation":"[173]"},"properties":{"noteIndex":0},"schema":"https://github.com/citation-style-language/schema/raw/master/csl-citation.json"}</w:instrText>
      </w:r>
      <w:r>
        <w:rPr>
          <w:rStyle w:val="normaltextrun"/>
          <w:rFonts w:ascii="Arial" w:hAnsi="Arial" w:cs="Arial"/>
          <w:color w:val="000000" w:themeColor="text1"/>
          <w:shd w:val="clear" w:color="auto" w:fill="FFFFFF"/>
          <w:lang w:val="en-US"/>
        </w:rPr>
        <w:fldChar w:fldCharType="separate"/>
      </w:r>
      <w:r w:rsidRPr="006009F4">
        <w:rPr>
          <w:rStyle w:val="normaltextrun"/>
          <w:rFonts w:ascii="Arial" w:hAnsi="Arial" w:cs="Arial"/>
          <w:noProof/>
          <w:color w:val="000000" w:themeColor="text1"/>
          <w:shd w:val="clear" w:color="auto" w:fill="FFFFFF"/>
          <w:lang w:val="en-US"/>
        </w:rPr>
        <w:t>[42]</w:t>
      </w:r>
      <w:r>
        <w:rPr>
          <w:rStyle w:val="normaltextrun"/>
          <w:rFonts w:ascii="Arial" w:hAnsi="Arial" w:cs="Arial"/>
          <w:color w:val="000000" w:themeColor="text1"/>
          <w:shd w:val="clear" w:color="auto" w:fill="FFFFFF"/>
          <w:lang w:val="en-US"/>
        </w:rPr>
        <w:fldChar w:fldCharType="end"/>
      </w:r>
      <w:r>
        <w:rPr>
          <w:rStyle w:val="normaltextrun"/>
          <w:rFonts w:ascii="Arial" w:hAnsi="Arial" w:cs="Arial"/>
          <w:color w:val="000000" w:themeColor="text1"/>
          <w:shd w:val="clear" w:color="auto" w:fill="FFFFFF"/>
          <w:lang w:val="en-US"/>
        </w:rPr>
        <w:t>. Treatment of RAW 264.7 LPS-activated macrophage</w:t>
      </w:r>
      <w:r w:rsidR="001976C1">
        <w:rPr>
          <w:rStyle w:val="normaltextrun"/>
          <w:rFonts w:ascii="Arial" w:hAnsi="Arial" w:cs="Arial"/>
          <w:color w:val="000000" w:themeColor="text1"/>
          <w:shd w:val="clear" w:color="auto" w:fill="FFFFFF"/>
          <w:lang w:val="en-US"/>
        </w:rPr>
        <w:t>s</w:t>
      </w:r>
      <w:r>
        <w:rPr>
          <w:rStyle w:val="normaltextrun"/>
          <w:rFonts w:ascii="Arial" w:hAnsi="Arial" w:cs="Arial"/>
          <w:color w:val="000000" w:themeColor="text1"/>
          <w:shd w:val="clear" w:color="auto" w:fill="FFFFFF"/>
          <w:lang w:val="en-US"/>
        </w:rPr>
        <w:t xml:space="preserve"> with lunasin reduced the activation of NF-κB by inhibiting the translocation of p50 and p65 subunits of NF- κB to the nucleus, impacting its transcriptional activity </w:t>
      </w:r>
      <w:r>
        <w:rPr>
          <w:rStyle w:val="normaltextrun"/>
          <w:rFonts w:ascii="Arial" w:hAnsi="Arial" w:cs="Arial"/>
          <w:color w:val="000000" w:themeColor="text1"/>
          <w:shd w:val="clear" w:color="auto" w:fill="FFFFFF"/>
          <w:lang w:val="en-US"/>
        </w:rPr>
        <w:fldChar w:fldCharType="begin" w:fldLock="1"/>
      </w:r>
      <w:r>
        <w:rPr>
          <w:rStyle w:val="normaltextrun"/>
          <w:rFonts w:ascii="Arial" w:hAnsi="Arial" w:cs="Arial"/>
          <w:color w:val="000000" w:themeColor="text1"/>
          <w:shd w:val="clear" w:color="auto" w:fill="FFFFFF"/>
          <w:lang w:val="en-US"/>
        </w:rPr>
        <w:instrText>ADDIN CSL_CITATION {"citationItems":[{"id":"ITEM-1","itemData":{"DOI":"10.1016/j.peptides.2009.08.005","ISBN":"1873-5169 (Electronic)\\r0196-9781 (Linking)","ISSN":"01969781","PMID":"19682518","abstract":"Inflammation is part of the host defense mechanism against harmful matters and injury; however, aberrant inflammation is associated to the development of chronic diseases such as cancer. Lunasin is a novel peptide that demonstrates potential anticancer activity against mammalian cancer cell lines and may play a role in inflammation. The objective of this study was to determine the mechanism of action by which lunasin and lunasin-like peptides exert their anti-inflammatory properties using RAW 264.7 macrophage cell line as an in vitro model. We purified three peptides (5, 8, and 14 kDa) from defatted soybean flour with a positive immunoreactivity towards lunasin mouse monoclonal antibody. Treatment with these peptides (10-50 μM) resulted in the inhibition of pro-inflammatory markers in lipopolysaccharide (LPS)-induced RAW 264.7 macrophages. The 5 kDa peptide inhibited most potently pro-inflammatory markers including interleukin-6 production (IC50= 2 μM), interleukin-1β production (IC50= 13 μM), nuclear factor-kappa B (NF-κB) transactivation (IC50= 21 μM), cyclooxygenase-2 expression (IC50= 25 μM), nitric oxide production (IC50= 28 μM), inducible nitric oxide synthase expression (IC50= 37 μM), prostaglandin E2production (IC50= 41 μM), p65 nuclear translocation (IC50= 48 μM) and p50 nuclear translocation (IC50= 77 μM). In conclusion, lunasin and lunasin-like peptides purified from defatted soybean flour inhibited inflammation in LPS-induced RAW 264.7 macrophage by suppressing NF-κB pathway. © 2009 Elsevier Inc. All rights reserved.","author":[{"dropping-particle":"","family":"Mejia","given":"Elvira Gonzalez","non-dropping-particle":"de","parse-names":false,"suffix":""},{"dropping-particle":"","family":"Dia","given":"Vermont P.","non-dropping-particle":"","parse-names":false,"suffix":""}],"container-title":"Peptides","id":"ITEM-1","issue":"12","issued":{"date-parts":[["2009","12","1"]]},"page":"2388-2398","publisher":"Elsevier","title":"Lunasin and lunasin-like peptides inhibit inflammation through suppression of NF-κB pathway in the macrophage","type":"article-journal","volume":"30"},"uris":["http://www.mendeley.com/documents/?uuid=811f21ac-c252-4781-864f-b957571597b7"]}],"mendeley":{"formattedCitation":"[43]","plainTextFormattedCitation":"[43]","previouslyFormattedCitation":"[92]"},"properties":{"noteIndex":0},"schema":"https://github.com/citation-style-language/schema/raw/master/csl-citation.json"}</w:instrText>
      </w:r>
      <w:r>
        <w:rPr>
          <w:rStyle w:val="normaltextrun"/>
          <w:rFonts w:ascii="Arial" w:hAnsi="Arial" w:cs="Arial"/>
          <w:color w:val="000000" w:themeColor="text1"/>
          <w:shd w:val="clear" w:color="auto" w:fill="FFFFFF"/>
          <w:lang w:val="en-US"/>
        </w:rPr>
        <w:fldChar w:fldCharType="separate"/>
      </w:r>
      <w:r w:rsidRPr="006009F4">
        <w:rPr>
          <w:rStyle w:val="normaltextrun"/>
          <w:rFonts w:ascii="Arial" w:hAnsi="Arial" w:cs="Arial"/>
          <w:noProof/>
          <w:color w:val="000000" w:themeColor="text1"/>
          <w:shd w:val="clear" w:color="auto" w:fill="FFFFFF"/>
          <w:lang w:val="en-US"/>
        </w:rPr>
        <w:t>[43]</w:t>
      </w:r>
      <w:r>
        <w:rPr>
          <w:rStyle w:val="normaltextrun"/>
          <w:rFonts w:ascii="Arial" w:hAnsi="Arial" w:cs="Arial"/>
          <w:color w:val="000000" w:themeColor="text1"/>
          <w:shd w:val="clear" w:color="auto" w:fill="FFFFFF"/>
          <w:lang w:val="en-US"/>
        </w:rPr>
        <w:fldChar w:fldCharType="end"/>
      </w:r>
      <w:r>
        <w:rPr>
          <w:rStyle w:val="normaltextrun"/>
          <w:rFonts w:ascii="Arial" w:hAnsi="Arial" w:cs="Arial"/>
          <w:color w:val="000000" w:themeColor="text1"/>
          <w:shd w:val="clear" w:color="auto" w:fill="FFFFFF"/>
          <w:lang w:val="en-US"/>
        </w:rPr>
        <w:t xml:space="preserve">. Therefore, it is highly probable that inhibition of the NF-kB transcriptional activity is responsible not only for the observed decreased </w:t>
      </w:r>
      <w:r w:rsidR="00B22AEC">
        <w:rPr>
          <w:rStyle w:val="normaltextrun"/>
          <w:rFonts w:ascii="Arial" w:hAnsi="Arial" w:cs="Arial"/>
          <w:color w:val="000000" w:themeColor="text1"/>
          <w:shd w:val="clear" w:color="auto" w:fill="FFFFFF"/>
          <w:lang w:val="en-US"/>
        </w:rPr>
        <w:t xml:space="preserve">protein levels </w:t>
      </w:r>
      <w:r>
        <w:rPr>
          <w:rStyle w:val="normaltextrun"/>
          <w:rFonts w:ascii="Arial" w:hAnsi="Arial" w:cs="Arial"/>
          <w:color w:val="000000" w:themeColor="text1"/>
          <w:shd w:val="clear" w:color="auto" w:fill="FFFFFF"/>
          <w:lang w:val="en-US"/>
        </w:rPr>
        <w:t xml:space="preserve">of NLRP3 </w:t>
      </w:r>
      <w:r>
        <w:rPr>
          <w:rStyle w:val="normaltextrun"/>
          <w:rFonts w:ascii="Arial" w:hAnsi="Arial" w:cs="Arial"/>
          <w:i/>
          <w:iCs/>
          <w:color w:val="000000" w:themeColor="text1"/>
          <w:shd w:val="clear" w:color="auto" w:fill="FFFFFF"/>
          <w:lang w:val="en-US"/>
        </w:rPr>
        <w:t>in vitro</w:t>
      </w:r>
      <w:r>
        <w:rPr>
          <w:rStyle w:val="normaltextrun"/>
          <w:rFonts w:ascii="Arial" w:hAnsi="Arial" w:cs="Arial"/>
          <w:color w:val="000000" w:themeColor="text1"/>
          <w:shd w:val="clear" w:color="auto" w:fill="FFFFFF"/>
          <w:lang w:val="en-US"/>
        </w:rPr>
        <w:t xml:space="preserve"> but the reduced levels of TNF-α and IL-6 </w:t>
      </w:r>
      <w:r>
        <w:rPr>
          <w:rStyle w:val="normaltextrun"/>
          <w:rFonts w:ascii="Arial" w:hAnsi="Arial" w:cs="Arial"/>
          <w:i/>
          <w:iCs/>
          <w:color w:val="000000" w:themeColor="text1"/>
          <w:shd w:val="clear" w:color="auto" w:fill="FFFFFF"/>
          <w:lang w:val="en-US"/>
        </w:rPr>
        <w:t>in vivo</w:t>
      </w:r>
      <w:r>
        <w:rPr>
          <w:rStyle w:val="normaltextrun"/>
          <w:rFonts w:ascii="Arial" w:hAnsi="Arial" w:cs="Arial"/>
          <w:color w:val="000000" w:themeColor="text1"/>
          <w:shd w:val="clear" w:color="auto" w:fill="FFFFFF"/>
          <w:lang w:val="en-US"/>
        </w:rPr>
        <w:t xml:space="preserve">. Our observations suggest that the effect of lunasin is not limited to the </w:t>
      </w:r>
      <w:r w:rsidR="00B22AEC">
        <w:rPr>
          <w:rStyle w:val="normaltextrun"/>
          <w:rFonts w:ascii="Arial" w:hAnsi="Arial" w:cs="Arial"/>
          <w:color w:val="000000" w:themeColor="text1"/>
          <w:shd w:val="clear" w:color="auto" w:fill="FFFFFF"/>
          <w:lang w:val="en-US"/>
        </w:rPr>
        <w:t xml:space="preserve">downregulation </w:t>
      </w:r>
      <w:r>
        <w:rPr>
          <w:rStyle w:val="normaltextrun"/>
          <w:rFonts w:ascii="Arial" w:hAnsi="Arial" w:cs="Arial"/>
          <w:color w:val="000000" w:themeColor="text1"/>
          <w:shd w:val="clear" w:color="auto" w:fill="FFFFFF"/>
          <w:lang w:val="en-US"/>
        </w:rPr>
        <w:t xml:space="preserve">of NLRP3 during the priming phase but is rather more important during the activation phase. Upon activation, the release of mature IL-1β serves as a sustained and rising priming signal that continuously triggers the NF-kB pathway, leading to the transcription </w:t>
      </w:r>
      <w:r w:rsidR="00B22AEC">
        <w:rPr>
          <w:rStyle w:val="normaltextrun"/>
          <w:rFonts w:ascii="Arial" w:hAnsi="Arial" w:cs="Arial"/>
          <w:color w:val="000000" w:themeColor="text1"/>
          <w:shd w:val="clear" w:color="auto" w:fill="FFFFFF"/>
          <w:lang w:val="en-US"/>
        </w:rPr>
        <w:t>of</w:t>
      </w:r>
      <w:r>
        <w:rPr>
          <w:rStyle w:val="normaltextrun"/>
          <w:rFonts w:ascii="Arial" w:hAnsi="Arial" w:cs="Arial"/>
          <w:color w:val="000000" w:themeColor="text1"/>
          <w:shd w:val="clear" w:color="auto" w:fill="FFFFFF"/>
          <w:lang w:val="en-US"/>
        </w:rPr>
        <w:t xml:space="preserve"> NLRP3 and pro-IL-1β, which are then activated and contribute to the progressive amplification of inflammation. The inhibitory activity of lunasin over NLRP3 appears to significantly diminish this feedback amplifying loop. It is essential to note that in contrast to NLRP3 and pro-IL-1β that are transcriptionally regulated by NF-κB, pro-IL-18 is constitutively expressed in nearly all cells in humans and animals, including endothelial cells, keratinocytes, and intestinal epithelial cells, but the active form is mostly released from macrophage and dendritic cells </w:t>
      </w:r>
      <w:r>
        <w:rPr>
          <w:rStyle w:val="normaltextrun"/>
          <w:rFonts w:ascii="Arial" w:hAnsi="Arial" w:cs="Arial"/>
          <w:color w:val="000000" w:themeColor="text1"/>
          <w:shd w:val="clear" w:color="auto" w:fill="FFFFFF"/>
          <w:lang w:val="en-US"/>
        </w:rPr>
        <w:fldChar w:fldCharType="begin" w:fldLock="1"/>
      </w:r>
      <w:r>
        <w:rPr>
          <w:rStyle w:val="normaltextrun"/>
          <w:rFonts w:ascii="Arial" w:hAnsi="Arial" w:cs="Arial"/>
          <w:color w:val="000000" w:themeColor="text1"/>
          <w:shd w:val="clear" w:color="auto" w:fill="FFFFFF"/>
          <w:lang w:val="en-US"/>
        </w:rPr>
        <w:instrText>ADDIN CSL_CITATION {"citationItems":[{"id":"ITEM-1","itemData":{"DOI":"10.3389/FIMMU.2013.00289","ISSN":"1664-3224","abstract":"Interleukin-18 (IL 18) is a member of the IL 1 family of cytokines. Increasing reports have expanded the role of IL 18 in mediating inflammation in animal models of disease using IL 18 deficient mice, neutralization of IL 18 or deficiency in the IL 18 receptor alpha chain. Similar to IL 1β, IL 18 is synthesized as an inactive precursor requiering processing by caspase 1 into an active cytokine but unlike IL 1β, the IL 18 precursor is constitutively present in nearly all cells in healthy humans and animals. The activity of IL 18 is balanced by the presence of a high-affinity naturally occuring IL 18 binding protein (IL 18BP). In humans, disease increased disease severity can be associated with an imbalance of IL 18 to IL 18BP such that the levels of free IL 18 are elevated in the circulation. A role for IL 18 has been implicated in several autoimmune diseases, myocardial function, emphysema, metabolic syndromes, psoriasis, inflammatory bowel disease, hemophagocytic syndromes, macrophage activation syndrome, sepsis and acute kidney injury, although in some diseases, IL 18 is protective. IL 18 plays a major role in the production of interferon-g from natural killer cells. The IL 18BP has been used safely in humans and clinical trials of IL 18BP as well as neutralizing anti-IL 18 antibodies are in clinical trials. This review updates the biology of IL 18 as well as its role in human disease","author":[{"dropping-particle":"","family":"Dinarello","given":"Charles","non-dropping-particle":"","parse-names":false,"suffix":""},{"dropping-particle":"","family":"Novick","given":"Daniela","non-dropping-particle":"","parse-names":false,"suffix":""},{"dropping-particle":"","family":"Kim","given":"SooHun","non-dropping-particle":"","parse-names":false,"suffix":""},{"dropping-particle":"","family":"Kaplanski","given":"Gilles","non-dropping-particle":"","parse-names":false,"suffix":""}],"container-title":"Frontiers in Immunology","id":"ITEM-1","issued":{"date-parts":[["2013","10","8"]]},"page":"289","publisher":"Frontiers","title":"Interleukin-18 and IL-18 Binding Protein","type":"article-journal","volume":"4"},"uris":["http://www.mendeley.com/documents/?uuid=afbaaf35-60b3-35b5-b93e-93d39cb49946"]}],"mendeley":{"formattedCitation":"[44]","plainTextFormattedCitation":"[44]","previouslyFormattedCitation":"[174]"},"properties":{"noteIndex":0},"schema":"https://github.com/citation-style-language/schema/raw/master/csl-citation.json"}</w:instrText>
      </w:r>
      <w:r>
        <w:rPr>
          <w:rStyle w:val="normaltextrun"/>
          <w:rFonts w:ascii="Arial" w:hAnsi="Arial" w:cs="Arial"/>
          <w:color w:val="000000" w:themeColor="text1"/>
          <w:shd w:val="clear" w:color="auto" w:fill="FFFFFF"/>
          <w:lang w:val="en-US"/>
        </w:rPr>
        <w:fldChar w:fldCharType="separate"/>
      </w:r>
      <w:r w:rsidRPr="006009F4">
        <w:rPr>
          <w:rStyle w:val="normaltextrun"/>
          <w:rFonts w:ascii="Arial" w:hAnsi="Arial" w:cs="Arial"/>
          <w:noProof/>
          <w:color w:val="000000" w:themeColor="text1"/>
          <w:shd w:val="clear" w:color="auto" w:fill="FFFFFF"/>
          <w:lang w:val="en-US"/>
        </w:rPr>
        <w:t>[44]</w:t>
      </w:r>
      <w:r>
        <w:rPr>
          <w:rStyle w:val="normaltextrun"/>
          <w:rFonts w:ascii="Arial" w:hAnsi="Arial" w:cs="Arial"/>
          <w:color w:val="000000" w:themeColor="text1"/>
          <w:shd w:val="clear" w:color="auto" w:fill="FFFFFF"/>
          <w:lang w:val="en-US"/>
        </w:rPr>
        <w:fldChar w:fldCharType="end"/>
      </w:r>
      <w:r>
        <w:rPr>
          <w:rStyle w:val="normaltextrun"/>
          <w:rFonts w:ascii="Arial" w:hAnsi="Arial" w:cs="Arial"/>
          <w:color w:val="000000" w:themeColor="text1"/>
          <w:shd w:val="clear" w:color="auto" w:fill="FFFFFF"/>
          <w:lang w:val="en-US"/>
        </w:rPr>
        <w:t>.</w:t>
      </w:r>
    </w:p>
    <w:p w14:paraId="6781AF57" w14:textId="77777777" w:rsidR="000D0605" w:rsidRDefault="000D0605" w:rsidP="000D0605">
      <w:pPr>
        <w:spacing w:line="480" w:lineRule="auto"/>
        <w:ind w:firstLine="720"/>
        <w:rPr>
          <w:rStyle w:val="normaltextrun"/>
          <w:color w:val="000000" w:themeColor="text1"/>
          <w:shd w:val="clear" w:color="auto" w:fill="FFFFFF"/>
        </w:rPr>
      </w:pPr>
      <w:r>
        <w:rPr>
          <w:rStyle w:val="normaltextrun"/>
          <w:color w:val="000000" w:themeColor="text1"/>
        </w:rPr>
        <w:t xml:space="preserve">The NLRP3 inflammasome responds to a wide variety of intracellular stimuli such as pore-forming toxins from gram-positive and gram-negative bacteria, RNA and DNA viruses, and yeasts, indicators of damage such as ATP, monosodium urate crystals, amyloid-β aggregates, and particulate matter such </w:t>
      </w:r>
      <w:r>
        <w:rPr>
          <w:rStyle w:val="normaltextrun"/>
          <w:color w:val="000000" w:themeColor="text1"/>
        </w:rPr>
        <w:lastRenderedPageBreak/>
        <w:t xml:space="preserve">as silica, alum, and asbestos </w:t>
      </w:r>
      <w:r>
        <w:rPr>
          <w:rStyle w:val="normaltextrun"/>
          <w:color w:val="000000" w:themeColor="text1"/>
        </w:rPr>
        <w:fldChar w:fldCharType="begin" w:fldLock="1"/>
      </w:r>
      <w:r>
        <w:rPr>
          <w:rStyle w:val="normaltextrun"/>
          <w:color w:val="000000" w:themeColor="text1"/>
        </w:rPr>
        <w:instrText>ADDIN CSL_CITATION {"citationItems":[{"id":"ITEM-1","itemData":{"DOI":"10.1016/j.cub.2016.02.019","ISSN":"09609822","PMID":"27404251","abstract":"Injury and physical trauma may inflict accidental cell death, but we have come to realize during the past four decades that cells may also actively engage cell death when needed. These regulated cell death forms are intrinsically connected with human embryonic development, homeostatic maintenance and disease pathology. For instance, the human body is composed of approximately 1014 cells, millions of which are removed daily by apoptosis and replaced with newly differentiated cells in order to secure organ functionality. Apoptotic cells are orderly packed in ‘apoptotic bodies’ for uptake by neighboring cells and professional phagocytes, thereby avoiding deleterious inflammatory responses by circulating leukocytes. Unlike apoptosis, however, more recently identified forms of regulated cell death — such as necroptosis and pyroptosis — are characterized by an early breach of the plasma membrane integrity, which results in extracellular spilling of the intracellular contents. Here, we will describe and discuss this and other features of pyroptosis.","author":[{"dropping-particle":"","family":"Walle","given":"Lieselotte","non-dropping-particle":"Vande","parse-names":false,"suffix":""},{"dropping-particle":"","family":"Lamkanfi","given":"Mohamed","non-dropping-particle":"","parse-names":false,"suffix":""}],"container-title":"Current Biology","id":"ITEM-1","issue":"13","issued":{"date-parts":[["2016","7","11"]]},"page":"R568-R572","publisher":"Cell Press","title":"Pyroptosis","type":"article","volume":"26"},"uris":["http://www.mendeley.com/documents/?uuid=3b43e0b8-cad6-39dd-82df-acf64186f50b"]}],"mendeley":{"formattedCitation":"[30]","plainTextFormattedCitation":"[30]","previouslyFormattedCitation":"[164]"},"properties":{"noteIndex":0},"schema":"https://github.com/citation-style-language/schema/raw/master/csl-citation.json"}</w:instrText>
      </w:r>
      <w:r>
        <w:rPr>
          <w:rStyle w:val="normaltextrun"/>
          <w:color w:val="000000" w:themeColor="text1"/>
        </w:rPr>
        <w:fldChar w:fldCharType="separate"/>
      </w:r>
      <w:r w:rsidRPr="006009F4">
        <w:rPr>
          <w:rStyle w:val="normaltextrun"/>
          <w:noProof/>
          <w:color w:val="000000" w:themeColor="text1"/>
        </w:rPr>
        <w:t>[30]</w:t>
      </w:r>
      <w:r>
        <w:rPr>
          <w:rStyle w:val="normaltextrun"/>
          <w:color w:val="000000" w:themeColor="text1"/>
        </w:rPr>
        <w:fldChar w:fldCharType="end"/>
      </w:r>
      <w:r>
        <w:rPr>
          <w:rStyle w:val="normaltextrun"/>
          <w:color w:val="000000" w:themeColor="text1"/>
        </w:rPr>
        <w:t xml:space="preserve">. Also </w:t>
      </w:r>
      <w:r>
        <w:rPr>
          <w:color w:val="000000" w:themeColor="text1"/>
        </w:rPr>
        <w:t xml:space="preserve">It has been reported that “non-canonical” activation of the NLRP3 inflammasome is mediated by the direct sensing of cytosolic LPS by caspase-11 in mice, and its human orthologs caspases 4/5 </w:t>
      </w:r>
      <w:r>
        <w:rPr>
          <w:color w:val="000000" w:themeColor="text1"/>
        </w:rPr>
        <w:fldChar w:fldCharType="begin" w:fldLock="1"/>
      </w:r>
      <w:r>
        <w:rPr>
          <w:color w:val="000000" w:themeColor="text1"/>
        </w:rPr>
        <w:instrText>ADDIN CSL_CITATION {"citationItems":[{"id":"ITEM-1","itemData":{"DOI":"10.1016/j.cub.2016.02.019","ISSN":"09609822","PMID":"27404251","abstract":"Injury and physical trauma may inflict accidental cell death, but we have come to realize during the past four decades that cells may also actively engage cell death when needed. These regulated cell death forms are intrinsically connected with human embryonic development, homeostatic maintenance and disease pathology. For instance, the human body is composed of approximately 1014 cells, millions of which are removed daily by apoptosis and replaced with newly differentiated cells in order to secure organ functionality. Apoptotic cells are orderly packed in ‘apoptotic bodies’ for uptake by neighboring cells and professional phagocytes, thereby avoiding deleterious inflammatory responses by circulating leukocytes. Unlike apoptosis, however, more recently identified forms of regulated cell death — such as necroptosis and pyroptosis — are characterized by an early breach of the plasma membrane integrity, which results in extracellular spilling of the intracellular contents. Here, we will describe and discuss this and other features of pyroptosis.","author":[{"dropping-particle":"","family":"Walle","given":"Lieselotte","non-dropping-particle":"Vande","parse-names":false,"suffix":""},{"dropping-particle":"","family":"Lamkanfi","given":"Mohamed","non-dropping-particle":"","parse-names":false,"suffix":""}],"container-title":"Current Biology","id":"ITEM-1","issue":"13","issued":{"date-parts":[["2016","7","11"]]},"page":"R568-R572","publisher":"Cell Press","title":"Pyroptosis","type":"article","volume":"26"},"uris":["http://www.mendeley.com/documents/?uuid=3b43e0b8-cad6-39dd-82df-acf64186f50b"]}],"mendeley":{"formattedCitation":"[30]","plainTextFormattedCitation":"[30]","previouslyFormattedCitation":"[164]"},"properties":{"noteIndex":0},"schema":"https://github.com/citation-style-language/schema/raw/master/csl-citation.json"}</w:instrText>
      </w:r>
      <w:r>
        <w:rPr>
          <w:color w:val="000000" w:themeColor="text1"/>
        </w:rPr>
        <w:fldChar w:fldCharType="separate"/>
      </w:r>
      <w:r w:rsidRPr="006009F4">
        <w:rPr>
          <w:noProof/>
          <w:color w:val="000000" w:themeColor="text1"/>
        </w:rPr>
        <w:t>[30]</w:t>
      </w:r>
      <w:r>
        <w:rPr>
          <w:color w:val="000000" w:themeColor="text1"/>
        </w:rPr>
        <w:fldChar w:fldCharType="end"/>
      </w:r>
      <w:r>
        <w:rPr>
          <w:color w:val="000000" w:themeColor="text1"/>
        </w:rPr>
        <w:t xml:space="preserve">, which explains the increased levels of IL-1β and IL-18 observed during the priming phase without further activation stimuli. </w:t>
      </w:r>
      <w:r>
        <w:rPr>
          <w:rStyle w:val="normaltextrun"/>
          <w:color w:val="000000" w:themeColor="text1"/>
        </w:rPr>
        <w:t xml:space="preserve">Aberrant expression and activation of the NLRP3 inflammasome due to polymorphism, gain of function mutation, and constant exposure to agonist stimuli have been implicated in the pathogenesis of multiple chronic degenerative diseases, including IBD, Alzheimer, atherosclerosis, osteoarthritis, as well as other autoimmune disorders such as lupus erythematosus and corneal inflammation-related diseases </w:t>
      </w:r>
      <w:r>
        <w:rPr>
          <w:rStyle w:val="normaltextrun"/>
          <w:color w:val="000000" w:themeColor="text1"/>
        </w:rPr>
        <w:fldChar w:fldCharType="begin" w:fldLock="1"/>
      </w:r>
      <w:r>
        <w:rPr>
          <w:rStyle w:val="normaltextrun"/>
          <w:color w:val="000000" w:themeColor="text1"/>
        </w:rPr>
        <w:instrText>ADDIN CSL_CITATION {"citationItems":[{"id":"ITEM-1","itemData":{"DOI":"10.1016/j.biopha.2021.111442","ISSN":"19506007","abstract":"The incidence and prevalence of inflammatory bowel disease (IBD) are increasing worldwide. Current approved medication for IBD treatment in the clinic mainly includes corticosteroids and neutralization antibodies to pro-inflammatory cytokines. However, drug resistance and severe side effect hinder long-term efficacy of these agents. The NOD-like receptor family pyrin domain containing protein 3 (NLRP3) is exclusively expressed in several inflammatory and autoimmune diseases. Excessive expression, aberrant activation, polymorphism, and gain-of-function mutation of the NLRP3 inflammasome contribute to IBD pathogenesis. In this article, we summarize the regulatory factors to NLRP3, and review recently developed NLRP3 inhibitors and their preclinical and clinical applications in treating inflammatory and autoimmune diseases. We present our views on the therapeutic potential of NLRP3 inhibitors as emerging therapeutic avenue for IBD.","author":[{"dropping-particle":"","family":"Chen","given":"Qiu Ling","non-dropping-particle":"","parse-names":false,"suffix":""},{"dropping-particle":"","family":"Yin","given":"Hao Ran","non-dropping-particle":"","parse-names":false,"suffix":""},{"dropping-particle":"","family":"He","given":"Qing Yu","non-dropping-particle":"","parse-names":false,"suffix":""},{"dropping-particle":"","family":"Wang","given":"Ying","non-dropping-particle":"","parse-names":false,"suffix":""}],"container-title":"Biomedicine and Pharmacotherapy","id":"ITEM-1","issued":{"date-parts":[["2021","6","1"]]},"page":"111442","publisher":"Elsevier Masson s.r.l.","title":"Targeting the NLRP3 inflammasome as new therapeutic avenue for inflammatory bowel disease","type":"article-journal","volume":"138"},"uris":["http://www.mendeley.com/documents/?uuid=5bb4f601-53b5-3b3d-ba6d-62fbfb081c80"]},{"id":"ITEM-2","itemData":{"DOI":"10.1155/2020/4063562","ISSN":"19420994","PMID":"32148650","abstract":"Almost all human diseases are strongly associated with inflammation, and a deep understanding of the exact mechanism is helpful for treatment. The NLRP3 inflammasome composed of the NLRP3 protein, procaspase-1, and ASC plays a vital role in regulating inflammation. In this review, NLRP3 regulation and activation, its proinflammatory role in inflammatory diseases, interactions with autophagy, and targeted therapeutic approaches in inflammatory diseases will be summarized.","author":[{"dropping-particle":"","family":"Wang","given":"Zheng","non-dropping-particle":"","parse-names":false,"suffix":""},{"dropping-particle":"","family":"Zhang","given":"Simei","non-dropping-particle":"","parse-names":false,"suffix":""},{"dropping-particle":"","family":"Xiao","given":"Ying","non-dropping-particle":"","parse-names":false,"suffix":""},{"dropping-particle":"","family":"Zhang","given":"Wunai","non-dropping-particle":"","parse-names":false,"suffix":""},{"dropping-particle":"","family":"Wu","given":"Shuai","non-dropping-particle":"","parse-names":false,"suffix":""},{"dropping-particle":"","family":"Qin","given":"Tao","non-dropping-particle":"","parse-names":false,"suffix":""},{"dropping-particle":"","family":"Yue","given":"Yangyang","non-dropping-particle":"","parse-names":false,"suffix":""},{"dropping-particle":"","family":"Qian","given":"Weikun","non-dropping-particle":"","parse-names":false,"suffix":""},{"dropping-particle":"","family":"Li","given":"L.","non-dropping-particle":"","parse-names":false,"suffix":""}],"container-title":"Oxidative Medicine and Cellular Longevity","id":"ITEM-2","issued":{"date-parts":[["2020"]]},"publisher":"Hindawi Limited","title":"NLRP3 Inflammasome and Inflammatory Diseases","type":"article","volume":"2020"},"uris":["http://www.mendeley.com/documents/?uuid=51ed4001-d57c-3a4c-8e83-8bf3e66fb0f8"]}],"mendeley":{"formattedCitation":"[18,45]","plainTextFormattedCitation":"[18,45]","previouslyFormattedCitation":"[40,42]"},"properties":{"noteIndex":0},"schema":"https://github.com/citation-style-language/schema/raw/master/csl-citation.json"}</w:instrText>
      </w:r>
      <w:r>
        <w:rPr>
          <w:rStyle w:val="normaltextrun"/>
          <w:color w:val="000000" w:themeColor="text1"/>
        </w:rPr>
        <w:fldChar w:fldCharType="separate"/>
      </w:r>
      <w:r w:rsidRPr="006009F4">
        <w:rPr>
          <w:rStyle w:val="normaltextrun"/>
          <w:noProof/>
          <w:color w:val="000000" w:themeColor="text1"/>
        </w:rPr>
        <w:t>[18,45]</w:t>
      </w:r>
      <w:r>
        <w:rPr>
          <w:rStyle w:val="normaltextrun"/>
          <w:color w:val="000000" w:themeColor="text1"/>
        </w:rPr>
        <w:fldChar w:fldCharType="end"/>
      </w:r>
      <w:r>
        <w:rPr>
          <w:rStyle w:val="normaltextrun"/>
          <w:color w:val="000000" w:themeColor="text1"/>
        </w:rPr>
        <w:t xml:space="preserve">. Therefore, the inhibitory activity of lunasin over the NLRP3 inflammasome is not only relevant in the context of IBD but can be highly beneficial in the management of other immune-related diseases.  Our results not only demonstrate the modulatory properties of lunasin over the NLRP3 inflammasome but for the first time prove positive outcomes in an </w:t>
      </w:r>
      <w:r>
        <w:rPr>
          <w:rStyle w:val="normaltextrun"/>
          <w:i/>
          <w:iCs/>
          <w:color w:val="000000" w:themeColor="text1"/>
        </w:rPr>
        <w:t>in vivo</w:t>
      </w:r>
      <w:r>
        <w:rPr>
          <w:rStyle w:val="normaltextrun"/>
          <w:color w:val="000000" w:themeColor="text1"/>
        </w:rPr>
        <w:t xml:space="preserve"> model of IBD. </w:t>
      </w:r>
      <w:r>
        <w:rPr>
          <w:rStyle w:val="normaltextrun"/>
          <w:color w:val="000000" w:themeColor="text1"/>
          <w:shd w:val="clear" w:color="auto" w:fill="FFFFFF"/>
        </w:rPr>
        <w:t>This indicates that lunasin supplementation is a promising strategy to control early manifestations and the potential onset of IBD.</w:t>
      </w:r>
    </w:p>
    <w:p w14:paraId="788A85E9" w14:textId="77777777" w:rsidR="004C2071" w:rsidRPr="009924FF" w:rsidRDefault="004C2071" w:rsidP="00973FDA">
      <w:pPr>
        <w:rPr>
          <w:color w:val="FF0000"/>
        </w:rPr>
      </w:pPr>
    </w:p>
    <w:p w14:paraId="75402DD5" w14:textId="77777777" w:rsidR="004C2071" w:rsidRDefault="00F710F9" w:rsidP="007F2E79">
      <w:pPr>
        <w:pStyle w:val="Heading2"/>
        <w:spacing w:line="480" w:lineRule="auto"/>
      </w:pPr>
      <w:r w:rsidRPr="009924FF">
        <w:rPr>
          <w:color w:val="FF0000"/>
        </w:rPr>
        <w:br w:type="page"/>
      </w:r>
      <w:bookmarkStart w:id="106" w:name="_Toc289175842"/>
      <w:bookmarkStart w:id="107" w:name="_Toc77082143"/>
      <w:r w:rsidR="004C2071" w:rsidRPr="005E34C0">
        <w:lastRenderedPageBreak/>
        <w:t>References</w:t>
      </w:r>
      <w:bookmarkEnd w:id="106"/>
      <w:bookmarkEnd w:id="107"/>
    </w:p>
    <w:p w14:paraId="42413C79"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[1]</w:t>
      </w:r>
      <w:r w:rsidRPr="006009F4">
        <w:rPr>
          <w:noProof/>
        </w:rPr>
        <w:tab/>
        <w:t>Crohn’s and Colitis Foundation of America, Crohn’s and Colitis Foundation, Facts about Inflamm. Bowel Dis. (2014) 1–24.</w:t>
      </w:r>
    </w:p>
    <w:p w14:paraId="5BB9C925"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[2]</w:t>
      </w:r>
      <w:r w:rsidRPr="006009F4">
        <w:rPr>
          <w:noProof/>
        </w:rPr>
        <w:tab/>
        <w:t>M.S. Nadeem, V. Kumar, F.A. Al-Abbasi, M.A. Kamal, F. Anwar, Risk of colorectal cancer in inflammatory bowel diseases, Semin. Cancer Biol. 64 (2020) 51–60. https://doi.org/10.1016/j.semcancer.2019.05.001.</w:t>
      </w:r>
    </w:p>
    <w:p w14:paraId="01666C75"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[3]</w:t>
      </w:r>
      <w:r w:rsidRPr="006009F4">
        <w:rPr>
          <w:noProof/>
        </w:rPr>
        <w:tab/>
        <w:t>V. Jairath, B.G. Feagan, Global burden of inflammatory bowel disease, Lancet Gastroenterol. Hepatol. 5 (2020) 2–3. https://doi.org/10.1016/S2468-1253(19)30358-9.</w:t>
      </w:r>
    </w:p>
    <w:p w14:paraId="515B7A14"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[4]</w:t>
      </w:r>
      <w:r w:rsidRPr="006009F4">
        <w:rPr>
          <w:noProof/>
        </w:rPr>
        <w:tab/>
        <w:t>M.F. Neurath, Cytokines in inflammatory bowel disease, Nat. Rev. Immunol. 14 (2014) 329–342. https://doi.org/10.1038/nri3661.</w:t>
      </w:r>
    </w:p>
    <w:p w14:paraId="3D67263C"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[5]</w:t>
      </w:r>
      <w:r w:rsidRPr="006009F4">
        <w:rPr>
          <w:noProof/>
        </w:rPr>
        <w:tab/>
        <w:t>K. Sandberg, E. Yarger, S. Saeed, Updates in diagnosis and management of inflammatory bowel disease, Curr. Probl. Pediatr. Adolesc. Health Care. 50 (2020) 100785. https://doi.org/10.1016/j.cppeds.2020.100785.</w:t>
      </w:r>
    </w:p>
    <w:p w14:paraId="3932B05A"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[6]</w:t>
      </w:r>
      <w:r w:rsidRPr="006009F4">
        <w:rPr>
          <w:noProof/>
        </w:rPr>
        <w:tab/>
        <w:t>S.C. Park, Y.T. Jeen, Current and emerging biologics for ulcerative colitis, Gut Liver. 9 (2015) 18–27. https://doi.org/10.5009/gnl14226.</w:t>
      </w:r>
    </w:p>
    <w:p w14:paraId="68A43D64"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[7]</w:t>
      </w:r>
      <w:r w:rsidRPr="006009F4">
        <w:rPr>
          <w:noProof/>
        </w:rPr>
        <w:tab/>
        <w:t>G. Rogler, Gastrointestinal and liver adverse effects of drugs used for treating IBD, Best Pract. Res. Clin. Gastroenterol. 24 (2010) 157–165. https://doi.org/10.1016/j.bpg.2009.10.011.</w:t>
      </w:r>
    </w:p>
    <w:p w14:paraId="7FD41737"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[8]</w:t>
      </w:r>
      <w:r w:rsidRPr="006009F4">
        <w:rPr>
          <w:noProof/>
        </w:rPr>
        <w:tab/>
        <w:t>K.M. de Lange, J.C. Barrett, Understanding inflammatory bowel disease via immunogenetics, J. Autoimmun. 64 (2015) 91–100. https://doi.org/10.1016/j.jaut.2015.07.013.</w:t>
      </w:r>
    </w:p>
    <w:p w14:paraId="068B9CC8"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lastRenderedPageBreak/>
        <w:t>[9]</w:t>
      </w:r>
      <w:r w:rsidRPr="006009F4">
        <w:rPr>
          <w:noProof/>
        </w:rPr>
        <w:tab/>
        <w:t>E.O. Glocker, D. Kotlarz, C. Klein, N. Shah, B. Grimbacher, IL-10 and IL-10 receptor defects in humans, Ann. N. Y. Acad. Sci. 1246 (2011) 102–107. https://doi.org/10.1111/j.1749-6632.2011.06339.x.</w:t>
      </w:r>
    </w:p>
    <w:p w14:paraId="350A6B9D"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[10]</w:t>
      </w:r>
      <w:r w:rsidRPr="006009F4">
        <w:rPr>
          <w:noProof/>
        </w:rPr>
        <w:tab/>
        <w:t>L.M. Keubler, M. Buettner, C. Häger, A. Bleich, A Multihit Model: Colitis Lessons from the Interleukin-10–deficient Mouse, Inflamm. Bowel Dis. 21 (2015) 1967–1975. https://doi.org/10.1097/MIB.0000000000000468.</w:t>
      </w:r>
    </w:p>
    <w:p w14:paraId="6BCF4065"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[11]</w:t>
      </w:r>
      <w:r w:rsidRPr="006009F4">
        <w:rPr>
          <w:noProof/>
        </w:rPr>
        <w:tab/>
        <w:t>L.D. Lazaridis, A. Pistiki, E.J. Giamarellos-Bourboulis, M. Georgitsi, G. Damoraki, D. Polymeros, G.D. Dimitriadis, K. Triantafyllou, Activation of NLRP3 Inflammasome in Inflammatory Bowel Disease: Differences Between Crohn’s Disease and Ulcerative Colitis, Dig. Dis. Sci. 62 (2017) 2348–2356. https://doi.org/10.1007/s10620-017-4609-8.</w:t>
      </w:r>
    </w:p>
    <w:p w14:paraId="08E66525"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[12]</w:t>
      </w:r>
      <w:r w:rsidRPr="006009F4">
        <w:rPr>
          <w:noProof/>
        </w:rPr>
        <w:tab/>
        <w:t>J. Zhang, S. Fu, S. Sun, Z. Li, B. Guo, Inflammasome activation has an important role in the development of spontaneous colitis, Mucosal Immunol. 7 (2014) 1139–1150. https://doi.org/10.1038/mi.2014.1.</w:t>
      </w:r>
    </w:p>
    <w:p w14:paraId="09C2F910"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[13]</w:t>
      </w:r>
      <w:r w:rsidRPr="006009F4">
        <w:rPr>
          <w:noProof/>
        </w:rPr>
        <w:tab/>
        <w:t>K. Schroder, J. Tschopp, The Inflammasomes, Cell. 140 (2010) 821–832. https://doi.org/10.1016/j.cell.2010.01.040.</w:t>
      </w:r>
    </w:p>
    <w:p w14:paraId="17D98C45"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[14]</w:t>
      </w:r>
      <w:r w:rsidRPr="006009F4">
        <w:rPr>
          <w:noProof/>
        </w:rPr>
        <w:tab/>
        <w:t>Y. Yang, H. Wang, M. Kouadir, H. Song, F. Shi, Recent advances in the mechanisms of NLRP3 inflammasome activation and its inhibitors, Cell Death Dis. 10 (2019). https://doi.org/10.1038/s41419-019-1413-8.</w:t>
      </w:r>
    </w:p>
    <w:p w14:paraId="0FE6E20D"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[15]</w:t>
      </w:r>
      <w:r w:rsidRPr="006009F4">
        <w:rPr>
          <w:noProof/>
        </w:rPr>
        <w:tab/>
        <w:t xml:space="preserve">R. Muñoz-Planillo, P. Kuffa, G. Martínez-Colón, B.L. Smith, T.M. Rajendiran, G. Núñez, K+ Efflux Is the Common Trigger of NLRP3 Inflammasome Activation by Bacterial Toxins and Particulate Matter, </w:t>
      </w:r>
      <w:r w:rsidRPr="006009F4">
        <w:rPr>
          <w:noProof/>
        </w:rPr>
        <w:lastRenderedPageBreak/>
        <w:t>Immunity. 38 (2013) 1142–1153. https://doi.org/10.1016/j.immuni.2013.05.016.</w:t>
      </w:r>
    </w:p>
    <w:p w14:paraId="277ABBEE"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[16]</w:t>
      </w:r>
      <w:r w:rsidRPr="006009F4">
        <w:rPr>
          <w:noProof/>
        </w:rPr>
        <w:tab/>
        <w:t>R. Zhou, A.S. Yazdi, P. Menu, J. Tschopp, A role for mitochondria in NLRP3 inflammasome activation, Nature. 469 (2011) 221–226. https://doi.org/10.1038/nature09663.</w:t>
      </w:r>
    </w:p>
    <w:p w14:paraId="2A885D93"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[17]</w:t>
      </w:r>
      <w:r w:rsidRPr="006009F4">
        <w:rPr>
          <w:noProof/>
        </w:rPr>
        <w:tab/>
        <w:t>A. Dashdorj, J. KR, S. Lim, A. Jo, M.N. Nguyen, J. Ha, K.S. Yoon, H.J. Kim, J.H. Park, M.P. Murphy, S.S. Kim, Mitochondria-targeted antioxidant MitoQ ameliorates experimental mouse colitis by suppressing NLRP3 inflammasome-mediated inflammatory cytokines, BMC Med. 11 (2013). https://doi.org/10.1186/1741-7015-11-178.</w:t>
      </w:r>
    </w:p>
    <w:p w14:paraId="4C7A8826"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[18]</w:t>
      </w:r>
      <w:r w:rsidRPr="006009F4">
        <w:rPr>
          <w:noProof/>
        </w:rPr>
        <w:tab/>
        <w:t>Q.L. Chen, H.R. Yin, Q.Y. He, Y. Wang, Targeting the NLRP3 inflammasome as new therapeutic avenue for inflammatory bowel disease, Biomed. Pharmacother. 138 (2021) 111442. https://doi.org/10.1016/j.biopha.2021.111442.</w:t>
      </w:r>
    </w:p>
    <w:p w14:paraId="13C5F90B"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[19]</w:t>
      </w:r>
      <w:r w:rsidRPr="006009F4">
        <w:rPr>
          <w:noProof/>
        </w:rPr>
        <w:tab/>
        <w:t>S. Fernández-Tomé, B. Hernández-Ledesma, Current state of art after twenty years of the discovery of bioactive peptide lunasin, Food Res. Int. 116 (2019) 71–78. https://doi.org/10.1016/j.foodres.2018.12.029.</w:t>
      </w:r>
    </w:p>
    <w:p w14:paraId="2CEFC94E"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[20]</w:t>
      </w:r>
      <w:r w:rsidRPr="006009F4">
        <w:rPr>
          <w:noProof/>
        </w:rPr>
        <w:tab/>
        <w:t>C.C. Hsieh, C. Martínez-Villaluenga, B.O. de Lumen, B. Hernández-Ledesma, Updating the research on the chemopreventive and therapeutic role of the peptide lunasin, J. Sci. Food Agric. 98 (2018) 2070–2079. https://doi.org/10.1002/jsfa.8719.</w:t>
      </w:r>
    </w:p>
    <w:p w14:paraId="060A728E"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[21]</w:t>
      </w:r>
      <w:r w:rsidRPr="006009F4">
        <w:rPr>
          <w:noProof/>
        </w:rPr>
        <w:tab/>
        <w:t xml:space="preserve">A. Nieto-Veloza, Q. Zhong, W.-S. Kim, D. D’Souza, H.B. Krishnan, V.P. </w:t>
      </w:r>
      <w:r w:rsidRPr="006009F4">
        <w:rPr>
          <w:noProof/>
        </w:rPr>
        <w:lastRenderedPageBreak/>
        <w:t>Dia, Utilization of tofu processing wastewater as a source of the bioactive peptide lunasin, Food Chem. 362 (2021) 130220. https://doi.org/10.1016/j.foodchem.2021.130220.</w:t>
      </w:r>
    </w:p>
    <w:p w14:paraId="59D9746C"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[22]</w:t>
      </w:r>
      <w:r w:rsidRPr="006009F4">
        <w:rPr>
          <w:noProof/>
        </w:rPr>
        <w:tab/>
        <w:t>A. Nair, S. Jacob, A simple practice guide for dose conversion between animals and human, J. Basic Clin. Pharm. 7 (2016) 27. https://doi.org/10.4103/0976-0105.177703.</w:t>
      </w:r>
    </w:p>
    <w:p w14:paraId="06542DFA"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[23]</w:t>
      </w:r>
      <w:r w:rsidRPr="006009F4">
        <w:rPr>
          <w:noProof/>
        </w:rPr>
        <w:tab/>
        <w:t>A. Nieto-Veloza, Z. Wang, Q. Zhong, H.B. Krishnan, V.P. Dia, BG-4 from Bitter Gourd (Momordica charantia) Differentially Affects Inflammation In Vitro and In Vivo, Antioxidants. 8 (2019) 175. https://doi.org/10.3390/antiox8060175.</w:t>
      </w:r>
    </w:p>
    <w:p w14:paraId="66748205"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[24]</w:t>
      </w:r>
      <w:r w:rsidRPr="006009F4">
        <w:rPr>
          <w:noProof/>
        </w:rPr>
        <w:tab/>
        <w:t>U. Erben, C. Loddenkemper, K. Doerfel, S. Spieckermann, D. Haller, M.M. Heimesaat, M. Zeitz, B. Siegmund, A.A. Kühl, A guide to histomorphological evaluation of intestinal inflammation in mouse models, 2014. www.ijcep.com/ (accessed November 18, 2020).</w:t>
      </w:r>
    </w:p>
    <w:p w14:paraId="1EACEE7B"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[25]</w:t>
      </w:r>
      <w:r w:rsidRPr="006009F4">
        <w:rPr>
          <w:noProof/>
        </w:rPr>
        <w:tab/>
        <w:t>C.L. Quinlan, A.A. Gerencser, J.R. Treberg, M.D. Brand, The mechanism of superoxide production by the antimycin-inhibited mitochondrial Q-cycle, J. Biol. Chem. 286 (2011) 31361–31372. https://doi.org/10.1074/jbc.M111.267898.</w:t>
      </w:r>
    </w:p>
    <w:p w14:paraId="6B45B767"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[26]</w:t>
      </w:r>
      <w:r w:rsidRPr="006009F4">
        <w:rPr>
          <w:noProof/>
        </w:rPr>
        <w:tab/>
        <w:t>D. Ballabio, A MATLAB toolbox for Principal Component Analysis and unsupervised exploration of data structure, Chemom. Intell. Lab. Syst. 149 (2015) 1–9. https://doi.org/10.1016/j.chemolab.2015.10.003.</w:t>
      </w:r>
    </w:p>
    <w:p w14:paraId="6C99D8A3"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[27]</w:t>
      </w:r>
      <w:r w:rsidRPr="006009F4">
        <w:rPr>
          <w:noProof/>
        </w:rPr>
        <w:tab/>
        <w:t xml:space="preserve">F. Rieder, C. Fiocchi, Intestinal fibrosis in inflammatory bowel disease - </w:t>
      </w:r>
      <w:r w:rsidRPr="006009F4">
        <w:rPr>
          <w:noProof/>
        </w:rPr>
        <w:lastRenderedPageBreak/>
        <w:t>Current knowledge and future perspectives, J. Crohn’s Colitis. 2 (2008) 279–290. https://doi.org/10.1016/j.crohns.2008.05.009.</w:t>
      </w:r>
    </w:p>
    <w:p w14:paraId="6518C68B"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[28]</w:t>
      </w:r>
      <w:r w:rsidRPr="006009F4">
        <w:rPr>
          <w:noProof/>
        </w:rPr>
        <w:tab/>
        <w:t>B. Chami, N.J.J. Martin, J.M. Dennis, P.K. Witting, Myeloperoxidase in the inflamed colon: A novel target for treating inflammatory bowel disease, Arch. Biochem. Biophys. 645 (2018) 61–71. https://doi.org/10.1016/j.abb.2018.03.012.</w:t>
      </w:r>
    </w:p>
    <w:p w14:paraId="0285C0E7"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[29]</w:t>
      </w:r>
      <w:r w:rsidRPr="006009F4">
        <w:rPr>
          <w:noProof/>
        </w:rPr>
        <w:tab/>
        <w:t>D. Odobasic, A.R. Kitching, S.R. Holdsworth, Neutrophil-mediated regulation of innate and adaptive immunity: The role of myeloperoxidase, J. Immunol. Res. 2016 (2016). https://doi.org/10.1155/2016/2349817.</w:t>
      </w:r>
    </w:p>
    <w:p w14:paraId="604621CD"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[30]</w:t>
      </w:r>
      <w:r w:rsidRPr="006009F4">
        <w:rPr>
          <w:noProof/>
        </w:rPr>
        <w:tab/>
        <w:t>L. Vande Walle, M. Lamkanfi, Pyroptosis, Curr. Biol. 26 (2016) R568–R572. https://doi.org/10.1016/j.cub.2016.02.019.</w:t>
      </w:r>
    </w:p>
    <w:p w14:paraId="7D8BA50A"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[31]</w:t>
      </w:r>
      <w:r w:rsidRPr="006009F4">
        <w:rPr>
          <w:noProof/>
        </w:rPr>
        <w:tab/>
        <w:t>F. Sanchez-Muñoz, A. Dominguez-Lopez, J.K. Yamamoto-Furusho, Role of cytokines in inflammatory bowel disease, World J. Gastroenterol. 14 (2008) 4280–4288. https://doi.org/10.3748/wjg.14.4280.</w:t>
      </w:r>
    </w:p>
    <w:p w14:paraId="7147733B"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[32]</w:t>
      </w:r>
      <w:r w:rsidRPr="006009F4">
        <w:rPr>
          <w:noProof/>
        </w:rPr>
        <w:tab/>
        <w:t>M.C. Li, S.H. He, IL-10 and its related cytokines for treatment of inflammatory bowel disease, World J. Gastroenterol. 10 (2004) 620–625. https://doi.org/10.3748/wjg.v10.i5.620.</w:t>
      </w:r>
    </w:p>
    <w:p w14:paraId="5D1C8F59"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[33]</w:t>
      </w:r>
      <w:r w:rsidRPr="006009F4">
        <w:rPr>
          <w:noProof/>
        </w:rPr>
        <w:tab/>
        <w:t>M.D. Molla, B. Ayelign, G. Dessie, Z. Geto, T.D. Admasu, Caspase-1 as a regulatory molecule of lipid metabolism, Lipids Health Dis. 19 (2020) 34. https://doi.org/10.1186/s12944-020-01220-y.</w:t>
      </w:r>
    </w:p>
    <w:p w14:paraId="2BB43F58"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[34]</w:t>
      </w:r>
      <w:r w:rsidRPr="006009F4">
        <w:rPr>
          <w:noProof/>
        </w:rPr>
        <w:tab/>
        <w:t xml:space="preserve">R. Stienstra, L.A.B. Joosten, T. Koenen, B. Van Tits, J.A. Van Diepen, S.A.A. Van Den Berg, P.C.N. Rensen, P.J. Voshol, G. Fantuzzi, A. </w:t>
      </w:r>
      <w:r w:rsidRPr="006009F4">
        <w:rPr>
          <w:noProof/>
        </w:rPr>
        <w:lastRenderedPageBreak/>
        <w:t>Hijmans, S. Kersten, M. Müller, W.B. Van Den Berg, N. Van Rooijen, M. Wabitsch, B.J. Kullberg, J.W.M. Van Der Meer, T. Kanneganti, C.J. Tack, M.G. Netea, The inflammasome-mediated caspase-1 activation controls adipocyte differentiation and insulin sensitivity, Cell Metab. 12 (2010) 593–605. https://doi.org/10.1016/j.cmet.2010.11.011.</w:t>
      </w:r>
    </w:p>
    <w:p w14:paraId="3CEEF008"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[35]</w:t>
      </w:r>
      <w:r w:rsidRPr="006009F4">
        <w:rPr>
          <w:noProof/>
        </w:rPr>
        <w:tab/>
        <w:t>S.J. Price, P. Pangloli, V.P. Dia, Pepsin-pancreatin hydrolysis reduced the ability of lunasin-enriched material to inhibit activation of the inflammasomes in THP-1 human macrophages, Food Funct. 8 (2017) 4449–4458. https://doi.org/10.1039/c7fo00992e.</w:t>
      </w:r>
    </w:p>
    <w:p w14:paraId="357B2D50"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[36]</w:t>
      </w:r>
      <w:r w:rsidRPr="006009F4">
        <w:rPr>
          <w:noProof/>
        </w:rPr>
        <w:tab/>
        <w:t>P. Indiano-Romacho, S. Fernández-Tomé, L. Amigo, B. Hernández-Ledesma, Multifunctionality of lunasin and peptides released during its simulated gastrointestinal digestion, Food Res. Int. 125 (2019). https://doi.org/10.1016/j.foodres.2019.108513.</w:t>
      </w:r>
    </w:p>
    <w:p w14:paraId="518617B3"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[37]</w:t>
      </w:r>
      <w:r w:rsidRPr="006009F4">
        <w:rPr>
          <w:noProof/>
        </w:rPr>
        <w:tab/>
        <w:t>L. Liu, Y. Dong, M. Ye, S. Jin, J. Yang, M.E. Joosse, Y. Sun, J. Zhang, M. Lazarev, S.R. Brant, B. Safar, M. Marohn, E. Mezey, X. Li, The Pathogenic Role of NLRP3 Inflammasome Activation in Inflammatory Bowel Diseases of Both Mice and Humans, J. Crohns. Colitis. 11 (2017) 737–750. https://doi.org/10.1093/ecco-jcc/jjw219.</w:t>
      </w:r>
    </w:p>
    <w:p w14:paraId="20480C5D"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[38]</w:t>
      </w:r>
      <w:r w:rsidRPr="006009F4">
        <w:rPr>
          <w:noProof/>
        </w:rPr>
        <w:tab/>
        <w:t>B.Z. Shao, S.L. Wang, P. Pan, J. Yao, K. Wu, Z.S. Li, Y. Bai, E.Q. Linghu, Targeting NLRP3 Inflammasome in Inflammatory Bowel Disease: Putting out the Fire of Inflammation, Inflammation. 42 (2019) 1147–1159. https://doi.org/10.1007/s10753-019-01008-y.</w:t>
      </w:r>
    </w:p>
    <w:p w14:paraId="070F1991"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lastRenderedPageBreak/>
        <w:t>[39]</w:t>
      </w:r>
      <w:r w:rsidRPr="006009F4">
        <w:rPr>
          <w:noProof/>
        </w:rPr>
        <w:tab/>
        <w:t>C.Y. Tung, D.E. Lewis, L. Han, M. Jaja, S. Yao, F. Li, M.J. Robertson, B. Zhou, J. Sun, H.C. Chang, Activation of dendritic cell function by soypeptide lunasin as a novel vaccine adjuvant, Vaccine. 32 (2014) 5411–5419. https://doi.org/10.1016/j.vaccine.2014.07.103.</w:t>
      </w:r>
    </w:p>
    <w:p w14:paraId="6954719E"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[40]</w:t>
      </w:r>
      <w:r w:rsidRPr="006009F4">
        <w:rPr>
          <w:noProof/>
        </w:rPr>
        <w:tab/>
        <w:t>S. Fernández</w:t>
      </w:r>
      <w:r w:rsidRPr="006009F4">
        <w:rPr>
          <w:rFonts w:ascii="Cambria Math" w:hAnsi="Cambria Math" w:cs="Cambria Math"/>
          <w:noProof/>
        </w:rPr>
        <w:t>‐</w:t>
      </w:r>
      <w:r w:rsidRPr="006009F4">
        <w:rPr>
          <w:noProof/>
        </w:rPr>
        <w:t>Tomé, P. Indiano</w:t>
      </w:r>
      <w:r w:rsidRPr="006009F4">
        <w:rPr>
          <w:rFonts w:ascii="Cambria Math" w:hAnsi="Cambria Math" w:cs="Cambria Math"/>
          <w:noProof/>
        </w:rPr>
        <w:t>‐</w:t>
      </w:r>
      <w:r w:rsidRPr="006009F4">
        <w:rPr>
          <w:noProof/>
        </w:rPr>
        <w:t>Romacho, I. Mora</w:t>
      </w:r>
      <w:r w:rsidRPr="006009F4">
        <w:rPr>
          <w:rFonts w:ascii="Cambria Math" w:hAnsi="Cambria Math" w:cs="Cambria Math"/>
          <w:noProof/>
        </w:rPr>
        <w:t>‐</w:t>
      </w:r>
      <w:r w:rsidRPr="006009F4">
        <w:rPr>
          <w:noProof/>
        </w:rPr>
        <w:t>Gutiérrez, L. Pérez</w:t>
      </w:r>
      <w:r w:rsidRPr="006009F4">
        <w:rPr>
          <w:rFonts w:ascii="Cambria Math" w:hAnsi="Cambria Math" w:cs="Cambria Math"/>
          <w:noProof/>
        </w:rPr>
        <w:t>‐</w:t>
      </w:r>
      <w:r w:rsidRPr="006009F4">
        <w:rPr>
          <w:noProof/>
        </w:rPr>
        <w:t>Rodríguez, L.O. Moreno, A.C. Marin, M. Baldán</w:t>
      </w:r>
      <w:r w:rsidRPr="006009F4">
        <w:rPr>
          <w:rFonts w:ascii="Cambria Math" w:hAnsi="Cambria Math" w:cs="Cambria Math"/>
          <w:noProof/>
        </w:rPr>
        <w:t>‐</w:t>
      </w:r>
      <w:r w:rsidRPr="006009F4">
        <w:rPr>
          <w:noProof/>
        </w:rPr>
        <w:t>Martín, J.A. Moreno</w:t>
      </w:r>
      <w:r w:rsidRPr="006009F4">
        <w:rPr>
          <w:rFonts w:ascii="Cambria Math" w:hAnsi="Cambria Math" w:cs="Cambria Math"/>
          <w:noProof/>
        </w:rPr>
        <w:t>‐</w:t>
      </w:r>
      <w:r w:rsidRPr="006009F4">
        <w:rPr>
          <w:noProof/>
        </w:rPr>
        <w:t>Monteagudo, C. Santander, M. Chaparro, B. Hernández</w:t>
      </w:r>
      <w:r w:rsidRPr="006009F4">
        <w:rPr>
          <w:rFonts w:ascii="Cambria Math" w:hAnsi="Cambria Math" w:cs="Cambria Math"/>
          <w:noProof/>
        </w:rPr>
        <w:t>‐</w:t>
      </w:r>
      <w:r w:rsidRPr="006009F4">
        <w:rPr>
          <w:noProof/>
        </w:rPr>
        <w:t>Ledesma, J.P. Gisbert, D. Bernardo, Lunasin Peptide is a Modulator of the Immune Response in the Human Gastrointestinal Tract, Mol. Nutr. Food Res. (2021) 2001034. https://doi.org/10.1002/mnfr.202001034.</w:t>
      </w:r>
    </w:p>
    <w:p w14:paraId="67979F1A"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[41]</w:t>
      </w:r>
      <w:r w:rsidRPr="006009F4">
        <w:rPr>
          <w:noProof/>
        </w:rPr>
        <w:tab/>
        <w:t>H.C. Chang, D. Lewis, C.Y. Tung, L. Han, S.M.P. Henriquez, L. Voiles, I.P. Lupov, D. Pelloso, A.L. Sinn, K.E. Pollok, B.O. De Lumen, F. Li, J.S. Blum, S. Srivastava, M.J. Robertson, Soypeptide lunasin in cytokine immunotherapy for lymphoma, Cancer Immunol. Immunother. 63 (2014) 283–295. https://doi.org/10.1007/s00262-013-1513-8.</w:t>
      </w:r>
    </w:p>
    <w:p w14:paraId="3EBF8715"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[42]</w:t>
      </w:r>
      <w:r w:rsidRPr="006009F4">
        <w:rPr>
          <w:noProof/>
        </w:rPr>
        <w:tab/>
        <w:t>P.P. Tak, G.S. Firestein, NF-κB: A key role in inflammatory diseases, J. Clin. Invest. 107 (2001) 7–11. https://doi.org/10.1172/JCI11830.</w:t>
      </w:r>
    </w:p>
    <w:p w14:paraId="54ADF3EA"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[43]</w:t>
      </w:r>
      <w:r w:rsidRPr="006009F4">
        <w:rPr>
          <w:noProof/>
        </w:rPr>
        <w:tab/>
        <w:t>E.G. de Mejia, V.P. Dia, Lunasin and lunasin-like peptides inhibit inflammation through suppression of NF-κB pathway in the macrophage, Peptides. 30 (2009) 2388–2398. https://doi.org/10.1016/j.peptides.2009.08.005.</w:t>
      </w:r>
    </w:p>
    <w:p w14:paraId="30733632" w14:textId="77777777" w:rsidR="007F2E79" w:rsidRPr="006009F4" w:rsidRDefault="007F2E79" w:rsidP="007F2E79">
      <w:pPr>
        <w:widowControl w:val="0"/>
        <w:autoSpaceDE w:val="0"/>
        <w:autoSpaceDN w:val="0"/>
        <w:adjustRightInd w:val="0"/>
        <w:spacing w:line="480" w:lineRule="auto"/>
        <w:ind w:left="640" w:hanging="640"/>
        <w:rPr>
          <w:noProof/>
        </w:rPr>
      </w:pPr>
      <w:r w:rsidRPr="006009F4">
        <w:rPr>
          <w:noProof/>
        </w:rPr>
        <w:t>[44]</w:t>
      </w:r>
      <w:r w:rsidRPr="006009F4">
        <w:rPr>
          <w:noProof/>
        </w:rPr>
        <w:tab/>
        <w:t xml:space="preserve">C. Dinarello, D. Novick, S. Kim, G. Kaplanski, Interleukin-18 and IL-18 </w:t>
      </w:r>
      <w:r w:rsidRPr="006009F4">
        <w:rPr>
          <w:noProof/>
        </w:rPr>
        <w:lastRenderedPageBreak/>
        <w:t>Binding Protein, Front. Immunol. 4 (2013) 289. https://doi.org/10.3389/FIMMU.2013.00289.</w:t>
      </w:r>
    </w:p>
    <w:p w14:paraId="3A2B3DB0" w14:textId="4EF2DC01" w:rsidR="00DA7DFE" w:rsidRPr="00DA7DFE" w:rsidRDefault="007F2E79" w:rsidP="00E54AD1">
      <w:pPr>
        <w:spacing w:line="480" w:lineRule="auto"/>
        <w:ind w:left="640" w:hanging="640"/>
      </w:pPr>
      <w:r w:rsidRPr="006009F4">
        <w:rPr>
          <w:noProof/>
        </w:rPr>
        <w:t>[45]</w:t>
      </w:r>
      <w:r w:rsidRPr="006009F4">
        <w:rPr>
          <w:noProof/>
        </w:rPr>
        <w:tab/>
        <w:t>Z. Wang, S. Zhang, Y. Xiao, W. Zhang, S. Wu, T. Qin, Y. Yue, W. Qian, L. Li, NLRP3 Inflammasome and Inflammatory Diseases, Oxid. Med. Cell. Longev. 2020 (2020). https://doi.org/10.1155/2020/4063562.</w:t>
      </w:r>
    </w:p>
    <w:p w14:paraId="2E5E5E6F" w14:textId="2102E3B9" w:rsidR="00D677AA" w:rsidRPr="009924FF" w:rsidRDefault="00D677AA" w:rsidP="001823CC">
      <w:pPr>
        <w:rPr>
          <w:color w:val="FF0000"/>
        </w:rPr>
      </w:pPr>
    </w:p>
    <w:p w14:paraId="7559A575" w14:textId="77777777" w:rsidR="001823CC" w:rsidRDefault="001823CC" w:rsidP="00D677AA">
      <w:pPr>
        <w:rPr>
          <w:color w:val="FF0000"/>
        </w:rPr>
        <w:sectPr w:rsidR="001823CC" w:rsidSect="00973FDA">
          <w:pgSz w:w="12240" w:h="15840" w:code="1"/>
          <w:pgMar w:top="1440" w:right="1800" w:bottom="1872" w:left="1800" w:header="720" w:footer="1440" w:gutter="0"/>
          <w:cols w:space="720"/>
          <w:noEndnote/>
          <w:docGrid w:linePitch="360"/>
        </w:sectPr>
      </w:pPr>
    </w:p>
    <w:p w14:paraId="0B2D713E" w14:textId="77777777" w:rsidR="001823CC" w:rsidRDefault="001823CC" w:rsidP="001823CC">
      <w:pPr>
        <w:pStyle w:val="Heading2"/>
      </w:pPr>
      <w:bookmarkStart w:id="108" w:name="_Toc77082144"/>
      <w:r>
        <w:lastRenderedPageBreak/>
        <w:t>Appendix</w:t>
      </w:r>
      <w:bookmarkEnd w:id="108"/>
    </w:p>
    <w:p w14:paraId="695E1530" w14:textId="77777777" w:rsidR="006D28A3" w:rsidRDefault="006D28A3" w:rsidP="005A09AF">
      <w:pPr>
        <w:keepNext/>
        <w:jc w:val="center"/>
      </w:pPr>
      <w:r>
        <w:rPr>
          <w:noProof/>
        </w:rPr>
        <w:drawing>
          <wp:inline distT="0" distB="0" distL="0" distR="0" wp14:anchorId="68DE05AF" wp14:editId="288CF37A">
            <wp:extent cx="5486400" cy="517144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86400" cy="5171440"/>
                    </a:xfrm>
                    <a:prstGeom prst="rect">
                      <a:avLst/>
                    </a:prstGeom>
                    <a:noFill/>
                    <a:ln>
                      <a:noFill/>
                    </a:ln>
                  </pic:spPr>
                </pic:pic>
              </a:graphicData>
            </a:graphic>
          </wp:inline>
        </w:drawing>
      </w:r>
    </w:p>
    <w:p w14:paraId="595FBF15" w14:textId="44987751" w:rsidR="00D677AA" w:rsidRPr="00914B60" w:rsidRDefault="006D28A3" w:rsidP="007F2E79">
      <w:pPr>
        <w:pStyle w:val="Caption"/>
        <w:spacing w:line="480" w:lineRule="auto"/>
        <w:jc w:val="center"/>
        <w:rPr>
          <w:b w:val="0"/>
          <w:color w:val="FF0000"/>
        </w:rPr>
      </w:pPr>
      <w:bookmarkStart w:id="109" w:name="_Toc77082186"/>
      <w:r w:rsidRPr="00914B60">
        <w:t xml:space="preserve">Figure </w:t>
      </w:r>
      <w:fldSimple w:instr=" STYLEREF 1 \s ">
        <w:r w:rsidR="0023061D">
          <w:rPr>
            <w:noProof/>
          </w:rPr>
          <w:t>3</w:t>
        </w:r>
      </w:fldSimple>
      <w:r w:rsidR="00A8604A">
        <w:t>.</w:t>
      </w:r>
      <w:fldSimple w:instr=" SEQ Figure \* ARABIC \s 1 ">
        <w:r w:rsidR="0023061D">
          <w:rPr>
            <w:noProof/>
          </w:rPr>
          <w:t>1</w:t>
        </w:r>
      </w:fldSimple>
      <w:r w:rsidRPr="00914B60">
        <w:rPr>
          <w:b w:val="0"/>
        </w:rPr>
        <w:t xml:space="preserve"> Lunasin attenuates macroscopic markers of disease.</w:t>
      </w:r>
      <w:bookmarkEnd w:id="109"/>
    </w:p>
    <w:p w14:paraId="49327101" w14:textId="77777777" w:rsidR="006D28A3" w:rsidRDefault="006D28A3" w:rsidP="007F2E79">
      <w:pPr>
        <w:spacing w:line="480" w:lineRule="auto"/>
        <w:rPr>
          <w:color w:val="000000" w:themeColor="text1"/>
        </w:rPr>
      </w:pPr>
      <w:r>
        <w:rPr>
          <w:color w:val="000000" w:themeColor="text1"/>
        </w:rPr>
        <w:t xml:space="preserve"> (A) Variation of relative body weight, (B) frequency of hematochezia score, (C) average content of hemoglobin in stool as indicator of occult blood, (D) stool consistency score heatmap, (E) disease activity index (DAI) heatmap, and (F and G) colon length. Results are presented as mean ± SEM. CI: group administered with caspase inhibitor. * indicates statistically significant differences in relative </w:t>
      </w:r>
      <w:r>
        <w:rPr>
          <w:color w:val="000000" w:themeColor="text1"/>
        </w:rPr>
        <w:lastRenderedPageBreak/>
        <w:t xml:space="preserve">body weight between the CI and lunasin groups from day 12 to 16, and between the CI and control groups over the last 12 days of the experiment, or in colon length between the control and lunasin groups.  </w:t>
      </w:r>
    </w:p>
    <w:p w14:paraId="2F260E2D" w14:textId="77777777" w:rsidR="006D28A3" w:rsidRDefault="006D28A3" w:rsidP="006D28A3">
      <w:pPr>
        <w:rPr>
          <w:color w:val="FF0000"/>
        </w:rPr>
      </w:pPr>
    </w:p>
    <w:p w14:paraId="61FAB3E1" w14:textId="77777777" w:rsidR="006D28A3" w:rsidRDefault="006D28A3" w:rsidP="006D28A3">
      <w:pPr>
        <w:rPr>
          <w:color w:val="000000" w:themeColor="text1"/>
        </w:rPr>
      </w:pPr>
    </w:p>
    <w:p w14:paraId="69D3AF47" w14:textId="77777777" w:rsidR="00914B60" w:rsidRDefault="006D28A3" w:rsidP="005A09AF">
      <w:pPr>
        <w:keepNext/>
        <w:jc w:val="center"/>
      </w:pPr>
      <w:r>
        <w:rPr>
          <w:noProof/>
        </w:rPr>
        <w:lastRenderedPageBreak/>
        <w:drawing>
          <wp:inline distT="0" distB="0" distL="0" distR="0" wp14:anchorId="42654E2F" wp14:editId="43754A20">
            <wp:extent cx="5610225" cy="6191250"/>
            <wp:effectExtent l="0" t="0" r="9525"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10225" cy="6191250"/>
                    </a:xfrm>
                    <a:prstGeom prst="rect">
                      <a:avLst/>
                    </a:prstGeom>
                    <a:noFill/>
                    <a:ln>
                      <a:noFill/>
                    </a:ln>
                  </pic:spPr>
                </pic:pic>
              </a:graphicData>
            </a:graphic>
          </wp:inline>
        </w:drawing>
      </w:r>
    </w:p>
    <w:p w14:paraId="78F83040" w14:textId="474A32C7" w:rsidR="006D28A3" w:rsidRDefault="00914B60" w:rsidP="007F2E79">
      <w:pPr>
        <w:pStyle w:val="Caption"/>
        <w:spacing w:line="480" w:lineRule="auto"/>
        <w:jc w:val="center"/>
        <w:rPr>
          <w:color w:val="000000" w:themeColor="text1"/>
        </w:rPr>
      </w:pPr>
      <w:bookmarkStart w:id="110" w:name="_Toc77082187"/>
      <w:r>
        <w:t xml:space="preserve">Figure </w:t>
      </w:r>
      <w:fldSimple w:instr=" STYLEREF 1 \s ">
        <w:r w:rsidR="0023061D">
          <w:rPr>
            <w:noProof/>
          </w:rPr>
          <w:t>3</w:t>
        </w:r>
      </w:fldSimple>
      <w:r w:rsidR="00A8604A">
        <w:t>.</w:t>
      </w:r>
      <w:fldSimple w:instr=" SEQ Figure \* ARABIC \s 1 ">
        <w:r w:rsidR="0023061D">
          <w:rPr>
            <w:noProof/>
          </w:rPr>
          <w:t>2</w:t>
        </w:r>
      </w:fldSimple>
      <w:r>
        <w:t xml:space="preserve"> </w:t>
      </w:r>
      <w:r w:rsidRPr="00914B60">
        <w:rPr>
          <w:b w:val="0"/>
        </w:rPr>
        <w:t>Lunasin decreases intestinal levels of proinflammatory cytokines.</w:t>
      </w:r>
      <w:bookmarkEnd w:id="110"/>
    </w:p>
    <w:p w14:paraId="645FF1F2" w14:textId="77777777" w:rsidR="006D28A3" w:rsidRDefault="006D28A3" w:rsidP="007F2E79">
      <w:pPr>
        <w:spacing w:line="480" w:lineRule="auto"/>
        <w:rPr>
          <w:color w:val="000000" w:themeColor="text1"/>
        </w:rPr>
      </w:pPr>
      <w:r>
        <w:rPr>
          <w:color w:val="000000" w:themeColor="text1"/>
        </w:rPr>
        <w:t>(A) Heatmaps and (B-E) bar graphs of TNF-</w:t>
      </w:r>
      <w:r>
        <w:rPr>
          <w:color w:val="000000" w:themeColor="text1"/>
          <w:lang w:val="es-CO"/>
        </w:rPr>
        <w:t>α</w:t>
      </w:r>
      <w:r>
        <w:rPr>
          <w:color w:val="000000" w:themeColor="text1"/>
        </w:rPr>
        <w:t>, IL-6, IL-1</w:t>
      </w:r>
      <w:r>
        <w:rPr>
          <w:color w:val="000000" w:themeColor="text1"/>
          <w:lang w:val="es-CO"/>
        </w:rPr>
        <w:t>β</w:t>
      </w:r>
      <w:r w:rsidR="00E25534" w:rsidRPr="002449FA">
        <w:rPr>
          <w:color w:val="000000" w:themeColor="text1"/>
        </w:rPr>
        <w:t>,</w:t>
      </w:r>
      <w:r>
        <w:rPr>
          <w:color w:val="000000" w:themeColor="text1"/>
        </w:rPr>
        <w:t xml:space="preserve"> and IL-18 in the indicated sections of the small or large intestine. In the heatmaps, D, J, I, and C indicate duodenum, jejunum, ileum, and colon, respectively. Results are </w:t>
      </w:r>
      <w:r>
        <w:rPr>
          <w:color w:val="000000" w:themeColor="text1"/>
        </w:rPr>
        <w:lastRenderedPageBreak/>
        <w:t xml:space="preserve">presented as mean ± SEM. Different letters indicate significant differences between the treatment groups within the same intestinal section (p&lt; 0.05). </w:t>
      </w:r>
    </w:p>
    <w:p w14:paraId="4FD1C3EE" w14:textId="77777777" w:rsidR="006D28A3" w:rsidRDefault="006D28A3" w:rsidP="007F2E79">
      <w:pPr>
        <w:spacing w:line="480" w:lineRule="auto"/>
        <w:rPr>
          <w:color w:val="000000" w:themeColor="text1"/>
        </w:rPr>
      </w:pPr>
    </w:p>
    <w:p w14:paraId="3D565455" w14:textId="77777777" w:rsidR="006D28A3" w:rsidRDefault="006D28A3" w:rsidP="006D28A3">
      <w:pPr>
        <w:rPr>
          <w:color w:val="000000" w:themeColor="text1"/>
        </w:rPr>
      </w:pPr>
      <w:r>
        <w:rPr>
          <w:color w:val="000000" w:themeColor="text1"/>
          <w:lang w:eastAsia="es-CO"/>
        </w:rPr>
        <w:br w:type="page"/>
      </w:r>
    </w:p>
    <w:p w14:paraId="33EE16AC" w14:textId="77777777" w:rsidR="004D1AFD" w:rsidRDefault="006D28A3" w:rsidP="005A09AF">
      <w:pPr>
        <w:keepNext/>
        <w:jc w:val="center"/>
      </w:pPr>
      <w:r>
        <w:rPr>
          <w:noProof/>
        </w:rPr>
        <w:lastRenderedPageBreak/>
        <w:drawing>
          <wp:inline distT="0" distB="0" distL="0" distR="0" wp14:anchorId="05A97A6E" wp14:editId="51CA8867">
            <wp:extent cx="5610225" cy="2114550"/>
            <wp:effectExtent l="0" t="0" r="9525"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10225" cy="2114550"/>
                    </a:xfrm>
                    <a:prstGeom prst="rect">
                      <a:avLst/>
                    </a:prstGeom>
                    <a:noFill/>
                    <a:ln>
                      <a:noFill/>
                    </a:ln>
                  </pic:spPr>
                </pic:pic>
              </a:graphicData>
            </a:graphic>
          </wp:inline>
        </w:drawing>
      </w:r>
    </w:p>
    <w:p w14:paraId="4FE89D80" w14:textId="1524EE03" w:rsidR="006D28A3" w:rsidRDefault="004D1AFD" w:rsidP="007F2E79">
      <w:pPr>
        <w:pStyle w:val="Caption"/>
        <w:spacing w:line="480" w:lineRule="auto"/>
        <w:jc w:val="center"/>
        <w:rPr>
          <w:color w:val="000000" w:themeColor="text1"/>
        </w:rPr>
      </w:pPr>
      <w:bookmarkStart w:id="111" w:name="_Toc77082188"/>
      <w:r>
        <w:t xml:space="preserve">Figure </w:t>
      </w:r>
      <w:fldSimple w:instr=" STYLEREF 1 \s ">
        <w:r w:rsidR="0023061D">
          <w:rPr>
            <w:noProof/>
          </w:rPr>
          <w:t>3</w:t>
        </w:r>
      </w:fldSimple>
      <w:r w:rsidR="00A8604A">
        <w:t>.</w:t>
      </w:r>
      <w:fldSimple w:instr=" SEQ Figure \* ARABIC \s 1 ">
        <w:r w:rsidR="0023061D">
          <w:rPr>
            <w:noProof/>
          </w:rPr>
          <w:t>3</w:t>
        </w:r>
      </w:fldSimple>
      <w:r>
        <w:t xml:space="preserve"> </w:t>
      </w:r>
      <w:r w:rsidRPr="004D1AFD">
        <w:rPr>
          <w:b w:val="0"/>
        </w:rPr>
        <w:t>Principal component analysis showing the overall effect of lunasin over the characteristic IBD parameters evaluated in vivo</w:t>
      </w:r>
      <w:r>
        <w:rPr>
          <w:b w:val="0"/>
        </w:rPr>
        <w:t>.</w:t>
      </w:r>
      <w:bookmarkEnd w:id="111"/>
    </w:p>
    <w:p w14:paraId="29EF0940" w14:textId="77777777" w:rsidR="006D28A3" w:rsidRDefault="006D28A3" w:rsidP="007F2E79">
      <w:pPr>
        <w:spacing w:line="480" w:lineRule="auto"/>
        <w:rPr>
          <w:color w:val="000000" w:themeColor="text1"/>
        </w:rPr>
      </w:pPr>
      <w:r>
        <w:rPr>
          <w:color w:val="000000" w:themeColor="text1"/>
        </w:rPr>
        <w:t>(A) Score plot and (B) loading plot for the first two principal components (PC1 and PC2) that explain 63% of the variance of the 42 variables with higher discriminatory potential preselected using the method of Wilk’s lambda. The matrix was generated using the following data: relative body weight (W), stool consistency scores (SC), and hematochezia scores (VB) from day 1 to 35, colon length (CL), MPO activity (M), IL-18 (18), IL-1</w:t>
      </w:r>
      <w:r>
        <w:rPr>
          <w:color w:val="000000" w:themeColor="text1"/>
          <w:lang w:val="es-CO"/>
        </w:rPr>
        <w:t>β</w:t>
      </w:r>
      <w:r>
        <w:rPr>
          <w:color w:val="000000" w:themeColor="text1"/>
        </w:rPr>
        <w:t xml:space="preserve"> (1B), TNF-</w:t>
      </w:r>
      <w:r>
        <w:rPr>
          <w:color w:val="000000" w:themeColor="text1"/>
          <w:lang w:val="es-CO"/>
        </w:rPr>
        <w:t>α</w:t>
      </w:r>
      <w:r>
        <w:rPr>
          <w:color w:val="000000" w:themeColor="text1"/>
        </w:rPr>
        <w:t xml:space="preserve"> (T), IL-6 (6) for the duodenum (D), jejunum (J), ileum (I), and colon (C).   </w:t>
      </w:r>
    </w:p>
    <w:p w14:paraId="5242963E" w14:textId="77777777" w:rsidR="006D28A3" w:rsidRDefault="006D28A3" w:rsidP="006D28A3">
      <w:pPr>
        <w:rPr>
          <w:color w:val="000000" w:themeColor="text1"/>
        </w:rPr>
      </w:pPr>
    </w:p>
    <w:p w14:paraId="5F8AB8FD" w14:textId="77777777" w:rsidR="006D28A3" w:rsidRDefault="006D28A3" w:rsidP="006D28A3">
      <w:pPr>
        <w:rPr>
          <w:color w:val="000000" w:themeColor="text1"/>
        </w:rPr>
      </w:pPr>
      <w:r>
        <w:rPr>
          <w:color w:val="000000" w:themeColor="text1"/>
          <w:lang w:eastAsia="es-CO"/>
        </w:rPr>
        <w:br w:type="page"/>
      </w:r>
    </w:p>
    <w:p w14:paraId="67E7B466" w14:textId="77777777" w:rsidR="00AB4198" w:rsidRDefault="006D28A3" w:rsidP="005A09AF">
      <w:pPr>
        <w:keepNext/>
        <w:jc w:val="center"/>
      </w:pPr>
      <w:r>
        <w:rPr>
          <w:noProof/>
          <w:color w:val="000000" w:themeColor="text1"/>
        </w:rPr>
        <w:lastRenderedPageBreak/>
        <w:drawing>
          <wp:inline distT="0" distB="0" distL="0" distR="0" wp14:anchorId="61DFCB55" wp14:editId="618855A4">
            <wp:extent cx="5610225" cy="4953000"/>
            <wp:effectExtent l="0" t="0" r="9525" b="0"/>
            <wp:docPr id="16" name="Imagen 16" descr="A picture containing text, synthesiz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picture containing text, synthesizer&#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10225" cy="4953000"/>
                    </a:xfrm>
                    <a:prstGeom prst="rect">
                      <a:avLst/>
                    </a:prstGeom>
                    <a:noFill/>
                    <a:ln>
                      <a:noFill/>
                    </a:ln>
                  </pic:spPr>
                </pic:pic>
              </a:graphicData>
            </a:graphic>
          </wp:inline>
        </w:drawing>
      </w:r>
    </w:p>
    <w:p w14:paraId="3F009BE0" w14:textId="42EE343B" w:rsidR="006D28A3" w:rsidRPr="00AB4198" w:rsidRDefault="00AB4198" w:rsidP="007F2E79">
      <w:pPr>
        <w:pStyle w:val="Caption"/>
        <w:spacing w:line="480" w:lineRule="auto"/>
        <w:jc w:val="center"/>
        <w:rPr>
          <w:b w:val="0"/>
          <w:color w:val="000000" w:themeColor="text1"/>
        </w:rPr>
      </w:pPr>
      <w:bookmarkStart w:id="112" w:name="_Toc77082189"/>
      <w:r>
        <w:t xml:space="preserve">Figure </w:t>
      </w:r>
      <w:fldSimple w:instr=" STYLEREF 1 \s ">
        <w:r w:rsidR="0023061D">
          <w:rPr>
            <w:noProof/>
          </w:rPr>
          <w:t>3</w:t>
        </w:r>
      </w:fldSimple>
      <w:r w:rsidR="00A8604A">
        <w:t>.</w:t>
      </w:r>
      <w:fldSimple w:instr=" SEQ Figure \* ARABIC \s 1 ">
        <w:r w:rsidR="0023061D">
          <w:rPr>
            <w:noProof/>
          </w:rPr>
          <w:t>4</w:t>
        </w:r>
      </w:fldSimple>
      <w:r>
        <w:t xml:space="preserve"> </w:t>
      </w:r>
      <w:r w:rsidRPr="00AB4198">
        <w:rPr>
          <w:b w:val="0"/>
        </w:rPr>
        <w:t>Lunasin abrogates the activation of NLRP3 inflammasome.</w:t>
      </w:r>
      <w:bookmarkEnd w:id="112"/>
    </w:p>
    <w:p w14:paraId="1568ACA8" w14:textId="4B4D1167" w:rsidR="006D28A3" w:rsidRDefault="00AB4198" w:rsidP="007F2E79">
      <w:pPr>
        <w:spacing w:line="480" w:lineRule="auto"/>
        <w:rPr>
          <w:color w:val="000000" w:themeColor="text1"/>
        </w:rPr>
      </w:pPr>
      <w:r>
        <w:rPr>
          <w:color w:val="000000" w:themeColor="text1"/>
        </w:rPr>
        <w:t xml:space="preserve"> </w:t>
      </w:r>
      <w:r w:rsidR="006D28A3">
        <w:rPr>
          <w:color w:val="000000" w:themeColor="text1"/>
        </w:rPr>
        <w:t>(A) Cell viability, (B) IL-1</w:t>
      </w:r>
      <w:r w:rsidR="006D28A3">
        <w:rPr>
          <w:color w:val="000000" w:themeColor="text1"/>
          <w:lang w:val="es-CO"/>
        </w:rPr>
        <w:t>β</w:t>
      </w:r>
      <w:r w:rsidR="006D28A3">
        <w:rPr>
          <w:color w:val="000000" w:themeColor="text1"/>
        </w:rPr>
        <w:t xml:space="preserve">, (C) IL-18, and (D) caspase-1 concentration in the extracellular media, (E) cellular </w:t>
      </w:r>
      <w:r w:rsidR="00C07E6D">
        <w:rPr>
          <w:color w:val="000000" w:themeColor="text1"/>
        </w:rPr>
        <w:t xml:space="preserve">protein levels </w:t>
      </w:r>
      <w:r w:rsidR="006D28A3">
        <w:rPr>
          <w:color w:val="000000" w:themeColor="text1"/>
        </w:rPr>
        <w:t xml:space="preserve">of inflammasome components, and (F) quantification of the </w:t>
      </w:r>
      <w:r w:rsidR="00C07E6D">
        <w:rPr>
          <w:color w:val="000000" w:themeColor="text1"/>
        </w:rPr>
        <w:t xml:space="preserve">protein levels </w:t>
      </w:r>
      <w:r w:rsidR="006D28A3">
        <w:rPr>
          <w:color w:val="000000" w:themeColor="text1"/>
        </w:rPr>
        <w:t xml:space="preserve">of NLRP3, upon LPS-priming and ATP-activation of the NLRP3 inflammasome in differentiated THP-1 human macrophages in the presence or absence of lunasin.  Results are presented as mean ± SD. Different letters indicate significant differences between the treatments (p&lt; 0.05). </w:t>
      </w:r>
    </w:p>
    <w:p w14:paraId="00C97EDA" w14:textId="6EFF232D" w:rsidR="006D28A3" w:rsidRDefault="006D28A3" w:rsidP="006D28A3">
      <w:pPr>
        <w:rPr>
          <w:color w:val="000000" w:themeColor="text1"/>
        </w:rPr>
      </w:pPr>
    </w:p>
    <w:p w14:paraId="4D1421F9" w14:textId="77777777" w:rsidR="00686E43" w:rsidRDefault="006D28A3" w:rsidP="005A09AF">
      <w:pPr>
        <w:keepNext/>
        <w:tabs>
          <w:tab w:val="left" w:pos="1368"/>
        </w:tabs>
        <w:jc w:val="center"/>
      </w:pPr>
      <w:r>
        <w:rPr>
          <w:noProof/>
        </w:rPr>
        <w:drawing>
          <wp:inline distT="0" distB="0" distL="0" distR="0" wp14:anchorId="464A65A5" wp14:editId="2F2A4874">
            <wp:extent cx="5610225" cy="4838700"/>
            <wp:effectExtent l="0" t="0" r="9525"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10225" cy="4838700"/>
                    </a:xfrm>
                    <a:prstGeom prst="rect">
                      <a:avLst/>
                    </a:prstGeom>
                    <a:noFill/>
                    <a:ln>
                      <a:noFill/>
                    </a:ln>
                  </pic:spPr>
                </pic:pic>
              </a:graphicData>
            </a:graphic>
          </wp:inline>
        </w:drawing>
      </w:r>
    </w:p>
    <w:p w14:paraId="186830D1" w14:textId="3953EEC2" w:rsidR="006D28A3" w:rsidRPr="00686E43" w:rsidRDefault="00686E43" w:rsidP="007F2E79">
      <w:pPr>
        <w:pStyle w:val="Caption"/>
        <w:spacing w:line="480" w:lineRule="auto"/>
        <w:jc w:val="center"/>
        <w:rPr>
          <w:b w:val="0"/>
          <w:color w:val="000000" w:themeColor="text1"/>
        </w:rPr>
      </w:pPr>
      <w:bookmarkStart w:id="113" w:name="_Toc77082190"/>
      <w:r>
        <w:t xml:space="preserve">Figure </w:t>
      </w:r>
      <w:fldSimple w:instr=" STYLEREF 1 \s ">
        <w:r w:rsidR="0023061D">
          <w:rPr>
            <w:noProof/>
          </w:rPr>
          <w:t>3</w:t>
        </w:r>
      </w:fldSimple>
      <w:r w:rsidR="00A8604A">
        <w:t>.</w:t>
      </w:r>
      <w:fldSimple w:instr=" SEQ Figure \* ARABIC \s 1 ">
        <w:r w:rsidR="0023061D">
          <w:rPr>
            <w:noProof/>
          </w:rPr>
          <w:t>5</w:t>
        </w:r>
      </w:fldSimple>
      <w:r>
        <w:t xml:space="preserve"> </w:t>
      </w:r>
      <w:r w:rsidRPr="00686E43">
        <w:rPr>
          <w:b w:val="0"/>
        </w:rPr>
        <w:t>Modulation of the NLRP3 inflammasome by lunasin is independent of mitochondrial ROS.</w:t>
      </w:r>
      <w:bookmarkEnd w:id="113"/>
    </w:p>
    <w:p w14:paraId="70257B51" w14:textId="77777777" w:rsidR="006D28A3" w:rsidRDefault="006D28A3" w:rsidP="007F2E79">
      <w:pPr>
        <w:spacing w:line="480" w:lineRule="auto"/>
        <w:rPr>
          <w:color w:val="000000" w:themeColor="text1"/>
        </w:rPr>
      </w:pPr>
      <w:r>
        <w:rPr>
          <w:color w:val="000000" w:themeColor="text1"/>
        </w:rPr>
        <w:t>Production of (A) IL-1</w:t>
      </w:r>
      <w:r>
        <w:rPr>
          <w:color w:val="000000" w:themeColor="text1"/>
          <w:lang w:val="es-CO"/>
        </w:rPr>
        <w:t>β</w:t>
      </w:r>
      <w:r>
        <w:rPr>
          <w:color w:val="000000" w:themeColor="text1"/>
        </w:rPr>
        <w:t xml:space="preserve"> and mitochondrial ROS as detected and quantified by fluorescence microscopy (B and C) or flow cytometry (D and E) upon challenge with antimycin A in the presence or absence of lunasin. Results are presented as mean ± SD. Different letters indicate significant differences between the treatments (p&lt; 0.05).</w:t>
      </w:r>
    </w:p>
    <w:p w14:paraId="2D7E732F" w14:textId="77777777" w:rsidR="006D28A3" w:rsidRDefault="006D28A3" w:rsidP="007F2E79">
      <w:pPr>
        <w:spacing w:line="480" w:lineRule="auto"/>
        <w:rPr>
          <w:color w:val="000000" w:themeColor="text1"/>
        </w:rPr>
      </w:pPr>
      <w:r>
        <w:rPr>
          <w:color w:val="000000" w:themeColor="text1"/>
          <w:lang w:eastAsia="es-CO"/>
        </w:rPr>
        <w:br w:type="page"/>
      </w:r>
    </w:p>
    <w:p w14:paraId="67159E80" w14:textId="77777777" w:rsidR="00686E43" w:rsidRDefault="006D28A3" w:rsidP="005A09AF">
      <w:pPr>
        <w:keepNext/>
        <w:tabs>
          <w:tab w:val="left" w:pos="1368"/>
        </w:tabs>
        <w:jc w:val="center"/>
      </w:pPr>
      <w:r>
        <w:rPr>
          <w:noProof/>
        </w:rPr>
        <w:lastRenderedPageBreak/>
        <w:drawing>
          <wp:inline distT="0" distB="0" distL="0" distR="0" wp14:anchorId="042A57FF" wp14:editId="677E7A8C">
            <wp:extent cx="5619750" cy="6486525"/>
            <wp:effectExtent l="0" t="0" r="0" b="952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19750" cy="6486525"/>
                    </a:xfrm>
                    <a:prstGeom prst="rect">
                      <a:avLst/>
                    </a:prstGeom>
                    <a:noFill/>
                    <a:ln>
                      <a:noFill/>
                    </a:ln>
                  </pic:spPr>
                </pic:pic>
              </a:graphicData>
            </a:graphic>
          </wp:inline>
        </w:drawing>
      </w:r>
    </w:p>
    <w:p w14:paraId="436E78D4" w14:textId="18D1F98D" w:rsidR="006D28A3" w:rsidRDefault="00686E43" w:rsidP="007F2E79">
      <w:pPr>
        <w:pStyle w:val="Caption"/>
        <w:spacing w:line="480" w:lineRule="auto"/>
        <w:jc w:val="center"/>
        <w:rPr>
          <w:color w:val="000000" w:themeColor="text1"/>
        </w:rPr>
      </w:pPr>
      <w:bookmarkStart w:id="114" w:name="_Toc77082191"/>
      <w:r>
        <w:t xml:space="preserve">Figure </w:t>
      </w:r>
      <w:fldSimple w:instr=" STYLEREF 1 \s ">
        <w:r w:rsidR="0023061D">
          <w:rPr>
            <w:noProof/>
          </w:rPr>
          <w:t>3</w:t>
        </w:r>
      </w:fldSimple>
      <w:r w:rsidR="00A8604A">
        <w:t>.</w:t>
      </w:r>
      <w:fldSimple w:instr=" SEQ Figure \* ARABIC \s 1 ">
        <w:r w:rsidR="0023061D">
          <w:rPr>
            <w:noProof/>
          </w:rPr>
          <w:t>6</w:t>
        </w:r>
      </w:fldSimple>
      <w:r>
        <w:t xml:space="preserve"> </w:t>
      </w:r>
      <w:r w:rsidRPr="00686E43">
        <w:rPr>
          <w:b w:val="0"/>
        </w:rPr>
        <w:t xml:space="preserve">Lunasin reduces extracellular IL-1β during the activation phase but does not </w:t>
      </w:r>
      <w:r w:rsidR="00E25534">
        <w:rPr>
          <w:b w:val="0"/>
        </w:rPr>
        <w:t>affect</w:t>
      </w:r>
      <w:r w:rsidR="00E25534" w:rsidRPr="00686E43">
        <w:rPr>
          <w:b w:val="0"/>
        </w:rPr>
        <w:t xml:space="preserve"> </w:t>
      </w:r>
      <w:r w:rsidRPr="00686E43">
        <w:rPr>
          <w:b w:val="0"/>
        </w:rPr>
        <w:t>potassium efflux.</w:t>
      </w:r>
      <w:bookmarkEnd w:id="114"/>
    </w:p>
    <w:p w14:paraId="001E3F2D" w14:textId="77777777" w:rsidR="006D28A3" w:rsidRDefault="006D28A3" w:rsidP="007F2E79">
      <w:pPr>
        <w:spacing w:line="480" w:lineRule="auto"/>
        <w:rPr>
          <w:color w:val="000000" w:themeColor="text1"/>
        </w:rPr>
      </w:pPr>
      <w:r>
        <w:rPr>
          <w:color w:val="000000" w:themeColor="text1"/>
        </w:rPr>
        <w:t>Extracellular concentration of IL-1</w:t>
      </w:r>
      <w:r>
        <w:rPr>
          <w:color w:val="000000" w:themeColor="text1"/>
          <w:lang w:val="es-CO"/>
        </w:rPr>
        <w:t>β</w:t>
      </w:r>
      <w:r>
        <w:rPr>
          <w:color w:val="000000" w:themeColor="text1"/>
        </w:rPr>
        <w:t xml:space="preserve"> (A, C, E and G) or IL-18 (D, F and H), and cell viability (B) evaluated in differentiated THP-1 human macrophages exposed </w:t>
      </w:r>
      <w:r>
        <w:rPr>
          <w:color w:val="000000" w:themeColor="text1"/>
        </w:rPr>
        <w:lastRenderedPageBreak/>
        <w:t>to different priming and activation conditions. (A) Activation of LPS- primed cells for different times with K</w:t>
      </w:r>
      <w:r>
        <w:rPr>
          <w:color w:val="000000" w:themeColor="text1"/>
          <w:vertAlign w:val="superscript"/>
        </w:rPr>
        <w:t xml:space="preserve">+ </w:t>
      </w:r>
      <w:r>
        <w:rPr>
          <w:color w:val="000000" w:themeColor="text1"/>
        </w:rPr>
        <w:t>conditioned media. (B, C and D) LPS-primed (LPS+) and non-primed (LPS-) cells were activated for 2 h with K</w:t>
      </w:r>
      <w:r>
        <w:rPr>
          <w:color w:val="000000" w:themeColor="text1"/>
          <w:vertAlign w:val="superscript"/>
        </w:rPr>
        <w:t>+</w:t>
      </w:r>
      <w:r>
        <w:rPr>
          <w:color w:val="000000" w:themeColor="text1"/>
        </w:rPr>
        <w:t xml:space="preserve"> conditioned media. (E and F) Cells primed with (+) or without (-) LPS and/or lunasin, and then activated for 2 h with 1.0 mM K</w:t>
      </w:r>
      <w:r>
        <w:rPr>
          <w:color w:val="000000" w:themeColor="text1"/>
          <w:vertAlign w:val="superscript"/>
        </w:rPr>
        <w:t>+</w:t>
      </w:r>
      <w:r>
        <w:rPr>
          <w:color w:val="000000" w:themeColor="text1"/>
        </w:rPr>
        <w:t xml:space="preserve"> conditioned media. (G and H) Cells primed (LPS+) or not (LPS-) with LPS, and then activated with 1.0 mM K</w:t>
      </w:r>
      <w:r>
        <w:rPr>
          <w:color w:val="000000" w:themeColor="text1"/>
          <w:vertAlign w:val="superscript"/>
        </w:rPr>
        <w:t>+</w:t>
      </w:r>
      <w:r>
        <w:rPr>
          <w:color w:val="000000" w:themeColor="text1"/>
        </w:rPr>
        <w:t xml:space="preserve"> conditioned media with or without lunasin. Results are presented as mean ± SD. Different letters and * indicate significant differences between the treatments (p&lt; 0.05).</w:t>
      </w:r>
    </w:p>
    <w:p w14:paraId="236A52E1" w14:textId="77777777" w:rsidR="00B26C38" w:rsidRDefault="00B26C38">
      <w:pPr>
        <w:rPr>
          <w:color w:val="000000" w:themeColor="text1"/>
        </w:rPr>
      </w:pPr>
      <w:r>
        <w:rPr>
          <w:color w:val="000000" w:themeColor="text1"/>
        </w:rPr>
        <w:br w:type="page"/>
      </w:r>
    </w:p>
    <w:p w14:paraId="40FA37B0" w14:textId="77777777" w:rsidR="00F62846" w:rsidRDefault="00F62846">
      <w:pPr>
        <w:rPr>
          <w:color w:val="000000" w:themeColor="text1"/>
        </w:rPr>
        <w:sectPr w:rsidR="00F62846" w:rsidSect="001823CC">
          <w:pgSz w:w="12240" w:h="15840" w:code="1"/>
          <w:pgMar w:top="1440" w:right="1800" w:bottom="1872" w:left="1800" w:header="720" w:footer="1440" w:gutter="0"/>
          <w:cols w:space="720"/>
          <w:noEndnote/>
          <w:docGrid w:linePitch="360"/>
        </w:sectPr>
      </w:pPr>
    </w:p>
    <w:p w14:paraId="5A373AC5" w14:textId="79C4A917" w:rsidR="00F62846" w:rsidRDefault="00F62846" w:rsidP="00976CAC">
      <w:pPr>
        <w:pStyle w:val="Heading1"/>
        <w:numPr>
          <w:ilvl w:val="0"/>
          <w:numId w:val="10"/>
        </w:numPr>
        <w:spacing w:line="480" w:lineRule="auto"/>
        <w:rPr>
          <w:caps w:val="0"/>
        </w:rPr>
      </w:pPr>
      <w:bookmarkStart w:id="115" w:name="_Toc77082145"/>
      <w:r w:rsidRPr="00F62846">
        <w:rPr>
          <w:caps w:val="0"/>
        </w:rPr>
        <w:lastRenderedPageBreak/>
        <w:t>CHEMOPREVENTIVE EFFECT OF LUNASIN IN AOM/DSS-INDUCED COLITIS-ASSOCIATED COLORECTAL CANCER IN MICE</w:t>
      </w:r>
      <w:bookmarkEnd w:id="115"/>
    </w:p>
    <w:p w14:paraId="13D67D9F" w14:textId="77777777" w:rsidR="00F62846" w:rsidRDefault="00F62846" w:rsidP="007F2E79">
      <w:pPr>
        <w:spacing w:line="480" w:lineRule="auto"/>
        <w:jc w:val="center"/>
        <w:rPr>
          <w:b/>
          <w:bCs/>
          <w:sz w:val="28"/>
        </w:rPr>
      </w:pPr>
      <w:r>
        <w:rPr>
          <w:b/>
          <w:bCs/>
          <w:sz w:val="28"/>
        </w:rPr>
        <w:br w:type="page"/>
      </w:r>
    </w:p>
    <w:p w14:paraId="269DFF60" w14:textId="77777777" w:rsidR="00F62846" w:rsidRDefault="00F62846" w:rsidP="00F62846">
      <w:pPr>
        <w:rPr>
          <w:b/>
          <w:bCs/>
          <w:sz w:val="28"/>
        </w:rPr>
        <w:sectPr w:rsidR="00F62846" w:rsidSect="00F62846">
          <w:pgSz w:w="12240" w:h="15840" w:code="1"/>
          <w:pgMar w:top="1440" w:right="1800" w:bottom="1872" w:left="1800" w:header="720" w:footer="1440" w:gutter="0"/>
          <w:cols w:space="720"/>
          <w:vAlign w:val="center"/>
          <w:noEndnote/>
          <w:docGrid w:linePitch="360"/>
        </w:sectPr>
      </w:pPr>
    </w:p>
    <w:p w14:paraId="3445C3AF" w14:textId="77777777" w:rsidR="00F62846" w:rsidRDefault="00F62846" w:rsidP="00C1410F">
      <w:pPr>
        <w:pStyle w:val="Heading2"/>
        <w:spacing w:line="480" w:lineRule="auto"/>
        <w:rPr>
          <w:color w:val="000000" w:themeColor="text1"/>
          <w:sz w:val="24"/>
          <w:szCs w:val="24"/>
        </w:rPr>
      </w:pPr>
      <w:bookmarkStart w:id="116" w:name="_Toc77082146"/>
      <w:r>
        <w:lastRenderedPageBreak/>
        <w:t>4.1 Abstract</w:t>
      </w:r>
      <w:bookmarkEnd w:id="116"/>
    </w:p>
    <w:p w14:paraId="4BF7EC09" w14:textId="66A17522" w:rsidR="00F62846" w:rsidRDefault="00F62846" w:rsidP="00C1410F">
      <w:pPr>
        <w:spacing w:line="480" w:lineRule="auto"/>
        <w:ind w:firstLine="720"/>
      </w:pPr>
      <w:r>
        <w:t xml:space="preserve">Colitis-associated colorectal cancer (CA-CRC) accounts for the second cause of death among patients with inflammatory bowel disease (IBD). The soy-derived bioactive peptide lunasin has demonstrated </w:t>
      </w:r>
      <w:r>
        <w:rPr>
          <w:i/>
          <w:iCs/>
        </w:rPr>
        <w:t>in vitro</w:t>
      </w:r>
      <w:r>
        <w:t xml:space="preserve"> anti-inflammatory and anti-cancer properties, as well as chemopreventive properties </w:t>
      </w:r>
      <w:r>
        <w:rPr>
          <w:i/>
          <w:iCs/>
        </w:rPr>
        <w:t>in vivo</w:t>
      </w:r>
      <w:r>
        <w:t xml:space="preserve">. However, the potential effect of lunasin in CA-CRC has not been addressed. In this study, we used an in </w:t>
      </w:r>
      <w:r>
        <w:rPr>
          <w:i/>
          <w:iCs/>
        </w:rPr>
        <w:t>vivo</w:t>
      </w:r>
      <w:r>
        <w:t xml:space="preserve"> model of CA-CRC induced by azoxymethane and dextran sulfate sodium to evaluate the effect of oral administration of lunasin over the macroscopic symptoms of the disease, markers of inflammation, and tumor burden. Lunasin administration lessened the manifestation of the disease by facilitating the gain of body weight and accelerating the recovery of stool consistency during periods of mild and moderate inflammation. This effect was accompanied by a reduction in neutrophils infiltration (p=0.024) and activity (p=0.062), attenuated damage of the mucosal architecture (p=0.68), and the increased </w:t>
      </w:r>
      <w:r w:rsidR="00C07E6D">
        <w:t xml:space="preserve">levels </w:t>
      </w:r>
      <w:r>
        <w:t>of the marker of epithelial integrity E-cadherin (p=0.049). Prevention of spleen enlargement (p=0.039) and lower</w:t>
      </w:r>
      <w:r w:rsidR="00B7458D">
        <w:t>ing</w:t>
      </w:r>
      <w:r>
        <w:t xml:space="preserve"> concentration of the pro-inflammatory cytokine TNF-α in the serum (p=0.029) suggested a potential systemic effect of lunasin. Treatment with lunasin reduced tumor incidence and tumor multiplicity (p=0.036) and mitigated the malignant transformation of dysplastic lesions. Our findings demonstrated for the first time the anti-inflammatory and chemopreventive properties of lunasin in CA-CRC and suggest the peptide as a promising protective agent against IBD-associated cancers. </w:t>
      </w:r>
    </w:p>
    <w:p w14:paraId="4E848D46" w14:textId="77777777" w:rsidR="00F62846" w:rsidRPr="00F62846" w:rsidRDefault="00F62846" w:rsidP="00C1410F">
      <w:pPr>
        <w:pStyle w:val="Heading2"/>
        <w:spacing w:line="480" w:lineRule="auto"/>
      </w:pPr>
      <w:bookmarkStart w:id="117" w:name="_Toc77082147"/>
      <w:r>
        <w:lastRenderedPageBreak/>
        <w:t xml:space="preserve">4.2 </w:t>
      </w:r>
      <w:r w:rsidRPr="00F62846">
        <w:t>Introduction</w:t>
      </w:r>
      <w:bookmarkEnd w:id="117"/>
      <w:r w:rsidRPr="00F62846">
        <w:t xml:space="preserve"> </w:t>
      </w:r>
    </w:p>
    <w:p w14:paraId="1646E4F5" w14:textId="168DCA0C" w:rsidR="00C1410F" w:rsidRDefault="00C1410F" w:rsidP="00C1410F">
      <w:pPr>
        <w:spacing w:line="480" w:lineRule="auto"/>
        <w:ind w:firstLine="720"/>
      </w:pPr>
      <w:r>
        <w:rPr>
          <w:color w:val="000000" w:themeColor="text1"/>
        </w:rPr>
        <w:t xml:space="preserve">Colorectal cancer (CRC) is the second most deadly cancer in the United States, and the incidence of the disease is rapidly shifting toward younger populations </w:t>
      </w:r>
      <w:r>
        <w:rPr>
          <w:color w:val="000000" w:themeColor="text1"/>
        </w:rPr>
        <w:fldChar w:fldCharType="begin" w:fldLock="1"/>
      </w:r>
      <w:r>
        <w:rPr>
          <w:color w:val="000000" w:themeColor="text1"/>
        </w:rPr>
        <w:instrText>ADDIN CSL_CITATION {"citationItems":[{"id":"ITEM-1","itemData":{"DOI":"10.3322/caac.21601","ISSN":"0007-9235","PMID":"32133645","abstract":"Colorectal cancer (CRC) is the second most common cause of cancer death in the United States. Every 3 years, the American Cancer Society provides an update of CRC occurrence based on incidence data (available through 2016) from population-based cancer registries and mortality data (through 2017) from the National Center for Health Statistics. In 2020, approximately 147,950 individuals will be diagnosed with CRC and 53,200 will die from the disease, including 17,930 cases and 3,640 deaths in individuals aged younger than 50 years. The incidence rate during 2012 through 2016 ranged from 30 (per 100,000 persons) in Asian/Pacific Islanders to 45.7 in blacks and 89 in Alaska Natives. Rapid declines in incidence among screening-aged individuals during the 2000s continued during 2011 through 2016 in those aged 65 years and older (by 3.3% annually) but reversed in those aged 50 to 64 years, among whom rates increased by 1% annually. Among individuals aged younger than 50 years, the incidence rate increased by approximately 2% annually for tumors in the proximal and distal colon, as well as the rectum, driven by trends in non-Hispanic whites. CRC death rates during 2008 through 2017 declined by 3% annually in individuals aged 65 years and older and by 0.6% annually in individuals aged 50 to 64 years while increasing by 1.3% annually in those aged younger than 50 years. Mortality declines among individuals aged 50 years and older were steepest among blacks, who also had the only decreasing trend among those aged younger than 50 years, and excluded American Indians/Alaska Natives, among whom rates remained stable. Progress against CRC can be accelerated by increasing access to guideline-recommended screening and high-quality treatment, particularly among Alaska Natives, and elucidating causes for rising incidence in young and middle-aged adults.","author":[{"dropping-particle":"","family":"Siegel","given":"Rebecca L.","non-dropping-particle":"","parse-names":false,"suffix":""},{"dropping-particle":"","family":"Miller","given":"Kimberly D.","non-dropping-particle":"","parse-names":false,"suffix":""},{"dropping-particle":"","family":"Goding Sauer","given":"Ann","non-dropping-particle":"","parse-names":false,"suffix":""},{"dropping-particle":"","family":"Fedewa","given":"Stacey A.","non-dropping-particle":"","parse-names":false,"suffix":""},{"dropping-particle":"","family":"Butterly","given":"Lynn F.","non-dropping-particle":"","parse-names":false,"suffix":""},{"dropping-particle":"","family":"Anderson","given":"Joseph C.","non-dropping-particle":"","parse-names":false,"suffix":""},{"dropping-particle":"","family":"Cercek","given":"Andrea","non-dropping-particle":"","parse-names":false,"suffix":""},{"dropping-particle":"","family":"Smith","given":"Robert A.","non-dropping-particle":"","parse-names":false,"suffix":""},{"dropping-particle":"","family":"Jemal","given":"Ahmedin","non-dropping-particle":"","parse-names":false,"suffix":""}],"container-title":"CA: A Cancer Journal for Clinicians","id":"ITEM-1","issue":"3","issued":{"date-parts":[["2020","5","1"]]},"page":"145-164","publisher":"Wiley","title":"Colorectal cancer statistics, 2020","type":"article-journal","volume":"70"},"uris":["http://www.mendeley.com/documents/?uuid=b26640ae-f956-3556-8ee8-c871e95b1c21"]}],"mendeley":{"formattedCitation":"[1]","plainTextFormattedCitation":"[1]","previouslyFormattedCitation":"[175]"},"properties":{"noteIndex":0},"schema":"https://github.com/citation-style-language/schema/raw/master/csl-citation.json"}</w:instrText>
      </w:r>
      <w:r>
        <w:rPr>
          <w:color w:val="000000" w:themeColor="text1"/>
        </w:rPr>
        <w:fldChar w:fldCharType="separate"/>
      </w:r>
      <w:r w:rsidRPr="006F7BF5">
        <w:rPr>
          <w:noProof/>
          <w:color w:val="000000" w:themeColor="text1"/>
        </w:rPr>
        <w:t>[1]</w:t>
      </w:r>
      <w:r>
        <w:rPr>
          <w:color w:val="000000" w:themeColor="text1"/>
        </w:rPr>
        <w:fldChar w:fldCharType="end"/>
      </w:r>
      <w:r>
        <w:rPr>
          <w:color w:val="000000" w:themeColor="text1"/>
        </w:rPr>
        <w:t>. Although the most prevalent forms of CRC</w:t>
      </w:r>
      <w:r w:rsidR="00AE704A" w:rsidRPr="00AE704A">
        <w:rPr>
          <w:color w:val="000000" w:themeColor="text1"/>
        </w:rPr>
        <w:t xml:space="preserve"> </w:t>
      </w:r>
      <w:r w:rsidR="00AE704A">
        <w:rPr>
          <w:color w:val="000000" w:themeColor="text1"/>
        </w:rPr>
        <w:t>are sporadic and familial-related</w:t>
      </w:r>
      <w:r>
        <w:rPr>
          <w:color w:val="000000" w:themeColor="text1"/>
        </w:rPr>
        <w:t xml:space="preserve">, a higher risk of developing colitis-associated colorectal cancer (CA-CRC) is prevalent in patients affected by inflammatory bowel disease (IBD) </w:t>
      </w:r>
      <w:r>
        <w:rPr>
          <w:color w:val="000000" w:themeColor="text1"/>
        </w:rPr>
        <w:fldChar w:fldCharType="begin" w:fldLock="1"/>
      </w:r>
      <w:r>
        <w:rPr>
          <w:color w:val="000000" w:themeColor="text1"/>
        </w:rPr>
        <w:instrText>ADDIN CSL_CITATION {"citationItems":[{"id":"ITEM-1","itemData":{"DOI":"10.1053/j.gastro.2010.01.058","ISSN":"00165085","PMID":"20420949","abstract":"The connection between inflammation and tumorigenesis is well-established and in the last decade has received a great deal of supporting evidence from genetic, pharmacological, and epidemiological data. Inflammatory bowel disease is an important risk factor for the development of colon cancer. Inflammation is also likely to be involved with other forms of sporadic as well as heritable colon cancer. The molecular mechanisms by which inflammation promotes cancer development are still being uncovered and could differ between colitis-associated and other forms of colorectal cancer. Recent work has elucidated the role of distinct immune cells, cytokines, and other immune mediators in virtually all steps of colon tumorigenesis, including initiation, promotion, progression, and metastasis. These mechanisms, as well as new approaches to prevention and therapy, are discussed in this review. © 2010 AGA Institute.","author":[{"dropping-particle":"","family":"Terzić","given":"Janoš","non-dropping-particle":"","parse-names":false,"suffix":""},{"dropping-particle":"","family":"Grivennikov","given":"Sergei","non-dropping-particle":"","parse-names":false,"suffix":""},{"dropping-particle":"","family":"Karin","given":"Eliad","non-dropping-particle":"","parse-names":false,"suffix":""},{"dropping-particle":"","family":"Karin","given":"Michael","non-dropping-particle":"","parse-names":false,"suffix":""}],"container-title":"Gastroenterology","id":"ITEM-1","issue":"6","issued":{"date-parts":[["2010","5","1"]]},"page":"2101-2114.e5","publisher":"W.B. Saunders","title":"Inflammation and Colon Cancer","type":"article-journal","volume":"138"},"uris":["http://www.mendeley.com/documents/?uuid=b3894ff3-cb11-3ce0-901c-e434635547b4"]}],"mendeley":{"formattedCitation":"[2]","plainTextFormattedCitation":"[2]","previouslyFormattedCitation":"[176]"},"properties":{"noteIndex":0},"schema":"https://github.com/citation-style-language/schema/raw/master/csl-citation.json"}</w:instrText>
      </w:r>
      <w:r>
        <w:rPr>
          <w:color w:val="000000" w:themeColor="text1"/>
        </w:rPr>
        <w:fldChar w:fldCharType="separate"/>
      </w:r>
      <w:r w:rsidRPr="006F7BF5">
        <w:rPr>
          <w:noProof/>
          <w:color w:val="000000" w:themeColor="text1"/>
        </w:rPr>
        <w:t>[2]</w:t>
      </w:r>
      <w:r>
        <w:rPr>
          <w:color w:val="000000" w:themeColor="text1"/>
        </w:rPr>
        <w:fldChar w:fldCharType="end"/>
      </w:r>
      <w:r>
        <w:rPr>
          <w:color w:val="000000" w:themeColor="text1"/>
        </w:rPr>
        <w:t>. IBD, which comprises ulcerative colitis (UC) and Crohn’s Disease (CD), is a condition of persistent inflammation in the gastrointestinal (GI) tract that can cause severe damage in the small and large intestine</w:t>
      </w:r>
      <w:r w:rsidR="00064706">
        <w:rPr>
          <w:color w:val="000000" w:themeColor="text1"/>
        </w:rPr>
        <w:t>s</w:t>
      </w:r>
      <w:r>
        <w:rPr>
          <w:color w:val="000000" w:themeColor="text1"/>
        </w:rPr>
        <w:t xml:space="preserve"> </w:t>
      </w:r>
      <w:r>
        <w:rPr>
          <w:color w:val="000000" w:themeColor="text1"/>
        </w:rPr>
        <w:fldChar w:fldCharType="begin" w:fldLock="1"/>
      </w:r>
      <w:r>
        <w:rPr>
          <w:color w:val="000000" w:themeColor="text1"/>
        </w:rPr>
        <w:instrText>ADDIN CSL_CITATION {"citationItems":[{"id":"ITEM-1","itemData":{"author":[{"dropping-particle":"","family":"Crohn's and Colitis Foundation of America","given":"","non-dropping-particle":"","parse-names":false,"suffix":""}],"container-title":"The facts about inflammatory bowel diseases","id":"ITEM-1","issued":{"date-parts":[["2014"]]},"page":"1 - 24","title":"Crohn's and Colitis Foundation","type":"webpage"},"uris":["http://www.mendeley.com/documents/?uuid=78db2156-04ee-40a8-bd24-620a51060139"]}],"mendeley":{"formattedCitation":"[3]","plainTextFormattedCitation":"[3]","previouslyFormattedCitation":"[4]"},"properties":{"noteIndex":0},"schema":"https://github.com/citation-style-language/schema/raw/master/csl-citation.json"}</w:instrText>
      </w:r>
      <w:r>
        <w:rPr>
          <w:color w:val="000000" w:themeColor="text1"/>
        </w:rPr>
        <w:fldChar w:fldCharType="separate"/>
      </w:r>
      <w:r w:rsidRPr="006F7BF5">
        <w:rPr>
          <w:noProof/>
          <w:color w:val="000000" w:themeColor="text1"/>
        </w:rPr>
        <w:t>[3]</w:t>
      </w:r>
      <w:r>
        <w:rPr>
          <w:color w:val="000000" w:themeColor="text1"/>
        </w:rPr>
        <w:fldChar w:fldCharType="end"/>
      </w:r>
      <w:r>
        <w:rPr>
          <w:color w:val="000000" w:themeColor="text1"/>
        </w:rPr>
        <w:t xml:space="preserve">. CA-CRC is one of the most serious and life-threatening consequences of UC </w:t>
      </w:r>
      <w:r>
        <w:rPr>
          <w:color w:val="000000" w:themeColor="text1"/>
        </w:rPr>
        <w:fldChar w:fldCharType="begin" w:fldLock="1"/>
      </w:r>
      <w:r>
        <w:rPr>
          <w:color w:val="000000" w:themeColor="text1"/>
        </w:rPr>
        <w:instrText>ADDIN CSL_CITATION {"citationItems":[{"id":"ITEM-1","itemData":{"DOI":"10.3748/wjg.v20.i44.16389","ISSN":"22192840","PMID":"25469007","abstract":"The association between ulcerative colitis (UC) and colorectal cancer (CRC) has been acknowledged. One of the most serious and life threatening consequences of UC is the development of CRC (UC-CRC). UC-CRC patients are younger, more frequently have multiple cancerous lesions, and histologically show mucinous or signet ring cell carcinomas. The risk of CRC begins to increase 8 or 10 years after the diagnosis of UC. Risk factors for CRC with UC patients include young age at diagnosis, longer duration, greater anatomical extent of colonic involvement, the degree of inflammation, family history of CRC, and presence of primary sclerosing cholangitis. CRC on the ground of UC develop from non-dysplastic mucosa to indefinite dysplasia, lowgrade dysplasia, high-grade dysplasia and finally to invasive adenocarcinoma. Colonoscopy surveillance programs are recommended to reduce the risk of CRC and mortality in UC. Genetic alterations might play a role in the development of UC-CRC. 5-aminosalicylates might represent a favorable therapeutic option for chemoprevention of CRC.","author":[{"dropping-particle":"","family":"Yashiro","given":"Masakazu","non-dropping-particle":"","parse-names":false,"suffix":""}],"container-title":"World Journal of Gastroenterology","id":"ITEM-1","issue":"44","issued":{"date-parts":[["2014","11","28"]]},"page":"16389-16397","publisher":"WJG Press","title":"Ulcerative colitis-associated colorectal cancer","type":"article-journal","volume":"20"},"uris":["http://www.mendeley.com/documents/?uuid=0c061a43-8ceb-3524-b275-3524731fdd5b"]}],"mendeley":{"formattedCitation":"[4]","plainTextFormattedCitation":"[4]","previouslyFormattedCitation":"[13]"},"properties":{"noteIndex":0},"schema":"https://github.com/citation-style-language/schema/raw/master/csl-citation.json"}</w:instrText>
      </w:r>
      <w:r>
        <w:rPr>
          <w:color w:val="000000" w:themeColor="text1"/>
        </w:rPr>
        <w:fldChar w:fldCharType="separate"/>
      </w:r>
      <w:r w:rsidRPr="006F7BF5">
        <w:rPr>
          <w:noProof/>
          <w:color w:val="000000" w:themeColor="text1"/>
        </w:rPr>
        <w:t>[4]</w:t>
      </w:r>
      <w:r>
        <w:rPr>
          <w:color w:val="000000" w:themeColor="text1"/>
        </w:rPr>
        <w:fldChar w:fldCharType="end"/>
      </w:r>
      <w:r>
        <w:rPr>
          <w:color w:val="000000" w:themeColor="text1"/>
        </w:rPr>
        <w:t xml:space="preserve">. The risk of developing CA-CRC is estimated at 2% by 10 years, 8% by 20 years, and 18% by 30 years after UC diagnosis </w:t>
      </w:r>
      <w:r>
        <w:rPr>
          <w:color w:val="000000" w:themeColor="text1"/>
        </w:rPr>
        <w:fldChar w:fldCharType="begin" w:fldLock="1"/>
      </w:r>
      <w:r>
        <w:rPr>
          <w:color w:val="000000" w:themeColor="text1"/>
        </w:rPr>
        <w:instrText>ADDIN CSL_CITATION {"citationItems":[{"id":"ITEM-1","itemData":{"DOI":"10.1016/j.semcancer.2019.05.001","ISSN":"10963650","PMID":"31112753","abstract":"Inflammatory bowel diseases (IBDs) are chronic problems of gastrointestinal tract (GIT) with poorly understood aetiology. Patients with any of the two common entities, Crohn's disease (CD) or ulcerative colitis (UD) have significant increased risk of gastrointestinal and extra-intestinal malignancies. Particularly, the colorectal cancer (CRC) and lymphomas are the most frequently associated cancers with IBD. Although the incidence of CRC has declined in the European countries during last 30 years yet the risk among IBD patients remains higher than the healthy people. In the present study, we have described many common factors influencing the onset and advancement of IBD and CRC including the alterations in gut microbiota, changes in the interleukin pathways and tumour necrosis factor. The other common factors are patient age, race, genetics, family history, diet composition, obesity and level of vitamins and minerals in the body. These multiple factors contribute to the higher incidence of CRC among IBD patients.","author":[{"dropping-particle":"","family":"Nadeem","given":"Muhammad Shahid","non-dropping-particle":"","parse-names":false,"suffix":""},{"dropping-particle":"","family":"Kumar","given":"Vikas","non-dropping-particle":"","parse-names":false,"suffix":""},{"dropping-particle":"","family":"Al-Abbasi","given":"Fahad A.","non-dropping-particle":"","parse-names":false,"suffix":""},{"dropping-particle":"","family":"Kamal","given":"Mohammad Amjad","non-dropping-particle":"","parse-names":false,"suffix":""},{"dropping-particle":"","family":"Anwar","given":"Firoz","non-dropping-particle":"","parse-names":false,"suffix":""}],"container-title":"Seminars in Cancer Biology","id":"ITEM-1","issued":{"date-parts":[["2020","8","1"]]},"page":"51-60","publisher":"Academic Press","title":"Risk of colorectal cancer in inflammatory bowel diseases","type":"article","volume":"64"},"uris":["http://www.mendeley.com/documents/?uuid=5e53ad40-2cea-3335-bd09-8383b861f192"]}],"mendeley":{"formattedCitation":"[5]","plainTextFormattedCitation":"[5]","previouslyFormattedCitation":"[5]"},"properties":{"noteIndex":0},"schema":"https://github.com/citation-style-language/schema/raw/master/csl-citation.json"}</w:instrText>
      </w:r>
      <w:r>
        <w:rPr>
          <w:color w:val="000000" w:themeColor="text1"/>
        </w:rPr>
        <w:fldChar w:fldCharType="separate"/>
      </w:r>
      <w:r w:rsidRPr="00BA0E53">
        <w:rPr>
          <w:noProof/>
          <w:color w:val="000000" w:themeColor="text1"/>
        </w:rPr>
        <w:t>[5]</w:t>
      </w:r>
      <w:r>
        <w:rPr>
          <w:color w:val="000000" w:themeColor="text1"/>
        </w:rPr>
        <w:fldChar w:fldCharType="end"/>
      </w:r>
      <w:r>
        <w:rPr>
          <w:color w:val="000000" w:themeColor="text1"/>
        </w:rPr>
        <w:t xml:space="preserve">. CA-CRC </w:t>
      </w:r>
      <w:r>
        <w:t xml:space="preserve">is the second most common cause of mortality among IBD patients after cardiovascular diseases, accounting for 10 to 15% of deaths </w:t>
      </w:r>
      <w:r>
        <w:fldChar w:fldCharType="begin" w:fldLock="1"/>
      </w:r>
      <w:r>
        <w:instrText>ADDIN CSL_CITATION {"citationItems":[{"id":"ITEM-1","itemData":{"DOI":"10.3748/wjg.v18.i29.3839","ISSN":"22192840","PMID":"22876036","abstract":"The association between inflammatory bowel disease (IBD) and colorectal cancer (CRC) has been recognised since 1925 and still accounts for 10%-15% of deaths in IBD. IBD-associated CRC (IBD-CRC) affects patients at a younger age than sporadic CRC. The prognosis for sporadic CRC and IBD-CRC is similar, with a 5-year survival of approximately 50%. Identifying at risk patients and implementing appropriate surveillance for these patients is central to managing the CRC risk in IBD. The increased risk of colorectal cancer in association with IBD is thought to be due to genetic and acquired factors. The link between inflammation and cancer is well recognised but the molecular biology, immune pathobiology and genetics of IBD-CRC are areas of much ongoing research. This review examines the literature relating to IBD-CRC, focusing on the incidence of IBD-CRC and examining potential risk factors including age at diagnosis, gender, duration and extent of colitis, severity of inflammation, family history of sporadic CRC and co-existent primary sclerosing cholangitis (PSC). Confirmed risk factors for IBD-CRC are duration, severity and extent of colitis, the presence of co-existent PSC and a family history of CRC. There is insufficient evidence currently to support an increased frequency of surveillance for patients diagnosed with IBD at a younger age. Evidence-based guidelines advise surveillance colonoscopy for patients with colitis 8 to 10 years after diagnosis, with the interval for further surveillance guided by risk factors (extent of disease, family history of CRC, post-inflammatory polyps, concomitant PSC, personal history of colonic dysplasia, colonic strictures). There is a move away from using random colonic biopsies towards targeted biopsies aimed at abnormal areas identified by newer colonoscopic techniques (narrow band imaging, chromoendoscopy, confocal microendoscopy). © 2012 Baishideng.","author":[{"dropping-particle":"","family":"Dyson","given":"Jessica K.","non-dropping-particle":"","parse-names":false,"suffix":""},{"dropping-particle":"","family":"Rutter","given":"Matthew D.","non-dropping-particle":"","parse-names":false,"suffix":""}],"container-title":"World Journal of Gastroenterology","id":"ITEM-1","issue":"29","issued":{"date-parts":[["2012"]]},"page":"3839-3848","publisher":"Baishideng Publishing Group Co","title":"Colorectal cancer in inflammatory bowel disease: What is the real magnitude of the risk?","type":"article","volume":"18"},"uris":["http://www.mendeley.com/documents/?uuid=04c80f73-d8fa-34ca-98af-5817de60222d"]},{"id":"ITEM-2","itemData":{"DOI":"10.1016/j.semcancer.2019.05.001","ISSN":"10963650","PMID":"31112753","abstract":"Inflammatory bowel diseases (IBDs) are chronic problems of gastrointestinal tract (GIT) with poorly understood aetiology. Patients with any of the two common entities, Crohn's disease (CD) or ulcerative colitis (UD) have significant increased risk of gastrointestinal and extra-intestinal malignancies. Particularly, the colorectal cancer (CRC) and lymphomas are the most frequently associated cancers with IBD. Although the incidence of CRC has declined in the European countries during last 30 years yet the risk among IBD patients remains higher than the healthy people. In the present study, we have described many common factors influencing the onset and advancement of IBD and CRC including the alterations in gut microbiota, changes in the interleukin pathways and tumour necrosis factor. The other common factors are patient age, race, genetics, family history, diet composition, obesity and level of vitamins and minerals in the body. These multiple factors contribute to the higher incidence of CRC among IBD patients.","author":[{"dropping-particle":"","family":"Nadeem","given":"Muhammad Shahid","non-dropping-particle":"","parse-names":false,"suffix":""},{"dropping-particle":"","family":"Kumar","given":"Vikas","non-dropping-particle":"","parse-names":false,"suffix":""},{"dropping-particle":"","family":"Al-Abbasi","given":"Fahad A.","non-dropping-particle":"","parse-names":false,"suffix":""},{"dropping-particle":"","family":"Kamal","given":"Mohammad Amjad","non-dropping-particle":"","parse-names":false,"suffix":""},{"dropping-particle":"","family":"Anwar","given":"Firoz","non-dropping-particle":"","parse-names":false,"suffix":""}],"container-title":"Seminars in Cancer Biology","id":"ITEM-2","issued":{"date-parts":[["2020","8","1"]]},"page":"51-60","publisher":"Academic Press","title":"Risk of colorectal cancer in inflammatory bowel diseases","type":"article","volume":"64"},"uris":["http://www.mendeley.com/documents/?uuid=5e53ad40-2cea-3335-bd09-8383b861f192"]}],"mendeley":{"formattedCitation":"[5,6]","plainTextFormattedCitation":"[5,6]","previouslyFormattedCitation":"[5,177]"},"properties":{"noteIndex":0},"schema":"https://github.com/citation-style-language/schema/raw/master/csl-citation.json"}</w:instrText>
      </w:r>
      <w:r>
        <w:fldChar w:fldCharType="separate"/>
      </w:r>
      <w:r w:rsidRPr="006F7BF5">
        <w:rPr>
          <w:noProof/>
        </w:rPr>
        <w:t>[5,6]</w:t>
      </w:r>
      <w:r>
        <w:fldChar w:fldCharType="end"/>
      </w:r>
      <w:r>
        <w:t xml:space="preserve">. Regular surveillance colonoscopy, polypectomy, and proctocolectomy to remove affected areas, are the standard mechanism for early detection and prevention of CA-CRC </w:t>
      </w:r>
      <w:r>
        <w:fldChar w:fldCharType="begin" w:fldLock="1"/>
      </w:r>
      <w:r>
        <w:instrText>ADDIN CSL_CITATION {"citationItems":[{"id":"ITEM-1","itemData":{"DOI":"10.3748/wjg.v20.i44.16389","ISSN":"22192840","PMID":"25469007","abstract":"The association between ulcerative colitis (UC) and colorectal cancer (CRC) has been acknowledged. One of the most serious and life threatening consequences of UC is the development of CRC (UC-CRC). UC-CRC patients are younger, more frequently have multiple cancerous lesions, and histologically show mucinous or signet ring cell carcinomas. The risk of CRC begins to increase 8 or 10 years after the diagnosis of UC. Risk factors for CRC with UC patients include young age at diagnosis, longer duration, greater anatomical extent of colonic involvement, the degree of inflammation, family history of CRC, and presence of primary sclerosing cholangitis. CRC on the ground of UC develop from non-dysplastic mucosa to indefinite dysplasia, lowgrade dysplasia, high-grade dysplasia and finally to invasive adenocarcinoma. Colonoscopy surveillance programs are recommended to reduce the risk of CRC and mortality in UC. Genetic alterations might play a role in the development of UC-CRC. 5-aminosalicylates might represent a favorable therapeutic option for chemoprevention of CRC.","author":[{"dropping-particle":"","family":"Yashiro","given":"Masakazu","non-dropping-particle":"","parse-names":false,"suffix":""}],"container-title":"World Journal of Gastroenterology","id":"ITEM-1","issue":"44","issued":{"date-parts":[["2014","11","28"]]},"page":"16389-16397","publisher":"WJG Press","title":"Ulcerative colitis-associated colorectal cancer","type":"article-journal","volume":"20"},"uris":["http://www.mendeley.com/documents/?uuid=0c061a43-8ceb-3524-b275-3524731fdd5b"]}],"mendeley":{"formattedCitation":"[4]","plainTextFormattedCitation":"[4]","previouslyFormattedCitation":"[13]"},"properties":{"noteIndex":0},"schema":"https://github.com/citation-style-language/schema/raw/master/csl-citation.json"}</w:instrText>
      </w:r>
      <w:r>
        <w:fldChar w:fldCharType="separate"/>
      </w:r>
      <w:r w:rsidRPr="006F7BF5">
        <w:rPr>
          <w:noProof/>
        </w:rPr>
        <w:t>[4]</w:t>
      </w:r>
      <w:r>
        <w:fldChar w:fldCharType="end"/>
      </w:r>
      <w:r>
        <w:t>.</w:t>
      </w:r>
    </w:p>
    <w:p w14:paraId="43CE4F35" w14:textId="62DE5CF6" w:rsidR="00C1410F" w:rsidRDefault="00C1410F" w:rsidP="00C1410F">
      <w:pPr>
        <w:spacing w:line="480" w:lineRule="auto"/>
        <w:ind w:firstLine="720"/>
        <w:rPr>
          <w:color w:val="000000" w:themeColor="text1"/>
        </w:rPr>
      </w:pPr>
      <w:r>
        <w:t xml:space="preserve">The association between chronic inflammation and cancer has been widely reported. Prolonged and extended colitis, family history of CRC, early onset of the IBD, severity of inflammation, and chronic inflammation in the bile ducts highly contribute to </w:t>
      </w:r>
      <w:r w:rsidR="00887F42">
        <w:t xml:space="preserve">the </w:t>
      </w:r>
      <w:r>
        <w:t xml:space="preserve">increasing risk of CA-CRC </w:t>
      </w:r>
      <w:r>
        <w:fldChar w:fldCharType="begin" w:fldLock="1"/>
      </w:r>
      <w:r>
        <w:instrText>ADDIN CSL_CITATION {"citationItems":[{"id":"ITEM-1","itemData":{"DOI":"10.1016/j.coph.2009.06.006","ISSN":"14714892","PMID":"19589728","abstract":"Patients with long-standing inflammatory bowel disease (IBD) have an increased risk of developing colorectal cancer (CRC). However, the underlying mechanisms are not entirely clear. A genetic basis for the increased risk of CRC in IBD patients is only a partial explanation. It is possible that high levels of inflammatory mediators that are produced in this setting may contribute to the development and progression of CRC. Growing evidence supports a role for various cytokines, released by epithelial and immune cells, in the pathogenesis of IBD-associated neoplasia. Two key genes in the inflammatory process, cyclooxygenase-2 (COX-2) and nuclear factor kappaB (NF-κB), provide a mechanistic link between inflammation and cancer while other factors such as, TNF-α and IL-6-induced signaling have been recently shown to promote tumor growth in experimental models of colitis-associated cancer. This article reviews the pathogenesis of IBD-related CRC and summarizes the molecular mechanisms underlying the development of intestinal neoplasia in the setting of chronic inflammation. © 2009 Elsevier Ltd. All rights reserved.","author":[{"dropping-particle":"","family":"Kraus","given":"Sarah","non-dropping-particle":"","parse-names":false,"suffix":""},{"dropping-particle":"","family":"Arber","given":"Nadir","non-dropping-particle":"","parse-names":false,"suffix":""}],"container-title":"Current Opinion in Pharmacology","id":"ITEM-1","issue":"4","issued":{"date-parts":[["2009","8","1"]]},"page":"405-410","publisher":"Elsevier","title":"Inflammation and colorectal cancer","type":"article","volume":"9"},"uris":["http://www.mendeley.com/documents/?uuid=afcfad13-09bb-3e39-b9a5-2bddd9ece5fd"]}],"mendeley":{"formattedCitation":"[7]","plainTextFormattedCitation":"[7]","previouslyFormattedCitation":"[178]"},"properties":{"noteIndex":0},"schema":"https://github.com/citation-style-language/schema/raw/master/csl-citation.json"}</w:instrText>
      </w:r>
      <w:r>
        <w:fldChar w:fldCharType="separate"/>
      </w:r>
      <w:r w:rsidRPr="006F7BF5">
        <w:rPr>
          <w:noProof/>
        </w:rPr>
        <w:t>[7]</w:t>
      </w:r>
      <w:r>
        <w:fldChar w:fldCharType="end"/>
      </w:r>
      <w:r>
        <w:t>. Pro-inflammatory c</w:t>
      </w:r>
      <w:r>
        <w:rPr>
          <w:color w:val="000000" w:themeColor="text1"/>
        </w:rPr>
        <w:t xml:space="preserve">ytokines produced by the activated immune cells present in the affected tissue have been shown to contribute to tumor growth </w:t>
      </w:r>
      <w:r>
        <w:rPr>
          <w:noProof/>
          <w:color w:val="000000" w:themeColor="text1"/>
          <w:vertAlign w:val="superscript"/>
        </w:rPr>
        <w:fldChar w:fldCharType="begin" w:fldLock="1"/>
      </w:r>
      <w:r>
        <w:rPr>
          <w:noProof/>
          <w:color w:val="000000" w:themeColor="text1"/>
          <w:vertAlign w:val="superscript"/>
        </w:rPr>
        <w:instrText>ADDIN CSL_CITATION {"citationItems":[{"id":"ITEM-1","itemData":{"DOI":"10.1038/nri3661","ISSN":"14741741","PMID":"24751956","abstract":"Cytokines have a crucial role in the pathogenesis of inflammatory bowel diseases (IBDs), such as Crohn's disease and ulcerative colitis, where they control multiple aspects of the inflammatory response. In particular, the imbalance between pro-inflammatory and anti-inflammatory cytokines that occurs in IBD impedes the resolution of inflammation and instead leads to disease perpetuation and tissue destruction. Recent studies suggest the existence of a network of regulatory cytokines that has important implications for disease progression. In this Review, we discuss the role of cytokines produced by innate and adaptive immune cells, as well as their relevance to the future therapy of IBD. © 2014 Macmillan Publishers Limited. All rights reserved.","author":[{"dropping-particle":"","family":"Neurath","given":"Markus F.","non-dropping-particle":"","parse-names":false,"suffix":""}],"container-title":"Nature Reviews Immunology","id":"ITEM-1","issue":"5","issued":{"date-parts":[["2014","4","22"]]},"page":"329-342","publisher":"Nature Publishing Group","title":"Cytokines in inflammatory bowel disease","type":"article","volume":"14"},"uris":["http://www.mendeley.com/documents/?uuid=41dcea7e-db04-4b63-b242-e5af29ee7d4c"]}],"mendeley":{"formattedCitation":"[8]","plainTextFormattedCitation":"[8]","previouslyFormattedCitation":"[32]"},"properties":{"noteIndex":0},"schema":"https://github.com/citation-style-language/schema/raw/master/csl-citation.json"}</w:instrText>
      </w:r>
      <w:r>
        <w:rPr>
          <w:noProof/>
          <w:color w:val="000000" w:themeColor="text1"/>
          <w:vertAlign w:val="superscript"/>
        </w:rPr>
        <w:fldChar w:fldCharType="separate"/>
      </w:r>
      <w:r w:rsidRPr="006F7BF5">
        <w:rPr>
          <w:noProof/>
          <w:color w:val="000000" w:themeColor="text1"/>
        </w:rPr>
        <w:t>[8]</w:t>
      </w:r>
      <w:r>
        <w:rPr>
          <w:noProof/>
          <w:color w:val="000000" w:themeColor="text1"/>
          <w:vertAlign w:val="superscript"/>
        </w:rPr>
        <w:fldChar w:fldCharType="end"/>
      </w:r>
      <w:r>
        <w:rPr>
          <w:color w:val="000000" w:themeColor="text1"/>
        </w:rPr>
        <w:t xml:space="preserve">. Inflammatory pathways, </w:t>
      </w:r>
      <w:r>
        <w:rPr>
          <w:color w:val="000000" w:themeColor="text1"/>
        </w:rPr>
        <w:lastRenderedPageBreak/>
        <w:t>p</w:t>
      </w:r>
      <w:r>
        <w:t xml:space="preserve">articularly the </w:t>
      </w:r>
      <w:r>
        <w:rPr>
          <w:color w:val="000000" w:themeColor="text1"/>
        </w:rPr>
        <w:t xml:space="preserve">nuclear factor – kappa-light-chain-enhancer of activated B cells (NF-κB) pathway, have been recognized as key linkers between inflammation and cancer </w:t>
      </w:r>
      <w:r>
        <w:rPr>
          <w:color w:val="000000" w:themeColor="text1"/>
        </w:rPr>
        <w:fldChar w:fldCharType="begin" w:fldLock="1"/>
      </w:r>
      <w:r>
        <w:rPr>
          <w:color w:val="000000" w:themeColor="text1"/>
        </w:rPr>
        <w:instrText>ADDIN CSL_CITATION {"citationItems":[{"id":"ITEM-1","itemData":{"DOI":"10.1152/ajpgi.00079.2004","ISSN":"01931857","PMID":"15194558","abstract":"Patients with ulcerative colitis and Crohn's disease are at increased risk for developing colorectal cancer. To date, no known genetic basis has been identified to explain colorectal cancer predisposition in these inflammatory bowel diseases. Instead, it is assumed that chronic inflammation is what causes cancer. This is supported by the fact that colon cancer risk increases with longer duration of colitis, greater anatomic extent of colitis, the concomitant presence of other inflammatory manifestations such as primary sclerosing cholangitis, and the fact that certain drugs used to treat inflammation, such as 5-aminosalicylates and steroids, may prevent the development of colorectal cancer. The major carcinogenic pathways that lead to sporadic colorectal cancer, namely chromosomal instability, microsatellite instability, and hypermethylation, also occur in colitis-associated colorectal cancers. Unlike normal colonic mucosa, however, inflamed colonic mucosa demonstrates abnormalities in these molecular pathways even before any histological evidence of dysplasia or cancer. Whereas the reasons for this are unknown, oxidative stress likely plays a role. Reactive oxygen and nitrogen species produced by inflammatory cells can interact with key genes involved in carcinogenic pathways such as p53, DNA mismatch repair genes, and even DNA base excision-repair genes. Other factors such as NF-κB and cyclooxygenases may also contribute. Administering agents that cause colitis in healthy rodents or genetically engineered cancer-prone mice accelerates the development of colorectal cancer. Mice genetically prone to inflammatory bowel disease also develop colorectal cancer especially in the presence of bacterial colonization. These observations offer compelling support for the role of inflammation in colon carcinogenesis.","author":[{"dropping-particle":"","family":"Itzkowitz","given":"Steven H.","non-dropping-particle":"","parse-names":false,"suffix":""},{"dropping-particle":"","family":"Yio","given":"Xianyang","non-dropping-particle":"","parse-names":false,"suffix":""}],"container-title":"American Journal of Physiology - Gastrointestinal and Liver Physiology","id":"ITEM-1","issue":"1 50-1","issued":{"date-parts":[["2004","7"]]},"publisher":"American Physiological Society","title":"Inflammation and cancer - IV. Colorectal cancer in inflammatory bowel disease: The role of inflammation","type":"article","volume":"287"},"uris":["http://www.mendeley.com/documents/?uuid=c6a76ab9-a48d-43ba-a8c6-8c384909db0c"]}],"mendeley":{"formattedCitation":"[9]","plainTextFormattedCitation":"[9]","previouslyFormattedCitation":"[179]"},"properties":{"noteIndex":0},"schema":"https://github.com/citation-style-language/schema/raw/master/csl-citation.json"}</w:instrText>
      </w:r>
      <w:r>
        <w:rPr>
          <w:color w:val="000000" w:themeColor="text1"/>
        </w:rPr>
        <w:fldChar w:fldCharType="separate"/>
      </w:r>
      <w:r w:rsidRPr="006F7BF5">
        <w:rPr>
          <w:noProof/>
          <w:color w:val="000000" w:themeColor="text1"/>
        </w:rPr>
        <w:t>[9]</w:t>
      </w:r>
      <w:r>
        <w:rPr>
          <w:color w:val="000000" w:themeColor="text1"/>
        </w:rPr>
        <w:fldChar w:fldCharType="end"/>
      </w:r>
      <w:r w:rsidR="00531A7D">
        <w:rPr>
          <w:color w:val="000000" w:themeColor="text1"/>
        </w:rPr>
        <w:t xml:space="preserve">. </w:t>
      </w:r>
      <w:r w:rsidR="00C707EA">
        <w:rPr>
          <w:color w:val="000000" w:themeColor="text1"/>
        </w:rPr>
        <w:t>These pathways are</w:t>
      </w:r>
      <w:r>
        <w:rPr>
          <w:color w:val="000000" w:themeColor="text1"/>
        </w:rPr>
        <w:t xml:space="preserve"> involved in tumor initiation, promotion, and progression by upregulating the expression of anti-apoptotic genes and stimulating cell proliferation and angiogenesis via pro-inflammatory mediators </w:t>
      </w:r>
      <w:r>
        <w:rPr>
          <w:color w:val="000000" w:themeColor="text1"/>
        </w:rPr>
        <w:fldChar w:fldCharType="begin" w:fldLock="1"/>
      </w:r>
      <w:r>
        <w:rPr>
          <w:color w:val="000000" w:themeColor="text1"/>
        </w:rPr>
        <w:instrText>ADDIN CSL_CITATION {"citationItems":[{"id":"ITEM-1","itemData":{"DOI":"10.1155/2017/5126048","ISSN":"14661861","PMID":"28852270","abstract":"Patients with inflammatory bowel disease (IBD) are at an increased risk of developing colorectal cancer (CRC). The risk factors of CRC in IBD patients include long disease duration, extensive colitis, severe histological inflammation, and coexistence with primary sclerosing cholangitis (PSC). Several molecular pathways that contribute to sporadic CRC are also involved in the pathogenesis of colitis-associated CRC. It is well established that long-standing chronic inflammation is a key predisposing factor of CRC in IBD. Proinflammatory pathways, including nuclear factor kappa B (NF-κB), IL-6/STAT3, cyclooxygenase-2 (COX-2)/PGE2, and IL-23/Th17, promote tumorigenesis by inducing the production of inflammatory mediators, upregulating the expression of antiapoptotic genes, and stimulating cell proliferation as well as angiogenesis. Better understanding of the underlying mechanisms may provide some promising targets for prevention and therapy. This review aims to elucidate the role of these signaling pathways in the pathogenesis of colitis-associated CRC using evidence-based approaches.","author":[{"dropping-particle":"","family":"Luo","given":"Chengxin","non-dropping-particle":"","parse-names":false,"suffix":""},{"dropping-particle":"","family":"Zhang","given":"Hu","non-dropping-particle":"","parse-names":false,"suffix":""}],"container-title":"Mediators of Inflammation","id":"ITEM-1","issued":{"date-parts":[["2017"]]},"publisher":"Hindawi Limited","title":"The Role of Proinflammatory Pathways in the Pathogenesis of Colitis-Associated Colorectal Cancer","type":"article","volume":"2017"},"uris":["http://www.mendeley.com/documents/?uuid=9ce47080-a46c-36b0-9f5f-1116b5231893"]}],"mendeley":{"formattedCitation":"[10]","plainTextFormattedCitation":"[10]","previouslyFormattedCitation":"[180]"},"properties":{"noteIndex":0},"schema":"https://github.com/citation-style-language/schema/raw/master/csl-citation.json"}</w:instrText>
      </w:r>
      <w:r>
        <w:rPr>
          <w:color w:val="000000" w:themeColor="text1"/>
        </w:rPr>
        <w:fldChar w:fldCharType="separate"/>
      </w:r>
      <w:r w:rsidRPr="006F7BF5">
        <w:rPr>
          <w:noProof/>
          <w:color w:val="000000" w:themeColor="text1"/>
        </w:rPr>
        <w:t>[10]</w:t>
      </w:r>
      <w:r>
        <w:rPr>
          <w:color w:val="000000" w:themeColor="text1"/>
        </w:rPr>
        <w:fldChar w:fldCharType="end"/>
      </w:r>
      <w:r>
        <w:rPr>
          <w:color w:val="000000" w:themeColor="text1"/>
        </w:rPr>
        <w:t>. TNF-α, one of the main pro-inflammatory downstream products of the NF-κB pathway, not only play</w:t>
      </w:r>
      <w:r w:rsidR="005A36C8">
        <w:rPr>
          <w:color w:val="000000" w:themeColor="text1"/>
        </w:rPr>
        <w:t>s</w:t>
      </w:r>
      <w:r>
        <w:rPr>
          <w:color w:val="000000" w:themeColor="text1"/>
        </w:rPr>
        <w:t xml:space="preserve"> a key role in IBD </w:t>
      </w:r>
      <w:r>
        <w:rPr>
          <w:color w:val="000000" w:themeColor="text1"/>
        </w:rPr>
        <w:fldChar w:fldCharType="begin" w:fldLock="1"/>
      </w:r>
      <w:r>
        <w:rPr>
          <w:color w:val="000000" w:themeColor="text1"/>
        </w:rPr>
        <w:instrText>ADDIN CSL_CITATION {"citationItems":[{"id":"ITEM-1","itemData":{"DOI":"10.3748/wjg.14.4280","ISSN":"10079327","PMID":"18666314","abstract":"Inflammatory bowel disease (IBD), which includes Crohn's disease (CD) and ulcerative colitis (UC), represents a group of chronic disorders characterized by inflammation of the gastrointestinal tract, typically with a relapsing and remitting clinical course. Mucosal macrophages play an important role in the mucosal immune system, and an increase in the number of newly recruited monocytes and activated macrophages has been noted in the inflamed gut of patients with IBD. Activated macrophages are thought to be major contributors to the production of inflammatory cytokines in the gut, and imbalance of cytokines is contributing to the pathogenesis of IBD. The intestinal inflammation in IBD is controlled by a complex interplay of innate and adaptive immune mechanisms. Cytokines play a key role in IBD that determine T cell differentiation of Th1, Th2, T regulatory and newly described Th17 cells. Cytokines levels in time and space orchestrate the development, recurrence and exacerbation of the inflammatory process in IBD. Therefore, several cytokine therapies have been developed and tested for the treatment of IBD patients. © 2008 The WJG Press. All rights reserved.","author":[{"dropping-particle":"","family":"Sanchez-Muñoz","given":"Fausto","non-dropping-particle":"","parse-names":false,"suffix":""},{"dropping-particle":"","family":"Dominguez-Lopez","given":"Aaron","non-dropping-particle":"","parse-names":false,"suffix":""},{"dropping-particle":"","family":"Yamamoto-Furusho","given":"Jesus K.","non-dropping-particle":"","parse-names":false,"suffix":""}],"container-title":"World Journal of Gastroenterology","id":"ITEM-1","issue":"27","issued":{"date-parts":[["2008","7","21"]]},"page":"4280-4288","publisher":"Baishideng Publishing Group Inc","title":"Role of cytokines in inflammatory bowel disease","type":"article","volume":"14"},"uris":["http://www.mendeley.com/documents/?uuid=6351940b-5020-369a-a060-6f93ce687bef"]}],"mendeley":{"formattedCitation":"[11]","plainTextFormattedCitation":"[11]","previouslyFormattedCitation":"[44]"},"properties":{"noteIndex":0},"schema":"https://github.com/citation-style-language/schema/raw/master/csl-citation.json"}</w:instrText>
      </w:r>
      <w:r>
        <w:rPr>
          <w:color w:val="000000" w:themeColor="text1"/>
        </w:rPr>
        <w:fldChar w:fldCharType="separate"/>
      </w:r>
      <w:r w:rsidRPr="006F7BF5">
        <w:rPr>
          <w:noProof/>
          <w:color w:val="000000" w:themeColor="text1"/>
        </w:rPr>
        <w:t>[11]</w:t>
      </w:r>
      <w:r>
        <w:rPr>
          <w:color w:val="000000" w:themeColor="text1"/>
        </w:rPr>
        <w:fldChar w:fldCharType="end"/>
      </w:r>
      <w:r>
        <w:rPr>
          <w:color w:val="000000" w:themeColor="text1"/>
        </w:rPr>
        <w:t xml:space="preserve">, but also has been associated with tumor initiation via the induction of reactive oxygen species, promoting DNA damage, stimulating the expression of pro-angiogenic chemokines, and further activating the NF-κB pathway </w:t>
      </w:r>
      <w:r>
        <w:rPr>
          <w:color w:val="000000" w:themeColor="text1"/>
        </w:rPr>
        <w:fldChar w:fldCharType="begin" w:fldLock="1"/>
      </w:r>
      <w:r>
        <w:rPr>
          <w:color w:val="000000" w:themeColor="text1"/>
        </w:rPr>
        <w:instrText>ADDIN CSL_CITATION {"citationItems":[{"id":"ITEM-1","itemData":{"DOI":"10.1155/2017/5126048","ISSN":"14661861","PMID":"28852270","abstract":"Patients with inflammatory bowel disease (IBD) are at an increased risk of developing colorectal cancer (CRC). The risk factors of CRC in IBD patients include long disease duration, extensive colitis, severe histological inflammation, and coexistence with primary sclerosing cholangitis (PSC). Several molecular pathways that contribute to sporadic CRC are also involved in the pathogenesis of colitis-associated CRC. It is well established that long-standing chronic inflammation is a key predisposing factor of CRC in IBD. Proinflammatory pathways, including nuclear factor kappa B (NF-κB), IL-6/STAT3, cyclooxygenase-2 (COX-2)/PGE2, and IL-23/Th17, promote tumorigenesis by inducing the production of inflammatory mediators, upregulating the expression of antiapoptotic genes, and stimulating cell proliferation as well as angiogenesis. Better understanding of the underlying mechanisms may provide some promising targets for prevention and therapy. This review aims to elucidate the role of these signaling pathways in the pathogenesis of colitis-associated CRC using evidence-based approaches.","author":[{"dropping-particle":"","family":"Luo","given":"Chengxin","non-dropping-particle":"","parse-names":false,"suffix":""},{"dropping-particle":"","family":"Zhang","given":"Hu","non-dropping-particle":"","parse-names":false,"suffix":""}],"container-title":"Mediators of Inflammation","id":"ITEM-1","issued":{"date-parts":[["2017"]]},"publisher":"Hindawi Limited","title":"The Role of Proinflammatory Pathways in the Pathogenesis of Colitis-Associated Colorectal Cancer","type":"article","volume":"2017"},"uris":["http://www.mendeley.com/documents/?uuid=9ce47080-a46c-36b0-9f5f-1116b5231893"]}],"mendeley":{"formattedCitation":"[10]","plainTextFormattedCitation":"[10]","previouslyFormattedCitation":"[180]"},"properties":{"noteIndex":0},"schema":"https://github.com/citation-style-language/schema/raw/master/csl-citation.json"}</w:instrText>
      </w:r>
      <w:r>
        <w:rPr>
          <w:color w:val="000000" w:themeColor="text1"/>
        </w:rPr>
        <w:fldChar w:fldCharType="separate"/>
      </w:r>
      <w:r w:rsidRPr="006F7BF5">
        <w:rPr>
          <w:noProof/>
          <w:color w:val="000000" w:themeColor="text1"/>
        </w:rPr>
        <w:t>[10]</w:t>
      </w:r>
      <w:r>
        <w:rPr>
          <w:color w:val="000000" w:themeColor="text1"/>
        </w:rPr>
        <w:fldChar w:fldCharType="end"/>
      </w:r>
      <w:r>
        <w:rPr>
          <w:color w:val="000000" w:themeColor="text1"/>
        </w:rPr>
        <w:t xml:space="preserve">. Hence, the use of anti-inflammatory therapeutics in IBD patients is also considered a chemopreventive strategy </w:t>
      </w:r>
      <w:r>
        <w:rPr>
          <w:color w:val="000000" w:themeColor="text1"/>
        </w:rPr>
        <w:fldChar w:fldCharType="begin" w:fldLock="1"/>
      </w:r>
      <w:r>
        <w:rPr>
          <w:color w:val="000000" w:themeColor="text1"/>
        </w:rPr>
        <w:instrText>ADDIN CSL_CITATION {"citationItems":[{"id":"ITEM-1","itemData":{"DOI":"10.3748/wjg.v20.i44.16389","ISSN":"22192840","PMID":"25469007","abstract":"The association between ulcerative colitis (UC) and colorectal cancer (CRC) has been acknowledged. One of the most serious and life threatening consequences of UC is the development of CRC (UC-CRC). UC-CRC patients are younger, more frequently have multiple cancerous lesions, and histologically show mucinous or signet ring cell carcinomas. The risk of CRC begins to increase 8 or 10 years after the diagnosis of UC. Risk factors for CRC with UC patients include young age at diagnosis, longer duration, greater anatomical extent of colonic involvement, the degree of inflammation, family history of CRC, and presence of primary sclerosing cholangitis. CRC on the ground of UC develop from non-dysplastic mucosa to indefinite dysplasia, lowgrade dysplasia, high-grade dysplasia and finally to invasive adenocarcinoma. Colonoscopy surveillance programs are recommended to reduce the risk of CRC and mortality in UC. Genetic alterations might play a role in the development of UC-CRC. 5-aminosalicylates might represent a favorable therapeutic option for chemoprevention of CRC.","author":[{"dropping-particle":"","family":"Yashiro","given":"Masakazu","non-dropping-particle":"","parse-names":false,"suffix":""}],"container-title":"World Journal of Gastroenterology","id":"ITEM-1","issue":"44","issued":{"date-parts":[["2014","11","28"]]},"page":"16389-16397","publisher":"WJG Press","title":"Ulcerative colitis-associated colorectal cancer","type":"article-journal","volume":"20"},"uris":["http://www.mendeley.com/documents/?uuid=0c061a43-8ceb-3524-b275-3524731fdd5b"]}],"mendeley":{"formattedCitation":"[4]","plainTextFormattedCitation":"[4]","previouslyFormattedCitation":"[13]"},"properties":{"noteIndex":0},"schema":"https://github.com/citation-style-language/schema/raw/master/csl-citation.json"}</w:instrText>
      </w:r>
      <w:r>
        <w:rPr>
          <w:color w:val="000000" w:themeColor="text1"/>
        </w:rPr>
        <w:fldChar w:fldCharType="separate"/>
      </w:r>
      <w:r w:rsidRPr="006F7BF5">
        <w:rPr>
          <w:noProof/>
          <w:color w:val="000000" w:themeColor="text1"/>
        </w:rPr>
        <w:t>[4]</w:t>
      </w:r>
      <w:r>
        <w:rPr>
          <w:color w:val="000000" w:themeColor="text1"/>
        </w:rPr>
        <w:fldChar w:fldCharType="end"/>
      </w:r>
      <w:r>
        <w:rPr>
          <w:color w:val="000000" w:themeColor="text1"/>
        </w:rPr>
        <w:t>.</w:t>
      </w:r>
    </w:p>
    <w:p w14:paraId="3BA53F0C" w14:textId="4E2E3911" w:rsidR="00C1410F" w:rsidRDefault="00C1410F" w:rsidP="002B3E0C">
      <w:pPr>
        <w:spacing w:line="480" w:lineRule="auto"/>
        <w:ind w:firstLine="720"/>
        <w:rPr>
          <w:color w:val="000000" w:themeColor="text1"/>
        </w:rPr>
      </w:pPr>
      <w:r>
        <w:rPr>
          <w:color w:val="000000" w:themeColor="text1"/>
        </w:rPr>
        <w:t>The consumption of plant-derived diets has been largely associated with health benefits. Numerous studies have demonstrated the beneficial effect of soy and soy products against cardiovascular disease</w:t>
      </w:r>
      <w:r w:rsidR="00A13B9A">
        <w:rPr>
          <w:color w:val="000000" w:themeColor="text1"/>
        </w:rPr>
        <w:t>s</w:t>
      </w:r>
      <w:r>
        <w:rPr>
          <w:color w:val="000000" w:themeColor="text1"/>
        </w:rPr>
        <w:t xml:space="preserve">, diabetes, cancer, obesity, and other chronic and inflammation-related diseases </w:t>
      </w:r>
      <w:r>
        <w:rPr>
          <w:color w:val="000000" w:themeColor="text1"/>
        </w:rPr>
        <w:fldChar w:fldCharType="begin" w:fldLock="1"/>
      </w:r>
      <w:r>
        <w:rPr>
          <w:color w:val="000000" w:themeColor="text1"/>
        </w:rPr>
        <w:instrText>ADDIN CSL_CITATION {"citationItems":[{"id":"ITEM-1","itemData":{"DOI":"10.1016/j.tifs.2021.04.039","ISSN":"09242244","author":[{"dropping-particle":"","family":"Cai","given":"Jia-Shen","non-dropping-particle":"","parse-names":false,"suffix":""},{"dropping-particle":"","family":"Feng","given":"Jing-Yu","non-dropping-particle":"","parse-names":false,"suffix":""},{"dropping-particle":"","family":"Ni","given":"Zhi-Jing","non-dropping-particle":"","parse-names":false,"suffix":""},{"dropping-particle":"","family":"Ma","given":"Run-Hui","non-dropping-particle":"","parse-names":false,"suffix":""},{"dropping-particle":"","family":"Thakur","given":"Kiran","non-dropping-particle":"","parse-names":false,"suffix":""},{"dropping-particle":"","family":"Wang","given":"Shaoyun","non-dropping-particle":"","parse-names":false,"suffix":""},{"dropping-particle":"","family":"Hu","given":"Fei","non-dropping-particle":"","parse-names":false,"suffix":""},{"dropping-particle":"","family":"Zhang","given":"Jian-Guo","non-dropping-particle":"","parse-names":false,"suffix":""},{"dropping-particle":"","family":"Wei","given":"Zhao-Jun","non-dropping-particle":"","parse-names":false,"suffix":""}],"container-title":"Trends in Food Science &amp; Technology","id":"ITEM-1","issued":{"date-parts":[["2021","6","1"]]},"page":"676-689","publisher":"Elsevier","title":"An update on the nutritional, functional, sensory characteristics of soy products, and applications of new processing strategies","type":"article-journal","volume":"112"},"uris":["http://www.mendeley.com/documents/?uuid=23407ffd-b458-3f0e-8a5a-6fff625cafb1"]}],"mendeley":{"formattedCitation":"[12]","plainTextFormattedCitation":"[12]","previouslyFormattedCitation":"[181]"},"properties":{"noteIndex":0},"schema":"https://github.com/citation-style-language/schema/raw/master/csl-citation.json"}</w:instrText>
      </w:r>
      <w:r>
        <w:rPr>
          <w:color w:val="000000" w:themeColor="text1"/>
        </w:rPr>
        <w:fldChar w:fldCharType="separate"/>
      </w:r>
      <w:r w:rsidRPr="006F7BF5">
        <w:rPr>
          <w:noProof/>
          <w:color w:val="000000" w:themeColor="text1"/>
        </w:rPr>
        <w:t>[12]</w:t>
      </w:r>
      <w:r>
        <w:rPr>
          <w:color w:val="000000" w:themeColor="text1"/>
        </w:rPr>
        <w:fldChar w:fldCharType="end"/>
      </w:r>
      <w:r>
        <w:rPr>
          <w:color w:val="000000" w:themeColor="text1"/>
        </w:rPr>
        <w:t xml:space="preserve">.  In the context of CRC, a meta-analysis of available epidemiologic studies indicated that soy consumption was associated with approximately 21% reduced risk of CRC in women </w:t>
      </w:r>
      <w:r>
        <w:rPr>
          <w:color w:val="000000" w:themeColor="text1"/>
        </w:rPr>
        <w:fldChar w:fldCharType="begin" w:fldLock="1"/>
      </w:r>
      <w:r>
        <w:rPr>
          <w:color w:val="000000" w:themeColor="text1"/>
        </w:rPr>
        <w:instrText>ADDIN CSL_CITATION {"citationItems":[{"id":"ITEM-1","itemData":{"DOI":"10.1136/gut.48.4.526","ISSN":"00175749","PMID":"11247898","abstract":"Background and aims - Controversy surrounds the risk of colorectal cancer (CRC) in ulcerative colitis (UC). Many studies have investigated this risk and reported widely varying rates. Methods - A literature search using Medline with the explosion of references identified 194 studies. Of these, 116 met our inclusion criteria from which the number of patients and cancers detected could be extracted. Overall pooled estimates, with 95% confidence intervals (CI), of cancer prevalence and incidence were obtained using a random effects model on either the log odds or log incidence scale, as appropriate. Results - The overall prevalence of CRC in any UC patient, based on 116 studies, was estimated to be 3.7% (95% CI 3.2-4.2%). Of the 116 studies, 41 reported colitis duration. From these the overall incidence rate was 311000 person years duration (pyd), (95% CI 2/1000 to 4/1000). The overall incidence rate for any child was 6/1000 pyd (95% CI 3/1000 to 13/1000). Of the 41 studies, 19 reported results stratified into 10 year intervals of disease duration. For the first 10 years the incidence rate was 2/1000 pyd (95% CI 1/1000 to 2/1000), for the second decade the incidence rate was estimated to be 7/1000 pyd (95% CI 4/1000 to 12/1000), and in the third decade the incidence rate was 12/1000 pyd (95% CI 7/1000 to 19/1000). These incidence rates corresponded to cumulative probabilities of 2% by 10 years, 8% by 20 years, and 18% by 30 years. The worldwide cancer incidence rates varied geographically, being 5/1000 pyd in the USA, 4/1000 pyd in the UK, and 2/1000 pyd in Scandinavia and other countries. Over time the cancer risk has increased since 1955 but this finding was not significant (p=0.8). Conclusions - Using new meta-analysis techniques we determined the risk of CRC in UC by decade of disease and defined the risk in pancolitics and children. We found a non-significant increase in risk over time and estimated how risk varies with geography.","author":[{"dropping-particle":"","family":"Eaden","given":"J. A.","non-dropping-particle":"","parse-names":false,"suffix":""},{"dropping-particle":"","family":"Abrams","given":"K. R.","non-dropping-particle":"","parse-names":false,"suffix":""},{"dropping-particle":"","family":"Mayberry","given":"J. F.","non-dropping-particle":"","parse-names":false,"suffix":""}],"container-title":"Gut","id":"ITEM-1","issue":"4","issued":{"date-parts":[["2001","4","1"]]},"page":"526-535","publisher":"BMJ Publishing Group","title":"The risk of colorectal cancer in ulcerative colitis: A meta-analysis","type":"article-journal","volume":"48"},"uris":["http://www.mendeley.com/documents/?uuid=79a641cd-a855-3edb-b820-2a0080051a29"]}],"mendeley":{"formattedCitation":"[13]","plainTextFormattedCitation":"[13]","previouslyFormattedCitation":"[182]"},"properties":{"noteIndex":0},"schema":"https://github.com/citation-style-language/schema/raw/master/csl-citation.json"}</w:instrText>
      </w:r>
      <w:r>
        <w:rPr>
          <w:color w:val="000000" w:themeColor="text1"/>
        </w:rPr>
        <w:fldChar w:fldCharType="separate"/>
      </w:r>
      <w:r w:rsidRPr="006F7BF5">
        <w:rPr>
          <w:noProof/>
          <w:color w:val="000000" w:themeColor="text1"/>
        </w:rPr>
        <w:t>[13]</w:t>
      </w:r>
      <w:r>
        <w:rPr>
          <w:color w:val="000000" w:themeColor="text1"/>
        </w:rPr>
        <w:fldChar w:fldCharType="end"/>
      </w:r>
      <w:r>
        <w:rPr>
          <w:color w:val="000000" w:themeColor="text1"/>
        </w:rPr>
        <w:t xml:space="preserve">. Among the different compounds with biological properties present in soybeans, the bioactive peptide lunasin has received particular attention over the last two decades as demonstrated by the large body of literature addressing its chemopreventive, anti-inflammatory, and antioxidant properties </w:t>
      </w:r>
      <w:r>
        <w:rPr>
          <w:color w:val="000000" w:themeColor="text1"/>
        </w:rPr>
        <w:fldChar w:fldCharType="begin" w:fldLock="1"/>
      </w:r>
      <w:r>
        <w:rPr>
          <w:color w:val="000000" w:themeColor="text1"/>
        </w:rPr>
        <w:instrText>ADDIN CSL_CITATION {"citationItems":[{"id":"ITEM-1","itemData":{"DOI":"10.1016/j.foodres.2018.12.029","ISSN":"18737145","abstract":"Non-communicable diseases have become the medical challenge of the 21st century because of their high incidence and mortality rates. Accumulating evidence has suggested that the modulation of diet and other lifestyle habits is the best strategy for the prevention of these diseases. An increasing number of dietary compounds have been found to exert health promoting benefits beyond their nutritional effects. Among them, lunasin is considered one of the most studied bioactive peptides. Since its discovery in soybean twenty years ago, many researchers around the world have focused their studies on demonstrating the chemopreventive and chemotherapeutic activity of lunasin. Moreover, in the last years, promising protective effects of this peptide against hypercholesterolemia, obesity, metabolic syndrome and associated cardiovascular disorders, and inflammatory and immune-regulated diseases have been described. This review summarizes recent remarkable advances on the use of peptide lunasin as a potential functional ingredient to provide health benefits. Moreover, novel aspects related to the influence of lunasin's digestion and bioavailability, the mechanisms of action proposed to explain the underlying biological properties, and the incorporation of this peptide into nutritional supplements are critically discussed.","author":[{"dropping-particle":"","family":"Fernández-Tomé","given":"Samuel","non-dropping-particle":"","parse-names":false,"suffix":""},{"dropping-particle":"","family":"Hernández-Ledesma","given":"Blanca","non-dropping-particle":"","parse-names":false,"suffix":""}],"container-title":"Food Research International","id":"ITEM-1","issued":{"date-parts":[["2019"]]},"page":"71-78","publisher":"Elsevier Ltd","title":"Current state of art after twenty years of the discovery of bioactive peptide lunasin","type":"article","volume":"116"},"uris":["http://www.mendeley.com/documents/?uuid=28a91601-fb3a-3c60-91ff-6497604da759"]}],"mendeley":{"formattedCitation":"[14]","plainTextFormattedCitation":"[14]","previouslyFormattedCitation":"[57]"},"properties":{"noteIndex":0},"schema":"https://github.com/citation-style-language/schema/raw/master/csl-citation.json"}</w:instrText>
      </w:r>
      <w:r>
        <w:rPr>
          <w:color w:val="000000" w:themeColor="text1"/>
        </w:rPr>
        <w:fldChar w:fldCharType="separate"/>
      </w:r>
      <w:r w:rsidRPr="006F7BF5">
        <w:rPr>
          <w:noProof/>
          <w:color w:val="000000" w:themeColor="text1"/>
        </w:rPr>
        <w:t>[14]</w:t>
      </w:r>
      <w:r>
        <w:rPr>
          <w:color w:val="000000" w:themeColor="text1"/>
        </w:rPr>
        <w:fldChar w:fldCharType="end"/>
      </w:r>
      <w:r>
        <w:rPr>
          <w:color w:val="000000" w:themeColor="text1"/>
        </w:rPr>
        <w:t>. Lunasin has been demonstrated to inhibit the NF-κB pathway and downregulate the pro-</w:t>
      </w:r>
      <w:r>
        <w:rPr>
          <w:color w:val="000000" w:themeColor="text1"/>
        </w:rPr>
        <w:lastRenderedPageBreak/>
        <w:t xml:space="preserve">inflammatory cytokines TNF-α, IL-6, IL-1β, as well as other molecules involved in inflammation </w:t>
      </w:r>
      <w:r>
        <w:rPr>
          <w:color w:val="000000" w:themeColor="text1"/>
        </w:rPr>
        <w:fldChar w:fldCharType="begin" w:fldLock="1"/>
      </w:r>
      <w:r>
        <w:rPr>
          <w:color w:val="000000" w:themeColor="text1"/>
        </w:rPr>
        <w:instrText>ADDIN CSL_CITATION {"citationItems":[{"id":"ITEM-1","itemData":{"DOI":"10.1002/jsfa.8719","ISSN":"10970010","PMID":"28990666","abstract":"Chronic diseases have become the medical challenge of the 21st century because of their high incidence and mortality rates. Modulation of diet and lifestyle habits is considered as the best strategy for the prevention of these disorders. Health promoting benefits beyond their nutritional effects have been described for multiple dietary compounds. Among these compounds, the peptide lunasin is considered as one of the most promising. Naturally present in soybean, lunasin has been extensively studied in the last two decades because of its potential against chronic diseases such as cancer, cardiovascular and immunological disorders. The purpose of this article is to summarise the evidence on the presence of lunasin in soybean and derived foods, and its bioavailability once it is orally ingested. The protective and therapeutic effects of this peptide against cancer, oxidative stress, inflammation, and high cholesterol levels as well as the molecular mechanisms of action involved in these effects are also described in this review. © 2017 Society of Chemical Industry.","author":[{"dropping-particle":"","family":"Hsieh","given":"Chia Chien","non-dropping-particle":"","parse-names":false,"suffix":""},{"dropping-particle":"","family":"Martínez-Villaluenga","given":"Cristina","non-dropping-particle":"","parse-names":false,"suffix":""},{"dropping-particle":"","family":"Lumen","given":"Ben O.","non-dropping-particle":"de","parse-names":false,"suffix":""},{"dropping-particle":"","family":"Hernández-Ledesma","given":"Blanca","non-dropping-particle":"","parse-names":false,"suffix":""}],"container-title":"Journal of the Science of Food and Agriculture","id":"ITEM-1","issue":"6","issued":{"date-parts":[["2018"]]},"page":"2070-2079","title":"Updating the research on the chemopreventive and therapeutic role of the peptide lunasin","type":"article-journal","volume":"98"},"uris":["http://www.mendeley.com/documents/?uuid=43cbf670-6d8c-4843-bcf8-2b316f46d901"]},{"id":"ITEM-2","itemData":{"DOI":"10.1016/j.peptides.2009.08.005","ISBN":"1873-5169 (Electronic)\\r0196-9781 (Linking)","ISSN":"01969781","PMID":"19682518","abstract":"Inflammation is part of the host defense mechanism against harmful matters and injury; however, aberrant inflammation is associated to the development of chronic diseases such as cancer. Lunasin is a novel peptide that demonstrates potential anticancer activity against mammalian cancer cell lines and may play a role in inflammation. The objective of this study was to determine the mechanism of action by which lunasin and lunasin-like peptides exert their anti-inflammatory properties using RAW 264.7 macrophage cell line as an in vitro model. We purified three peptides (5, 8, and 14 kDa) from defatted soybean flour with a positive immunoreactivity towards lunasin mouse monoclonal antibody. Treatment with these peptides (10-50 μM) resulted in the inhibition of pro-inflammatory markers in lipopolysaccharide (LPS)-induced RAW 264.7 macrophages. The 5 kDa peptide inhibited most potently pro-inflammatory markers including interleukin-6 production (IC50= 2 μM), interleukin-1β production (IC50= 13 μM), nuclear factor-kappa B (NF-κB) transactivation (IC50= 21 μM), cyclooxygenase-2 expression (IC50= 25 μM), nitric oxide production (IC50= 28 μM), inducible nitric oxide synthase expression (IC50= 37 μM), prostaglandin E2production (IC50= 41 μM), p65 nuclear translocation (IC50= 48 μM) and p50 nuclear translocation (IC50= 77 μM). In conclusion, lunasin and lunasin-like peptides purified from defatted soybean flour inhibited inflammation in LPS-induced RAW 264.7 macrophage by suppressing NF-κB pathway. © 2009 Elsevier Inc. All rights reserved.","author":[{"dropping-particle":"","family":"Mejia","given":"Elvira Gonzalez","non-dropping-particle":"de","parse-names":false,"suffix":""},{"dropping-particle":"","family":"Dia","given":"Vermont P.","non-dropping-particle":"","parse-names":false,"suffix":""}],"container-title":"Peptides","id":"ITEM-2","issue":"12","issued":{"date-parts":[["2009","12","1"]]},"page":"2388-2398","publisher":"Elsevier","title":"Lunasin and lunasin-like peptides inhibit inflammation through suppression of NF-κB pathway in the macrophage","type":"article-journal","volume":"30"},"uris":["http://www.mendeley.com/documents/?uuid=811f21ac-c252-4781-864f-b957571597b7"]}],"mendeley":{"formattedCitation":"[15,16]","plainTextFormattedCitation":"[15,16]","previouslyFormattedCitation":"[61,92]"},"properties":{"noteIndex":0},"schema":"https://github.com/citation-style-language/schema/raw/master/csl-citation.json"}</w:instrText>
      </w:r>
      <w:r>
        <w:rPr>
          <w:color w:val="000000" w:themeColor="text1"/>
        </w:rPr>
        <w:fldChar w:fldCharType="separate"/>
      </w:r>
      <w:r w:rsidRPr="006F7BF5">
        <w:rPr>
          <w:noProof/>
          <w:color w:val="000000" w:themeColor="text1"/>
        </w:rPr>
        <w:t>[15,16]</w:t>
      </w:r>
      <w:r>
        <w:rPr>
          <w:color w:val="000000" w:themeColor="text1"/>
        </w:rPr>
        <w:fldChar w:fldCharType="end"/>
      </w:r>
      <w:r w:rsidRPr="004F2E64">
        <w:rPr>
          <w:color w:val="000000" w:themeColor="text1"/>
        </w:rPr>
        <w:t xml:space="preserve">. </w:t>
      </w:r>
      <w:r>
        <w:rPr>
          <w:color w:val="000000" w:themeColor="text1"/>
        </w:rPr>
        <w:t xml:space="preserve">Mammalian cell lines and </w:t>
      </w:r>
      <w:r>
        <w:rPr>
          <w:i/>
          <w:iCs/>
          <w:color w:val="000000" w:themeColor="text1"/>
        </w:rPr>
        <w:t>in vivo</w:t>
      </w:r>
      <w:r>
        <w:rPr>
          <w:color w:val="000000" w:themeColor="text1"/>
        </w:rPr>
        <w:t xml:space="preserve"> models of melanoma, skin, and breast cancer provide evidence of the chemopreventive and therapeutic properties of the peptide </w:t>
      </w:r>
      <w:r>
        <w:rPr>
          <w:color w:val="000000" w:themeColor="text1"/>
        </w:rPr>
        <w:fldChar w:fldCharType="begin" w:fldLock="1"/>
      </w:r>
      <w:r>
        <w:rPr>
          <w:color w:val="000000" w:themeColor="text1"/>
        </w:rPr>
        <w:instrText>ADDIN CSL_CITATION {"citationItems":[{"id":"ITEM-1","itemData":{"DOI":"10.1016/j.coph.2018.04.006","ISSN":"14714973","PMID":"29679803","abstract":"The health benefits of soy consumption have long been recognized. An important potential benefit is the linkage of soy consumption with reduced cancer risk. One emerging factor that may confer the anticancer effects of soy is the peptide lunasin. Lunasin has both chemopreventive and therapeutic activities against a variety of carcinogens and cancer types. A novel feature of lunasin is that it contains multiple functional domains that can modulate gene expression through effects on histone acetylation and integrin signaling. Recent studies suggest that lunasin effects on integrin signaling in cancer stem cells reduce expression of stemness factors with a concomitant reduction in metastatic potential. Here, we highlight recent studies of the potential use of lunasin as an anticancer agent and its mode of action.","author":[{"dropping-particle":"","family":"Vuyyuri","given":"Saleha B.","non-dropping-particle":"","parse-names":false,"suffix":""},{"dropping-particle":"","family":"Shidal","given":"Chris","non-dropping-particle":"","parse-names":false,"suffix":""},{"dropping-particle":"","family":"Davis","given":"Keith R.","non-dropping-particle":"","parse-names":false,"suffix":""}],"container-title":"Current Opinion in Pharmacology","id":"ITEM-1","issued":{"date-parts":[["2018","8","1"]]},"page":"27-33","publisher":"Elsevier Ltd","title":"Development of the plant-derived peptide lunasin as an anticancer agent","type":"article-journal","volume":"41"},"uris":["http://www.mendeley.com/documents/?uuid=2b299980-0978-40b3-acd5-3c7df9dd371d"]}],"mendeley":{"formattedCitation":"[17]","plainTextFormattedCitation":"[17]","previouslyFormattedCitation":"[59]"},"properties":{"noteIndex":0},"schema":"https://github.com/citation-style-language/schema/raw/master/csl-citation.json"}</w:instrText>
      </w:r>
      <w:r>
        <w:rPr>
          <w:color w:val="000000" w:themeColor="text1"/>
        </w:rPr>
        <w:fldChar w:fldCharType="separate"/>
      </w:r>
      <w:r w:rsidRPr="006F7BF5">
        <w:rPr>
          <w:noProof/>
          <w:color w:val="000000" w:themeColor="text1"/>
        </w:rPr>
        <w:t>[17]</w:t>
      </w:r>
      <w:r>
        <w:rPr>
          <w:color w:val="000000" w:themeColor="text1"/>
        </w:rPr>
        <w:fldChar w:fldCharType="end"/>
      </w:r>
      <w:r>
        <w:rPr>
          <w:color w:val="000000" w:themeColor="text1"/>
        </w:rPr>
        <w:t>. However, the biological activity of lunasin in the context of IBD and CA-CRC remains unknown.</w:t>
      </w:r>
      <w:r w:rsidR="0071207C">
        <w:rPr>
          <w:color w:val="000000" w:themeColor="text1"/>
        </w:rPr>
        <w:t xml:space="preserve"> </w:t>
      </w:r>
      <w:r w:rsidR="000D1A90">
        <w:rPr>
          <w:color w:val="000000" w:themeColor="text1"/>
        </w:rPr>
        <w:t>In chapter three</w:t>
      </w:r>
      <w:r w:rsidR="006F4006">
        <w:rPr>
          <w:color w:val="000000" w:themeColor="text1"/>
        </w:rPr>
        <w:t>,</w:t>
      </w:r>
      <w:r>
        <w:rPr>
          <w:color w:val="000000" w:themeColor="text1"/>
        </w:rPr>
        <w:t xml:space="preserve"> we demonstrated that oral administration of lunasin can reduce susceptibility to spontaneous colitis in IL-10 </w:t>
      </w:r>
      <w:r w:rsidRPr="00AF78DB">
        <w:rPr>
          <w:color w:val="000000" w:themeColor="text1"/>
          <w:vertAlign w:val="superscript"/>
        </w:rPr>
        <w:t>-/-</w:t>
      </w:r>
      <w:r>
        <w:rPr>
          <w:color w:val="000000" w:themeColor="text1"/>
        </w:rPr>
        <w:t xml:space="preserve"> mice serving as a first approach to address the promising use of the peptide in the context of IBD. In this study, we aimed to explore the effect of oral administration of lunasin over the development of colon cancer mediated by inflammation, using an </w:t>
      </w:r>
      <w:r>
        <w:rPr>
          <w:i/>
          <w:iCs/>
          <w:color w:val="000000" w:themeColor="text1"/>
        </w:rPr>
        <w:t>in vivo</w:t>
      </w:r>
      <w:r>
        <w:rPr>
          <w:color w:val="000000" w:themeColor="text1"/>
        </w:rPr>
        <w:t xml:space="preserve"> mod</w:t>
      </w:r>
      <w:r w:rsidR="002B3E0C">
        <w:rPr>
          <w:color w:val="000000" w:themeColor="text1"/>
        </w:rPr>
        <w:t>el of chemically induced CA-CRC.</w:t>
      </w:r>
    </w:p>
    <w:p w14:paraId="13EB652B" w14:textId="77777777" w:rsidR="00C1410F" w:rsidRPr="00F62846" w:rsidRDefault="00C1410F" w:rsidP="002B3E0C">
      <w:pPr>
        <w:pStyle w:val="Heading2"/>
        <w:spacing w:before="0" w:after="0" w:line="480" w:lineRule="auto"/>
      </w:pPr>
      <w:bookmarkStart w:id="118" w:name="_Toc77082148"/>
      <w:r>
        <w:t xml:space="preserve">4.3 </w:t>
      </w:r>
      <w:r w:rsidRPr="00F62846">
        <w:t>Methods</w:t>
      </w:r>
      <w:bookmarkEnd w:id="118"/>
    </w:p>
    <w:p w14:paraId="4894E921" w14:textId="77777777" w:rsidR="00C1410F" w:rsidRPr="002559EF" w:rsidRDefault="00C1410F" w:rsidP="002B3E0C">
      <w:pPr>
        <w:pStyle w:val="Heading3"/>
        <w:spacing w:before="0" w:after="0" w:line="480" w:lineRule="auto"/>
        <w:rPr>
          <w:i w:val="0"/>
        </w:rPr>
      </w:pPr>
      <w:bookmarkStart w:id="119" w:name="_Toc77082149"/>
      <w:r>
        <w:rPr>
          <w:i w:val="0"/>
        </w:rPr>
        <w:t xml:space="preserve">4.3.1 </w:t>
      </w:r>
      <w:r w:rsidRPr="002559EF">
        <w:rPr>
          <w:i w:val="0"/>
        </w:rPr>
        <w:t>Isolation of lunasin and preparation of jelly for voluntary oral administration</w:t>
      </w:r>
      <w:bookmarkEnd w:id="119"/>
    </w:p>
    <w:p w14:paraId="58452BBB" w14:textId="767FB592" w:rsidR="00C1410F" w:rsidRDefault="00C1410F" w:rsidP="00C1410F">
      <w:pPr>
        <w:spacing w:line="480" w:lineRule="auto"/>
        <w:ind w:firstLine="720"/>
        <w:rPr>
          <w:color w:val="000000" w:themeColor="text1"/>
        </w:rPr>
      </w:pPr>
      <w:r>
        <w:rPr>
          <w:color w:val="000000" w:themeColor="text1"/>
        </w:rPr>
        <w:t xml:space="preserve">Lunasin was isolated from tofu whey as previously described </w:t>
      </w:r>
      <w:r>
        <w:rPr>
          <w:color w:val="000000" w:themeColor="text1"/>
        </w:rPr>
        <w:fldChar w:fldCharType="begin" w:fldLock="1"/>
      </w:r>
      <w:r>
        <w:rPr>
          <w:color w:val="000000" w:themeColor="text1"/>
        </w:rPr>
        <w:instrText>ADDIN CSL_CITATION {"citationItems":[{"id":"ITEM-1","itemData":{"DOI":"10.1016/j.foodchem.2021.130220","ISSN":"03088146","author":[{"dropping-particle":"","family":"Nieto-Veloza","given":"Andrea","non-dropping-particle":"","parse-names":false,"suffix":""},{"dropping-particle":"","family":"Zhong","given":"Qixin","non-dropping-particle":"","parse-names":false,"suffix":""},{"dropping-particle":"","family":"Kim","given":"Won-Seok","non-dropping-particle":"","parse-names":false,"suffix":""},{"dropping-particle":"","family":"D'Souza","given":"Doris","non-dropping-particle":"","parse-names":false,"suffix":""},{"dropping-particle":"","family":"Krishnan","given":"Hari B.","non-dropping-particle":"","parse-names":false,"suffix":""},{"dropping-particle":"","family":"Dia","given":"Vermont P.","non-dropping-particle":"","parse-names":false,"suffix":""}],"container-title":"Food Chemistry","id":"ITEM-1","issued":{"date-parts":[["2021","11","15"]]},"page":"130220","publisher":"Elsevier","title":"Utilization of tofu processing wastewater as a source of the bioactive peptide lunasin","type":"article-journal","volume":"362"},"uris":["http://www.mendeley.com/documents/?uuid=72ac136a-a02f-3dde-951c-484b2fc6f68a"]}],"mendeley":{"formattedCitation":"[18]","plainTextFormattedCitation":"[18]","previouslyFormattedCitation":"[156]"},"properties":{"noteIndex":0},"schema":"https://github.com/citation-style-language/schema/raw/master/csl-citation.json"}</w:instrText>
      </w:r>
      <w:r>
        <w:rPr>
          <w:color w:val="000000" w:themeColor="text1"/>
        </w:rPr>
        <w:fldChar w:fldCharType="separate"/>
      </w:r>
      <w:r w:rsidRPr="006F7BF5">
        <w:rPr>
          <w:noProof/>
          <w:color w:val="000000" w:themeColor="text1"/>
        </w:rPr>
        <w:t>[18]</w:t>
      </w:r>
      <w:r>
        <w:rPr>
          <w:color w:val="000000" w:themeColor="text1"/>
        </w:rPr>
        <w:fldChar w:fldCharType="end"/>
      </w:r>
      <w:r>
        <w:rPr>
          <w:color w:val="000000" w:themeColor="text1"/>
        </w:rPr>
        <w:t xml:space="preserve">.  The final dry powder corresponded to isolated lunasin with at least 80% purity. </w:t>
      </w:r>
    </w:p>
    <w:p w14:paraId="7F30D7D4" w14:textId="1DF2D379" w:rsidR="00C1410F" w:rsidRDefault="000D1A90" w:rsidP="002B3E0C">
      <w:pPr>
        <w:spacing w:line="480" w:lineRule="auto"/>
        <w:ind w:firstLine="720"/>
        <w:rPr>
          <w:color w:val="000000" w:themeColor="text1"/>
        </w:rPr>
      </w:pPr>
      <w:r>
        <w:rPr>
          <w:color w:val="000000" w:themeColor="text1"/>
        </w:rPr>
        <w:t xml:space="preserve">Due to the minimum impact over food intake, easy preparation </w:t>
      </w:r>
      <w:r w:rsidR="0071207C">
        <w:rPr>
          <w:color w:val="000000" w:themeColor="text1"/>
        </w:rPr>
        <w:t>and supplementation</w:t>
      </w:r>
      <w:r>
        <w:rPr>
          <w:color w:val="000000" w:themeColor="text1"/>
        </w:rPr>
        <w:t xml:space="preserve"> with water soluble compounds, and soft consistency that make it easily ingested during periods of stress and sickness, j</w:t>
      </w:r>
      <w:r w:rsidR="00C1410F">
        <w:rPr>
          <w:color w:val="000000" w:themeColor="text1"/>
        </w:rPr>
        <w:t xml:space="preserve">elly was used as a vehicle for the dietary supplementation of lunasin. Voluntary self-administration of the jelly was selected as the mechanism for oral administration, as it allows the controlled delivery of accurate doses of lunasin, eliminates the risk of injury </w:t>
      </w:r>
      <w:r w:rsidR="00C1410F">
        <w:rPr>
          <w:color w:val="000000" w:themeColor="text1"/>
        </w:rPr>
        <w:lastRenderedPageBreak/>
        <w:t>associated with daily oral gavage, and reduces stress associated with restraining the animals. The jelly was prepared every 5 days using 8% gelatin and 10% sucralose (purchased from a local store) and kept at 4°C. The placebo jelly did not contain any additional ingredient, while jelly containing lunasin was incorporated with the appropriate amount of the peptide to provide a dose of 20 mg lunasin /kg of body weight (</w:t>
      </w:r>
      <w:r w:rsidR="006671E3">
        <w:rPr>
          <w:color w:val="000000" w:themeColor="text1"/>
        </w:rPr>
        <w:t>BW</w:t>
      </w:r>
      <w:r w:rsidR="00C1410F">
        <w:rPr>
          <w:color w:val="000000" w:themeColor="text1"/>
        </w:rPr>
        <w:t xml:space="preserve">). </w:t>
      </w:r>
      <w:r w:rsidR="00C1410F" w:rsidRPr="003F19F4">
        <w:rPr>
          <w:color w:val="000000" w:themeColor="text1"/>
        </w:rPr>
        <w:t xml:space="preserve">Lunasin supplementation corresponds to a human equivalent dose of 1.6 mg/kg </w:t>
      </w:r>
      <w:r w:rsidR="006671E3" w:rsidRPr="003F19F4">
        <w:rPr>
          <w:color w:val="000000" w:themeColor="text1"/>
        </w:rPr>
        <w:t>BW</w:t>
      </w:r>
      <w:r w:rsidR="00C1410F" w:rsidRPr="003F19F4">
        <w:rPr>
          <w:color w:val="000000" w:themeColor="text1"/>
        </w:rPr>
        <w:t xml:space="preserve"> according to the method described by Nair and Jacob </w:t>
      </w:r>
      <w:r w:rsidR="00C1410F" w:rsidRPr="003F19F4">
        <w:rPr>
          <w:color w:val="000000" w:themeColor="text1"/>
        </w:rPr>
        <w:fldChar w:fldCharType="begin" w:fldLock="1"/>
      </w:r>
      <w:r w:rsidR="00C1410F" w:rsidRPr="0071207C">
        <w:rPr>
          <w:color w:val="000000" w:themeColor="text1"/>
        </w:rPr>
        <w:instrText>ADDIN CSL_CITATION {"citationItems":[{"id":"ITEM-1","itemData":{"DOI":"10.4103/0976-0105.177703","ISSN":"0976-0105","PMID":"27057123","abstract":"Understanding the concept of extrapolation of dose between species is important for pharmaceutical researchers when initiating new animal or human experiments. Interspecies allometric scaling for dose conversion from animal to human studies is one of the most controversial areas in clinical pharmacology. Allometric approach considers the differences in body surface area, which is associated with animal weight while extrapolating the doses of therapeutic agents among the species. This review provides basic information about translation of doses between species and estimation of starting dose for clinical trials using allometric scaling. The method of calculation of injection volume for parenteral formulation based on human equivalent dose is also briefed.","author":[{"dropping-particle":"","family":"Nair","given":"AnroopB","non-dropping-particle":"","parse-names":false,"suffix":""},{"dropping-particle":"","family":"Jacob","given":"Shery","non-dropping-particle":"","parse-names":false,"suffix":""}],"container-title":"Journal of Basic and Clinical Pharmacy","id":"ITEM-1","issue":"2","issued":{"date-parts":[["2016"]]},"page":"27","publisher":"Medknow","title":"A simple practice guide for dose conversion between animals and human","type":"article-journal","volume":"7"},"uris":["http://www.mendeley.com/documents/?uuid=65e43742-d7c8-3698-8bd1-ad0437fbed05"]}],"mendeley":{"formattedCitation":"[19]","plainTextFormattedCitation":"[19]","previouslyFormattedCitation":"[157]"},"properties":{"noteIndex":0},"schema":"https://github.com/citation-style-language/schema/raw/master/csl-citation.json"}</w:instrText>
      </w:r>
      <w:r w:rsidR="00C1410F" w:rsidRPr="003F19F4">
        <w:rPr>
          <w:color w:val="000000" w:themeColor="text1"/>
        </w:rPr>
        <w:fldChar w:fldCharType="separate"/>
      </w:r>
      <w:r w:rsidR="00C1410F" w:rsidRPr="003F19F4">
        <w:rPr>
          <w:noProof/>
          <w:color w:val="000000" w:themeColor="text1"/>
        </w:rPr>
        <w:t>[19]</w:t>
      </w:r>
      <w:r w:rsidR="00C1410F" w:rsidRPr="003F19F4">
        <w:rPr>
          <w:color w:val="000000" w:themeColor="text1"/>
        </w:rPr>
        <w:fldChar w:fldCharType="end"/>
      </w:r>
      <w:r w:rsidR="00C1410F" w:rsidRPr="003F19F4">
        <w:rPr>
          <w:color w:val="000000" w:themeColor="text1"/>
        </w:rPr>
        <w:t>.</w:t>
      </w:r>
      <w:r w:rsidR="00C1410F">
        <w:rPr>
          <w:color w:val="000000" w:themeColor="text1"/>
        </w:rPr>
        <w:t xml:space="preserve">  </w:t>
      </w:r>
    </w:p>
    <w:p w14:paraId="0FD4E877" w14:textId="77777777" w:rsidR="00C1410F" w:rsidRPr="002559EF" w:rsidRDefault="00C1410F" w:rsidP="002B3E0C">
      <w:pPr>
        <w:pStyle w:val="Heading3"/>
        <w:spacing w:before="0" w:after="0" w:line="480" w:lineRule="auto"/>
        <w:rPr>
          <w:i w:val="0"/>
        </w:rPr>
      </w:pPr>
      <w:bookmarkStart w:id="120" w:name="_Toc77082150"/>
      <w:r>
        <w:rPr>
          <w:i w:val="0"/>
        </w:rPr>
        <w:t xml:space="preserve">4.3.2 </w:t>
      </w:r>
      <w:r w:rsidRPr="002559EF">
        <w:rPr>
          <w:i w:val="0"/>
        </w:rPr>
        <w:t>Animals and experimental design</w:t>
      </w:r>
      <w:bookmarkEnd w:id="120"/>
    </w:p>
    <w:p w14:paraId="318E50B0" w14:textId="6EA148FD" w:rsidR="00C1410F" w:rsidRDefault="00C1410F" w:rsidP="00C1410F">
      <w:pPr>
        <w:spacing w:line="480" w:lineRule="auto"/>
        <w:ind w:firstLine="720"/>
        <w:rPr>
          <w:color w:val="000000" w:themeColor="text1"/>
        </w:rPr>
      </w:pPr>
      <w:r>
        <w:rPr>
          <w:color w:val="000000" w:themeColor="text1"/>
        </w:rPr>
        <w:t>Azoxymethane (AOM) and cyclic administration of dextran sulfate sodium (DSS) were used to induce CA-CRC in the mice</w:t>
      </w:r>
      <w:r w:rsidR="004A1223">
        <w:rPr>
          <w:color w:val="000000" w:themeColor="text1"/>
        </w:rPr>
        <w:t>, following previous studies in inflammation-driven tumor progression in murine models [27</w:t>
      </w:r>
      <w:r w:rsidR="005266D3">
        <w:rPr>
          <w:color w:val="000000" w:themeColor="text1"/>
        </w:rPr>
        <w:t>].</w:t>
      </w:r>
      <w:r>
        <w:rPr>
          <w:color w:val="000000" w:themeColor="text1"/>
        </w:rPr>
        <w:t xml:space="preserve"> Sixteen male 8-weeks old C57/BL6J mice (Jackson Laboratories, </w:t>
      </w:r>
      <w:bookmarkStart w:id="121" w:name="_Hlk73382677"/>
      <w:r>
        <w:rPr>
          <w:color w:val="000000" w:themeColor="text1"/>
        </w:rPr>
        <w:t>Bar Harbor, ME</w:t>
      </w:r>
      <w:bookmarkEnd w:id="121"/>
      <w:r>
        <w:rPr>
          <w:color w:val="000000" w:themeColor="text1"/>
        </w:rPr>
        <w:t>) were housed in pairs with free access to water and chow diet provided </w:t>
      </w:r>
      <w:r>
        <w:rPr>
          <w:i/>
          <w:iCs/>
          <w:color w:val="000000" w:themeColor="text1"/>
        </w:rPr>
        <w:t>ad libitum</w:t>
      </w:r>
      <w:r>
        <w:rPr>
          <w:color w:val="000000" w:themeColor="text1"/>
        </w:rPr>
        <w:t xml:space="preserve">. Housing facilities were controlled to maintain 23 ± 3 °C, 30-50% relative humidity, and 12 h light/dark cycles. The training was performed to overcome neophobia to the jelly and promote voluntary oral ingestion. Briefly, after three days of acclimatization, solid food was removed for eight hours during the dark cycle. At the end of the fasting period, mice were temporarily moved to individual cages and a placebo jelly was presented. After consumption of the entire piece of jelly, the mice were returned to their original cages and allowed free access to solid food. Placebo jelly was presented for the following three days, without a fasting </w:t>
      </w:r>
      <w:r>
        <w:rPr>
          <w:color w:val="000000" w:themeColor="text1"/>
        </w:rPr>
        <w:lastRenderedPageBreak/>
        <w:t>period, to induce the habit of jelly consumption in addition to the regular diet. At the end of the training period, mice were randomly divided into two groups AOM/DSS (n=8) and AOM/DSS+Lunasin (n=8). For the remainder of the study (11 weeks), administration of placebo jelly to the AOM/DSS group, or jelly containing lunasin to the AOM/DSS+Lunasin group was performed daily. </w:t>
      </w:r>
    </w:p>
    <w:p w14:paraId="72BEBF35" w14:textId="10B43DC2" w:rsidR="00C1410F" w:rsidRDefault="00C1410F" w:rsidP="00C1410F">
      <w:pPr>
        <w:spacing w:line="480" w:lineRule="auto"/>
        <w:ind w:firstLine="720"/>
        <w:rPr>
          <w:color w:val="000000" w:themeColor="text1"/>
        </w:rPr>
      </w:pPr>
      <w:r>
        <w:rPr>
          <w:color w:val="000000" w:themeColor="text1"/>
        </w:rPr>
        <w:t xml:space="preserve">After one week of daily jelly supplementation, intraperitoneal injection of AOM (MP Biomedical, Santa Ana, CA) at 10mg/ kg </w:t>
      </w:r>
      <w:r w:rsidR="006671E3">
        <w:rPr>
          <w:color w:val="000000" w:themeColor="text1"/>
        </w:rPr>
        <w:t>BW</w:t>
      </w:r>
      <w:r>
        <w:rPr>
          <w:color w:val="000000" w:themeColor="text1"/>
        </w:rPr>
        <w:t xml:space="preserve"> was given to every mouse. One week after AOM injection, 2% DSS (MP Biomedicals, Santa Ana, CA) was administered in drinking water for seven consecutive days, followed by 14 days of regular water. The DSS administration cycle was performed two more times using 1% and 1.5% DSS for the second and third cycles, respectively. </w:t>
      </w:r>
      <w:r w:rsidR="001A69FD">
        <w:rPr>
          <w:color w:val="000000" w:themeColor="text1"/>
        </w:rPr>
        <w:t>Dosage</w:t>
      </w:r>
      <w:r w:rsidR="004A1223">
        <w:rPr>
          <w:color w:val="000000" w:themeColor="text1"/>
        </w:rPr>
        <w:t xml:space="preserve"> of AOM and DSS were </w:t>
      </w:r>
      <w:r w:rsidR="001A69FD">
        <w:rPr>
          <w:color w:val="000000" w:themeColor="text1"/>
        </w:rPr>
        <w:t>based on</w:t>
      </w:r>
      <w:r w:rsidR="004A1223">
        <w:rPr>
          <w:color w:val="000000" w:themeColor="text1"/>
        </w:rPr>
        <w:t xml:space="preserve"> previously reported stud</w:t>
      </w:r>
      <w:r w:rsidR="006F4006">
        <w:rPr>
          <w:color w:val="000000" w:themeColor="text1"/>
        </w:rPr>
        <w:t>y</w:t>
      </w:r>
      <w:r w:rsidR="001A69FD">
        <w:rPr>
          <w:color w:val="000000" w:themeColor="text1"/>
        </w:rPr>
        <w:t xml:space="preserve"> [25].</w:t>
      </w:r>
      <w:r w:rsidR="004A1223">
        <w:rPr>
          <w:color w:val="000000" w:themeColor="text1"/>
        </w:rPr>
        <w:t xml:space="preserve"> </w:t>
      </w:r>
      <w:r>
        <w:rPr>
          <w:color w:val="000000" w:themeColor="text1"/>
        </w:rPr>
        <w:t xml:space="preserve">The concentration of DSS was modified for the second and third cycles due to the severe impact observed after the 2% administration cycle. Consumption of drinking water was monitored at least twice a week to ensure equal exposure to DSS. Experimentation was conducted following the U.S. Public Health Service Policy on Humane Care and Use of Laboratory Animals and ARRIVE guidelines. Protocol for animal experiments was approved by the Institutional Animal Care and Use Committee of the University of Tennessee Knoxville (#2786-0920). </w:t>
      </w:r>
    </w:p>
    <w:p w14:paraId="1CF51684" w14:textId="77777777" w:rsidR="00C1410F" w:rsidRDefault="00C1410F" w:rsidP="00C1410F">
      <w:pPr>
        <w:spacing w:line="480" w:lineRule="auto"/>
        <w:ind w:firstLine="720"/>
        <w:rPr>
          <w:color w:val="000000" w:themeColor="text1"/>
        </w:rPr>
      </w:pPr>
    </w:p>
    <w:p w14:paraId="1ABA3FEE" w14:textId="77777777" w:rsidR="00C1410F" w:rsidRPr="002559EF" w:rsidRDefault="00C1410F" w:rsidP="00C1410F">
      <w:pPr>
        <w:pStyle w:val="Heading3"/>
        <w:spacing w:line="480" w:lineRule="auto"/>
        <w:rPr>
          <w:i w:val="0"/>
        </w:rPr>
      </w:pPr>
      <w:bookmarkStart w:id="122" w:name="_Toc77082151"/>
      <w:r>
        <w:rPr>
          <w:i w:val="0"/>
        </w:rPr>
        <w:lastRenderedPageBreak/>
        <w:t xml:space="preserve">4.3.3 </w:t>
      </w:r>
      <w:r w:rsidRPr="002559EF">
        <w:rPr>
          <w:i w:val="0"/>
        </w:rPr>
        <w:t>Blood and tissue collection</w:t>
      </w:r>
      <w:bookmarkEnd w:id="122"/>
    </w:p>
    <w:p w14:paraId="5F9EC538" w14:textId="16C0365C" w:rsidR="00C1410F" w:rsidRDefault="00C1410F" w:rsidP="002B3E0C">
      <w:pPr>
        <w:spacing w:line="480" w:lineRule="auto"/>
        <w:ind w:firstLine="720"/>
        <w:rPr>
          <w:color w:val="000000" w:themeColor="text1"/>
        </w:rPr>
      </w:pPr>
      <w:r>
        <w:rPr>
          <w:color w:val="000000" w:themeColor="text1"/>
        </w:rPr>
        <w:t xml:space="preserve">At the end of the third DSS cycle, blood was collected via cardiac stick under isoflurane anesthesia as a terminal procedure, immediately followed by cervical dislocation to confirm death. Blood was left to clot for 30 min at room temperature and then centrifuged at 1500 x </w:t>
      </w:r>
      <w:r>
        <w:rPr>
          <w:i/>
          <w:iCs/>
          <w:color w:val="000000" w:themeColor="text1"/>
        </w:rPr>
        <w:t>g</w:t>
      </w:r>
      <w:r>
        <w:rPr>
          <w:color w:val="000000" w:themeColor="text1"/>
        </w:rPr>
        <w:t xml:space="preserve"> for 10 min. Serum was collected, aliquoted, and stored at -80 °C for further analysis. The spleen and the colon were harvested, and weight and length were measured. The colon was opened, and the fecal content carefully removed using tweezers. The number of macroscopic tumors was recorded, and their size (length, width, and height) w</w:t>
      </w:r>
      <w:r w:rsidR="00E94B71">
        <w:rPr>
          <w:color w:val="000000" w:themeColor="text1"/>
        </w:rPr>
        <w:t>as</w:t>
      </w:r>
      <w:r>
        <w:rPr>
          <w:color w:val="000000" w:themeColor="text1"/>
        </w:rPr>
        <w:t xml:space="preserve"> measured using a digital caliper</w:t>
      </w:r>
      <w:r>
        <w:t>.</w:t>
      </w:r>
      <w:r>
        <w:rPr>
          <w:color w:val="FF0000"/>
        </w:rPr>
        <w:t xml:space="preserve"> </w:t>
      </w:r>
      <w:r>
        <w:t>Tumor volume was calculated according to the formula V=0.5 (length x width x height). The c</w:t>
      </w:r>
      <w:r>
        <w:rPr>
          <w:color w:val="000000" w:themeColor="text1"/>
        </w:rPr>
        <w:t xml:space="preserve">olon was longitudinally dissected in two sections. One section was rolled and fixed in formalin for histological examination. The other section was snap-frozen in liquid nitrogen and stored at -80 °C for further analysis. </w:t>
      </w:r>
    </w:p>
    <w:p w14:paraId="6CD3DC37" w14:textId="77777777" w:rsidR="00C1410F" w:rsidRPr="002559EF" w:rsidRDefault="00C1410F" w:rsidP="002B3E0C">
      <w:pPr>
        <w:pStyle w:val="Heading3"/>
        <w:spacing w:before="0" w:after="0" w:line="480" w:lineRule="auto"/>
        <w:rPr>
          <w:i w:val="0"/>
        </w:rPr>
      </w:pPr>
      <w:bookmarkStart w:id="123" w:name="_Toc77082152"/>
      <w:r>
        <w:rPr>
          <w:i w:val="0"/>
        </w:rPr>
        <w:t xml:space="preserve">4.3.4 </w:t>
      </w:r>
      <w:r w:rsidRPr="002559EF">
        <w:rPr>
          <w:i w:val="0"/>
        </w:rPr>
        <w:t>Disease activity index (DAI)</w:t>
      </w:r>
      <w:bookmarkEnd w:id="123"/>
    </w:p>
    <w:p w14:paraId="17954C7A" w14:textId="72B51890" w:rsidR="00C1410F" w:rsidRDefault="00C1410F" w:rsidP="00C1410F">
      <w:pPr>
        <w:spacing w:line="480" w:lineRule="auto"/>
        <w:ind w:firstLine="720"/>
        <w:rPr>
          <w:color w:val="000000" w:themeColor="text1"/>
        </w:rPr>
      </w:pPr>
      <w:r>
        <w:rPr>
          <w:color w:val="000000" w:themeColor="text1"/>
        </w:rPr>
        <w:t xml:space="preserve">Body weight was recorded every three or four days during the first three weeks, and every day after the first cycle of DSS was initiated. Individual fresh stool samples were evaluated weekly during the first three weeks and every two or three days upon initiation of the first DSS cycle. Scores were assigned to changes in the </w:t>
      </w:r>
      <w:r w:rsidR="006671E3">
        <w:rPr>
          <w:color w:val="000000" w:themeColor="text1"/>
        </w:rPr>
        <w:t>BW</w:t>
      </w:r>
      <w:r>
        <w:rPr>
          <w:color w:val="000000" w:themeColor="text1"/>
        </w:rPr>
        <w:t xml:space="preserve"> and the stool, based on criteria</w:t>
      </w:r>
      <w:r w:rsidR="001A69FD">
        <w:rPr>
          <w:color w:val="000000" w:themeColor="text1"/>
        </w:rPr>
        <w:t xml:space="preserve"> previously described [25], with slight modifications as follows</w:t>
      </w:r>
      <w:r>
        <w:rPr>
          <w:color w:val="000000" w:themeColor="text1"/>
        </w:rPr>
        <w:t xml:space="preserve">: i) loss of relative body weight: 0= no loss or gain, 1= &lt;5%, 2= between 5 and 10%, 3= between 10 and 15%, and 4= &gt;15% </w:t>
      </w:r>
      <w:r>
        <w:rPr>
          <w:color w:val="000000" w:themeColor="text1"/>
        </w:rPr>
        <w:lastRenderedPageBreak/>
        <w:t xml:space="preserve">compared to the </w:t>
      </w:r>
      <w:r w:rsidR="00517D13">
        <w:rPr>
          <w:color w:val="000000" w:themeColor="text1"/>
        </w:rPr>
        <w:t>BW</w:t>
      </w:r>
      <w:r>
        <w:rPr>
          <w:color w:val="000000" w:themeColor="text1"/>
        </w:rPr>
        <w:t xml:space="preserve"> at the beginning of the appropriate DSS cycle; ii) stool consistency: 0= normal stool, 1= moist and sticky, 2= loose pasty stool, 4= watery diarrhea; iii) hematochezia: 0= no visible blood in the stool, 1= </w:t>
      </w:r>
      <w:r w:rsidR="00517D13">
        <w:rPr>
          <w:color w:val="000000" w:themeColor="text1"/>
        </w:rPr>
        <w:t>b</w:t>
      </w:r>
      <w:r>
        <w:rPr>
          <w:color w:val="000000" w:themeColor="text1"/>
        </w:rPr>
        <w:t xml:space="preserve">rown reddish color in the stool, 2= </w:t>
      </w:r>
      <w:r w:rsidR="00517D13">
        <w:rPr>
          <w:color w:val="000000" w:themeColor="text1"/>
        </w:rPr>
        <w:t>b</w:t>
      </w:r>
      <w:r>
        <w:rPr>
          <w:color w:val="000000" w:themeColor="text1"/>
        </w:rPr>
        <w:t xml:space="preserve">lood present in the stool, 4= gross rectal bleeding. The DAI was calculated as the sum of the three scores for each mouse, with 0 being the minimum (no disease) and 12 the maximum score (severe disease). In addition, stool samples were collected from the cages at the indicated time points and used to evaluate the presence of hemoglobin, as a marker of fecal occult blood, using previously reported methods </w:t>
      </w:r>
      <w:r>
        <w:rPr>
          <w:color w:val="000000" w:themeColor="text1"/>
        </w:rPr>
        <w:fldChar w:fldCharType="begin" w:fldLock="1"/>
      </w:r>
      <w:r>
        <w:rPr>
          <w:color w:val="000000" w:themeColor="text1"/>
        </w:rPr>
        <w:instrText>ADDIN CSL_CITATION {"citationItems":[{"id":"ITEM-1","itemData":{"DOI":"10.3390/antiox8060175","ISSN":"2076-3921","abstract":"BG-4 isolated from bitter gourd has been reported for anti-cancer properties. The objective was to evaluate the anti-inflammatory properties of BG-4 in vitro and in vivo. Comparative study of the anti-inflammatory properties of BG-4 in vitro and in vivo was conducted on lipopolysaccharide (LPS)-activated mouse macrophages, and on dextran sodium sulfate (DSS)-induced colitis in mice. BG-4 reduced the production of pro-inflammatory markers in LPS-activated macrophages. On the other hand, intraperitoneal administration of BG-4 in DSS-induced colitis led to colon shortening, elevated neutrophils infiltration and myeloperoxidase activity, presence of blood in the stool, and loss of body weight, with differential systemic and local effects on pro-inflammatory cytokines in vivo. The results demonstrated that BG-4 differentially affected inflammation in vitro and in vivo.","author":[{"dropping-particle":"","family":"Nieto-Veloza","given":"Andrea","non-dropping-particle":"","parse-names":false,"suffix":""},{"dropping-particle":"","family":"Wang","given":"Zhihong","non-dropping-particle":"","parse-names":false,"suffix":""},{"dropping-particle":"","family":"Zhong","given":"Qixin","non-dropping-particle":"","parse-names":false,"suffix":""},{"dropping-particle":"","family":"Krishnan","given":"Hari B.","non-dropping-particle":"","parse-names":false,"suffix":""},{"dropping-particle":"","family":"Dia","given":"Vermont P.","non-dropping-particle":"","parse-names":false,"suffix":""}],"container-title":"Antioxidants","id":"ITEM-1","issue":"6","issued":{"date-parts":[["2019","6","14"]]},"page":"175","publisher":"MDPI AG","title":"BG-4 from Bitter Gourd (Momordica charantia) Differentially Affects Inflammation In Vitro and In Vivo","type":"article-journal","volume":"8"},"uris":["http://www.mendeley.com/documents/?uuid=096f71f8-8446-4a73-a6af-de6ea49a0106"]}],"mendeley":{"formattedCitation":"[20]","plainTextFormattedCitation":"[20]","previouslyFormattedCitation":"[115]"},"properties":{"noteIndex":0},"schema":"https://github.com/citation-style-language/schema/raw/master/csl-citation.json"}</w:instrText>
      </w:r>
      <w:r>
        <w:rPr>
          <w:color w:val="000000" w:themeColor="text1"/>
        </w:rPr>
        <w:fldChar w:fldCharType="separate"/>
      </w:r>
      <w:r w:rsidRPr="006F7BF5">
        <w:rPr>
          <w:noProof/>
          <w:color w:val="000000" w:themeColor="text1"/>
        </w:rPr>
        <w:t>[20]</w:t>
      </w:r>
      <w:r>
        <w:rPr>
          <w:color w:val="000000" w:themeColor="text1"/>
        </w:rPr>
        <w:fldChar w:fldCharType="end"/>
      </w:r>
      <w:r>
        <w:rPr>
          <w:color w:val="000000" w:themeColor="text1"/>
        </w:rPr>
        <w:t xml:space="preserve">. </w:t>
      </w:r>
    </w:p>
    <w:p w14:paraId="55A3AFFF" w14:textId="287C30A5" w:rsidR="00C1410F" w:rsidRPr="002559EF" w:rsidRDefault="00C1410F" w:rsidP="00C1410F">
      <w:pPr>
        <w:pStyle w:val="Heading3"/>
        <w:spacing w:line="480" w:lineRule="auto"/>
        <w:rPr>
          <w:i w:val="0"/>
        </w:rPr>
      </w:pPr>
      <w:bookmarkStart w:id="124" w:name="_Toc77082153"/>
      <w:r>
        <w:rPr>
          <w:i w:val="0"/>
        </w:rPr>
        <w:t xml:space="preserve">4.3.5 </w:t>
      </w:r>
      <w:r w:rsidRPr="002559EF">
        <w:rPr>
          <w:i w:val="0"/>
        </w:rPr>
        <w:t>Myeloperoxidase</w:t>
      </w:r>
      <w:r w:rsidR="000644D4" w:rsidRPr="002559EF">
        <w:rPr>
          <w:i w:val="0"/>
        </w:rPr>
        <w:t xml:space="preserve"> (MPO)</w:t>
      </w:r>
      <w:r w:rsidRPr="002559EF">
        <w:rPr>
          <w:i w:val="0"/>
        </w:rPr>
        <w:t xml:space="preserve"> activity and cytokines</w:t>
      </w:r>
      <w:bookmarkEnd w:id="124"/>
    </w:p>
    <w:p w14:paraId="5FE25228" w14:textId="305B3DF9" w:rsidR="00C1410F" w:rsidRDefault="00C1410F" w:rsidP="002B3E0C">
      <w:pPr>
        <w:spacing w:line="480" w:lineRule="auto"/>
        <w:ind w:firstLine="720"/>
        <w:rPr>
          <w:color w:val="000000" w:themeColor="text1"/>
        </w:rPr>
      </w:pPr>
      <w:r>
        <w:rPr>
          <w:color w:val="000000" w:themeColor="text1"/>
        </w:rPr>
        <w:t xml:space="preserve">Extracts from colonic tissue and measurement of MPO activity, as an indicator of neutrophils infiltration, were performed according to previously described methods </w:t>
      </w:r>
      <w:r>
        <w:rPr>
          <w:color w:val="000000" w:themeColor="text1"/>
        </w:rPr>
        <w:fldChar w:fldCharType="begin" w:fldLock="1"/>
      </w:r>
      <w:r>
        <w:rPr>
          <w:color w:val="000000" w:themeColor="text1"/>
        </w:rPr>
        <w:instrText>ADDIN CSL_CITATION {"citationItems":[{"id":"ITEM-1","itemData":{"DOI":"10.3390/antiox8060175","ISSN":"2076-3921","abstract":"BG-4 isolated from bitter gourd has been reported for anti-cancer properties. The objective was to evaluate the anti-inflammatory properties of BG-4 in vitro and in vivo. Comparative study of the anti-inflammatory properties of BG-4 in vitro and in vivo was conducted on lipopolysaccharide (LPS)-activated mouse macrophages, and on dextran sodium sulfate (DSS)-induced colitis in mice. BG-4 reduced the production of pro-inflammatory markers in LPS-activated macrophages. On the other hand, intraperitoneal administration of BG-4 in DSS-induced colitis led to colon shortening, elevated neutrophils infiltration and myeloperoxidase activity, presence of blood in the stool, and loss of body weight, with differential systemic and local effects on pro-inflammatory cytokines in vivo. The results demonstrated that BG-4 differentially affected inflammation in vitro and in vivo.","author":[{"dropping-particle":"","family":"Nieto-Veloza","given":"Andrea","non-dropping-particle":"","parse-names":false,"suffix":""},{"dropping-particle":"","family":"Wang","given":"Zhihong","non-dropping-particle":"","parse-names":false,"suffix":""},{"dropping-particle":"","family":"Zhong","given":"Qixin","non-dropping-particle":"","parse-names":false,"suffix":""},{"dropping-particle":"","family":"Krishnan","given":"Hari B.","non-dropping-particle":"","parse-names":false,"suffix":""},{"dropping-particle":"","family":"Dia","given":"Vermont P.","non-dropping-particle":"","parse-names":false,"suffix":""}],"container-title":"Antioxidants","id":"ITEM-1","issue":"6","issued":{"date-parts":[["2019","6","14"]]},"page":"175","publisher":"MDPI AG","title":"BG-4 from Bitter Gourd (Momordica charantia) Differentially Affects Inflammation In Vitro and In Vivo","type":"article-journal","volume":"8"},"uris":["http://www.mendeley.com/documents/?uuid=096f71f8-8446-4a73-a6af-de6ea49a0106"]}],"mendeley":{"formattedCitation":"[20]","plainTextFormattedCitation":"[20]","previouslyFormattedCitation":"[115]"},"properties":{"noteIndex":0},"schema":"https://github.com/citation-style-language/schema/raw/master/csl-citation.json"}</w:instrText>
      </w:r>
      <w:r>
        <w:rPr>
          <w:color w:val="000000" w:themeColor="text1"/>
        </w:rPr>
        <w:fldChar w:fldCharType="separate"/>
      </w:r>
      <w:r w:rsidRPr="006F7BF5">
        <w:rPr>
          <w:noProof/>
          <w:color w:val="000000" w:themeColor="text1"/>
        </w:rPr>
        <w:t>[20]</w:t>
      </w:r>
      <w:r>
        <w:rPr>
          <w:color w:val="000000" w:themeColor="text1"/>
        </w:rPr>
        <w:fldChar w:fldCharType="end"/>
      </w:r>
      <w:r>
        <w:rPr>
          <w:color w:val="000000" w:themeColor="text1"/>
        </w:rPr>
        <w:t>. For assessment of cytokines, tissue extracts were prepared by homogenizing 50 mg of colonic tissue in 1 mL of T-PER</w:t>
      </w:r>
      <w:r>
        <w:rPr>
          <w:color w:val="000000" w:themeColor="text1"/>
          <w:vertAlign w:val="superscript"/>
        </w:rPr>
        <w:t>TM</w:t>
      </w:r>
      <w:r>
        <w:rPr>
          <w:color w:val="000000" w:themeColor="text1"/>
        </w:rPr>
        <w:t xml:space="preserve"> lysis buffer (</w:t>
      </w:r>
      <w:bookmarkStart w:id="125" w:name="_Hlk73383546"/>
      <w:r>
        <w:rPr>
          <w:color w:val="000000" w:themeColor="text1"/>
        </w:rPr>
        <w:t>Thermo Scientific, Waltham, MA</w:t>
      </w:r>
      <w:bookmarkEnd w:id="125"/>
      <w:r>
        <w:rPr>
          <w:color w:val="000000" w:themeColor="text1"/>
        </w:rPr>
        <w:t xml:space="preserve">) supplemented with 5 µL of protease inhibitor cocktail (VWR International, Radnor, PA), using 1.0 mm zirconium beads (OPS Diagnostics, Lebanon, NJ) for 5 min at 30 Hz. Homogenate was centrifuged and the supernatant was aliquoted and stored at -80 °C until analysis. The protein content of tissue extracts was quantified using Bradford assay.  Pro-inflammatory cytokines TNF-α and IL-1β were analyzed in colonic extracts and blood serum using commercially available ELISA kits (Biolegend, San Diego, CA) according to the protocol provided by the manufacturer.   </w:t>
      </w:r>
    </w:p>
    <w:p w14:paraId="2763C414" w14:textId="77777777" w:rsidR="00C1410F" w:rsidRPr="002559EF" w:rsidRDefault="00C1410F" w:rsidP="00C1410F">
      <w:pPr>
        <w:pStyle w:val="Heading3"/>
        <w:spacing w:line="480" w:lineRule="auto"/>
        <w:rPr>
          <w:i w:val="0"/>
        </w:rPr>
      </w:pPr>
      <w:bookmarkStart w:id="126" w:name="_Toc77082154"/>
      <w:r>
        <w:rPr>
          <w:i w:val="0"/>
        </w:rPr>
        <w:lastRenderedPageBreak/>
        <w:t xml:space="preserve">4.3.6 </w:t>
      </w:r>
      <w:r w:rsidRPr="002559EF">
        <w:rPr>
          <w:i w:val="0"/>
        </w:rPr>
        <w:t>Western Blot</w:t>
      </w:r>
      <w:bookmarkEnd w:id="126"/>
    </w:p>
    <w:p w14:paraId="4BBE36FC" w14:textId="436A90E7" w:rsidR="00C1410F" w:rsidRDefault="00C1410F" w:rsidP="002B3E0C">
      <w:pPr>
        <w:spacing w:line="480" w:lineRule="auto"/>
        <w:ind w:firstLine="720"/>
        <w:rPr>
          <w:color w:val="000000" w:themeColor="text1"/>
        </w:rPr>
      </w:pPr>
      <w:r>
        <w:rPr>
          <w:color w:val="000000" w:themeColor="text1"/>
        </w:rPr>
        <w:t>Colonic tissue extracts for cytokine analysis were used to perform western blot immunoassay. Briefly, 20 µg of protein were separated via gel electrophoresis following standard protocol. Then Trans-Blot Turbo transfer system (Bio-Rad, Hercules, CA) was used to transfer the proteins into polyvinylidene difluoride membranes. After 1 h blocking with 5% non-fat dry milk in 0.01% Tween 20 Tris-buffered saline</w:t>
      </w:r>
      <w:r w:rsidR="00D75B9E">
        <w:rPr>
          <w:color w:val="000000" w:themeColor="text1"/>
        </w:rPr>
        <w:t xml:space="preserve"> (TBST)</w:t>
      </w:r>
      <w:r>
        <w:rPr>
          <w:color w:val="000000" w:themeColor="text1"/>
        </w:rPr>
        <w:t>, membranes were incubated overnight at 4 °C with Bcl-2-associated X protein (BAX), X-linked inhibitor of apoptosis protein (XIAP), Caspase-3, E-Cadherin, Claudin 3 and β-actin primary antibodies (Proteintech, Chicago, IL) at 1:1000 dilution. The next day membranes were washed three times</w:t>
      </w:r>
      <w:r w:rsidR="00D75B9E">
        <w:rPr>
          <w:color w:val="000000" w:themeColor="text1"/>
        </w:rPr>
        <w:t xml:space="preserve"> with TBST,</w:t>
      </w:r>
      <w:r>
        <w:rPr>
          <w:color w:val="000000" w:themeColor="text1"/>
        </w:rPr>
        <w:t xml:space="preserve"> and then incubated with secondary antibody at 1:2000 dilution for 1 h at room temperature. Membranes were imaged using a C-Digit Blot scanner (LI-COR </w:t>
      </w:r>
      <w:r>
        <w:t>Biosciences, Lincoln, NE</w:t>
      </w:r>
      <w:r>
        <w:rPr>
          <w:color w:val="000000" w:themeColor="text1"/>
        </w:rPr>
        <w:t>) and the optical density of the immunoreactive bands was analyzed using Image Studio</w:t>
      </w:r>
      <w:r>
        <w:rPr>
          <w:color w:val="000000" w:themeColor="text1"/>
          <w:vertAlign w:val="superscript"/>
        </w:rPr>
        <w:t>TM</w:t>
      </w:r>
      <w:r>
        <w:rPr>
          <w:color w:val="000000" w:themeColor="text1"/>
        </w:rPr>
        <w:t xml:space="preserve"> software.</w:t>
      </w:r>
    </w:p>
    <w:p w14:paraId="2C4D0D0F" w14:textId="77777777" w:rsidR="00C1410F" w:rsidRDefault="00C1410F" w:rsidP="002B3E0C">
      <w:pPr>
        <w:pStyle w:val="Heading3"/>
        <w:spacing w:before="0" w:after="0" w:line="480" w:lineRule="auto"/>
        <w:rPr>
          <w:color w:val="000000" w:themeColor="text1"/>
          <w:szCs w:val="24"/>
        </w:rPr>
      </w:pPr>
      <w:bookmarkStart w:id="127" w:name="_Toc77082155"/>
      <w:r>
        <w:rPr>
          <w:i w:val="0"/>
        </w:rPr>
        <w:t xml:space="preserve">4.3.7 </w:t>
      </w:r>
      <w:r w:rsidRPr="002559EF">
        <w:rPr>
          <w:i w:val="0"/>
        </w:rPr>
        <w:t>Histopathological assessment</w:t>
      </w:r>
      <w:bookmarkEnd w:id="127"/>
      <w:r w:rsidRPr="002559EF">
        <w:rPr>
          <w:i w:val="0"/>
        </w:rPr>
        <w:t xml:space="preserve"> </w:t>
      </w:r>
    </w:p>
    <w:p w14:paraId="2E4B4A6D" w14:textId="4C6FBD5E" w:rsidR="00C1410F" w:rsidRPr="002B3E0C" w:rsidRDefault="00C1410F" w:rsidP="002B3E0C">
      <w:pPr>
        <w:spacing w:line="480" w:lineRule="auto"/>
        <w:ind w:firstLine="720"/>
        <w:rPr>
          <w:color w:val="000000" w:themeColor="text1"/>
          <w:u w:val="single"/>
        </w:rPr>
      </w:pPr>
      <w:r>
        <w:rPr>
          <w:color w:val="000000" w:themeColor="text1"/>
        </w:rPr>
        <w:t xml:space="preserve">Formalin-fixed colonic tissue was paraffin-embedded, cut into 4 µm sections and routinely stained with hematoxylin and eosin- (H&amp;E). Sections of colon were assessed for inflammation, dysplasia, and neoplasia in a blinded fashion by a board-certified anatomic pathologist (MMS). Inflammation was evaluated in areas not affected by dysplasia, and the scoring was performed according to the guidelines published by Erben </w:t>
      </w:r>
      <w:r>
        <w:rPr>
          <w:i/>
          <w:iCs/>
          <w:color w:val="000000" w:themeColor="text1"/>
        </w:rPr>
        <w:t>et al</w:t>
      </w:r>
      <w:r>
        <w:rPr>
          <w:color w:val="000000" w:themeColor="text1"/>
        </w:rPr>
        <w:t xml:space="preserve">. </w:t>
      </w:r>
      <w:r>
        <w:rPr>
          <w:color w:val="000000" w:themeColor="text1"/>
        </w:rPr>
        <w:fldChar w:fldCharType="begin" w:fldLock="1"/>
      </w:r>
      <w:r>
        <w:rPr>
          <w:color w:val="000000" w:themeColor="text1"/>
        </w:rPr>
        <w:instrText>ADDIN CSL_CITATION {"citationItems":[{"id":"ITEM-1","itemData":{"abstract":"Histomorphology remains a powerful routine evaluating intestinal inflammation in animal models. Emphasizing the focus of a given animal study, histopathology can overstate differences between established models. We aimed to systematize histopathological evaluation of intestinal inflammation in mouse models facilitating inter-study comparisons. Samples of all parts of the intestinal tract from well-established mouse models of intestinal inflammation were evaluated from hematoxylin/eosin-stained sections and specific observations confirmed by subsequent immunohistochemistry. Three main categories sufficiently reflected the severity of histopathology independent of the localization and the overall extent of an inflammation: (i) quality and dimension of inflammatory cell infiltrates, (ii) epithelial changes and (iii) overall mucosal architecture. Scoring schemata were defined along specified criteria for each of the three categories. The direction of the initial hit proved crucial for the comparability of histological changes. Chemical noxes, infection with intestinal parasites or other models where the barrier was disturbed from outside, the luminal side, showed high levels of similarity and distinct differences to changes in the intestinal balance resulting from inside events like altered cytokine responses or disruption of the immune cell homeostasis. With a high degree of generalisation and maximum scores from 4-8 suitable scoring schemata accounted specific histopathological hallmarks. Truly integrating demands and experiences of gastroenterologists, mouse researchers, microbiologists and pathologists we provide an easy-to-use guideline evaluating histomorphol-ogy in mouse models of intestinal inflammation. Standard criteria and definitions facilitate classification and rating of new relevant models, allow comparison in animal studies and transfer of functional findings to comparable his-topathologies in human disease.","author":[{"dropping-particle":"","family":"Erben","given":"Ulrike","non-dropping-particle":"","parse-names":false,"suffix":""},{"dropping-particle":"","family":"Loddenkemper","given":"Christoph","non-dropping-particle":"","parse-names":false,"suffix":""},{"dropping-particle":"","family":"Doerfel","given":"Katja","non-dropping-particle":"","parse-names":false,"suffix":""},{"dropping-particle":"","family":"Spieckermann","given":"Simone","non-dropping-particle":"","parse-names":false,"suffix":""},{"dropping-particle":"","family":"Haller","given":"Dirk","non-dropping-particle":"","parse-names":false,"suffix":""},{"dropping-particle":"","family":"Heimesaat","given":"Markus M","non-dropping-particle":"","parse-names":false,"suffix":""},{"dropping-particle":"","family":"Zeitz","given":"Martin","non-dropping-particle":"","parse-names":false,"suffix":""},{"dropping-particle":"","family":"Siegmund","given":"Britta","non-dropping-particle":"","parse-names":false,"suffix":""},{"dropping-particle":"","family":"Kühl","given":"Anja A","non-dropping-particle":"","parse-names":false,"suffix":""}],"container-title":"Int J Clin Exp Pathol","id":"ITEM-1","issue":"8","issued":{"date-parts":[["2014"]]},"number-of-pages":"4557-4576","title":"A guide to histomorphological evaluation of intestinal inflammation in mouse models","type":"report","volume":"7"},"uris":["http://www.mendeley.com/documents/?uuid=ed42042c-d22d-3608-8e95-d71a9f6d5a38"]}],"mendeley":{"formattedCitation":"[21]","plainTextFormattedCitation":"[21]","previouslyFormattedCitation":"[158]"},"properties":{"noteIndex":0},"schema":"https://github.com/citation-style-language/schema/raw/master/csl-citation.json"}</w:instrText>
      </w:r>
      <w:r>
        <w:rPr>
          <w:color w:val="000000" w:themeColor="text1"/>
        </w:rPr>
        <w:fldChar w:fldCharType="separate"/>
      </w:r>
      <w:r w:rsidRPr="006F7BF5">
        <w:rPr>
          <w:noProof/>
          <w:color w:val="000000" w:themeColor="text1"/>
        </w:rPr>
        <w:t>[21]</w:t>
      </w:r>
      <w:r>
        <w:rPr>
          <w:color w:val="000000" w:themeColor="text1"/>
        </w:rPr>
        <w:fldChar w:fldCharType="end"/>
      </w:r>
      <w:r>
        <w:rPr>
          <w:color w:val="000000" w:themeColor="text1"/>
        </w:rPr>
        <w:t xml:space="preserve">, based on the following </w:t>
      </w:r>
      <w:r>
        <w:rPr>
          <w:color w:val="000000" w:themeColor="text1"/>
        </w:rPr>
        <w:lastRenderedPageBreak/>
        <w:t xml:space="preserve">criteria: i) changes in mucosal architecture: 0= none, 1= focal erosion, 2= multifocal erosion and/or evidence of focal ulceration, and 3= evidence of extended ulceration with granulation tissue; ii) goblet cell depletion: 0= minimum or no evident changes, or 1= evident decrease in the population of goblet cells; iii) density of inflammatory cellular infiltration: 0= no observed, 1= &lt; 10% of the tissue, 2= 10 to 25%, 3= 26 to 50%, and 4= &gt; 51%; iv) extent of infiltration: 1= limited to the mucosa, 2= mucosa and submucosa, and 3= transmural infiltration. The inflammation score was calculated as the sum of the four individual scores, with 11 being the maximum possible score. Dysplastic lesions were classified as indefinite dysplasia or hyperplasia, low-grade dysplasia with nuclei remaining in basilar location, high-grade dysplasia with nuclei which span height of cell, and invasive </w:t>
      </w:r>
      <w:r w:rsidRPr="002B3E0C">
        <w:rPr>
          <w:color w:val="000000" w:themeColor="text1"/>
          <w:u w:val="single"/>
        </w:rPr>
        <w:t xml:space="preserve">carcinoma </w:t>
      </w:r>
      <w:r w:rsidRPr="002B3E0C">
        <w:rPr>
          <w:color w:val="000000" w:themeColor="text1"/>
          <w:u w:val="single"/>
        </w:rPr>
        <w:fldChar w:fldCharType="begin" w:fldLock="1"/>
      </w:r>
      <w:r w:rsidRPr="002B3E0C">
        <w:rPr>
          <w:color w:val="000000" w:themeColor="text1"/>
          <w:u w:val="single"/>
        </w:rPr>
        <w:instrText>ADDIN CSL_CITATION {"citationItems":[{"id":"ITEM-1","itemData":{"DOI":"10.1053/j.gastro.2004.03.025","ISSN":"00165085","PMID":"15168373","abstract":"Patients with ulcerative colitis and Crohn's colitis face an Increased lifetime risk of developing colorectal cancer. Factors associated with increased risk include long duration of colitis, extensive colonic involvement, primary sclerosing cholangitis, a family history of colorectal cancer, and, according to some studies, early disease onset and more severly active inflammation. Although prophylactic proctocolectomy can essentially eliminate the risk of cancer, most patients and their physicians opt instead for a lifelong program of surveillance. This entails regular medical follow-up, management with antiinflammatory and putative chemopreventive agents, and periodic colonoscopic examinations combined with extensive biopsy sampling throughout the colon. The main objective of regular colonoscopy Is to detect neoplasia at a surgically curative and preferably preinvasive stage, i.e., dysplasia. An initial screening colonoscopy should be performed 7-8 years from disease onset or immediately in patients with primary sclerosing cholangitis. Surveillance should then continue annually or biennially so long as no dysplasia is found or suspected. Biopsy specimens are graded pathologically as negative, indefinite for dysplasia, low-grade dysplasia, high-grade dysplasia, or invasive cancer. The diagnosis and grading of dysplasia can be very challenging and should be confirmed by an expert pathologist whenever intervention or a change in management is contemplated. if 1 or more biopsy specimens are indefinite for dysplasia, colonoscopy intervals should be reduced. A patient with low- or high-grade dysplasia found in a discrete adenoma-like polyp, but nowhere else, can be safely managed with polypectomy and accelerated surveillance. However, dysplasia of any grade found in an endoscopically nonresectable polyp and high-grade dysplasia found in flat mucosa are both strong indications for proctocolectomy. Evidence further suggests that the same may be true even of low-grade dysplasia in flat mucosa. Chromoendoscopy holds promise for facilitating the endoscopic detection of neoplasia. The clinical application of newer molecular methods to detect neoplasia, particularly gene microarrays and stool DNA testing, also deserve further study.","author":[{"dropping-particle":"","family":"Itzkowitz","given":"Steven H.","non-dropping-particle":"","parse-names":false,"suffix":""},{"dropping-particle":"","family":"Harpaz","given":"Noam","non-dropping-particle":"","parse-names":false,"suffix":""}],"container-title":"Gastroenterology","id":"ITEM-1","issue":"6","issued":{"date-parts":[["2004"]]},"page":"1634-1648","publisher":"W.B. Saunders","title":"Diagnosis and management of dysplasia in patients with inflammatory bowel diseases","type":"article-journal","volume":"126"},"uris":["http://www.mendeley.com/documents/?uuid=59baab34-ec2f-37d9-9cae-c0ecd1f2fb18"]}],"mendeley":{"formattedCitation":"[22]","plainTextFormattedCitation":"[22]","previouslyFormattedCitation":"[183]"},"properties":{"noteIndex":0},"schema":"https://github.com/citation-style-language/schema/raw/master/csl-citation.json"}</w:instrText>
      </w:r>
      <w:r w:rsidRPr="002B3E0C">
        <w:rPr>
          <w:color w:val="000000" w:themeColor="text1"/>
          <w:u w:val="single"/>
        </w:rPr>
        <w:fldChar w:fldCharType="separate"/>
      </w:r>
      <w:r w:rsidRPr="002B3E0C">
        <w:rPr>
          <w:noProof/>
          <w:color w:val="000000" w:themeColor="text1"/>
          <w:u w:val="single"/>
        </w:rPr>
        <w:t>[22]</w:t>
      </w:r>
      <w:r w:rsidRPr="002B3E0C">
        <w:rPr>
          <w:color w:val="000000" w:themeColor="text1"/>
          <w:u w:val="single"/>
        </w:rPr>
        <w:fldChar w:fldCharType="end"/>
      </w:r>
      <w:r w:rsidRPr="002B3E0C">
        <w:rPr>
          <w:color w:val="000000" w:themeColor="text1"/>
          <w:u w:val="single"/>
        </w:rPr>
        <w:t xml:space="preserve">. </w:t>
      </w:r>
    </w:p>
    <w:p w14:paraId="2A3790D8" w14:textId="77777777" w:rsidR="00C1410F" w:rsidRPr="002B3E0C" w:rsidRDefault="00C1410F" w:rsidP="002B3E0C">
      <w:pPr>
        <w:pStyle w:val="Heading3"/>
        <w:spacing w:before="0" w:after="0" w:line="480" w:lineRule="auto"/>
        <w:rPr>
          <w:i w:val="0"/>
          <w:u w:val="single"/>
        </w:rPr>
      </w:pPr>
      <w:bookmarkStart w:id="128" w:name="_Toc77082156"/>
      <w:r w:rsidRPr="002B3E0C">
        <w:rPr>
          <w:i w:val="0"/>
          <w:u w:val="single"/>
        </w:rPr>
        <w:t>4.3.8 Statistical analysis</w:t>
      </w:r>
      <w:bookmarkEnd w:id="128"/>
    </w:p>
    <w:p w14:paraId="4A4D8150" w14:textId="5017150F" w:rsidR="00C1410F" w:rsidRDefault="00C1410F" w:rsidP="00C1410F">
      <w:pPr>
        <w:spacing w:line="480" w:lineRule="auto"/>
        <w:ind w:firstLine="720"/>
      </w:pPr>
      <w:r>
        <w:t xml:space="preserve">Results are reported as mean ± SEM. The non-parametric Mann-Whitney test or the parametric </w:t>
      </w:r>
      <w:r w:rsidR="00D75B9E">
        <w:t>Student t-test</w:t>
      </w:r>
      <w:r>
        <w:t xml:space="preserve"> were applied accordingly to identify significant differences (p&lt; 0.05). Statistical analyses were performed using the software Minitab ® 17.1.0 (Minitab Inc., USA) or Excel Microsoft 365 (Microsoft Corporation, USA).</w:t>
      </w:r>
    </w:p>
    <w:p w14:paraId="1A66B63A" w14:textId="77777777" w:rsidR="00C1410F" w:rsidRPr="00F62846" w:rsidRDefault="00C1410F" w:rsidP="002B3E0C">
      <w:pPr>
        <w:pStyle w:val="Heading2"/>
        <w:spacing w:before="0" w:after="0" w:line="480" w:lineRule="auto"/>
      </w:pPr>
      <w:bookmarkStart w:id="129" w:name="_Toc77082157"/>
      <w:r>
        <w:t xml:space="preserve">4.4 </w:t>
      </w:r>
      <w:r w:rsidRPr="00F62846">
        <w:t>Results</w:t>
      </w:r>
      <w:bookmarkEnd w:id="129"/>
      <w:r w:rsidRPr="00F62846">
        <w:t xml:space="preserve"> </w:t>
      </w:r>
    </w:p>
    <w:p w14:paraId="71699294" w14:textId="77777777" w:rsidR="00C1410F" w:rsidRPr="002559EF" w:rsidRDefault="00C1410F" w:rsidP="002B3E0C">
      <w:pPr>
        <w:pStyle w:val="Heading3"/>
        <w:spacing w:before="0" w:after="0" w:line="480" w:lineRule="auto"/>
        <w:rPr>
          <w:i w:val="0"/>
        </w:rPr>
      </w:pPr>
      <w:bookmarkStart w:id="130" w:name="_Toc77082158"/>
      <w:r>
        <w:rPr>
          <w:i w:val="0"/>
        </w:rPr>
        <w:t xml:space="preserve">4.4.1 </w:t>
      </w:r>
      <w:r w:rsidRPr="002559EF">
        <w:rPr>
          <w:i w:val="0"/>
        </w:rPr>
        <w:t>Lunasin facilitated the recovery of body weight and stool consistency.</w:t>
      </w:r>
      <w:bookmarkEnd w:id="130"/>
    </w:p>
    <w:p w14:paraId="185DED66" w14:textId="6EF35E2B" w:rsidR="00C1410F" w:rsidRDefault="00C1410F" w:rsidP="00C1410F">
      <w:pPr>
        <w:spacing w:line="480" w:lineRule="auto"/>
        <w:ind w:firstLine="720"/>
      </w:pPr>
      <w:r>
        <w:t xml:space="preserve">Variations in the </w:t>
      </w:r>
      <w:r w:rsidR="00F57FBD">
        <w:t>BW</w:t>
      </w:r>
      <w:r>
        <w:t xml:space="preserve"> relative to the individual </w:t>
      </w:r>
      <w:r w:rsidR="00130A97">
        <w:t xml:space="preserve">BW </w:t>
      </w:r>
      <w:r>
        <w:t xml:space="preserve">at the beginning of each DSS cycle are presented in Figure 4.1A. </w:t>
      </w:r>
      <w:r>
        <w:rPr>
          <w:color w:val="000000" w:themeColor="text1"/>
        </w:rPr>
        <w:t xml:space="preserve">Loss of </w:t>
      </w:r>
      <w:r w:rsidR="00813F8A">
        <w:rPr>
          <w:color w:val="000000" w:themeColor="text1"/>
        </w:rPr>
        <w:t>BW</w:t>
      </w:r>
      <w:r>
        <w:rPr>
          <w:color w:val="000000" w:themeColor="text1"/>
        </w:rPr>
        <w:t xml:space="preserve"> is common in patients with </w:t>
      </w:r>
      <w:r>
        <w:rPr>
          <w:color w:val="000000" w:themeColor="text1"/>
        </w:rPr>
        <w:lastRenderedPageBreak/>
        <w:t xml:space="preserve">CD due to the impairment in the digestive and absorptive functions of the intestine, but it only occurs in the most severe cases of UC </w:t>
      </w:r>
      <w:r>
        <w:rPr>
          <w:color w:val="000000" w:themeColor="text1"/>
        </w:rPr>
        <w:fldChar w:fldCharType="begin" w:fldLock="1"/>
      </w:r>
      <w:r>
        <w:rPr>
          <w:color w:val="000000" w:themeColor="text1"/>
        </w:rPr>
        <w:instrText>ADDIN CSL_CITATION {"citationItems":[{"id":"ITEM-1","itemData":{"abstract":"Ulcerative colitis (UC), a subcategory of inflammatory bowel disease, afflicts 1-2 million people in the United States, and many more worldwide. Although the exact cause of ulcerative colitis remains undetermined, the condition appears to be related to a combination of genetic and environmental factors. While conventional treatments can be effective in maintaining remission and decreasing the length of active disease periods, the treatments are not without side effects, and a significant number of people suffering from UC fail to respond to even the strongest drugs. This article reviews potential unconventional treatments-transdermal nicotine, heparin, melatonin, DHEA, probiotics, fiber, dietary changes, botanicals, essential fatty acids, and other nutrients-that may be considered in conjunction with conventional approaches or as part of a comprehensive alternative treatment protocol. In addition this review addresses risk factors, pathogenesis, nutrient deficiencies, conventional treatment approaches, and extra-intestinal manifestations of the disease. (Altern Med Rev 2003;8(3):247-283)","author":[{"dropping-particle":"","family":"Head","given":"Kathleen","non-dropping-particle":"","parse-names":false,"suffix":""},{"dropping-particle":"","family":"Jurenka","given":"Julie","non-dropping-particle":"","parse-names":false,"suffix":""}],"container-title":"Alternative Medicine","id":"ITEM-1","issue":"3","issued":{"date-parts":[["2003"]]},"page":"247-283","title":"Inflammatory bowel disease part I: Ulcerative Colitis - pathophysiology and conventional and alternative treatment options","type":"article-journal","volume":"8"},"uris":["http://www.mendeley.com/documents/?uuid=f9cea954-2aa4-35d9-bda1-0a7703efb528"]}],"mendeley":{"formattedCitation":"[23]","plainTextFormattedCitation":"[23]","previouslyFormattedCitation":"[24]"},"properties":{"noteIndex":0},"schema":"https://github.com/citation-style-language/schema/raw/master/csl-citation.json"}</w:instrText>
      </w:r>
      <w:r>
        <w:rPr>
          <w:color w:val="000000" w:themeColor="text1"/>
        </w:rPr>
        <w:fldChar w:fldCharType="separate"/>
      </w:r>
      <w:r w:rsidRPr="006F7BF5">
        <w:rPr>
          <w:noProof/>
          <w:color w:val="000000" w:themeColor="text1"/>
        </w:rPr>
        <w:t>[23]</w:t>
      </w:r>
      <w:r>
        <w:rPr>
          <w:color w:val="000000" w:themeColor="text1"/>
        </w:rPr>
        <w:fldChar w:fldCharType="end"/>
      </w:r>
      <w:r>
        <w:rPr>
          <w:color w:val="000000" w:themeColor="text1"/>
        </w:rPr>
        <w:t xml:space="preserve">. This fact agrees with the lack of effect observed over the relative </w:t>
      </w:r>
      <w:r w:rsidR="00F2094C">
        <w:rPr>
          <w:color w:val="000000" w:themeColor="text1"/>
        </w:rPr>
        <w:t>BW</w:t>
      </w:r>
      <w:r>
        <w:rPr>
          <w:color w:val="000000" w:themeColor="text1"/>
        </w:rPr>
        <w:t xml:space="preserve"> when DSS was administered at the lowest dose, in contrast to the marked and very drastic drop in </w:t>
      </w:r>
      <w:r w:rsidR="00130A97">
        <w:rPr>
          <w:color w:val="000000" w:themeColor="text1"/>
        </w:rPr>
        <w:t>BW</w:t>
      </w:r>
      <w:r>
        <w:rPr>
          <w:color w:val="000000" w:themeColor="text1"/>
        </w:rPr>
        <w:t xml:space="preserve"> when higher concentrations were used. </w:t>
      </w:r>
      <w:r>
        <w:t xml:space="preserve">Although significant differences between the two groups were found only during the last 10 days of the study, records from daily monitoring indicated that 75% </w:t>
      </w:r>
      <w:r w:rsidR="001405B5">
        <w:t xml:space="preserve">and 38% </w:t>
      </w:r>
      <w:r>
        <w:t>of the mice in the AOM/DSS group</w:t>
      </w:r>
      <w:r w:rsidR="001405B5">
        <w:t xml:space="preserve"> and the lunasin treatment group, respectively,</w:t>
      </w:r>
      <w:r>
        <w:t xml:space="preserve"> lost more than 14% of </w:t>
      </w:r>
      <w:r w:rsidR="00130A97">
        <w:t>BW</w:t>
      </w:r>
      <w:r>
        <w:t xml:space="preserve"> during the first DSS cycle. Administration of 1.5% DSS (third cycle) resulted in more than 8% loss of </w:t>
      </w:r>
      <w:r w:rsidR="006718FA">
        <w:t>BW</w:t>
      </w:r>
      <w:r>
        <w:t xml:space="preserve"> in 3 mice from the AOM/DSS group and only 1 mouse in the AOM/DSS + lunasin group. </w:t>
      </w:r>
    </w:p>
    <w:p w14:paraId="6CF51FD4" w14:textId="3B92189C" w:rsidR="00C1410F" w:rsidRDefault="00C1410F" w:rsidP="00C1410F">
      <w:pPr>
        <w:spacing w:line="480" w:lineRule="auto"/>
        <w:ind w:firstLine="720"/>
      </w:pPr>
      <w:r>
        <w:t>The average DAI (Figure 4.1B) clearly shows three peaks that are proportional to each cycle of DSS. Upon inflammatory flares</w:t>
      </w:r>
      <w:r w:rsidR="004E20F8">
        <w:t>,</w:t>
      </w:r>
      <w:r>
        <w:t xml:space="preserve"> decrease of the DAI to a minimum level took 15 days after the first cycle and 2 days after the second cycle for both groups, but 15 days for AOM/DSS and 5 days for AOM/DSS + Lunasin group after the third cycle. These results suggest that an extended period is required for the recovery of mild (1.5% DSS) and severe (2.0% DSS) episodes of inflammation and that lunasin significantly accelerated the recovery from inflammation when CA-CRC was already established. This faster recovery seems to be concomitant to the observed improvement in </w:t>
      </w:r>
      <w:r w:rsidR="00B00371">
        <w:t>BW</w:t>
      </w:r>
      <w:r>
        <w:t>. Significant differences particularly on days 48, 54, and 67 w</w:t>
      </w:r>
      <w:r w:rsidR="00B00371">
        <w:t>ere</w:t>
      </w:r>
      <w:r>
        <w:t xml:space="preserve"> associated with favorable changes in stool consistency. Overall, when lunasin was given, a score of 0 (no </w:t>
      </w:r>
      <w:r>
        <w:lastRenderedPageBreak/>
        <w:t xml:space="preserve">signs of disease) was 10% more frequent, while scores associated with any level of disease were less common (Figure 4.1C). </w:t>
      </w:r>
    </w:p>
    <w:p w14:paraId="6B20CD82" w14:textId="226DEF02" w:rsidR="00C1410F" w:rsidRDefault="00C1410F" w:rsidP="002B3E0C">
      <w:pPr>
        <w:spacing w:line="480" w:lineRule="auto"/>
        <w:ind w:firstLine="720"/>
      </w:pPr>
      <w:r>
        <w:t>No significant differences were observed in the hemoglobin content (Figure 4.1D) between the two groups</w:t>
      </w:r>
      <w:r w:rsidR="00894F8F">
        <w:t>.</w:t>
      </w:r>
      <w:r>
        <w:t xml:space="preserve"> </w:t>
      </w:r>
      <w:r w:rsidR="00894F8F">
        <w:t>H</w:t>
      </w:r>
      <w:r>
        <w:t>owever, as shown by hematochezia scores (Figure 4.1E)</w:t>
      </w:r>
      <w:r w:rsidR="00894F8F">
        <w:t>,</w:t>
      </w:r>
      <w:r>
        <w:t xml:space="preserve"> </w:t>
      </w:r>
      <w:r w:rsidR="00894F8F">
        <w:t>o</w:t>
      </w:r>
      <w:r>
        <w:t>ne mouse in the AOM/DSS group exhibited gross rectal bleeding</w:t>
      </w:r>
      <w:r w:rsidR="00580366">
        <w:t>,</w:t>
      </w:r>
      <w:r>
        <w:t xml:space="preserve"> while none did in the AOM/DSS + Lunasin group. Lunasin also contributed to a faster recovery of the stool regular consistency (Figure 4.1F) as observed in the trends of the scores following the second and third inflammatory peaks. Four episodes of diarrhea were observed in each group, but only during the first cycle (Figure 4.1G). I</w:t>
      </w:r>
      <w:r>
        <w:rPr>
          <w:color w:val="000000" w:themeColor="text1"/>
        </w:rPr>
        <w:t xml:space="preserve">t is to </w:t>
      </w:r>
      <w:r w:rsidR="005023C8">
        <w:rPr>
          <w:color w:val="000000" w:themeColor="text1"/>
        </w:rPr>
        <w:t xml:space="preserve">be </w:t>
      </w:r>
      <w:r>
        <w:rPr>
          <w:color w:val="000000" w:themeColor="text1"/>
        </w:rPr>
        <w:t>note</w:t>
      </w:r>
      <w:r w:rsidR="005023C8">
        <w:rPr>
          <w:color w:val="000000" w:themeColor="text1"/>
        </w:rPr>
        <w:t>d</w:t>
      </w:r>
      <w:r>
        <w:rPr>
          <w:color w:val="000000" w:themeColor="text1"/>
        </w:rPr>
        <w:t xml:space="preserve"> that watery diarrhea in the AOM/DSS + Lunasin group was observed in two mice that overall showed a low response to the peptide</w:t>
      </w:r>
      <w:r>
        <w:t xml:space="preserve">. Analysis of the frequency of the scores indicated that mice receiving lunasin were 5% and 8% less prone to exhibit any indicator of potential blood in the stool and change of stool consistency, respectively. </w:t>
      </w:r>
    </w:p>
    <w:p w14:paraId="2E9F5BAD" w14:textId="77777777" w:rsidR="00C1410F" w:rsidRDefault="00C1410F" w:rsidP="002B3E0C">
      <w:pPr>
        <w:pStyle w:val="Heading3"/>
        <w:spacing w:before="0" w:after="0" w:line="480" w:lineRule="auto"/>
        <w:rPr>
          <w:color w:val="000000" w:themeColor="text1"/>
          <w:szCs w:val="24"/>
        </w:rPr>
      </w:pPr>
      <w:bookmarkStart w:id="131" w:name="_Toc77082159"/>
      <w:r>
        <w:rPr>
          <w:i w:val="0"/>
        </w:rPr>
        <w:t xml:space="preserve">4.4.2 </w:t>
      </w:r>
      <w:r w:rsidRPr="002559EF">
        <w:rPr>
          <w:i w:val="0"/>
        </w:rPr>
        <w:t>Lunasin treated mice had lower relative spleen and colon weight.</w:t>
      </w:r>
      <w:bookmarkEnd w:id="131"/>
    </w:p>
    <w:p w14:paraId="5D483121" w14:textId="23D6F111" w:rsidR="00C1410F" w:rsidRDefault="00C1410F" w:rsidP="002B3E0C">
      <w:pPr>
        <w:spacing w:line="480" w:lineRule="auto"/>
        <w:ind w:firstLine="720"/>
        <w:rPr>
          <w:color w:val="000000" w:themeColor="text1"/>
        </w:rPr>
      </w:pPr>
      <w:r>
        <w:rPr>
          <w:color w:val="000000" w:themeColor="text1"/>
        </w:rPr>
        <w:t xml:space="preserve">Spleen enlargement is a common feature in DSS-induced colitis </w:t>
      </w:r>
      <w:r>
        <w:rPr>
          <w:color w:val="000000" w:themeColor="text1"/>
        </w:rPr>
        <w:fldChar w:fldCharType="begin" w:fldLock="1"/>
      </w:r>
      <w:r>
        <w:rPr>
          <w:color w:val="000000" w:themeColor="text1"/>
        </w:rPr>
        <w:instrText>ADDIN CSL_CITATION {"citationItems":[{"id":"ITEM-1","itemData":{"DOI":"10.3892/mmr.2020.11672","ISSN":"17913004","PMID":"33179078","abstract":"curcumin has a therapeutic effect on ulcerative colitis, but the underlying mechanism has yet to be elucidated. The aim of the present study was to clarify the possible mechanisms. dextran sulfate sodium</w:instrText>
      </w:r>
      <w:r>
        <w:rPr>
          <w:rFonts w:ascii="Cambria Math" w:hAnsi="Cambria Math" w:cs="Cambria Math"/>
          <w:color w:val="000000" w:themeColor="text1"/>
        </w:rPr>
        <w:instrText>‑</w:instrText>
      </w:r>
      <w:r>
        <w:rPr>
          <w:color w:val="000000" w:themeColor="text1"/>
        </w:rPr>
        <w:instrText>induced colitis mice were treated with curcumin via gavage for 7 days. The effects of curcumin on disease activity index (dai) and pathological changes of colonic tissue in mice were determined. interleukin (il)</w:instrText>
      </w:r>
      <w:r>
        <w:rPr>
          <w:rFonts w:ascii="Cambria Math" w:hAnsi="Cambria Math" w:cs="Cambria Math"/>
          <w:color w:val="000000" w:themeColor="text1"/>
        </w:rPr>
        <w:instrText>‑</w:instrText>
      </w:r>
      <w:r>
        <w:rPr>
          <w:color w:val="000000" w:themeColor="text1"/>
        </w:rPr>
        <w:instrText>6, il</w:instrText>
      </w:r>
      <w:r>
        <w:rPr>
          <w:rFonts w:ascii="Cambria Math" w:hAnsi="Cambria Math" w:cs="Cambria Math"/>
          <w:color w:val="000000" w:themeColor="text1"/>
        </w:rPr>
        <w:instrText>‑</w:instrText>
      </w:r>
      <w:r>
        <w:rPr>
          <w:color w:val="000000" w:themeColor="text1"/>
        </w:rPr>
        <w:instrText>10, il</w:instrText>
      </w:r>
      <w:r>
        <w:rPr>
          <w:rFonts w:ascii="Cambria Math" w:hAnsi="Cambria Math" w:cs="Cambria Math"/>
          <w:color w:val="000000" w:themeColor="text1"/>
        </w:rPr>
        <w:instrText>‑</w:instrText>
      </w:r>
      <w:r>
        <w:rPr>
          <w:color w:val="000000" w:themeColor="text1"/>
        </w:rPr>
        <w:instrText>17 and il</w:instrText>
      </w:r>
      <w:r>
        <w:rPr>
          <w:rFonts w:ascii="Cambria Math" w:hAnsi="Cambria Math" w:cs="Cambria Math"/>
          <w:color w:val="000000" w:themeColor="text1"/>
        </w:rPr>
        <w:instrText>‑</w:instrText>
      </w:r>
      <w:r>
        <w:rPr>
          <w:color w:val="000000" w:themeColor="text1"/>
        </w:rPr>
        <w:instrText>23 expression levels were measured by eliSa. Flow cytometry was used to detect the ratio of mouse spleen regulatory T cells (Treg)/Th17 cells, and western blot</w:instrText>
      </w:r>
      <w:r>
        <w:rPr>
          <w:rFonts w:ascii="Cambria Math" w:hAnsi="Cambria Math" w:cs="Cambria Math"/>
          <w:color w:val="000000" w:themeColor="text1"/>
        </w:rPr>
        <w:instrText>‑</w:instrText>
      </w:r>
      <w:r>
        <w:rPr>
          <w:color w:val="000000" w:themeColor="text1"/>
        </w:rPr>
        <w:instrText xml:space="preserve"> ting was used to measure the nuclear protein hypoxia inducible factor (HiF)</w:instrText>
      </w:r>
      <w:r>
        <w:rPr>
          <w:rFonts w:ascii="Cambria Math" w:hAnsi="Cambria Math" w:cs="Cambria Math"/>
          <w:color w:val="000000" w:themeColor="text1"/>
        </w:rPr>
        <w:instrText>‑</w:instrText>
      </w:r>
      <w:r>
        <w:rPr>
          <w:color w:val="000000" w:themeColor="text1"/>
        </w:rPr>
        <w:instrText>1α level. The results demonstrated that curcumin can significantly reduce dai and spleen index scores and improve mucosal inflammation. Curcumin could also regulate the re</w:instrText>
      </w:r>
      <w:r>
        <w:rPr>
          <w:rFonts w:ascii="Cambria Math" w:hAnsi="Cambria Math" w:cs="Cambria Math"/>
          <w:color w:val="000000" w:themeColor="text1"/>
        </w:rPr>
        <w:instrText>‑</w:instrText>
      </w:r>
      <w:r>
        <w:rPr>
          <w:color w:val="000000" w:themeColor="text1"/>
        </w:rPr>
        <w:instrText>equilibration of Treg/Th17. il</w:instrText>
      </w:r>
      <w:r>
        <w:rPr>
          <w:rFonts w:ascii="Cambria Math" w:hAnsi="Cambria Math" w:cs="Cambria Math"/>
          <w:color w:val="000000" w:themeColor="text1"/>
        </w:rPr>
        <w:instrText>‑</w:instrText>
      </w:r>
      <w:r>
        <w:rPr>
          <w:color w:val="000000" w:themeColor="text1"/>
        </w:rPr>
        <w:instrText>10 level in the colon was significantly increased, while inflammatory cytokines IL</w:instrText>
      </w:r>
      <w:r>
        <w:rPr>
          <w:rFonts w:ascii="Cambria Math" w:hAnsi="Cambria Math" w:cs="Cambria Math"/>
          <w:color w:val="000000" w:themeColor="text1"/>
        </w:rPr>
        <w:instrText>‑</w:instrText>
      </w:r>
      <w:r>
        <w:rPr>
          <w:color w:val="000000" w:themeColor="text1"/>
        </w:rPr>
        <w:instrText>6, IL</w:instrText>
      </w:r>
      <w:r>
        <w:rPr>
          <w:rFonts w:ascii="Cambria Math" w:hAnsi="Cambria Math" w:cs="Cambria Math"/>
          <w:color w:val="000000" w:themeColor="text1"/>
        </w:rPr>
        <w:instrText>‑</w:instrText>
      </w:r>
      <w:r>
        <w:rPr>
          <w:color w:val="000000" w:themeColor="text1"/>
        </w:rPr>
        <w:instrText>17 and IL</w:instrText>
      </w:r>
      <w:r>
        <w:rPr>
          <w:rFonts w:ascii="Cambria Math" w:hAnsi="Cambria Math" w:cs="Cambria Math"/>
          <w:color w:val="000000" w:themeColor="text1"/>
        </w:rPr>
        <w:instrText>‑</w:instrText>
      </w:r>
      <w:r>
        <w:rPr>
          <w:color w:val="000000" w:themeColor="text1"/>
        </w:rPr>
        <w:instrText>23 were significantly reduced following curcumin treatment. No significant difference in HIF</w:instrText>
      </w:r>
      <w:r>
        <w:rPr>
          <w:rFonts w:ascii="Cambria Math" w:hAnsi="Cambria Math" w:cs="Cambria Math"/>
          <w:color w:val="000000" w:themeColor="text1"/>
        </w:rPr>
        <w:instrText>‑</w:instrText>
      </w:r>
      <w:r>
        <w:rPr>
          <w:color w:val="000000" w:themeColor="text1"/>
        </w:rPr>
        <w:instrText>1α was observed between the colitis and the curcumin group. it was concluded that oral administration of curcumin can effectively treat experimental colitis by regulating the re</w:instrText>
      </w:r>
      <w:r>
        <w:rPr>
          <w:rFonts w:ascii="Cambria Math" w:hAnsi="Cambria Math" w:cs="Cambria Math"/>
          <w:color w:val="000000" w:themeColor="text1"/>
        </w:rPr>
        <w:instrText>‑</w:instrText>
      </w:r>
      <w:r>
        <w:rPr>
          <w:color w:val="000000" w:themeColor="text1"/>
        </w:rPr>
        <w:instrText>equilibration of Treg/Th17 and that the regulatory mechanism may be closely related to the il</w:instrText>
      </w:r>
      <w:r>
        <w:rPr>
          <w:rFonts w:ascii="Cambria Math" w:hAnsi="Cambria Math" w:cs="Cambria Math"/>
          <w:color w:val="000000" w:themeColor="text1"/>
        </w:rPr>
        <w:instrText>‑</w:instrText>
      </w:r>
      <w:r>
        <w:rPr>
          <w:color w:val="000000" w:themeColor="text1"/>
        </w:rPr>
        <w:instrText>23/Th17 pathway. The results of the present study provided molecular insight into the mechanism by which curcumin treats ulcerative colitis.","author":[{"dropping-particle":"","family":"Wei","given":"c. Hen G.","non-dropping-particle":"","parse-names":false,"suffix":""},{"dropping-particle":"","family":"Wang","given":"Jian Yao","non-dropping-particle":"","parse-names":false,"suffix":""},{"dropping-particle":"","family":"Xiong","given":"Fen G.","non-dropping-particle":"","parse-names":false,"suffix":""},{"dropping-particle":"","family":"Wu","given":"Ben Hua","non-dropping-particle":"","parse-names":false,"suffix":""},{"dropping-particle":"","family":"Luo","given":"Min G.Han","non-dropping-particle":"","parse-names":false,"suffix":""},{"dropping-particle":"","family":"Yu","given":"Zhi Chao","non-dropping-particle":"","parse-names":false,"suffix":""},{"dropping-particle":"","family":"Liu","given":"Tin G.Tin G.","non-dropping-particle":"","parse-names":false,"suffix":""},{"dropping-particle":"","family":"Li","given":"de Fen G.","non-dropping-particle":"","parse-names":false,"suffix":""},{"dropping-particle":"","family":"Tang","given":"Qi","non-dropping-particle":"","parse-names":false,"suffix":""},{"dropping-particle":"","family":"Li","given":"Yin G.Xue","non-dropping-particle":"","parse-names":false,"suffix":""},{"dropping-particle":"","family":"Zhang","given":"din G.Guo","non-dropping-particle":"","parse-names":false,"suffix":""},{"dropping-particle":"","family":"Xu","given":"Zheng Lei","non-dropping-particle":"","parse-names":false,"suffix":""},{"dropping-particle":"","family":"Jin","given":"Hon G.Tao","non-dropping-particle":"","parse-names":false,"suffix":""},{"dropping-particle":"","family":"Wang","given":"li SHen G.","non-dropping-particle":"","parse-names":false,"suffix":""},{"dropping-particle":"","family":"Yao","given":"Jun","non-dropping-particle":"","parse-names":false,"suffix":""}],"container-title":"Molecular Medicine Reports","id":"ITEM-1","issue":"1","issued":{"date-parts":[["2021","1","1"]]},"page":"1-7","publisher":"Spandidos Publications","title":"Curcumin ameliorates DSS</w:instrText>
      </w:r>
      <w:r>
        <w:rPr>
          <w:rFonts w:ascii="Cambria Math" w:hAnsi="Cambria Math" w:cs="Cambria Math"/>
          <w:color w:val="000000" w:themeColor="text1"/>
        </w:rPr>
        <w:instrText>‑</w:instrText>
      </w:r>
      <w:r>
        <w:rPr>
          <w:color w:val="000000" w:themeColor="text1"/>
        </w:rPr>
        <w:instrText>induced colitis in mice by regulating the Treg/Th17 signaling pathway","type":"article-journal","volume":"23"},"uris":["http://www.mendeley.com/documents/?uuid=9b679090-40bd-33e9-a6c3-e084f67f6218"]}],"mendeley":{"formattedCitation":"[24]","plainTextFormattedCitation":"[24]","previouslyFormattedCitation":"[184]"},"properties":{"noteIndex":0},"schema":"https://github.com/citation-style-language/schema/raw/master/csl-citation.json"}</w:instrText>
      </w:r>
      <w:r>
        <w:rPr>
          <w:color w:val="000000" w:themeColor="text1"/>
        </w:rPr>
        <w:fldChar w:fldCharType="separate"/>
      </w:r>
      <w:r w:rsidRPr="006F7BF5">
        <w:rPr>
          <w:noProof/>
          <w:color w:val="000000" w:themeColor="text1"/>
        </w:rPr>
        <w:t>[24]</w:t>
      </w:r>
      <w:r>
        <w:rPr>
          <w:color w:val="000000" w:themeColor="text1"/>
        </w:rPr>
        <w:fldChar w:fldCharType="end"/>
      </w:r>
      <w:r>
        <w:rPr>
          <w:color w:val="000000" w:themeColor="text1"/>
        </w:rPr>
        <w:t xml:space="preserve"> and CA-CRC </w:t>
      </w:r>
      <w:r>
        <w:rPr>
          <w:color w:val="000000" w:themeColor="text1"/>
        </w:rPr>
        <w:fldChar w:fldCharType="begin" w:fldLock="1"/>
      </w:r>
      <w:r>
        <w:rPr>
          <w:color w:val="000000" w:themeColor="text1"/>
        </w:rPr>
        <w:instrText>ADDIN CSL_CITATION {"citationItems":[{"id":"ITEM-1","itemData":{"DOI":"10.1093/carcin/bgaa008","ISSN":"14602180","PMID":"32002542","abstract":"The objective was to compare the impact of black lentil (BL) water and delphinidin 3-O-(2-O-β-d-glucopyranosyl-α-l-arabinopyranoside) (D3G)-rich lentil extracts on tumor development, inflammation and immune response in an azoxymethane (AOM)/dextran sodium sulfate (DSS) model. C57BL/6 mice were randomly separated into four groups: Healthy control (n = 6), AOM/DSS control (n = 14), AOM/DSS + BL (600 mg/kg body wt, n = 12) and AOM/DSS + D3G (41 mg/kg body wt, equivalent to D3G concentration in BL, n = 12). Mice were given treatments for 11 weeks using a voluntary jelly administration. AOM/DSS + BL presented a lower (P &lt; 0.05) disease activity index, throughout and at the end (2.4) compared with AOM/DSS (6.3). AOM/DSS + BL mice had an average of 7.8 neoplasms versus 12.8 for the AOM/DSS (P &lt; 0.05). Proinflammatory cytokines were downregulated in the colon mucosa: Interleukin (IL)-1β (-77.5%,-70.7%) and IL-6 (-44.4%,-44.9%) by AOM/DSS + BL and AOM/DSS + D3G, respectively, compared with AOM/DSS. IL-6 protein expression was decreased by BL in plasma (-72.6%) and gene expression in colon polyps (fold change:-4.0) compared with AOM/DSS. AOM/DSS + D3G non-polyp tissue gene expression clustered with the healthy control tissue with only four genes modified (secreted phosphoprotein 1 and CXC motif chemokine ligands 2, 5 and 10). AOM/DSS + BL downregulated programmed death-ligand 1 protein expression in colon tissue (-54.7%) and gene expression by 2.8-fold compared with the AOM/DSS control. In fecal samples, gallic and protocatechuic acids and epicatechin were found, and concentration of most amino acids was lower and unsaturated fatty acids were higher for AOM/DSS + BL and AOM/DSS + D3G. BL and D3G-rich extracts showed anti-inflammatory and proimmune response effects while BL additionally prevented growth of neoplasia.","author":[{"dropping-particle":"","family":"Mazewski","given":"Candice","non-dropping-particle":"","parse-names":false,"suffix":""},{"dropping-particle":"","family":"Luna-Vital","given":"Diego","non-dropping-particle":"","parse-names":false,"suffix":""},{"dropping-particle":"","family":"Berhow","given":"Mark","non-dropping-particle":"","parse-names":false,"suffix":""},{"dropping-particle":"","family":"Gonzalez de Mejia","given":"Elvira","non-dropping-particle":"","parse-names":false,"suffix":""}],"container-title":"Carcinogenesis","id":"ITEM-1","issue":"6","issued":{"date-parts":[["2020","6","1"]]},"page":"790-803","publisher":"Oxford University Press","title":"Reduction of colitis-associated colon carcinogenesis by a black lentil water extract through inhibition of inflammatory and immunomodulatory cytokines","type":"article-journal","volume":"41"},"uris":["http://www.mendeley.com/documents/?uuid=1d517466-7ea7-35cf-a2a7-c416a4b6cd4b"]}],"mendeley":{"formattedCitation":"[25]","plainTextFormattedCitation":"[25]","previouslyFormattedCitation":"[185]"},"properties":{"noteIndex":0},"schema":"https://github.com/citation-style-language/schema/raw/master/csl-citation.json"}</w:instrText>
      </w:r>
      <w:r>
        <w:rPr>
          <w:color w:val="000000" w:themeColor="text1"/>
        </w:rPr>
        <w:fldChar w:fldCharType="separate"/>
      </w:r>
      <w:r w:rsidRPr="006F7BF5">
        <w:rPr>
          <w:noProof/>
          <w:color w:val="000000" w:themeColor="text1"/>
        </w:rPr>
        <w:t>[25]</w:t>
      </w:r>
      <w:r>
        <w:rPr>
          <w:color w:val="000000" w:themeColor="text1"/>
        </w:rPr>
        <w:fldChar w:fldCharType="end"/>
      </w:r>
      <w:r>
        <w:rPr>
          <w:color w:val="000000" w:themeColor="text1"/>
        </w:rPr>
        <w:t>. In mice administered with lunasin, the relative spleen weight (Figure 4.2A) and the relative colon weight (Figure 4.2B) were significantly lower</w:t>
      </w:r>
      <w:r w:rsidR="001F27A0">
        <w:rPr>
          <w:color w:val="000000" w:themeColor="text1"/>
        </w:rPr>
        <w:t>,</w:t>
      </w:r>
      <w:r>
        <w:rPr>
          <w:color w:val="000000" w:themeColor="text1"/>
        </w:rPr>
        <w:t xml:space="preserve"> by 0.6 mg/g and 4 mg/g, respectively. As no statistical differences were found in the length of the colon between the groups (Figure 4.2C), the increased colon weight in the non-treated mice was associated with the presence of </w:t>
      </w:r>
      <w:r w:rsidR="00A52549">
        <w:rPr>
          <w:color w:val="000000" w:themeColor="text1"/>
        </w:rPr>
        <w:t>inflammation</w:t>
      </w:r>
      <w:r>
        <w:rPr>
          <w:color w:val="000000" w:themeColor="text1"/>
        </w:rPr>
        <w:t xml:space="preserve"> and tumors.  </w:t>
      </w:r>
    </w:p>
    <w:p w14:paraId="3591A5DE" w14:textId="77777777" w:rsidR="00C1410F" w:rsidRPr="002559EF" w:rsidRDefault="00C1410F" w:rsidP="00C1410F">
      <w:pPr>
        <w:pStyle w:val="Heading3"/>
        <w:spacing w:line="480" w:lineRule="auto"/>
        <w:rPr>
          <w:i w:val="0"/>
        </w:rPr>
      </w:pPr>
      <w:bookmarkStart w:id="132" w:name="_Toc77082160"/>
      <w:r>
        <w:rPr>
          <w:i w:val="0"/>
        </w:rPr>
        <w:lastRenderedPageBreak/>
        <w:t xml:space="preserve">4.4.3 </w:t>
      </w:r>
      <w:r w:rsidRPr="002559EF">
        <w:rPr>
          <w:i w:val="0"/>
        </w:rPr>
        <w:t>Lunasin reduced histological markers of inflammation.</w:t>
      </w:r>
      <w:bookmarkEnd w:id="132"/>
    </w:p>
    <w:p w14:paraId="26871413" w14:textId="23BCABBA" w:rsidR="00C1410F" w:rsidRDefault="00C1410F" w:rsidP="002B3E0C">
      <w:pPr>
        <w:spacing w:line="480" w:lineRule="auto"/>
        <w:ind w:firstLine="720"/>
        <w:rPr>
          <w:color w:val="000000" w:themeColor="text1"/>
        </w:rPr>
      </w:pPr>
      <w:r>
        <w:rPr>
          <w:color w:val="000000" w:themeColor="text1"/>
        </w:rPr>
        <w:t xml:space="preserve">On average, AOM/DSS mice exhibited moderate cellular infiltration (Figure 4.3A) that was extended transmurally through the mucosa, submucosa, and muscularis externa (Figure 4.3B), accompanied by multifocal areas of erosion, evidence of previously extended ulcers, and granulation tissue (Figure 4.3C). Lunasin supplementation significantly reduced the density of cellular infiltration. Although transmural infiltration was found in 50% of the mice in this group, 38% had infiltration limited to the mucosa only. </w:t>
      </w:r>
      <w:bookmarkStart w:id="133" w:name="_Hlk72412379"/>
      <w:r>
        <w:rPr>
          <w:color w:val="000000" w:themeColor="text1"/>
        </w:rPr>
        <w:t xml:space="preserve">No evidence of extended ulcers or granulation tissue was found in this group, and 38% of the mice did not exhibit any sign of mucosal inflammatory damage. With exception of one mouse in the AOM/DSS group, no overt ulcers were found in general, indicating that the 14 days of recovery after the last cycle of DSS administration allowed for a considerable extent of mucosal healing. Also, 50% of the mice in the AOM/DSS group exhibited evident depletion of goblet cells, while only 25% in the </w:t>
      </w:r>
      <w:r w:rsidR="0073238F">
        <w:rPr>
          <w:color w:val="000000" w:themeColor="text1"/>
        </w:rPr>
        <w:t xml:space="preserve">AOM/DSS + </w:t>
      </w:r>
      <w:r w:rsidR="0071207C">
        <w:rPr>
          <w:color w:val="000000" w:themeColor="text1"/>
        </w:rPr>
        <w:t>lunasin group</w:t>
      </w:r>
      <w:r>
        <w:rPr>
          <w:color w:val="000000" w:themeColor="text1"/>
        </w:rPr>
        <w:t xml:space="preserve"> did (p= 0.347). </w:t>
      </w:r>
      <w:bookmarkEnd w:id="133"/>
      <w:r>
        <w:rPr>
          <w:color w:val="000000" w:themeColor="text1"/>
        </w:rPr>
        <w:t xml:space="preserve">Overall, the inflammatory score was 8 for the AOM/DSS group, and 5 for the AOM/DSS + Lunasin group (Figure 4.3D). </w:t>
      </w:r>
      <w:r w:rsidRPr="0071207C">
        <w:rPr>
          <w:color w:val="000000" w:themeColor="text1"/>
        </w:rPr>
        <w:t>Although the difference was not statistically significant, there was an evident favorable response</w:t>
      </w:r>
      <w:r>
        <w:rPr>
          <w:color w:val="000000" w:themeColor="text1"/>
        </w:rPr>
        <w:t xml:space="preserve"> in three of the mice across all the evaluated parameters, suggesting that this subset of mice was highly responsive to the therapeutic effect of the peptide. The trend observed in MPO activity (Figure 4.3E) indicated that neutrophil activity was about 50% lower in the AOM/DSS + lunasin group, which is consistent with histological evaluation of cellular infiltration. Figure 4.3F </w:t>
      </w:r>
      <w:r>
        <w:rPr>
          <w:color w:val="000000" w:themeColor="text1"/>
        </w:rPr>
        <w:lastRenderedPageBreak/>
        <w:t>presents representative micrographs of H&amp;E staining of colonic tissue for each group, indicating the evaluated parameters</w:t>
      </w:r>
      <w:r w:rsidR="00033DB3">
        <w:rPr>
          <w:color w:val="000000" w:themeColor="text1"/>
        </w:rPr>
        <w:t xml:space="preserve"> previously described</w:t>
      </w:r>
      <w:r>
        <w:rPr>
          <w:color w:val="000000" w:themeColor="text1"/>
        </w:rPr>
        <w:t xml:space="preserve">. </w:t>
      </w:r>
    </w:p>
    <w:p w14:paraId="46055B06" w14:textId="77777777" w:rsidR="00C1410F" w:rsidRPr="002559EF" w:rsidRDefault="00C1410F" w:rsidP="002B3E0C">
      <w:pPr>
        <w:pStyle w:val="Heading3"/>
        <w:spacing w:before="0" w:after="0" w:line="480" w:lineRule="auto"/>
        <w:rPr>
          <w:i w:val="0"/>
        </w:rPr>
      </w:pPr>
      <w:bookmarkStart w:id="134" w:name="_Toc77082161"/>
      <w:r>
        <w:rPr>
          <w:i w:val="0"/>
        </w:rPr>
        <w:t xml:space="preserve">4.4.4 </w:t>
      </w:r>
      <w:r w:rsidRPr="002559EF">
        <w:rPr>
          <w:i w:val="0"/>
        </w:rPr>
        <w:t>Lunasin reduced tumor burden and malignant histological features.</w:t>
      </w:r>
      <w:bookmarkEnd w:id="134"/>
    </w:p>
    <w:p w14:paraId="4AFBA674" w14:textId="68CAF529" w:rsidR="00C1410F" w:rsidRDefault="00C1410F" w:rsidP="00C1410F">
      <w:pPr>
        <w:pStyle w:val="ListParagraph"/>
        <w:spacing w:after="0" w:line="480" w:lineRule="auto"/>
        <w:ind w:left="0" w:firstLine="720"/>
        <w:rPr>
          <w:rFonts w:ascii="Arial" w:hAnsi="Arial" w:cs="Arial"/>
          <w:color w:val="000000" w:themeColor="text1"/>
          <w:sz w:val="24"/>
          <w:szCs w:val="24"/>
        </w:rPr>
      </w:pPr>
      <w:r>
        <w:rPr>
          <w:rFonts w:ascii="Arial" w:hAnsi="Arial" w:cs="Arial"/>
          <w:color w:val="000000" w:themeColor="text1"/>
          <w:sz w:val="24"/>
          <w:szCs w:val="24"/>
        </w:rPr>
        <w:t xml:space="preserve">Pictures of colons showing the presence of tumors are presented in Figure 4.4A. </w:t>
      </w:r>
      <w:r w:rsidR="00765DD1">
        <w:rPr>
          <w:rFonts w:ascii="Arial" w:hAnsi="Arial" w:cs="Arial"/>
          <w:color w:val="000000" w:themeColor="text1"/>
          <w:sz w:val="24"/>
          <w:szCs w:val="24"/>
        </w:rPr>
        <w:t xml:space="preserve">The </w:t>
      </w:r>
      <w:r>
        <w:rPr>
          <w:rFonts w:ascii="Arial" w:hAnsi="Arial" w:cs="Arial"/>
          <w:color w:val="000000" w:themeColor="text1"/>
          <w:sz w:val="24"/>
          <w:szCs w:val="24"/>
        </w:rPr>
        <w:t xml:space="preserve">AOM/DSS group </w:t>
      </w:r>
      <w:r w:rsidR="00033DB3">
        <w:rPr>
          <w:rFonts w:ascii="Arial" w:hAnsi="Arial" w:cs="Arial"/>
          <w:color w:val="000000" w:themeColor="text1"/>
          <w:sz w:val="24"/>
          <w:szCs w:val="24"/>
        </w:rPr>
        <w:t xml:space="preserve">had </w:t>
      </w:r>
      <w:r>
        <w:rPr>
          <w:rFonts w:ascii="Arial" w:hAnsi="Arial" w:cs="Arial"/>
          <w:color w:val="000000" w:themeColor="text1"/>
          <w:sz w:val="24"/>
          <w:szCs w:val="24"/>
        </w:rPr>
        <w:t xml:space="preserve">100% of tumor incidence with an average of four macroscopic tumors per mouse (Figure 4.4B). In contrast, </w:t>
      </w:r>
      <w:r w:rsidR="0073238F">
        <w:rPr>
          <w:rFonts w:ascii="Arial" w:hAnsi="Arial" w:cs="Arial"/>
          <w:color w:val="000000" w:themeColor="text1"/>
          <w:sz w:val="24"/>
          <w:szCs w:val="24"/>
        </w:rPr>
        <w:t xml:space="preserve">the AOM/DSS + </w:t>
      </w:r>
      <w:r w:rsidR="00894F8F">
        <w:rPr>
          <w:rFonts w:ascii="Arial" w:hAnsi="Arial" w:cs="Arial"/>
          <w:color w:val="000000" w:themeColor="text1"/>
          <w:sz w:val="24"/>
          <w:szCs w:val="24"/>
        </w:rPr>
        <w:t xml:space="preserve">Lunasin </w:t>
      </w:r>
      <w:r>
        <w:rPr>
          <w:rFonts w:ascii="Arial" w:hAnsi="Arial" w:cs="Arial"/>
          <w:color w:val="000000" w:themeColor="text1"/>
          <w:sz w:val="24"/>
          <w:szCs w:val="24"/>
        </w:rPr>
        <w:t>treat</w:t>
      </w:r>
      <w:r w:rsidR="0073238F">
        <w:rPr>
          <w:rFonts w:ascii="Arial" w:hAnsi="Arial" w:cs="Arial"/>
          <w:color w:val="000000" w:themeColor="text1"/>
          <w:sz w:val="24"/>
          <w:szCs w:val="24"/>
        </w:rPr>
        <w:t>ment</w:t>
      </w:r>
      <w:r>
        <w:rPr>
          <w:rFonts w:ascii="Arial" w:hAnsi="Arial" w:cs="Arial"/>
          <w:color w:val="000000" w:themeColor="text1"/>
          <w:sz w:val="24"/>
          <w:szCs w:val="24"/>
        </w:rPr>
        <w:t xml:space="preserve"> group had a 75% tumor incidence with an average of two macroscopic tumors per mouse, indicating a 50% reduction in tumor multiplicity. The maximum number of tumors detected in a single mouse in the AOM/DSS group was 10, while</w:t>
      </w:r>
      <w:r w:rsidR="00870304">
        <w:rPr>
          <w:rFonts w:ascii="Arial" w:hAnsi="Arial" w:cs="Arial"/>
          <w:color w:val="000000" w:themeColor="text1"/>
          <w:sz w:val="24"/>
          <w:szCs w:val="24"/>
        </w:rPr>
        <w:t>,</w:t>
      </w:r>
      <w:r>
        <w:rPr>
          <w:rFonts w:ascii="Arial" w:hAnsi="Arial" w:cs="Arial"/>
          <w:color w:val="000000" w:themeColor="text1"/>
          <w:sz w:val="24"/>
          <w:szCs w:val="24"/>
        </w:rPr>
        <w:t xml:space="preserve"> for the AOM/DSS + </w:t>
      </w:r>
      <w:r w:rsidR="00894F8F">
        <w:rPr>
          <w:rFonts w:ascii="Arial" w:hAnsi="Arial" w:cs="Arial"/>
          <w:color w:val="000000" w:themeColor="text1"/>
          <w:sz w:val="24"/>
          <w:szCs w:val="24"/>
        </w:rPr>
        <w:t xml:space="preserve">Lunasin </w:t>
      </w:r>
      <w:r>
        <w:rPr>
          <w:rFonts w:ascii="Arial" w:hAnsi="Arial" w:cs="Arial"/>
          <w:color w:val="000000" w:themeColor="text1"/>
          <w:sz w:val="24"/>
          <w:szCs w:val="24"/>
        </w:rPr>
        <w:t>group</w:t>
      </w:r>
      <w:r w:rsidR="00870304">
        <w:rPr>
          <w:rFonts w:ascii="Arial" w:hAnsi="Arial" w:cs="Arial"/>
          <w:color w:val="000000" w:themeColor="text1"/>
          <w:sz w:val="24"/>
          <w:szCs w:val="24"/>
        </w:rPr>
        <w:t>, it</w:t>
      </w:r>
      <w:r>
        <w:rPr>
          <w:rFonts w:ascii="Arial" w:hAnsi="Arial" w:cs="Arial"/>
          <w:color w:val="000000" w:themeColor="text1"/>
          <w:sz w:val="24"/>
          <w:szCs w:val="24"/>
        </w:rPr>
        <w:t xml:space="preserve"> was four. Mice bearing the highest number of tumors also corresponded to the highest relative colon and spleen weight in their respective groups. No differences were found in the average accumulative tumor volume (p=0.273, Figure 4.4C). </w:t>
      </w:r>
    </w:p>
    <w:p w14:paraId="77C7F4AF" w14:textId="1080D2AF" w:rsidR="00C1410F" w:rsidRDefault="00C1410F" w:rsidP="00C1410F">
      <w:pPr>
        <w:spacing w:line="480" w:lineRule="auto"/>
        <w:ind w:firstLine="720"/>
        <w:rPr>
          <w:color w:val="000000" w:themeColor="text1"/>
        </w:rPr>
      </w:pPr>
      <w:r>
        <w:rPr>
          <w:color w:val="000000" w:themeColor="text1"/>
        </w:rPr>
        <w:t>The histopathological evaluation indicated that every mouse in the AOM/DSS group developed several polypoid masses with multifocal dysplastic lesions ranging from hyperplasia to high-grade dysplasia (Table 4.1), with 25% of the mice hav</w:t>
      </w:r>
      <w:r w:rsidR="007B0670">
        <w:rPr>
          <w:color w:val="000000" w:themeColor="text1"/>
        </w:rPr>
        <w:t>ing</w:t>
      </w:r>
      <w:r>
        <w:rPr>
          <w:color w:val="000000" w:themeColor="text1"/>
        </w:rPr>
        <w:t xml:space="preserve"> invasive carcinoma. Lunasin administration abrogated any kind of dysplastic lesion in 50% of the mice and inhibited the development of carcinomas, suggesting that the peptide significantly prevent</w:t>
      </w:r>
      <w:r w:rsidR="00CF4B2D">
        <w:rPr>
          <w:color w:val="000000" w:themeColor="text1"/>
        </w:rPr>
        <w:t>ed</w:t>
      </w:r>
      <w:r>
        <w:rPr>
          <w:color w:val="000000" w:themeColor="text1"/>
        </w:rPr>
        <w:t xml:space="preserve"> abnormal cell growth. Figure 4.4D shows representative micrographs of the dysplastic regions found in both groups.</w:t>
      </w:r>
    </w:p>
    <w:p w14:paraId="391F3866" w14:textId="77777777" w:rsidR="007E1476" w:rsidRDefault="007E1476" w:rsidP="00C1410F">
      <w:pPr>
        <w:spacing w:line="480" w:lineRule="auto"/>
        <w:ind w:firstLine="720"/>
        <w:rPr>
          <w:color w:val="000000" w:themeColor="text1"/>
        </w:rPr>
      </w:pPr>
    </w:p>
    <w:p w14:paraId="4D02E199" w14:textId="77777777" w:rsidR="00C1410F" w:rsidRPr="002559EF" w:rsidRDefault="00C1410F" w:rsidP="00C1410F">
      <w:pPr>
        <w:pStyle w:val="Heading3"/>
        <w:spacing w:line="480" w:lineRule="auto"/>
        <w:rPr>
          <w:i w:val="0"/>
        </w:rPr>
      </w:pPr>
      <w:bookmarkStart w:id="135" w:name="_Toc77082162"/>
      <w:r>
        <w:rPr>
          <w:i w:val="0"/>
        </w:rPr>
        <w:lastRenderedPageBreak/>
        <w:t xml:space="preserve">4.4.5 </w:t>
      </w:r>
      <w:r w:rsidRPr="002559EF">
        <w:rPr>
          <w:i w:val="0"/>
        </w:rPr>
        <w:t>Lunasin decreased serum levels of TNF-α.</w:t>
      </w:r>
      <w:bookmarkEnd w:id="135"/>
      <w:r w:rsidRPr="002559EF">
        <w:rPr>
          <w:i w:val="0"/>
        </w:rPr>
        <w:t xml:space="preserve"> </w:t>
      </w:r>
      <w:bookmarkStart w:id="136" w:name="_Hlk72644873"/>
    </w:p>
    <w:p w14:paraId="28F675E3" w14:textId="740C6478" w:rsidR="00C1410F" w:rsidRDefault="00C1410F" w:rsidP="002B3E0C">
      <w:pPr>
        <w:spacing w:line="480" w:lineRule="auto"/>
        <w:ind w:firstLine="720"/>
        <w:rPr>
          <w:color w:val="000000" w:themeColor="text1"/>
        </w:rPr>
      </w:pPr>
      <w:r>
        <w:rPr>
          <w:color w:val="000000" w:themeColor="text1"/>
        </w:rPr>
        <w:t xml:space="preserve">Assessment of pro-inflammatory cytokines (Figure 4.5) revealed that lunasin did not significantly affect the average levels of IL-1β in the colon or the serum, but there was a significant reduction of TNF-α by 70% </w:t>
      </w:r>
      <w:r w:rsidR="00033DB3">
        <w:rPr>
          <w:color w:val="000000" w:themeColor="text1"/>
        </w:rPr>
        <w:t>in the blood</w:t>
      </w:r>
      <w:r>
        <w:rPr>
          <w:color w:val="000000" w:themeColor="text1"/>
        </w:rPr>
        <w:t>. Although colonic levels of TNF-α between the two groups w</w:t>
      </w:r>
      <w:r w:rsidR="00CA404A">
        <w:rPr>
          <w:color w:val="000000" w:themeColor="text1"/>
        </w:rPr>
        <w:t>ere</w:t>
      </w:r>
      <w:r>
        <w:rPr>
          <w:color w:val="000000" w:themeColor="text1"/>
        </w:rPr>
        <w:t xml:space="preserve"> not significantly different, the mice with the highest concentration of colonic TNF-α in each group corresponded with the highest observed level of MPO activity, the presence of overt ulcers, and high histological inflammation scores, suggesting that these mice had unresolved inflammation at the end of the study. </w:t>
      </w:r>
    </w:p>
    <w:p w14:paraId="3844D69D" w14:textId="63353CF7" w:rsidR="00C1410F" w:rsidRPr="002559EF" w:rsidRDefault="00C1410F" w:rsidP="002B3E0C">
      <w:pPr>
        <w:pStyle w:val="Heading3"/>
        <w:spacing w:before="0" w:after="0" w:line="480" w:lineRule="auto"/>
        <w:rPr>
          <w:i w:val="0"/>
        </w:rPr>
      </w:pPr>
      <w:bookmarkStart w:id="137" w:name="_Toc77082163"/>
      <w:r>
        <w:rPr>
          <w:i w:val="0"/>
        </w:rPr>
        <w:t xml:space="preserve">4.4.6 </w:t>
      </w:r>
      <w:r w:rsidRPr="002559EF">
        <w:rPr>
          <w:i w:val="0"/>
        </w:rPr>
        <w:t xml:space="preserve">Lunasin administration resulted in higher </w:t>
      </w:r>
      <w:r w:rsidR="00F064B8">
        <w:rPr>
          <w:i w:val="0"/>
        </w:rPr>
        <w:t>levels</w:t>
      </w:r>
      <w:r w:rsidR="00F064B8" w:rsidRPr="002559EF">
        <w:rPr>
          <w:i w:val="0"/>
        </w:rPr>
        <w:t xml:space="preserve"> </w:t>
      </w:r>
      <w:r w:rsidRPr="002559EF">
        <w:rPr>
          <w:i w:val="0"/>
        </w:rPr>
        <w:t>of E-cadherin but not of apoptotic markers.</w:t>
      </w:r>
      <w:bookmarkEnd w:id="137"/>
    </w:p>
    <w:p w14:paraId="51C1728B" w14:textId="58306DBE" w:rsidR="00C1410F" w:rsidRPr="002B3E0C" w:rsidRDefault="00F064B8" w:rsidP="002B3E0C">
      <w:pPr>
        <w:pStyle w:val="ListParagraph"/>
        <w:spacing w:after="0" w:line="480" w:lineRule="auto"/>
        <w:ind w:left="0" w:firstLine="720"/>
        <w:rPr>
          <w:rFonts w:ascii="Arial" w:hAnsi="Arial" w:cs="Arial"/>
          <w:color w:val="000000" w:themeColor="text1"/>
          <w:sz w:val="24"/>
          <w:szCs w:val="24"/>
        </w:rPr>
      </w:pPr>
      <w:r>
        <w:rPr>
          <w:rFonts w:ascii="Arial" w:hAnsi="Arial" w:cs="Arial"/>
          <w:color w:val="000000" w:themeColor="text1"/>
          <w:sz w:val="24"/>
          <w:szCs w:val="24"/>
        </w:rPr>
        <w:t xml:space="preserve">Protein levels </w:t>
      </w:r>
      <w:r w:rsidR="00C1410F">
        <w:rPr>
          <w:rFonts w:ascii="Arial" w:hAnsi="Arial" w:cs="Arial"/>
          <w:color w:val="000000" w:themeColor="text1"/>
          <w:sz w:val="24"/>
          <w:szCs w:val="24"/>
        </w:rPr>
        <w:t xml:space="preserve">of the adherent junction E-cadherin (Figure 4.6A) was significantly increased by 40% in mice treated with lunasin (p=0.049), while the tight junction Claudin-3 (Figure 4.6B) was increased by 20% (p=0.133). These results suggest a partial effect of the peptide over molecules involved in the maintenance of the epithelial barrier. Evaluation of </w:t>
      </w:r>
      <w:r w:rsidR="00916B9A">
        <w:rPr>
          <w:rFonts w:ascii="Arial" w:hAnsi="Arial" w:cs="Arial"/>
          <w:color w:val="000000" w:themeColor="text1"/>
          <w:sz w:val="24"/>
          <w:szCs w:val="24"/>
        </w:rPr>
        <w:t>the pro</w:t>
      </w:r>
      <w:r w:rsidR="00C1410F">
        <w:rPr>
          <w:rFonts w:ascii="Arial" w:hAnsi="Arial" w:cs="Arial"/>
          <w:color w:val="000000" w:themeColor="text1"/>
          <w:sz w:val="24"/>
          <w:szCs w:val="24"/>
        </w:rPr>
        <w:t>-apoptotic markers BAX (Figure 4.6C) and cleaved caspase-3 (Figure 4.6D) indicated a non-significant increas</w:t>
      </w:r>
      <w:r>
        <w:rPr>
          <w:rFonts w:ascii="Arial" w:hAnsi="Arial" w:cs="Arial"/>
          <w:color w:val="000000" w:themeColor="text1"/>
          <w:sz w:val="24"/>
          <w:szCs w:val="24"/>
        </w:rPr>
        <w:t>e</w:t>
      </w:r>
      <w:r w:rsidR="00C1410F">
        <w:rPr>
          <w:rFonts w:ascii="Arial" w:hAnsi="Arial" w:cs="Arial"/>
          <w:color w:val="000000" w:themeColor="text1"/>
          <w:sz w:val="24"/>
          <w:szCs w:val="24"/>
        </w:rPr>
        <w:t xml:space="preserve"> of 30% in the colon of mice supplemented with lunasin (p=0.064 and p=0.213</w:t>
      </w:r>
      <w:r w:rsidR="00894F8F">
        <w:rPr>
          <w:rFonts w:ascii="Arial" w:hAnsi="Arial" w:cs="Arial"/>
          <w:color w:val="000000" w:themeColor="text1"/>
          <w:sz w:val="24"/>
          <w:szCs w:val="24"/>
        </w:rPr>
        <w:t>,</w:t>
      </w:r>
      <w:r w:rsidR="00C1410F">
        <w:rPr>
          <w:rFonts w:ascii="Arial" w:hAnsi="Arial" w:cs="Arial"/>
          <w:color w:val="000000" w:themeColor="text1"/>
          <w:sz w:val="24"/>
          <w:szCs w:val="24"/>
        </w:rPr>
        <w:t xml:space="preserve"> respectively). No significant differences were found between AOM/DSS and AOM/DSS + </w:t>
      </w:r>
      <w:r w:rsidR="00894F8F">
        <w:rPr>
          <w:rFonts w:ascii="Arial" w:hAnsi="Arial" w:cs="Arial"/>
          <w:color w:val="000000" w:themeColor="text1"/>
          <w:sz w:val="24"/>
          <w:szCs w:val="24"/>
        </w:rPr>
        <w:t xml:space="preserve">Lunasin </w:t>
      </w:r>
      <w:r w:rsidR="00C1410F">
        <w:rPr>
          <w:rFonts w:ascii="Arial" w:hAnsi="Arial" w:cs="Arial"/>
          <w:color w:val="000000" w:themeColor="text1"/>
          <w:sz w:val="24"/>
          <w:szCs w:val="24"/>
        </w:rPr>
        <w:t>group</w:t>
      </w:r>
      <w:r w:rsidR="007F035A">
        <w:rPr>
          <w:rFonts w:ascii="Arial" w:hAnsi="Arial" w:cs="Arial"/>
          <w:color w:val="000000" w:themeColor="text1"/>
          <w:sz w:val="24"/>
          <w:szCs w:val="24"/>
        </w:rPr>
        <w:t>s</w:t>
      </w:r>
      <w:r w:rsidR="00C1410F">
        <w:rPr>
          <w:rFonts w:ascii="Arial" w:hAnsi="Arial" w:cs="Arial"/>
          <w:color w:val="000000" w:themeColor="text1"/>
          <w:sz w:val="24"/>
          <w:szCs w:val="24"/>
        </w:rPr>
        <w:t xml:space="preserve"> (p=0.382) when comparing the </w:t>
      </w:r>
      <w:r>
        <w:rPr>
          <w:rFonts w:ascii="Arial" w:hAnsi="Arial" w:cs="Arial"/>
          <w:color w:val="000000" w:themeColor="text1"/>
          <w:sz w:val="24"/>
          <w:szCs w:val="24"/>
        </w:rPr>
        <w:t xml:space="preserve">protein levels </w:t>
      </w:r>
      <w:r w:rsidR="00C1410F">
        <w:rPr>
          <w:rFonts w:ascii="Arial" w:hAnsi="Arial" w:cs="Arial"/>
          <w:color w:val="000000" w:themeColor="text1"/>
          <w:sz w:val="24"/>
          <w:szCs w:val="24"/>
        </w:rPr>
        <w:t xml:space="preserve">of the anti-apoptotic marker XIAP in mice affected by inflammation. However, it is worth mentioning that in the subset of mice highly </w:t>
      </w:r>
      <w:r w:rsidR="00C1410F">
        <w:rPr>
          <w:rFonts w:ascii="Arial" w:hAnsi="Arial" w:cs="Arial"/>
          <w:color w:val="000000" w:themeColor="text1"/>
          <w:sz w:val="24"/>
          <w:szCs w:val="24"/>
        </w:rPr>
        <w:lastRenderedPageBreak/>
        <w:t xml:space="preserve">responsive to lunasin, with no signs of dysplasia, mucosal damage, and low inflammation scores, a 7-fold increase in XIAP was observed in contrast to the average </w:t>
      </w:r>
      <w:r>
        <w:rPr>
          <w:rFonts w:ascii="Arial" w:hAnsi="Arial" w:cs="Arial"/>
          <w:color w:val="000000" w:themeColor="text1"/>
          <w:sz w:val="24"/>
          <w:szCs w:val="24"/>
        </w:rPr>
        <w:t xml:space="preserve">levels </w:t>
      </w:r>
      <w:r w:rsidR="00C1410F">
        <w:rPr>
          <w:rFonts w:ascii="Arial" w:hAnsi="Arial" w:cs="Arial"/>
          <w:color w:val="000000" w:themeColor="text1"/>
          <w:sz w:val="24"/>
          <w:szCs w:val="24"/>
        </w:rPr>
        <w:t xml:space="preserve">in less responsive mice from the same treatment group (p=0.022). </w:t>
      </w:r>
      <w:bookmarkEnd w:id="136"/>
    </w:p>
    <w:p w14:paraId="260F2ACE" w14:textId="77777777" w:rsidR="00C1410F" w:rsidRPr="00F62846" w:rsidRDefault="00C1410F" w:rsidP="002B3E0C">
      <w:pPr>
        <w:pStyle w:val="Heading2"/>
        <w:spacing w:before="0" w:after="0" w:line="480" w:lineRule="auto"/>
      </w:pPr>
      <w:bookmarkStart w:id="138" w:name="_Toc77082164"/>
      <w:r>
        <w:t xml:space="preserve">4.5 </w:t>
      </w:r>
      <w:r w:rsidRPr="00F62846">
        <w:t>Discussion</w:t>
      </w:r>
      <w:bookmarkEnd w:id="138"/>
    </w:p>
    <w:p w14:paraId="5EAA8E64" w14:textId="1ACBEF63" w:rsidR="00C1410F" w:rsidRDefault="00C1410F" w:rsidP="00C1410F">
      <w:pPr>
        <w:spacing w:line="480" w:lineRule="auto"/>
        <w:ind w:firstLine="720"/>
        <w:rPr>
          <w:color w:val="000000" w:themeColor="text1"/>
        </w:rPr>
      </w:pPr>
      <w:r>
        <w:rPr>
          <w:color w:val="000000" w:themeColor="text1"/>
        </w:rPr>
        <w:t xml:space="preserve">In murine models, cyclic administration of DSS results in chronic colitis </w:t>
      </w:r>
      <w:r>
        <w:rPr>
          <w:color w:val="000000" w:themeColor="text1"/>
        </w:rPr>
        <w:fldChar w:fldCharType="begin" w:fldLock="1"/>
      </w:r>
      <w:r>
        <w:rPr>
          <w:color w:val="000000" w:themeColor="text1"/>
        </w:rPr>
        <w:instrText>ADDIN CSL_CITATION {"citationItems":[{"id":"ITEM-1","itemData":{"DOI":"10.1016/j.addr.2007.07.003","ISSN":"0169409X","PMID":"17825455","abstract":"Animal models of intestinal inflammation are indispensable for our understanding of the pathogenesis of Crohn disease and Ulcerative colitis, the idiopathic forms of inflammatory bowel disease in humans. The clinical appearance of human IBD is heterogeneous, a fact that is also reflected by the steadily increasing number of mouse strains displaying IBD like intestinal alterations. The analysis of these models together with genetic studies in humans greatly enhanced our insights into immunoregulatory processes in the gut and led to the generally accepted hypothesis that a deregulated immune response against components of the intestinal microbiota is critically involved in IBD pathophysiology. In this article we provide a brief overview of selected mouse models of IBD and discuss their contribution to the current understanding of disease mechanisms that contribute to IBD. © 2007 Elsevier B.V. All rights reserved.","author":[{"dropping-particle":"","family":"Wirtz","given":"Stefan","non-dropping-particle":"","parse-names":false,"suffix":""},{"dropping-particle":"","family":"Neurath","given":"Markus F.","non-dropping-particle":"","parse-names":false,"suffix":""}],"container-title":"Advanced Drug Delivery Reviews","id":"ITEM-1","issue":"11","issued":{"date-parts":[["2007","9","30"]]},"page":"1073-1083","publisher":"Elsevier","title":"Mouse models of inflammatory bowel disease","type":"article","volume":"59"},"uris":["http://www.mendeley.com/documents/?uuid=f82d2a65-98dd-3324-a148-794a4393da6b"]}],"mendeley":{"formattedCitation":"[26]","plainTextFormattedCitation":"[26]","previouslyFormattedCitation":"[21]"},"properties":{"noteIndex":0},"schema":"https://github.com/citation-style-language/schema/raw/master/csl-citation.json"}</w:instrText>
      </w:r>
      <w:r>
        <w:rPr>
          <w:color w:val="000000" w:themeColor="text1"/>
        </w:rPr>
        <w:fldChar w:fldCharType="separate"/>
      </w:r>
      <w:r w:rsidRPr="006F7BF5">
        <w:rPr>
          <w:noProof/>
          <w:color w:val="000000" w:themeColor="text1"/>
        </w:rPr>
        <w:t>[26]</w:t>
      </w:r>
      <w:r>
        <w:rPr>
          <w:color w:val="000000" w:themeColor="text1"/>
        </w:rPr>
        <w:fldChar w:fldCharType="end"/>
      </w:r>
      <w:r>
        <w:rPr>
          <w:color w:val="000000" w:themeColor="text1"/>
        </w:rPr>
        <w:t xml:space="preserve">. When combined with the genotoxic carcinogen AOM, the model recapitulates colorectal carcinogenesis driven by inflammation and resembles the key features observed in human disease </w:t>
      </w:r>
      <w:r>
        <w:rPr>
          <w:color w:val="000000" w:themeColor="text1"/>
        </w:rPr>
        <w:fldChar w:fldCharType="begin" w:fldLock="1"/>
      </w:r>
      <w:r>
        <w:rPr>
          <w:color w:val="000000" w:themeColor="text1"/>
        </w:rPr>
        <w:instrText>ADDIN CSL_CITATION {"citationItems":[{"id":"ITEM-1","itemData":{"DOI":"10.1038/nprot.2007.279","author":[{"dropping-particle":"","family":"Neufert","given":"Clemens","non-dropping-particle":"","parse-names":false,"suffix":""},{"dropping-particle":"","family":"Becker","given":"Christoph","non-dropping-particle":"","parse-names":false,"suffix":""},{"dropping-particle":"","family":"Neurath","given":"Markus F","non-dropping-particle":"","parse-names":false,"suffix":""}],"id":"ITEM-1","issued":{"date-parts":[["2007"]]},"title":"An inducible mouse model of colon carcinogenesis for the analysis of sporadic and inflammation-driven tumor progression","type":"article-journal"},"uris":["http://www.mendeley.com/documents/?uuid=e641b3d5-2441-333a-abd8-27c78061b2db"]}],"mendeley":{"formattedCitation":"[27]","plainTextFormattedCitation":"[27]","previouslyFormattedCitation":"[186]"},"properties":{"noteIndex":0},"schema":"https://github.com/citation-style-language/schema/raw/master/csl-citation.json"}</w:instrText>
      </w:r>
      <w:r>
        <w:rPr>
          <w:color w:val="000000" w:themeColor="text1"/>
        </w:rPr>
        <w:fldChar w:fldCharType="separate"/>
      </w:r>
      <w:r w:rsidRPr="006F7BF5">
        <w:rPr>
          <w:noProof/>
          <w:color w:val="000000" w:themeColor="text1"/>
        </w:rPr>
        <w:t>[27]</w:t>
      </w:r>
      <w:r>
        <w:rPr>
          <w:color w:val="000000" w:themeColor="text1"/>
        </w:rPr>
        <w:fldChar w:fldCharType="end"/>
      </w:r>
      <w:r>
        <w:rPr>
          <w:color w:val="000000" w:themeColor="text1"/>
        </w:rPr>
        <w:t xml:space="preserve">. The administration of AOM and DSS resulted in relapsing episodes of moderate to severe inflammation, characterized by a significant decrease of </w:t>
      </w:r>
      <w:r w:rsidR="005C513B">
        <w:rPr>
          <w:color w:val="000000" w:themeColor="text1"/>
        </w:rPr>
        <w:t>BW</w:t>
      </w:r>
      <w:r>
        <w:rPr>
          <w:color w:val="000000" w:themeColor="text1"/>
        </w:rPr>
        <w:t>, diarrhea, and rectal bleeding</w:t>
      </w:r>
      <w:r w:rsidR="003B3519">
        <w:rPr>
          <w:color w:val="000000" w:themeColor="text1"/>
        </w:rPr>
        <w:t xml:space="preserve"> (Figure 4.1)</w:t>
      </w:r>
      <w:r>
        <w:rPr>
          <w:color w:val="000000" w:themeColor="text1"/>
        </w:rPr>
        <w:t xml:space="preserve">. Daily supplementation of lunasin led to a significant improvement in the </w:t>
      </w:r>
      <w:r w:rsidR="00460E85">
        <w:rPr>
          <w:color w:val="000000" w:themeColor="text1"/>
        </w:rPr>
        <w:t>BW</w:t>
      </w:r>
      <w:r>
        <w:rPr>
          <w:color w:val="000000" w:themeColor="text1"/>
        </w:rPr>
        <w:t xml:space="preserve"> when CA-CRC was established, and faster recovery from diarrhea-like symptoms as indicated by an early return to regular stool consistency after episodes of mild and moderate inflammation. IBD patients face typically four episodes of diarrhea per day </w:t>
      </w:r>
      <w:r>
        <w:rPr>
          <w:color w:val="000000" w:themeColor="text1"/>
        </w:rPr>
        <w:fldChar w:fldCharType="begin" w:fldLock="1"/>
      </w:r>
      <w:r>
        <w:rPr>
          <w:color w:val="000000" w:themeColor="text1"/>
        </w:rPr>
        <w:instrText>ADDIN CSL_CITATION {"citationItems":[{"id":"ITEM-1","itemData":{"abstract":"Ulcerative colitis (UC), a subcategory of inflammatory bowel disease, afflicts 1-2 million people in the United States, and many more worldwide. Although the exact cause of ulcerative colitis remains undetermined, the condition appears to be related to a combination of genetic and environmental factors. While conventional treatments can be effective in maintaining remission and decreasing the length of active disease periods, the treatments are not without side effects, and a significant number of people suffering from UC fail to respond to even the strongest drugs. This article reviews potential unconventional treatments-transdermal nicotine, heparin, melatonin, DHEA, probiotics, fiber, dietary changes, botanicals, essential fatty acids, and other nutrients-that may be considered in conjunction with conventional approaches or as part of a comprehensive alternative treatment protocol. In addition this review addresses risk factors, pathogenesis, nutrient deficiencies, conventional treatment approaches, and extra-intestinal manifestations of the disease. (Altern Med Rev 2003;8(3):247-283)","author":[{"dropping-particle":"","family":"Head","given":"Kathleen","non-dropping-particle":"","parse-names":false,"suffix":""},{"dropping-particle":"","family":"Jurenka","given":"Julie","non-dropping-particle":"","parse-names":false,"suffix":""}],"container-title":"Alternative Medicine","id":"ITEM-1","issue":"3","issued":{"date-parts":[["2003"]]},"page":"247-283","title":"Inflammatory bowel disease part I: Ulcerative Colitis - pathophysiology and conventional and alternative treatment options","type":"article-journal","volume":"8"},"uris":["http://www.mendeley.com/documents/?uuid=f9cea954-2aa4-35d9-bda1-0a7703efb528"]}],"mendeley":{"formattedCitation":"[23]","plainTextFormattedCitation":"[23]","previouslyFormattedCitation":"[24]"},"properties":{"noteIndex":0},"schema":"https://github.com/citation-style-language/schema/raw/master/csl-citation.json"}</w:instrText>
      </w:r>
      <w:r>
        <w:rPr>
          <w:color w:val="000000" w:themeColor="text1"/>
        </w:rPr>
        <w:fldChar w:fldCharType="separate"/>
      </w:r>
      <w:r w:rsidRPr="006F7BF5">
        <w:rPr>
          <w:noProof/>
          <w:color w:val="000000" w:themeColor="text1"/>
        </w:rPr>
        <w:t>[23]</w:t>
      </w:r>
      <w:r>
        <w:rPr>
          <w:color w:val="000000" w:themeColor="text1"/>
        </w:rPr>
        <w:fldChar w:fldCharType="end"/>
      </w:r>
      <w:r>
        <w:rPr>
          <w:color w:val="000000" w:themeColor="text1"/>
        </w:rPr>
        <w:t xml:space="preserve">, making it one of the most predominant and debilitating symptoms of the disease </w:t>
      </w:r>
      <w:r>
        <w:rPr>
          <w:color w:val="000000" w:themeColor="text1"/>
        </w:rPr>
        <w:fldChar w:fldCharType="begin" w:fldLock="1"/>
      </w:r>
      <w:r>
        <w:rPr>
          <w:color w:val="000000" w:themeColor="text1"/>
        </w:rPr>
        <w:instrText>ADDIN CSL_CITATION {"citationItems":[{"id":"ITEM-1","itemData":{"DOI":"10.1080/21688370.2018.1463897","ISSN":"21688370","PMID":"29737913","abstract":"Inflammatory bowel diseases broadly categorized into Crohn's disease (CD) and ulcerative colitis (UC), are chronic inflammatory disorders of the gastrointestinal tract with increasing prevalence worldwide. The etiology of the disease is complex and involves a combination of genetic, environmental, immunological and gut microbial factors. Recurring and bloody diarrhea is the most prevalent and debilitating symptom in IBD. The pathogenesis of IBD-associated diarrhea is multifactorial and is essentially an outcome of mucosal damage caused by persistent inflammation resulting in dysregulated intestinal ion transport, impaired epithelial barrier function and increased accessibility of the pathogens to the intestinal mucosa. Altered expression and/or function of epithelial ion transporters and channels is the principle cause of electrolyte retention and water accumulation in the intestinal lumen leading to diarrhea in IBD. Aberrant barrier function further contributes to diarrhea via leak-flux mechanism. Mucosal penetration of enteric pathogens promotes dysbiosis and exacerbates the underlying immune system further perpetuating IBD associated-tissue damage and diarrhea. Here, we review the mechanisms of impaired ion transport and loss of epithelial barrier function contributing to diarrhea associated with IBD.","author":[{"dropping-particle":"","family":"Anbazhagan","given":"Arivarasu N.","non-dropping-particle":"","parse-names":false,"suffix":""},{"dropping-particle":"","family":"Priyamvada","given":"Shubha","non-dropping-particle":"","parse-names":false,"suffix":""},{"dropping-particle":"","family":"Alrefai","given":"Waddah A.","non-dropping-particle":"","parse-names":false,"suffix":""},{"dropping-particle":"","family":"Dudeja","given":"Pradeep K.","non-dropping-particle":"","parse-names":false,"suffix":""}],"container-title":"Tissue Barriers","id":"ITEM-1","issue":"2","issued":{"date-parts":[["2018","4","3"]]},"publisher":"Taylor and Francis Inc.","title":"Pathophysiology of IBD associated diarrhea","type":"article-journal","volume":"6"},"uris":["http://www.mendeley.com/documents/?uuid=025a38b3-760a-3361-88d0-a6011035f098"]}],"mendeley":{"formattedCitation":"[28]","plainTextFormattedCitation":"[28]","previouslyFormattedCitation":"[25]"},"properties":{"noteIndex":0},"schema":"https://github.com/citation-style-language/schema/raw/master/csl-citation.json"}</w:instrText>
      </w:r>
      <w:r>
        <w:rPr>
          <w:color w:val="000000" w:themeColor="text1"/>
        </w:rPr>
        <w:fldChar w:fldCharType="separate"/>
      </w:r>
      <w:r w:rsidRPr="006F7BF5">
        <w:rPr>
          <w:noProof/>
          <w:color w:val="000000" w:themeColor="text1"/>
        </w:rPr>
        <w:t>[28]</w:t>
      </w:r>
      <w:r>
        <w:rPr>
          <w:color w:val="000000" w:themeColor="text1"/>
        </w:rPr>
        <w:fldChar w:fldCharType="end"/>
      </w:r>
      <w:r>
        <w:rPr>
          <w:color w:val="000000" w:themeColor="text1"/>
        </w:rPr>
        <w:t>. Although lunasin did not fully prevent episodes of severe watery diarrhea from happening after the inflammatory peak</w:t>
      </w:r>
      <w:r w:rsidR="006A4082">
        <w:rPr>
          <w:color w:val="000000" w:themeColor="text1"/>
        </w:rPr>
        <w:t>,</w:t>
      </w:r>
      <w:r>
        <w:rPr>
          <w:color w:val="000000" w:themeColor="text1"/>
        </w:rPr>
        <w:t xml:space="preserve"> harder stool consistency was achieved from 2 to 10 days earlier in mice under lunasin supplementation</w:t>
      </w:r>
      <w:r w:rsidR="003B3519">
        <w:rPr>
          <w:color w:val="000000" w:themeColor="text1"/>
        </w:rPr>
        <w:t xml:space="preserve"> (Figure 4.1F)</w:t>
      </w:r>
      <w:r>
        <w:rPr>
          <w:color w:val="000000" w:themeColor="text1"/>
        </w:rPr>
        <w:t xml:space="preserve">. These observations suggest that the peptide might facilitate or promote repair mechanisms that reduce the abnormal presence of water in the stool that causes stool softening. </w:t>
      </w:r>
    </w:p>
    <w:p w14:paraId="4B50EA24" w14:textId="48A60E94" w:rsidR="00C1410F" w:rsidRDefault="00C1410F" w:rsidP="00C1410F">
      <w:pPr>
        <w:spacing w:line="480" w:lineRule="auto"/>
        <w:ind w:firstLine="720"/>
        <w:rPr>
          <w:color w:val="000000" w:themeColor="text1"/>
        </w:rPr>
      </w:pPr>
      <w:r>
        <w:rPr>
          <w:color w:val="000000" w:themeColor="text1"/>
        </w:rPr>
        <w:lastRenderedPageBreak/>
        <w:t xml:space="preserve">In IBD, altered function, localization, or expression of the tight and adherent junctions that regulate paracellular flux result in the breakdown of the intestinal barrier function, leading to diarrhea via the backflow of absorbed solutes and water </w:t>
      </w:r>
      <w:r>
        <w:rPr>
          <w:color w:val="000000" w:themeColor="text1"/>
        </w:rPr>
        <w:fldChar w:fldCharType="begin" w:fldLock="1"/>
      </w:r>
      <w:r>
        <w:rPr>
          <w:color w:val="000000" w:themeColor="text1"/>
        </w:rPr>
        <w:instrText>ADDIN CSL_CITATION {"citationItems":[{"id":"ITEM-1","itemData":{"DOI":"10.1080/21688370.2018.1463897","ISSN":"21688370","PMID":"29737913","abstract":"Inflammatory bowel diseases broadly categorized into Crohn's disease (CD) and ulcerative colitis (UC), are chronic inflammatory disorders of the gastrointestinal tract with increasing prevalence worldwide. The etiology of the disease is complex and involves a combination of genetic, environmental, immunological and gut microbial factors. Recurring and bloody diarrhea is the most prevalent and debilitating symptom in IBD. The pathogenesis of IBD-associated diarrhea is multifactorial and is essentially an outcome of mucosal damage caused by persistent inflammation resulting in dysregulated intestinal ion transport, impaired epithelial barrier function and increased accessibility of the pathogens to the intestinal mucosa. Altered expression and/or function of epithelial ion transporters and channels is the principle cause of electrolyte retention and water accumulation in the intestinal lumen leading to diarrhea in IBD. Aberrant barrier function further contributes to diarrhea via leak-flux mechanism. Mucosal penetration of enteric pathogens promotes dysbiosis and exacerbates the underlying immune system further perpetuating IBD associated-tissue damage and diarrhea. Here, we review the mechanisms of impaired ion transport and loss of epithelial barrier function contributing to diarrhea associated with IBD.","author":[{"dropping-particle":"","family":"Anbazhagan","given":"Arivarasu N.","non-dropping-particle":"","parse-names":false,"suffix":""},{"dropping-particle":"","family":"Priyamvada","given":"Shubha","non-dropping-particle":"","parse-names":false,"suffix":""},{"dropping-particle":"","family":"Alrefai","given":"Waddah A.","non-dropping-particle":"","parse-names":false,"suffix":""},{"dropping-particle":"","family":"Dudeja","given":"Pradeep K.","non-dropping-particle":"","parse-names":false,"suffix":""}],"container-title":"Tissue Barriers","id":"ITEM-1","issue":"2","issued":{"date-parts":[["2018","4","3"]]},"publisher":"Taylor and Francis Inc.","title":"Pathophysiology of IBD associated diarrhea","type":"article-journal","volume":"6"},"uris":["http://www.mendeley.com/documents/?uuid=025a38b3-760a-3361-88d0-a6011035f098"]}],"mendeley":{"formattedCitation":"[28]","plainTextFormattedCitation":"[28]","previouslyFormattedCitation":"[25]"},"properties":{"noteIndex":0},"schema":"https://github.com/citation-style-language/schema/raw/master/csl-citation.json"}</w:instrText>
      </w:r>
      <w:r>
        <w:rPr>
          <w:color w:val="000000" w:themeColor="text1"/>
        </w:rPr>
        <w:fldChar w:fldCharType="separate"/>
      </w:r>
      <w:r w:rsidRPr="006F7BF5">
        <w:rPr>
          <w:noProof/>
          <w:color w:val="000000" w:themeColor="text1"/>
        </w:rPr>
        <w:t>[28]</w:t>
      </w:r>
      <w:r>
        <w:rPr>
          <w:color w:val="000000" w:themeColor="text1"/>
        </w:rPr>
        <w:fldChar w:fldCharType="end"/>
      </w:r>
      <w:r>
        <w:rPr>
          <w:color w:val="000000" w:themeColor="text1"/>
        </w:rPr>
        <w:t xml:space="preserve">. Downregulation of the tight junction molecule claudin-3 </w:t>
      </w:r>
      <w:r>
        <w:rPr>
          <w:color w:val="000000" w:themeColor="text1"/>
        </w:rPr>
        <w:fldChar w:fldCharType="begin" w:fldLock="1"/>
      </w:r>
      <w:r>
        <w:rPr>
          <w:color w:val="000000" w:themeColor="text1"/>
        </w:rPr>
        <w:instrText>ADDIN CSL_CITATION {"citationItems":[{"id":"ITEM-1","itemData":{"DOI":"10.1038/mi.2016.128","ISSN":"19353456","PMID":"28120842","abstract":"Inflammatory bowel disease (IBD) is a multifactorial disease. A breach in the mucosal barrier, otherwise known as \"leaky gut,\" is alleged to promote mucosal inflammation by intensifying immune activation. However, interaction between the luminal antigen and mucosal immune system is necessary to maintain mucosal homeostasis. Furthermore, manipulations leading to deregulated gut permeability have resulted in susceptibility in mice to colitis as well as to creating adaptive immunity. These findings implicate a complex but dynamic association between mucosal permeability and immune homeostasis; however, they also emphasize that compromised gut permeability alone may not be sufficient to induce colitis. Emerging evidence further supports the role(s) of proteins associated with the mucosal barrier in epithelial injury and repair: manipulations of associated proteins also modified epithelial differentiation, proliferation, and apoptosis. Taken together, the role of gut permeability and proteins associated in regulating mucosal inflammatory diseases appears to be more complex than previously thought. Herein, we review outcomes from recent mouse models where gut permeability was altered by direct and indirect effects of manipulating mucosal barrier-Associated proteins, to highlight the significance of mucosal permeability and the non-barrier-related roles of these proteins in regulating chronic mucosal inflammatory conditions.","author":[{"dropping-particle":"","family":"Ahmad","given":"R.","non-dropping-particle":"","parse-names":false,"suffix":""},{"dropping-particle":"","family":"Sorrell","given":"M. F.","non-dropping-particle":"","parse-names":false,"suffix":""},{"dropping-particle":"","family":"Batra","given":"S. K.","non-dropping-particle":"","parse-names":false,"suffix":""},{"dropping-particle":"","family":"Dhawan","given":"P.","non-dropping-particle":"","parse-names":false,"suffix":""},{"dropping-particle":"","family":"Singh","given":"A. B.","non-dropping-particle":"","parse-names":false,"suffix":""}],"container-title":"Mucosal Immunology","id":"ITEM-1","issue":"2","issued":{"date-parts":[["2017","3","1"]]},"page":"307-317","publisher":"Nature Publishing Group","title":"Gut permeability and mucosal inflammation: Bad, good or context dependent","type":"article","volume":"10"},"uris":["http://www.mendeley.com/documents/?uuid=ac51edfb-99d2-3e45-aa7c-87823c2c9de5"]}],"mendeley":{"formattedCitation":"[29]","plainTextFormattedCitation":"[29]","previouslyFormattedCitation":"[30]"},"properties":{"noteIndex":0},"schema":"https://github.com/citation-style-language/schema/raw/master/csl-citation.json"}</w:instrText>
      </w:r>
      <w:r>
        <w:rPr>
          <w:color w:val="000000" w:themeColor="text1"/>
        </w:rPr>
        <w:fldChar w:fldCharType="separate"/>
      </w:r>
      <w:r w:rsidRPr="006F7BF5">
        <w:rPr>
          <w:noProof/>
          <w:color w:val="000000" w:themeColor="text1"/>
        </w:rPr>
        <w:t>[29]</w:t>
      </w:r>
      <w:r>
        <w:rPr>
          <w:color w:val="000000" w:themeColor="text1"/>
        </w:rPr>
        <w:fldChar w:fldCharType="end"/>
      </w:r>
      <w:r>
        <w:rPr>
          <w:color w:val="000000" w:themeColor="text1"/>
        </w:rPr>
        <w:t xml:space="preserve"> and the adherent junction E-cadherin </w:t>
      </w:r>
      <w:r>
        <w:rPr>
          <w:color w:val="000000" w:themeColor="text1"/>
        </w:rPr>
        <w:fldChar w:fldCharType="begin" w:fldLock="1"/>
      </w:r>
      <w:r>
        <w:rPr>
          <w:color w:val="000000" w:themeColor="text1"/>
        </w:rPr>
        <w:instrText>ADDIN CSL_CITATION {"citationItems":[{"id":"ITEM-1","itemData":{"DOI":"10.1093/ecco-jcc/jjx030","ISSN":"18764479","PMID":"28333335","abstract":"Background and Aims: Alteration in intestinal permeability is the main factor underlying the pathogenesis of many diseases affecting the gut, such as inflammatory bowel disease [IBD]. Characterization of molecules targeting the restoration of intestinal barrier integrity is therefore vital for the development of alternative therapies. The yeast Saccharomyces boulardii CNCM I-745 [Sb], used to prevent and treat antibiotic-associated infectious and functional diarrhea, may have a beneficial effect in the treatment of IBD.\nMethods: We analyzed the impact of Sb supernatant on tissue integrity and components of adherens junctions using cultured explants of colon from both IBD and healthy patients. To evaluate the pathways by which Sb regulates the expression of E-cadherin at the cell surface, we developed in vitro assays using human colonic cell lines, including cell aggregation, a calcium switch assay, real-time measurement of transepithelial electrical resistance [TEER] and pulse-chase experiments.\nResults: We showed that Sb supernatant treatment of colonic explants protects the epithelial morphology and maintains E-cadherin expression at the cell surface. In vitro experiments revealed that Sb supernatant enhances E-cadherin delivery to the cell surface by re-routing endocytosed E-cadherin back to the plasma membrane. This process, involving Rab11A-dependent recycling endosome, leads to restoration of enterocyte adherens junctions, in addition to the overall restoration and strengthening of intestinal barrier function.\nConclusion: These findings open new possibilities of discovering novel options for prevention and therapy of diseases that affect intestinal permeability.","author":[{"dropping-particle":"","family":"Terciolo","given":"Chloé","non-dropping-particle":"","parse-names":false,"suffix":""},{"dropping-particle":"","family":"Dobric","given":"Aurélie","non-dropping-particle":"","parse-names":false,"suffix":""},{"dropping-particle":"","family":"Ouaissi","given":"Mehdi","non-dropping-particle":"","parse-names":false,"suffix":""},{"dropping-particle":"","family":"Siret","given":"Carole","non-dropping-particle":"","parse-names":false,"suffix":""},{"dropping-particle":"","family":"Breuzard","given":"Gilles","non-dropping-particle":"","parse-names":false,"suffix":""},{"dropping-particle":"","family":"Silvy","given":"Françoise","non-dropping-particle":"","parse-names":false,"suffix":""},{"dropping-particle":"","family":"Marchiori","given":"Bastien","non-dropping-particle":"","parse-names":false,"suffix":""},{"dropping-particle":"","family":"Germain","given":"Sébastien","non-dropping-particle":"","parse-names":false,"suffix":""},{"dropping-particle":"","family":"Bonier","given":"Renaté","non-dropping-particle":"","parse-names":false,"suffix":""},{"dropping-particle":"","family":"Hama","given":"Adel","non-dropping-particle":"","parse-names":false,"suffix":""},{"dropping-particle":"","family":"Owens","given":"Roisin","non-dropping-particle":"","parse-names":false,"suffix":""},{"dropping-particle":"","family":"Lombardo","given":"Dominique","non-dropping-particle":"","parse-names":false,"suffix":""},{"dropping-particle":"","family":"Rigot","given":"Véronique","non-dropping-particle":"","parse-names":false,"suffix":""},{"dropping-particle":"","family":"André","given":"Frédéric","non-dropping-particle":"","parse-names":false,"suffix":""}],"container-title":"Journal of Crohn's &amp; colitis","id":"ITEM-1","issue":"8","issued":{"date-parts":[["2017","8","1"]]},"page":"999-1010","publisher":"Oxford Academic","title":"Saccharomyces boulardii CNCM I-745 Restores intestinal Barrier Integrity by Regulation of E-cadherin Recycling","type":"article-journal","volume":"11"},"uris":["http://www.mendeley.com/documents/?uuid=69f0ad67-3e09-3961-b645-d8e655d5f397"]}],"mendeley":{"formattedCitation":"[30]","plainTextFormattedCitation":"[30]","previouslyFormattedCitation":"[187]"},"properties":{"noteIndex":0},"schema":"https://github.com/citation-style-language/schema/raw/master/csl-citation.json"}</w:instrText>
      </w:r>
      <w:r>
        <w:rPr>
          <w:color w:val="000000" w:themeColor="text1"/>
        </w:rPr>
        <w:fldChar w:fldCharType="separate"/>
      </w:r>
      <w:r w:rsidRPr="006F7BF5">
        <w:rPr>
          <w:noProof/>
          <w:color w:val="000000" w:themeColor="text1"/>
        </w:rPr>
        <w:t>[30]</w:t>
      </w:r>
      <w:r>
        <w:rPr>
          <w:color w:val="000000" w:themeColor="text1"/>
        </w:rPr>
        <w:fldChar w:fldCharType="end"/>
      </w:r>
      <w:r>
        <w:rPr>
          <w:color w:val="000000" w:themeColor="text1"/>
        </w:rPr>
        <w:t xml:space="preserve"> has been reported in IBD patients, and in animal models of intestinal inflammation induced by DSS </w:t>
      </w:r>
      <w:r>
        <w:rPr>
          <w:color w:val="000000" w:themeColor="text1"/>
        </w:rPr>
        <w:fldChar w:fldCharType="begin" w:fldLock="1"/>
      </w:r>
      <w:r>
        <w:rPr>
          <w:color w:val="000000" w:themeColor="text1"/>
        </w:rPr>
        <w:instrText>ADDIN CSL_CITATION {"citationItems":[{"id":"ITEM-1","itemData":{"DOI":"10.1097/MIB.0000000000001209","ISSN":"15364844","PMID":"28795969","abstract":"Vitamin D 3 is beneficial in ameliorating or preventing inflammation and carcinogenesis. Here, we evaluated if vitamin D 3 has a preventive effect on colitis-associated carcinogenesis. Administration of azoxymethane (AOM), followed with dextran sulfate sodium (DSS), was used to simulate colitis-associated colon cancer in mice. The supplement of vitamin D 3 at different dosages (15, 30, 60 IU·g -1 ·w -1), started before AOM or immediately after DSS treatment (post 60), was sustained to the end of the experiment. Dietary vitamin D 3 significantly reduced the number of tumors and tumor burden in a dose-dependent manner. Of note, vitamin D 3 in high doses showed significant preventive effects on carcinogenesis regardless of administration before or after AOM-DSS treatment. Cell proliferation decreased in vitamin D 3 groups compared with the control group after inhibition of expression of β-catenin and its downstream target gene cyclin D1 in the colon. In vitro, vitamin D 3 reduced the transcriptional activity and nuclear level of β-catenin, and it also increased E-cadherin expression and its binding affinity for β-catenin. Moreover, repression of E-cadherin was rescued by supplemental vitamin D 3 in mouse colons. Taken together, our results indicate that vitamin D 3 effectively suppressed colonic carcinogenesis in the AOM-DSS mouse model. Our findings further suggest that upregulation of E-cadherin contributes to the preventive effect of vitamin D 3 on β-catenin activity.","author":[{"dropping-particle":"","family":"Xin","given":"Yu","non-dropping-particle":"","parse-names":false,"suffix":""},{"dropping-particle":"","family":"He","given":"Longmei","non-dropping-particle":"","parse-names":false,"suffix":""},{"dropping-particle":"","family":"Luan","given":"Zijian","non-dropping-particle":"","parse-names":false,"suffix":""},{"dropping-particle":"","family":"Lv","given":"Hong","non-dropping-particle":"","parse-names":false,"suffix":""},{"dropping-particle":"","family":"Yang","given":"Hong","non-dropping-particle":"","parse-names":false,"suffix":""},{"dropping-particle":"","family":"Zhou","given":"Ying","non-dropping-particle":"","parse-names":false,"suffix":""},{"dropping-particle":"","family":"Zhao","given":"Xinhua","non-dropping-particle":"","parse-names":false,"suffix":""},{"dropping-particle":"","family":"Zhou","given":"Weixun","non-dropping-particle":"","parse-names":false,"suffix":""},{"dropping-particle":"","family":"Yu","given":"Songlin","non-dropping-particle":"","parse-names":false,"suffix":""},{"dropping-particle":"","family":"Tan","given":"Bei","non-dropping-particle":"","parse-names":false,"suffix":""},{"dropping-particle":"","family":"Wang","given":"Hongying","non-dropping-particle":"","parse-names":false,"suffix":""},{"dropping-particle":"","family":"Qian","given":"Jiaming","non-dropping-particle":"","parse-names":false,"suffix":""}],"container-title":"Inflammatory Bowel Diseases","id":"ITEM-1","issue":"9","issued":{"date-parts":[["2017","9","1"]]},"page":"1535-1543","publisher":"Lippincott Williams and Wilkins","title":"E-cadherin Mediates the Preventive Effect of Vitamin D 3 in Colitis-associated Carcinogenesis","type":"article-journal","volume":"23"},"uris":["http://www.mendeley.com/documents/?uuid=f2778ea6-ef77-35da-a550-2ac59e0730cf"]}],"mendeley":{"formattedCitation":"[31]","plainTextFormattedCitation":"[31]","previouslyFormattedCitation":"[188]"},"properties":{"noteIndex":0},"schema":"https://github.com/citation-style-language/schema/raw/master/csl-citation.json"}</w:instrText>
      </w:r>
      <w:r>
        <w:rPr>
          <w:color w:val="000000" w:themeColor="text1"/>
        </w:rPr>
        <w:fldChar w:fldCharType="separate"/>
      </w:r>
      <w:r w:rsidRPr="006F7BF5">
        <w:rPr>
          <w:noProof/>
          <w:color w:val="000000" w:themeColor="text1"/>
        </w:rPr>
        <w:t>[31]</w:t>
      </w:r>
      <w:r>
        <w:rPr>
          <w:color w:val="000000" w:themeColor="text1"/>
        </w:rPr>
        <w:fldChar w:fldCharType="end"/>
      </w:r>
      <w:r>
        <w:rPr>
          <w:color w:val="000000" w:themeColor="text1"/>
        </w:rPr>
        <w:t xml:space="preserve">. The higher </w:t>
      </w:r>
      <w:r w:rsidR="002E5D55">
        <w:rPr>
          <w:color w:val="000000" w:themeColor="text1"/>
        </w:rPr>
        <w:t xml:space="preserve">levels </w:t>
      </w:r>
      <w:r>
        <w:rPr>
          <w:color w:val="000000" w:themeColor="text1"/>
        </w:rPr>
        <w:t>of E-cadherin in the colon of mice receiving lunasin</w:t>
      </w:r>
      <w:r w:rsidR="003B3519">
        <w:rPr>
          <w:color w:val="000000" w:themeColor="text1"/>
        </w:rPr>
        <w:t xml:space="preserve"> (Figure 4.6A)</w:t>
      </w:r>
      <w:r>
        <w:rPr>
          <w:color w:val="000000" w:themeColor="text1"/>
        </w:rPr>
        <w:t xml:space="preserve"> suggests that the peptide might contribute to the recovery of the colonic epithelial integrity. Lunasin has been shown to induce gene and protein expression of E-cadherin in murine HC11 mammary cells </w:t>
      </w:r>
      <w:r>
        <w:rPr>
          <w:color w:val="000000" w:themeColor="text1"/>
        </w:rPr>
        <w:fldChar w:fldCharType="begin" w:fldLock="1"/>
      </w:r>
      <w:r>
        <w:rPr>
          <w:color w:val="000000" w:themeColor="text1"/>
        </w:rPr>
        <w:instrText>ADDIN CSL_CITATION {"citationItems":[{"id":"ITEM-1","itemData":{"DOI":"10.1007/s12263-012-0307-5","ISSN":"15558932","PMID":"22864686","abstract":"Breast cancer is the leading cause of cancer deaths in women. Diet and lifestyle are major contributing factors to increased breast cancer risk. While mechanisms underlying dietary protection of mammary tumor formation are increasingly elucidated, there remains a dearth of knowledge on the nature and precise actions of specific bioactive components present in foods with purported health effects. The 43-amino acid peptide lunasin (LUN) is found in soybeans, is bioavailable similar to the isoflavone genistein (GEN), and thus may mediate the beneficial effects of soy food consumption. Here, we evaluated whether LUN displays common and distinct actions from those of GEN in non-malignant (mouse HC11) and malignant (human MCF-7) mammary epithelial cells. In MCF-7 cells, LUN up-regulated tumor suppressor phosphatase and tensin homolog deleted in chromosome ten (PTEN) promoter activity, increased PTEN transcript and protein levels and enhanced nuclear PTEN localization, similar to that shown for GEN in mammary epithelial cells. LUN-induced cellular apoptosis, akin to GEN, was mediated by PTEN, but unlike that for GEN, was p53-independent. LUN promoted E-cadherin and β-catenin non-nuclear localization similar to GEN, but unlike GEN, did not influence the proliferative effects of oncogene Wnt1 on HC11 cells. Further, LUN did not recapitulate GEN inhibitory effects on expansion of the cancer stem-like/progenitor population in MCF-7 cells. Results suggest the concerted actions of GEN and LUN on cellular apoptosis for potential mammary tumor preventive effects and highlight whole food consumption rather than intake of specific dietary supplements with limited biological effects for greater health benefits. © 2012 Springer-Verlag.","author":[{"dropping-particle":"","family":"Pabona","given":"John Mark P.","non-dropping-particle":"","parse-names":false,"suffix":""},{"dropping-particle":"","family":"Dave","given":"Bhuvanesh","non-dropping-particle":"","parse-names":false,"suffix":""},{"dropping-particle":"","family":"Su","given":"Ying","non-dropping-particle":"","parse-names":false,"suffix":""},{"dropping-particle":"","family":"Montales","given":"Maria Theresa E.","non-dropping-particle":"","parse-names":false,"suffix":""},{"dropping-particle":"","family":"Lumen","given":"Ben O.","non-dropping-particle":"De","parse-names":false,"suffix":""},{"dropping-particle":"","family":"Mejia","given":"Elvira G.","non-dropping-particle":"De","parse-names":false,"suffix":""},{"dropping-particle":"","family":"Rahal","given":"Omar M.","non-dropping-particle":"","parse-names":false,"suffix":""},{"dropping-particle":"","family":"Simmen","given":"Rosalia C.M.","non-dropping-particle":"","parse-names":false,"suffix":""}],"container-title":"Genes and Nutrition","id":"ITEM-1","issue":"1","issued":{"date-parts":[["2013","1","3"]]},"page":"79-90","publisher":"BioMed Central","title":"The soybean peptide lunasin promotes apoptosis of mammary epithelial cells via induction of tumor suppressor PTEN: Similarities and distinct actions from soy isoflavone genistein","type":"article-journal","volume":"8"},"uris":["http://www.mendeley.com/documents/?uuid=3f0aecac-69b1-3dae-8204-9f15382ca633"]},{"id":"ITEM-2","itemData":{"DOI":"10.1096/FASEBJ.22.1_SUPPLEMENT.700.1","ISSN":"1530-6860","author":[{"dropping-particle":"","family":"Su","given":"Ying","non-dropping-particle":"","parse-names":false,"suffix":""},{"dropping-particle":"de","family":"Lumen","given":"Ben O","non-dropping-particle":"","parse-names":false,"suffix":""},{"dropping-particle":"","family":"Simmen","given":"Rosalia CM","non-dropping-particle":"","parse-names":false,"suffix":""}],"container-title":"The FASEB Journal","id":"ITEM-2","issued":{"date-parts":[["0"]]},"page":"700.1-700.1","publisher":"John Wiley &amp; Sons, Ltd","title":"Soy Components Genistein And Lunasin Regulate E-Cadherin And Wnt Signaling In Mammary Epithelial Cells","type":"article-journal","volume":"22"},"uris":["http://www.mendeley.com/documents/?uuid=378a65e2-acc6-3ae7-bd84-13aff708ec02"]}],"mendeley":{"formattedCitation":"[32,33]","plainTextFormattedCitation":"[32,33]","previouslyFormattedCitation":"[87,189]"},"properties":{"noteIndex":0},"schema":"https://github.com/citation-style-language/schema/raw/master/csl-citation.json"}</w:instrText>
      </w:r>
      <w:r>
        <w:rPr>
          <w:color w:val="000000" w:themeColor="text1"/>
        </w:rPr>
        <w:fldChar w:fldCharType="separate"/>
      </w:r>
      <w:r w:rsidRPr="006F7BF5">
        <w:rPr>
          <w:noProof/>
          <w:color w:val="000000" w:themeColor="text1"/>
        </w:rPr>
        <w:t>[32,33]</w:t>
      </w:r>
      <w:r>
        <w:rPr>
          <w:color w:val="000000" w:themeColor="text1"/>
        </w:rPr>
        <w:fldChar w:fldCharType="end"/>
      </w:r>
      <w:r>
        <w:rPr>
          <w:color w:val="000000" w:themeColor="text1"/>
        </w:rPr>
        <w:t xml:space="preserve">, and to have a slight promotor effect in human KM12L4 colon cancer cells </w:t>
      </w:r>
      <w:r>
        <w:rPr>
          <w:color w:val="000000" w:themeColor="text1"/>
        </w:rPr>
        <w:fldChar w:fldCharType="begin" w:fldLock="1"/>
      </w:r>
      <w:r>
        <w:rPr>
          <w:color w:val="000000" w:themeColor="text1"/>
        </w:rPr>
        <w:instrText>ADDIN CSL_CITATION {"citationItems":[{"id":"ITEM-1","itemData":{"DOI":"10.1002/mnfr.201000419","ISSN":"16134125","PMID":"21462330","abstract":"Scope: Lunasin is an arginine-glycine-aspartic acid (RGD) cancer preventive peptide. The objective was to evaluate the potential of lunasin to induce apoptosis in human colon cancer cells and their oxaliplatin-resistant (OxR) variants, and its effect on the expression of human extracellular matrix and adhesion genes. Methods and results: Various human colon cancer cell lines which underwent metastasis were evaluated in vitro using cell flow cytometry and fluorescence microscopy. Lunasin cytotoxicity to different colon cancer cells correlated with the expression of α5b1 integrin, being most potent to KM12L4 cells (IC50=13μM). Lunasin arrested cell cycle at G2/M phase with concomitant increase in the expression of cyclin-dependent kinase inhibitors p21 and p27. Lunasin (5-25μM) activated the apoptotic mitochondrial pathway as evidenced by changes in the expressions of Bcl-2, Bax, nuclear clusterin, cytochrome c and caspase-3 in KM12L4 and KM12L4-OxR. Lunasin increased the activity of initiator caspase-9 leading to the activation of caspase-3 and also modified the expression of human extracellular matrix and adhesion genes, downregulating integrin α5, SELE, MMP10, integrin β2 and COL6A1 by 5.01-, 6.53-, 7.71-, 8.19- and 10.10-fold, respectively, while upregulating COL12A1 by 11.61-fold. Conclusion: Lunasin can be used in cases where resistance to chemotherapy developed. © 2011 WILEY-VCH Verlag GmbH &amp; Co. KGaA, Weinheim.","author":[{"dropping-particle":"","family":"Dia","given":"Vermont P.","non-dropping-particle":"","parse-names":false,"suffix":""},{"dropping-particle":"","family":"Mejia","given":"Elvira Gonzalez","non-dropping-particle":"De","parse-names":false,"suffix":""}],"container-title":"Molecular Nutrition and Food Research","id":"ITEM-1","issue":"4","issued":{"date-parts":[["2011","4","1"]]},"page":"623-634","title":"Lunasin induces apoptosis and modifies the expression of genes associated with extracellular matrix and cell adhesion in human metastatic colon cancer cells","type":"article-journal","volume":"55"},"uris":["http://www.mendeley.com/documents/?uuid=a495c3c7-9af9-4ad8-a008-4ccb8f21decb"]}],"mendeley":{"formattedCitation":"[34]","plainTextFormattedCitation":"[34]","previouslyFormattedCitation":"[85]"},"properties":{"noteIndex":0},"schema":"https://github.com/citation-style-language/schema/raw/master/csl-citation.json"}</w:instrText>
      </w:r>
      <w:r>
        <w:rPr>
          <w:color w:val="000000" w:themeColor="text1"/>
        </w:rPr>
        <w:fldChar w:fldCharType="separate"/>
      </w:r>
      <w:r w:rsidRPr="006F7BF5">
        <w:rPr>
          <w:noProof/>
          <w:color w:val="000000" w:themeColor="text1"/>
        </w:rPr>
        <w:t>[34]</w:t>
      </w:r>
      <w:r>
        <w:rPr>
          <w:color w:val="000000" w:themeColor="text1"/>
        </w:rPr>
        <w:fldChar w:fldCharType="end"/>
      </w:r>
      <w:r>
        <w:rPr>
          <w:color w:val="000000" w:themeColor="text1"/>
        </w:rPr>
        <w:t xml:space="preserve">. This is the first report indicating the potential effect of lunasin on E-cadherin </w:t>
      </w:r>
      <w:r w:rsidR="002E5D55">
        <w:rPr>
          <w:color w:val="000000" w:themeColor="text1"/>
        </w:rPr>
        <w:t xml:space="preserve">levels </w:t>
      </w:r>
      <w:r>
        <w:rPr>
          <w:i/>
          <w:iCs/>
          <w:color w:val="000000" w:themeColor="text1"/>
        </w:rPr>
        <w:t>in vivo</w:t>
      </w:r>
      <w:r>
        <w:rPr>
          <w:color w:val="000000" w:themeColor="text1"/>
        </w:rPr>
        <w:t>. Downregulation of E-cadherin in inflamed tissue</w:t>
      </w:r>
      <w:r w:rsidR="0092388F">
        <w:rPr>
          <w:color w:val="000000" w:themeColor="text1"/>
        </w:rPr>
        <w:t>s</w:t>
      </w:r>
      <w:r>
        <w:rPr>
          <w:color w:val="000000" w:themeColor="text1"/>
        </w:rPr>
        <w:t xml:space="preserve"> has been particularly found to occur in areas of ulceration </w:t>
      </w:r>
      <w:r>
        <w:rPr>
          <w:color w:val="000000" w:themeColor="text1"/>
        </w:rPr>
        <w:fldChar w:fldCharType="begin" w:fldLock="1"/>
      </w:r>
      <w:r>
        <w:rPr>
          <w:color w:val="000000" w:themeColor="text1"/>
        </w:rPr>
        <w:instrText>ADDIN CSL_CITATION {"citationItems":[{"id":"ITEM-1","itemData":{"DOI":"10.1136/jcp.48.2.143","ISSN":"00219746","PMID":"7745114","abstract":"Aims - To investigate E-cadherin expression in normal and inflamed intestine, in the colonic adenocarcinoma cell line HT29, in normal fetal intestine, and in a fetal gut organ culture model where a T cell mediated enteropathy can be generated; to determine whether expression of E-cadherin changes in intestinal inflammation. Metods - Immunohistochemistry was used to determine E-cadherin expression in following tissues: frozen and paraffin wax sections of normal and inflamed intestine; HT29 colonic adenocarcinoma cell line cultured on coverslips in the presence or absence of cytokines; frozen sections of fetal small intestinal tissue (gestational age 11-22 weeks); and frozen sections of cultured fetal gut in which a T cell mediated enteropathy had been induced. Results - E-cadherin was strongly and evenly expressed by the epithelium in all specimens of intestine studied. Although there was no change in inflammation generally, in some cases of Crohn's disease groups of glands with the characteristic morphology of 'ulcer associated cell lineage' showed lower expression of E-cadherin. In fetal gut organ cultures epithelial expression of E-cadherin was lower when local T cells were activated with mitogens, compared with control explants. By contrast, the HT29 cell line showed low levels of expression which increased after treatment with conditioned medium from activated tonsil cells. Conclusions - E-cadherin is strongly and evenly expressed by epithelium in normal and inflamed intestine, although an increase in E-cadherin expression in cytokine treated HT29 cells was observed. E-cadherin expression is reduced in the epithelium adjacent to ulcers (ulcer associated cell lineage), possibly to assist regeneration.","author":[{"dropping-particle":"","family":"Dogan","given":"A.","non-dropping-particle":"","parse-names":false,"suffix":""},{"dropping-particle":"","family":"Wang","given":"Z. D.","non-dropping-particle":"","parse-names":false,"suffix":""},{"dropping-particle":"","family":"Spencer","given":"J.","non-dropping-particle":"","parse-names":false,"suffix":""}],"container-title":"Journal of Clinical Pathology","id":"ITEM-1","issue":"2","issued":{"date-parts":[["1995","2","1"]]},"page":"143-146","publisher":"BMJ Publishing Group","title":"E-cadherin expression in intestinal epithelium","type":"article-journal","volume":"48"},"uris":["http://www.mendeley.com/documents/?uuid=69b22d0c-7afd-3bde-b9cf-c84bfb4c9162"]}],"mendeley":{"formattedCitation":"[35]","plainTextFormattedCitation":"[35]","previouslyFormattedCitation":"[190]"},"properties":{"noteIndex":0},"schema":"https://github.com/citation-style-language/schema/raw/master/csl-citation.json"}</w:instrText>
      </w:r>
      <w:r>
        <w:rPr>
          <w:color w:val="000000" w:themeColor="text1"/>
        </w:rPr>
        <w:fldChar w:fldCharType="separate"/>
      </w:r>
      <w:r w:rsidRPr="006F7BF5">
        <w:rPr>
          <w:noProof/>
          <w:color w:val="000000" w:themeColor="text1"/>
        </w:rPr>
        <w:t>[35]</w:t>
      </w:r>
      <w:r>
        <w:rPr>
          <w:color w:val="000000" w:themeColor="text1"/>
        </w:rPr>
        <w:fldChar w:fldCharType="end"/>
      </w:r>
      <w:r>
        <w:rPr>
          <w:color w:val="000000" w:themeColor="text1"/>
        </w:rPr>
        <w:t xml:space="preserve">. Massive infiltration of neutrophils is a hallmark of UC and is accompanied by the release of reactive oxygen species, serine proteases, </w:t>
      </w:r>
      <w:r w:rsidR="000644D4">
        <w:rPr>
          <w:color w:val="000000" w:themeColor="text1"/>
        </w:rPr>
        <w:t>MPO</w:t>
      </w:r>
      <w:r>
        <w:rPr>
          <w:color w:val="000000" w:themeColor="text1"/>
        </w:rPr>
        <w:t xml:space="preserve">, and matrix metalloproteinases </w:t>
      </w:r>
      <w:r>
        <w:rPr>
          <w:color w:val="000000" w:themeColor="text1"/>
        </w:rPr>
        <w:fldChar w:fldCharType="begin" w:fldLock="1"/>
      </w:r>
      <w:r>
        <w:rPr>
          <w:color w:val="000000" w:themeColor="text1"/>
        </w:rPr>
        <w:instrText>ADDIN CSL_CITATION {"citationItems":[{"id":"ITEM-1","itemData":{"DOI":"10.1080/00365521.2016.1235224","ISSN":"15027708","PMID":"27610713","abstract":"Objectives: This review article describes the role of neutrophils in mucosal injury and the resulting crypt abscesses characteristic of ulcerative colitis. We also review selected biomarkers for monitoring neutrophil presence and activity in the mucosa as well as their potential as therapeutic targets. Material: We have collated and selectively reviewed data on the most prominent well-established and emerging neutrophil-related biomarkers and potential therapeutic targets (calprotectin, lactoferrin, CXCR1, CXCR2, MMP-9, NGAL, elafin, HNE, pANCAs, MPO, CD16, CD177, CD64, HNPs, SLPI and PTX3) in ulcerative colitis. Results: Systemic and intestinal neutrophil activity increases substantially in active ulcerative colitis, driving tissue damage and extra-intestinal manifestations. Calprotectin is a robust neutrophil and disease biomarker, and a few neutrophil-related targets are being clinically explored as therapeutic targets. Conclusion: We propose that targeting neutrophils and their inflammatory mediators per se is an opportunity that should be explored to identify new effective medical therapies. The overall clinical goal for neutrophil-targeted therapy will be to modulate, but not completely silence, neutrophil activity, thereby abolishing the destructive inflammation with associated acute and chronic tissue damage without compromising host-defense.","author":[{"dropping-particle":"","family":"Muthas","given":"Daniel","non-dropping-particle":"","parse-names":false,"suffix":""},{"dropping-particle":"","family":"Reznichenko","given":"Anna","non-dropping-particle":"","parse-names":false,"suffix":""},{"dropping-particle":"","family":"Balendran","given":"Clare A.","non-dropping-particle":"","parse-names":false,"suffix":""},{"dropping-particle":"","family":"Böttcher","given":"Gerhard","non-dropping-particle":"","parse-names":false,"suffix":""},{"dropping-particle":"","family":"Clausen","given":"Ib Groth","non-dropping-particle":"","parse-names":false,"suffix":""},{"dropping-particle":"","family":"Kärrman Mårdh","given":"Carina","non-dropping-particle":"","parse-names":false,"suffix":""},{"dropping-particle":"","family":"Ottosson","given":"Tomas","non-dropping-particle":"","parse-names":false,"suffix":""},{"dropping-particle":"","family":"Uddin","given":"Mohib","non-dropping-particle":"","parse-names":false,"suffix":""},{"dropping-particle":"","family":"MacDonald","given":"Thomas T.","non-dropping-particle":"","parse-names":false,"suffix":""},{"dropping-particle":"","family":"Danese","given":"Silvio","non-dropping-particle":"","parse-names":false,"suffix":""},{"dropping-particle":"","family":"Berner Hansen","given":"Mark","non-dropping-particle":"","parse-names":false,"suffix":""}],"container-title":"Scandinavian Journal of Gastroenterology","id":"ITEM-1","issue":"2","issued":{"date-parts":[["2017","2","1"]]},"page":"125-135","publisher":"Taylor and Francis Ltd","title":"Neutrophils in ulcerative colitis: a review of selected biomarkers and their potential therapeutic implications","type":"article","volume":"52"},"uris":["http://www.mendeley.com/documents/?uuid=d3b0dfea-d21d-3f66-a909-89058cda0b63"]}],"mendeley":{"formattedCitation":"[36]","plainTextFormattedCitation":"[36]","previouslyFormattedCitation":"[191]"},"properties":{"noteIndex":0},"schema":"https://github.com/citation-style-language/schema/raw/master/csl-citation.json"}</w:instrText>
      </w:r>
      <w:r>
        <w:rPr>
          <w:color w:val="000000" w:themeColor="text1"/>
        </w:rPr>
        <w:fldChar w:fldCharType="separate"/>
      </w:r>
      <w:r w:rsidRPr="006F7BF5">
        <w:rPr>
          <w:noProof/>
          <w:color w:val="000000" w:themeColor="text1"/>
        </w:rPr>
        <w:t>[36]</w:t>
      </w:r>
      <w:r>
        <w:rPr>
          <w:color w:val="000000" w:themeColor="text1"/>
        </w:rPr>
        <w:fldChar w:fldCharType="end"/>
      </w:r>
      <w:r>
        <w:rPr>
          <w:color w:val="000000" w:themeColor="text1"/>
        </w:rPr>
        <w:t xml:space="preserve">. It has been demonstrated that E-cadherin is cleaved by the proteolytic activity of neutrophil elastase </w:t>
      </w:r>
      <w:r>
        <w:rPr>
          <w:color w:val="000000" w:themeColor="text1"/>
        </w:rPr>
        <w:fldChar w:fldCharType="begin" w:fldLock="1"/>
      </w:r>
      <w:r>
        <w:rPr>
          <w:color w:val="000000" w:themeColor="text1"/>
        </w:rPr>
        <w:instrText>ADDIN CSL_CITATION {"citationItems":[{"id":"ITEM-1","itemData":{"DOI":"10.1016/j.jcmgh.2018.10.012","ISSN":"2352345X","PMID":"30827416","author":[{"dropping-particle":"","family":"Gordon","given":"Marilyn H.","non-dropping-particle":"","parse-names":false,"suffix":""},{"dropping-particle":"","family":"Chauvin","given":"Anaïs","non-dropping-particle":"","parse-names":false,"suffix":""},{"dropping-particle":"","family":"Boisvert","given":"François Michel","non-dropping-particle":"","parse-names":false,"suffix":""},{"dropping-particle":"","family":"MacNaughton","given":"Wallace K.","non-dropping-particle":"","parse-names":false,"suffix":""}],"container-title":"CMGH","id":"ITEM-1","issue":"2","issued":{"date-parts":[["2019","1","1"]]},"page":"483-486.e8","publisher":"Elsevier Inc","title":"Proteolytic Processing of the Epithelial Adherens Junction Molecule E-Cadherin by Neutrophil Elastase Generates Short Peptides With Novel Wound-Healing Bioactivity","type":"article-journal","volume":"7"},"uris":["http://www.mendeley.com/documents/?uuid=138705d5-0d58-35b4-af3d-daf064cfe2b9"]}],"mendeley":{"formattedCitation":"[37]","plainTextFormattedCitation":"[37]","previouslyFormattedCitation":"[192]"},"properties":{"noteIndex":0},"schema":"https://github.com/citation-style-language/schema/raw/master/csl-citation.json"}</w:instrText>
      </w:r>
      <w:r>
        <w:rPr>
          <w:color w:val="000000" w:themeColor="text1"/>
        </w:rPr>
        <w:fldChar w:fldCharType="separate"/>
      </w:r>
      <w:r w:rsidRPr="006F7BF5">
        <w:rPr>
          <w:noProof/>
          <w:color w:val="000000" w:themeColor="text1"/>
        </w:rPr>
        <w:t>[37]</w:t>
      </w:r>
      <w:r>
        <w:rPr>
          <w:color w:val="000000" w:themeColor="text1"/>
        </w:rPr>
        <w:fldChar w:fldCharType="end"/>
      </w:r>
      <w:r>
        <w:rPr>
          <w:color w:val="000000" w:themeColor="text1"/>
        </w:rPr>
        <w:t xml:space="preserve">. Under this scenario, the initial damage to the colon caused by DSS results in severe neutrophil infiltration in ulcerated areas, accompanied by the cleavage of E-cadherin, causing further disruption of the epithelial barrier. In consequence, the disrupted paracellular efflux allowed back flux of water to the lumen, resulting in softening of the stool and diarrhea-like symptoms. The multifocal ulceration and extensive </w:t>
      </w:r>
      <w:r>
        <w:rPr>
          <w:color w:val="000000" w:themeColor="text1"/>
        </w:rPr>
        <w:lastRenderedPageBreak/>
        <w:t>dense cellular infiltration observed in the intestinal wall of AOM/DSS mice was significantly alleviated by lunasin treatment</w:t>
      </w:r>
      <w:r w:rsidR="00DC5095">
        <w:rPr>
          <w:color w:val="000000" w:themeColor="text1"/>
        </w:rPr>
        <w:t xml:space="preserve"> (Figure 4.3A)</w:t>
      </w:r>
      <w:r>
        <w:rPr>
          <w:color w:val="000000" w:themeColor="text1"/>
        </w:rPr>
        <w:t xml:space="preserve">. This was accompanied by a marked decrease in </w:t>
      </w:r>
      <w:r w:rsidR="000644D4">
        <w:rPr>
          <w:color w:val="000000" w:themeColor="text1"/>
        </w:rPr>
        <w:t xml:space="preserve">MPO </w:t>
      </w:r>
      <w:r>
        <w:rPr>
          <w:color w:val="000000" w:themeColor="text1"/>
        </w:rPr>
        <w:t>activity</w:t>
      </w:r>
      <w:r w:rsidR="00CE6AE5">
        <w:rPr>
          <w:color w:val="000000" w:themeColor="text1"/>
        </w:rPr>
        <w:t xml:space="preserve"> (Figure 4.3E)</w:t>
      </w:r>
      <w:r>
        <w:rPr>
          <w:color w:val="000000" w:themeColor="text1"/>
        </w:rPr>
        <w:t>, corroborating a reduced presence of neutrophils. It is possible that after removal of DSS, lunasin decreased the presence and activity of neutrophils in the tissue, facilitating the maintenance of E-cadherin. This contributed to the progressive recovery of the epithelial barrier and appropriate regulation of paracellular efflux, as manifested by the positive change in stool consistency</w:t>
      </w:r>
      <w:r w:rsidR="00A46C72">
        <w:rPr>
          <w:color w:val="000000" w:themeColor="text1"/>
        </w:rPr>
        <w:t xml:space="preserve"> (Figure 4.1F)</w:t>
      </w:r>
      <w:r>
        <w:rPr>
          <w:color w:val="000000" w:themeColor="text1"/>
        </w:rPr>
        <w:t xml:space="preserve">. </w:t>
      </w:r>
    </w:p>
    <w:p w14:paraId="1A5FB3C8" w14:textId="5E54DCEE" w:rsidR="00C1410F" w:rsidRDefault="00C1410F" w:rsidP="00C1410F">
      <w:pPr>
        <w:spacing w:line="480" w:lineRule="auto"/>
        <w:ind w:firstLine="720"/>
        <w:rPr>
          <w:color w:val="000000" w:themeColor="text1"/>
        </w:rPr>
      </w:pPr>
      <w:r>
        <w:rPr>
          <w:color w:val="000000" w:themeColor="text1"/>
        </w:rPr>
        <w:t xml:space="preserve">Inflammation plays an important role in CA-CRC by creating a favorable environment that stimulates oncogenic pathways, favors the survival of tumor-initiating cells, promotes tumor growth, and influences metastasis </w:t>
      </w:r>
      <w:r>
        <w:rPr>
          <w:color w:val="000000" w:themeColor="text1"/>
        </w:rPr>
        <w:fldChar w:fldCharType="begin" w:fldLock="1"/>
      </w:r>
      <w:r>
        <w:rPr>
          <w:color w:val="000000" w:themeColor="text1"/>
        </w:rPr>
        <w:instrText>ADDIN CSL_CITATION {"citationItems":[{"id":"ITEM-1","itemData":{"DOI":"10.1007/s00281-012-0352-6","ISSN":"18632297","PMID":"23161445","abstract":"Connection between inflammation and cancer is a rapidly developing field. Epidemiological data suggests that inflammation along with distinct arms of host immune system plays a very important role in the development and progression of many different cancers. Inflammatory bowel disease (IBD) is an important risk factor for the development of colon cancer, namely, colitis-associated cancer (CAC). The molecular mechanisms by which inflammation promotes cancer development are still being uncovered and may differ between CAC and other forms of colorectal cancer. Recent work has shed light on the role of distinct immune cells, cytokines, and other immune mediators in virtually all of the steps of colonic tumorigenesis, including tumor initiation and promotion as well as progression and metastasis. The close proximity of colonic tumors to the myriad of intestinal microbes, as well as instrumental role of microbiota in IBD, introduces microbes as new players capable of triggering inflammation and possibly promoting tumorigenesis. Various mechanisms of CAC tumorigenesis as well as new possible hints for the future approaches for prevention and therapy are discussed in this review. © 2012 Springer-Verlag Berlin Heidelberg.","author":[{"dropping-particle":"","family":"Grivennikov","given":"Sergei I.","non-dropping-particle":"","parse-names":false,"suffix":""}],"container-title":"Seminars in Immunopathology","id":"ITEM-1","issue":"2","issued":{"date-parts":[["2013","3","16"]]},"page":"229-244","publisher":"Springer","title":"Inflammation and colorectal cancer: Colitis-associated neoplasia","type":"article","volume":"35"},"uris":["http://www.mendeley.com/documents/?uuid=702a2670-62b9-3a7c-be22-b3fbe2ebefb4"]}],"mendeley":{"formattedCitation":"[38]","plainTextFormattedCitation":"[38]","previouslyFormattedCitation":"[193]"},"properties":{"noteIndex":0},"schema":"https://github.com/citation-style-language/schema/raw/master/csl-citation.json"}</w:instrText>
      </w:r>
      <w:r>
        <w:rPr>
          <w:color w:val="000000" w:themeColor="text1"/>
        </w:rPr>
        <w:fldChar w:fldCharType="separate"/>
      </w:r>
      <w:r w:rsidRPr="006F7BF5">
        <w:rPr>
          <w:noProof/>
          <w:color w:val="000000" w:themeColor="text1"/>
        </w:rPr>
        <w:t>[38]</w:t>
      </w:r>
      <w:r>
        <w:rPr>
          <w:color w:val="000000" w:themeColor="text1"/>
        </w:rPr>
        <w:fldChar w:fldCharType="end"/>
      </w:r>
      <w:r>
        <w:rPr>
          <w:color w:val="000000" w:themeColor="text1"/>
        </w:rPr>
        <w:t xml:space="preserve">. It is believed that inflammatory cells, via reactive oxygen species and nitrogen reactive intermediates, create a highly reactive and mutagenic environment </w:t>
      </w:r>
      <w:r>
        <w:rPr>
          <w:color w:val="000000" w:themeColor="text1"/>
        </w:rPr>
        <w:fldChar w:fldCharType="begin" w:fldLock="1"/>
      </w:r>
      <w:r>
        <w:rPr>
          <w:color w:val="000000" w:themeColor="text1"/>
        </w:rPr>
        <w:instrText>ADDIN CSL_CITATION {"citationItems":[{"id":"ITEM-1","itemData":{"DOI":"10.1007/s00281-012-0352-6","ISSN":"18632297","PMID":"23161445","abstract":"Connection between inflammation and cancer is a rapidly developing field. Epidemiological data suggests that inflammation along with distinct arms of host immune system plays a very important role in the development and progression of many different cancers. Inflammatory bowel disease (IBD) is an important risk factor for the development of colon cancer, namely, colitis-associated cancer (CAC). The molecular mechanisms by which inflammation promotes cancer development are still being uncovered and may differ between CAC and other forms of colorectal cancer. Recent work has shed light on the role of distinct immune cells, cytokines, and other immune mediators in virtually all of the steps of colonic tumorigenesis, including tumor initiation and promotion as well as progression and metastasis. The close proximity of colonic tumors to the myriad of intestinal microbes, as well as instrumental role of microbiota in IBD, introduces microbes as new players capable of triggering inflammation and possibly promoting tumorigenesis. Various mechanisms of CAC tumorigenesis as well as new possible hints for the future approaches for prevention and therapy are discussed in this review. © 2012 Springer-Verlag Berlin Heidelberg.","author":[{"dropping-particle":"","family":"Grivennikov","given":"Sergei I.","non-dropping-particle":"","parse-names":false,"suffix":""}],"container-title":"Seminars in Immunopathology","id":"ITEM-1","issue":"2","issued":{"date-parts":[["2013","3","16"]]},"page":"229-244","publisher":"Springer","title":"Inflammation and colorectal cancer: Colitis-associated neoplasia","type":"article","volume":"35"},"uris":["http://www.mendeley.com/documents/?uuid=702a2670-62b9-3a7c-be22-b3fbe2ebefb4"]}],"mendeley":{"formattedCitation":"[38]","plainTextFormattedCitation":"[38]","previouslyFormattedCitation":"[193]"},"properties":{"noteIndex":0},"schema":"https://github.com/citation-style-language/schema/raw/master/csl-citation.json"}</w:instrText>
      </w:r>
      <w:r>
        <w:rPr>
          <w:color w:val="000000" w:themeColor="text1"/>
        </w:rPr>
        <w:fldChar w:fldCharType="separate"/>
      </w:r>
      <w:r w:rsidRPr="006F7BF5">
        <w:rPr>
          <w:noProof/>
          <w:color w:val="000000" w:themeColor="text1"/>
        </w:rPr>
        <w:t>[38]</w:t>
      </w:r>
      <w:r>
        <w:rPr>
          <w:color w:val="000000" w:themeColor="text1"/>
        </w:rPr>
        <w:fldChar w:fldCharType="end"/>
      </w:r>
      <w:r>
        <w:rPr>
          <w:color w:val="000000" w:themeColor="text1"/>
        </w:rPr>
        <w:t xml:space="preserve">. Simultaneously, the resistance to cell death mediated by pro-inflammatory pathways increases the chance of survival of mutation-bearing cells. Thus, the wound-healing-regeneration response promotes the proliferation of mutant cells, giving place to tumor formation. Local repetitive injury and chronic inflammation, not only facilitate tumorigenesis but also contributes to tumor progression </w:t>
      </w:r>
      <w:r>
        <w:rPr>
          <w:color w:val="000000" w:themeColor="text1"/>
        </w:rPr>
        <w:fldChar w:fldCharType="begin" w:fldLock="1"/>
      </w:r>
      <w:r>
        <w:rPr>
          <w:color w:val="000000" w:themeColor="text1"/>
        </w:rPr>
        <w:instrText>ADDIN CSL_CITATION {"citationItems":[{"id":"ITEM-1","itemData":{"DOI":"10.1007/s00281-012-0352-6","ISSN":"18632297","PMID":"23161445","abstract":"Connection between inflammation and cancer is a rapidly developing field. Epidemiological data suggests that inflammation along with distinct arms of host immune system plays a very important role in the development and progression of many different cancers. Inflammatory bowel disease (IBD) is an important risk factor for the development of colon cancer, namely, colitis-associated cancer (CAC). The molecular mechanisms by which inflammation promotes cancer development are still being uncovered and may differ between CAC and other forms of colorectal cancer. Recent work has shed light on the role of distinct immune cells, cytokines, and other immune mediators in virtually all of the steps of colonic tumorigenesis, including tumor initiation and promotion as well as progression and metastasis. The close proximity of colonic tumors to the myriad of intestinal microbes, as well as instrumental role of microbiota in IBD, introduces microbes as new players capable of triggering inflammation and possibly promoting tumorigenesis. Various mechanisms of CAC tumorigenesis as well as new possible hints for the future approaches for prevention and therapy are discussed in this review. © 2012 Springer-Verlag Berlin Heidelberg.","author":[{"dropping-particle":"","family":"Grivennikov","given":"Sergei I.","non-dropping-particle":"","parse-names":false,"suffix":""}],"container-title":"Seminars in Immunopathology","id":"ITEM-1","issue":"2","issued":{"date-parts":[["2013","3","16"]]},"page":"229-244","publisher":"Springer","title":"Inflammation and colorectal cancer: Colitis-associated neoplasia","type":"article","volume":"35"},"uris":["http://www.mendeley.com/documents/?uuid=702a2670-62b9-3a7c-be22-b3fbe2ebefb4"]}],"mendeley":{"formattedCitation":"[38]","plainTextFormattedCitation":"[38]","previouslyFormattedCitation":"[193]"},"properties":{"noteIndex":0},"schema":"https://github.com/citation-style-language/schema/raw/master/csl-citation.json"}</w:instrText>
      </w:r>
      <w:r>
        <w:rPr>
          <w:color w:val="000000" w:themeColor="text1"/>
        </w:rPr>
        <w:fldChar w:fldCharType="separate"/>
      </w:r>
      <w:r w:rsidRPr="006F7BF5">
        <w:rPr>
          <w:noProof/>
          <w:color w:val="000000" w:themeColor="text1"/>
        </w:rPr>
        <w:t>[38]</w:t>
      </w:r>
      <w:r>
        <w:rPr>
          <w:color w:val="000000" w:themeColor="text1"/>
        </w:rPr>
        <w:fldChar w:fldCharType="end"/>
      </w:r>
      <w:r>
        <w:rPr>
          <w:color w:val="000000" w:themeColor="text1"/>
        </w:rPr>
        <w:t>. In this study, histological observations of normal epithelium overlying areas with mixed inflammation and crypt loss suggested mucosal healing of previous ulcerative injuries created during the flare</w:t>
      </w:r>
      <w:r w:rsidR="00A46C72">
        <w:rPr>
          <w:color w:val="000000" w:themeColor="text1"/>
        </w:rPr>
        <w:t xml:space="preserve"> (Figure 4.3C)</w:t>
      </w:r>
      <w:r>
        <w:rPr>
          <w:color w:val="000000" w:themeColor="text1"/>
        </w:rPr>
        <w:t xml:space="preserve">. The prolonged period of recovery after the last DSS cycle allowed for local mucosal repair and resolution </w:t>
      </w:r>
      <w:r>
        <w:rPr>
          <w:color w:val="000000" w:themeColor="text1"/>
        </w:rPr>
        <w:lastRenderedPageBreak/>
        <w:t>of acute inflammation by the end of the experiment, explaining the lack of significant differences between the two groups in the average colonic levels of the pro-inflammatory mediators TNF-α and IL-1β</w:t>
      </w:r>
      <w:r w:rsidR="00A46C72">
        <w:rPr>
          <w:color w:val="000000" w:themeColor="text1"/>
        </w:rPr>
        <w:t xml:space="preserve"> (Figure 4.5)</w:t>
      </w:r>
      <w:r>
        <w:rPr>
          <w:color w:val="000000" w:themeColor="text1"/>
        </w:rPr>
        <w:t xml:space="preserve">. However, it is known that during active inflammatory flares these pro-inflammatory signals are highly expressed by resident and infiltrating immune cells </w:t>
      </w:r>
      <w:r>
        <w:rPr>
          <w:color w:val="000000" w:themeColor="text1"/>
        </w:rPr>
        <w:fldChar w:fldCharType="begin" w:fldLock="1"/>
      </w:r>
      <w:r>
        <w:rPr>
          <w:color w:val="000000" w:themeColor="text1"/>
        </w:rPr>
        <w:instrText>ADDIN CSL_CITATION {"citationItems":[{"id":"ITEM-1","itemData":{"DOI":"10.3748/wjg.14.4280","ISSN":"10079327","PMID":"18666314","abstract":"Inflammatory bowel disease (IBD), which includes Crohn's disease (CD) and ulcerative colitis (UC), represents a group of chronic disorders characterized by inflammation of the gastrointestinal tract, typically with a relapsing and remitting clinical course. Mucosal macrophages play an important role in the mucosal immune system, and an increase in the number of newly recruited monocytes and activated macrophages has been noted in the inflamed gut of patients with IBD. Activated macrophages are thought to be major contributors to the production of inflammatory cytokines in the gut, and imbalance of cytokines is contributing to the pathogenesis of IBD. The intestinal inflammation in IBD is controlled by a complex interplay of innate and adaptive immune mechanisms. Cytokines play a key role in IBD that determine T cell differentiation of Th1, Th2, T regulatory and newly described Th17 cells. Cytokines levels in time and space orchestrate the development, recurrence and exacerbation of the inflammatory process in IBD. Therefore, several cytokine therapies have been developed and tested for the treatment of IBD patients. © 2008 The WJG Press. All rights reserved.","author":[{"dropping-particle":"","family":"Sanchez-Muñoz","given":"Fausto","non-dropping-particle":"","parse-names":false,"suffix":""},{"dropping-particle":"","family":"Dominguez-Lopez","given":"Aaron","non-dropping-particle":"","parse-names":false,"suffix":""},{"dropping-particle":"","family":"Yamamoto-Furusho","given":"Jesus K.","non-dropping-particle":"","parse-names":false,"suffix":""}],"container-title":"World Journal of Gastroenterology","id":"ITEM-1","issue":"27","issued":{"date-parts":[["2008","7","21"]]},"page":"4280-4288","publisher":"Baishideng Publishing Group Inc","title":"Role of cytokines in inflammatory bowel disease","type":"article","volume":"14"},"uris":["http://www.mendeley.com/documents/?uuid=6351940b-5020-369a-a060-6f93ce687bef"]}],"mendeley":{"formattedCitation":"[11]","plainTextFormattedCitation":"[11]","previouslyFormattedCitation":"[44]"},"properties":{"noteIndex":0},"schema":"https://github.com/citation-style-language/schema/raw/master/csl-citation.json"}</w:instrText>
      </w:r>
      <w:r>
        <w:rPr>
          <w:color w:val="000000" w:themeColor="text1"/>
        </w:rPr>
        <w:fldChar w:fldCharType="separate"/>
      </w:r>
      <w:r w:rsidRPr="006F7BF5">
        <w:rPr>
          <w:noProof/>
          <w:color w:val="000000" w:themeColor="text1"/>
        </w:rPr>
        <w:t>[11]</w:t>
      </w:r>
      <w:r>
        <w:rPr>
          <w:color w:val="000000" w:themeColor="text1"/>
        </w:rPr>
        <w:fldChar w:fldCharType="end"/>
      </w:r>
      <w:r>
        <w:rPr>
          <w:color w:val="000000" w:themeColor="text1"/>
        </w:rPr>
        <w:t xml:space="preserve">. The effect of lunasin over pro-inflammatory signals has been studied and demonstrated </w:t>
      </w:r>
      <w:r>
        <w:rPr>
          <w:i/>
          <w:iCs/>
          <w:color w:val="000000" w:themeColor="text1"/>
        </w:rPr>
        <w:t xml:space="preserve">in vitro </w:t>
      </w:r>
      <w:r>
        <w:rPr>
          <w:i/>
          <w:iCs/>
          <w:color w:val="000000" w:themeColor="text1"/>
        </w:rPr>
        <w:fldChar w:fldCharType="begin" w:fldLock="1"/>
      </w:r>
      <w:r>
        <w:rPr>
          <w:i/>
          <w:iCs/>
          <w:color w:val="000000" w:themeColor="text1"/>
        </w:rPr>
        <w:instrText>ADDIN CSL_CITATION {"citationItems":[{"id":"ITEM-1","itemData":{"DOI":"10.1016/j.foodres.2018.12.029","ISSN":"18737145","abstract":"Non-communicable diseases have become the medical challenge of the 21st century because of their high incidence and mortality rates. Accumulating evidence has suggested that the modulation of diet and other lifestyle habits is the best strategy for the prevention of these diseases. An increasing number of dietary compounds have been found to exert health promoting benefits beyond their nutritional effects. Among them, lunasin is considered one of the most studied bioactive peptides. Since its discovery in soybean twenty years ago, many researchers around the world have focused their studies on demonstrating the chemopreventive and chemotherapeutic activity of lunasin. Moreover, in the last years, promising protective effects of this peptide against hypercholesterolemia, obesity, metabolic syndrome and associated cardiovascular disorders, and inflammatory and immune-regulated diseases have been described. This review summarizes recent remarkable advances on the use of peptide lunasin as a potential functional ingredient to provide health benefits. Moreover, novel aspects related to the influence of lunasin's digestion and bioavailability, the mechanisms of action proposed to explain the underlying biological properties, and the incorporation of this peptide into nutritional supplements are critically discussed.","author":[{"dropping-particle":"","family":"Fernández-Tomé","given":"Samuel","non-dropping-particle":"","parse-names":false,"suffix":""},{"dropping-particle":"","family":"Hernández-Ledesma","given":"Blanca","non-dropping-particle":"","parse-names":false,"suffix":""}],"container-title":"Food Research International","id":"ITEM-1","issued":{"date-parts":[["2019"]]},"page":"71-78","publisher":"Elsevier Ltd","title":"Current state of art after twenty years of the discovery of bioactive peptide lunasin","type":"article","volume":"116"},"uris":["http://www.mendeley.com/documents/?uuid=28a91601-fb3a-3c60-91ff-6497604da759"]}],"mendeley":{"formattedCitation":"[14]","plainTextFormattedCitation":"[14]","previouslyFormattedCitation":"[57]"},"properties":{"noteIndex":0},"schema":"https://github.com/citation-style-language/schema/raw/master/csl-citation.json"}</w:instrText>
      </w:r>
      <w:r>
        <w:rPr>
          <w:i/>
          <w:iCs/>
          <w:color w:val="000000" w:themeColor="text1"/>
        </w:rPr>
        <w:fldChar w:fldCharType="separate"/>
      </w:r>
      <w:r w:rsidRPr="006F7BF5">
        <w:rPr>
          <w:iCs/>
          <w:noProof/>
          <w:color w:val="000000" w:themeColor="text1"/>
        </w:rPr>
        <w:t>[14]</w:t>
      </w:r>
      <w:r>
        <w:rPr>
          <w:i/>
          <w:iCs/>
          <w:color w:val="000000" w:themeColor="text1"/>
        </w:rPr>
        <w:fldChar w:fldCharType="end"/>
      </w:r>
      <w:r>
        <w:rPr>
          <w:color w:val="000000" w:themeColor="text1"/>
        </w:rPr>
        <w:t xml:space="preserve">. </w:t>
      </w:r>
      <w:r w:rsidR="00FA63D8">
        <w:rPr>
          <w:color w:val="000000" w:themeColor="text1"/>
        </w:rPr>
        <w:t>In chapter 3 it was demonstrated</w:t>
      </w:r>
      <w:r>
        <w:rPr>
          <w:color w:val="000000" w:themeColor="text1"/>
        </w:rPr>
        <w:t xml:space="preserve"> that oral administration of lunasin significantly decreased TNF-α and IL-1β in the colon </w:t>
      </w:r>
      <w:r w:rsidR="00FA63D8">
        <w:rPr>
          <w:color w:val="000000" w:themeColor="text1"/>
        </w:rPr>
        <w:t>of</w:t>
      </w:r>
      <w:r>
        <w:rPr>
          <w:color w:val="000000" w:themeColor="text1"/>
        </w:rPr>
        <w:t xml:space="preserve"> an </w:t>
      </w:r>
      <w:r>
        <w:rPr>
          <w:i/>
          <w:iCs/>
          <w:color w:val="000000" w:themeColor="text1"/>
        </w:rPr>
        <w:t>in vivo</w:t>
      </w:r>
      <w:r>
        <w:rPr>
          <w:color w:val="000000" w:themeColor="text1"/>
        </w:rPr>
        <w:t xml:space="preserve"> model of spontaneous colitis</w:t>
      </w:r>
      <w:r w:rsidR="00CE6AE5">
        <w:rPr>
          <w:color w:val="000000" w:themeColor="text1"/>
        </w:rPr>
        <w:t xml:space="preserve"> (Figure 3.2)</w:t>
      </w:r>
      <w:r>
        <w:rPr>
          <w:color w:val="000000" w:themeColor="text1"/>
        </w:rPr>
        <w:t>, suggesting that lunasin can exert anti-inflammatory activity in the bowel. Hence, it is reasonable to speculate that during the active flares lunasin could have attenuated to some extent the storm of pro-inflammatory cytokines in the colon, at least by reducing the presence of infiltrating immune cells, as observed in the tissues and corroborated by MPO activity trend</w:t>
      </w:r>
      <w:r w:rsidR="00A46C72">
        <w:rPr>
          <w:color w:val="000000" w:themeColor="text1"/>
        </w:rPr>
        <w:t xml:space="preserve"> (Figure 4.3)</w:t>
      </w:r>
      <w:r>
        <w:rPr>
          <w:color w:val="000000" w:themeColor="text1"/>
        </w:rPr>
        <w:t>. The high tumor multiplicity generated by the AOM/DSS treatment was significantly abrogated by lunasin</w:t>
      </w:r>
      <w:r w:rsidR="00A46C72">
        <w:rPr>
          <w:color w:val="000000" w:themeColor="text1"/>
        </w:rPr>
        <w:t xml:space="preserve"> (Figure 4.4B</w:t>
      </w:r>
      <w:r w:rsidR="005266D3">
        <w:rPr>
          <w:color w:val="000000" w:themeColor="text1"/>
        </w:rPr>
        <w:t>) and</w:t>
      </w:r>
      <w:r>
        <w:rPr>
          <w:color w:val="000000" w:themeColor="text1"/>
        </w:rPr>
        <w:t xml:space="preserve"> accompanied by a 70% decrease in the serum levels of TNF-α</w:t>
      </w:r>
      <w:r w:rsidR="00A46C72">
        <w:rPr>
          <w:color w:val="000000" w:themeColor="text1"/>
        </w:rPr>
        <w:t xml:space="preserve"> (Figure 4.5B)</w:t>
      </w:r>
      <w:r>
        <w:rPr>
          <w:color w:val="000000" w:themeColor="text1"/>
        </w:rPr>
        <w:t>. It is possible that the effect observed over tumor incidence and burden was mediated, at least partially, by the anti-inflammatory properties of lunasin. It is worth pointing out that</w:t>
      </w:r>
      <w:r w:rsidR="002A02F7">
        <w:rPr>
          <w:color w:val="000000" w:themeColor="text1"/>
        </w:rPr>
        <w:t>,</w:t>
      </w:r>
      <w:r>
        <w:rPr>
          <w:color w:val="000000" w:themeColor="text1"/>
        </w:rPr>
        <w:t xml:space="preserve"> although no differences were found in average colonic levels of TNF-α, mice with detected carcinoma exhibited 2-fold increased concentration in comparison to their group peers, suggesting the potential involvement of this cytokine and inflammation in the carcinogenic process. Cell cycle arrest at the G2/M phase </w:t>
      </w:r>
      <w:r>
        <w:rPr>
          <w:color w:val="000000" w:themeColor="text1"/>
        </w:rPr>
        <w:lastRenderedPageBreak/>
        <w:t xml:space="preserve">and induction of caspase-3 -mediated apoptosis, via the upregulation of BAX and downregulation of BCL-2 </w:t>
      </w:r>
      <w:r>
        <w:rPr>
          <w:i/>
          <w:iCs/>
          <w:color w:val="000000" w:themeColor="text1"/>
        </w:rPr>
        <w:t>in vitro</w:t>
      </w:r>
      <w:r w:rsidR="00A665F0">
        <w:rPr>
          <w:color w:val="000000" w:themeColor="text1"/>
        </w:rPr>
        <w:t>,</w:t>
      </w:r>
      <w:r>
        <w:rPr>
          <w:color w:val="000000" w:themeColor="text1"/>
        </w:rPr>
        <w:t xml:space="preserve"> have been shown to reduce the proliferative potential of colorectal and mammary cancer cells treated with lunasin</w:t>
      </w:r>
      <w:r>
        <w:rPr>
          <w:i/>
          <w:iCs/>
          <w:color w:val="000000" w:themeColor="text1"/>
        </w:rPr>
        <w:t xml:space="preserve"> </w:t>
      </w:r>
      <w:r>
        <w:rPr>
          <w:i/>
          <w:iCs/>
          <w:color w:val="000000" w:themeColor="text1"/>
        </w:rPr>
        <w:fldChar w:fldCharType="begin" w:fldLock="1"/>
      </w:r>
      <w:r>
        <w:rPr>
          <w:i/>
          <w:iCs/>
          <w:color w:val="000000" w:themeColor="text1"/>
        </w:rPr>
        <w:instrText>ADDIN CSL_CITATION {"citationItems":[{"id":"ITEM-1","itemData":{"DOI":"10.1002/jsfa.8719","ISSN":"10970010","PMID":"28990666","abstract":"Chronic diseases have become the medical challenge of the 21st century because of their high incidence and mortality rates. Modulation of diet and lifestyle habits is considered as the best strategy for the prevention of these disorders. Health promoting benefits beyond their nutritional effects have been described for multiple dietary compounds. Among these compounds, the peptide lunasin is considered as one of the most promising. Naturally present in soybean, lunasin has been extensively studied in the last two decades because of its potential against chronic diseases such as cancer, cardiovascular and immunological disorders. The purpose of this article is to summarise the evidence on the presence of lunasin in soybean and derived foods, and its bioavailability once it is orally ingested. The protective and therapeutic effects of this peptide against cancer, oxidative stress, inflammation, and high cholesterol levels as well as the molecular mechanisms of action involved in these effects are also described in this review. © 2017 Society of Chemical Industry.","author":[{"dropping-particle":"","family":"Hsieh","given":"Chia Chien","non-dropping-particle":"","parse-names":false,"suffix":""},{"dropping-particle":"","family":"Martínez-Villaluenga","given":"Cristina","non-dropping-particle":"","parse-names":false,"suffix":""},{"dropping-particle":"","family":"Lumen","given":"Ben O.","non-dropping-particle":"de","parse-names":false,"suffix":""},{"dropping-particle":"","family":"Hernández-Ledesma","given":"Blanca","non-dropping-particle":"","parse-names":false,"suffix":""}],"container-title":"Journal of the Science of Food and Agriculture","id":"ITEM-1","issue":"6","issued":{"date-parts":[["2018"]]},"page":"2070-2079","title":"Updating the research on the chemopreventive and therapeutic role of the peptide lunasin","type":"article-journal","volume":"98"},"uris":["http://www.mendeley.com/documents/?uuid=43cbf670-6d8c-4843-bcf8-2b316f46d901"]}],"mendeley":{"formattedCitation":"[15]","plainTextFormattedCitation":"[15]","previouslyFormattedCitation":"[61]"},"properties":{"noteIndex":0},"schema":"https://github.com/citation-style-language/schema/raw/master/csl-citation.json"}</w:instrText>
      </w:r>
      <w:r>
        <w:rPr>
          <w:i/>
          <w:iCs/>
          <w:color w:val="000000" w:themeColor="text1"/>
        </w:rPr>
        <w:fldChar w:fldCharType="separate"/>
      </w:r>
      <w:r w:rsidRPr="006F7BF5">
        <w:rPr>
          <w:iCs/>
          <w:noProof/>
          <w:color w:val="000000" w:themeColor="text1"/>
        </w:rPr>
        <w:t>[15]</w:t>
      </w:r>
      <w:r>
        <w:rPr>
          <w:i/>
          <w:iCs/>
          <w:color w:val="000000" w:themeColor="text1"/>
        </w:rPr>
        <w:fldChar w:fldCharType="end"/>
      </w:r>
      <w:r>
        <w:rPr>
          <w:i/>
          <w:iCs/>
          <w:color w:val="000000" w:themeColor="text1"/>
        </w:rPr>
        <w:t xml:space="preserve">. </w:t>
      </w:r>
      <w:r>
        <w:rPr>
          <w:color w:val="000000" w:themeColor="text1"/>
        </w:rPr>
        <w:t xml:space="preserve">However, intraperitoneal injection of lunasin in a model of metastatic colorectal cancer significantly reduced metastasis to the liver with no significant effect over the pro-apoptotic markers </w:t>
      </w:r>
      <w:r>
        <w:rPr>
          <w:color w:val="000000" w:themeColor="text1"/>
        </w:rPr>
        <w:fldChar w:fldCharType="begin" w:fldLock="1"/>
      </w:r>
      <w:r>
        <w:rPr>
          <w:color w:val="000000" w:themeColor="text1"/>
        </w:rPr>
        <w:instrText>ADDIN CSL_CITATION {"citationItems":[{"id":"ITEM-1","itemData":{"DOI":"10.1016/j.canlet.2011.09.002","ISSN":"03043835","PMID":"21963225","abstract":"The effect of lunasin on colon cancer metastasis was studied using three human colon cancer cell lines in vitro and a liver metastasis model of colon cancer in vivo. Lunasin bound with α 5β 1 integrin and internalized into the nucleus of KM12L4 human colon cancer cells. Lunasin (10μM) inhibited the activation of focal adhesion kinase (FAK) by 28%, 39% and 60% in RKO, HCT-116 and KM12L4 human colon cancer cells, respectively. Lunasin caused an increase in the expression of the inhibitor of kappa B alpha (IκB-α), a decrease in nuclear p50 NF-κB and a reduction in the migration of cancer cells. Lunasin (4mg/kg bw) inhibited metastasis and potentiated the effect of oxaliplatin by reducing the expression of proliferating cell nuclear antigen. Liver metastatic nodules were reduced from 28 (PBS) to 14 (lunasin, P=0.047) while combination of lunasin and oxaliplatin to 5 (P=0.004). The tumor burden was reduced from 0.13 (PBS) to 0.10 (lunasin, P=0.039) to 0.04 (lunasin+oxaliplatin, P&lt;0.0001). Moreover, lunasin potentiated the effect of oxaliplatin in modifying expression of proteins involved in apoptosis and metastasis including Bax, Bcl-2, IKK-α and p-p65. Lunasin inhibited metastasis of human colon cancer cells by direct binding with α 5β 1 integrin suppressing FAK/ERK/NF-κB signaling, and potentiated the effect of oxaliplatin in preventing the outgrowth of metastasis. © 2011 Elsevier Ireland Ltd.","author":[{"dropping-particle":"","family":"Dia","given":"Vermont P.","non-dropping-particle":"","parse-names":false,"suffix":""},{"dropping-particle":"","family":"Gonzalez de Mejia","given":"Elvira","non-dropping-particle":"","parse-names":false,"suffix":""}],"container-title":"Cancer Letters","id":"ITEM-1","issue":"2","issued":{"date-parts":[["2011","12","27"]]},"page":"167-180","publisher":"Elsevier","title":"Lunasin potentiates the effect of oxaliplatin preventing outgrowth of colon cancer metastasis, binds to α 5β 1 integrin and suppresses FAK/ERK/NF-κB signaling","type":"article-journal","volume":"313"},"uris":["http://www.mendeley.com/documents/?uuid=71d1b443-faab-3d4f-b6fd-77f2a2e08952"]}],"mendeley":{"formattedCitation":"[39]","plainTextFormattedCitation":"[39]","previouslyFormattedCitation":"[109]"},"properties":{"noteIndex":0},"schema":"https://github.com/citation-style-language/schema/raw/master/csl-citation.json"}</w:instrText>
      </w:r>
      <w:r>
        <w:rPr>
          <w:color w:val="000000" w:themeColor="text1"/>
        </w:rPr>
        <w:fldChar w:fldCharType="separate"/>
      </w:r>
      <w:r w:rsidRPr="006F7BF5">
        <w:rPr>
          <w:noProof/>
          <w:color w:val="000000" w:themeColor="text1"/>
        </w:rPr>
        <w:t>[39]</w:t>
      </w:r>
      <w:r>
        <w:rPr>
          <w:color w:val="000000" w:themeColor="text1"/>
        </w:rPr>
        <w:fldChar w:fldCharType="end"/>
      </w:r>
      <w:r>
        <w:rPr>
          <w:color w:val="000000" w:themeColor="text1"/>
        </w:rPr>
        <w:t xml:space="preserve">, which is consistent with our observations in the </w:t>
      </w:r>
      <w:r w:rsidR="0019498D">
        <w:rPr>
          <w:color w:val="000000" w:themeColor="text1"/>
        </w:rPr>
        <w:t xml:space="preserve">protein levels </w:t>
      </w:r>
      <w:r>
        <w:rPr>
          <w:color w:val="000000" w:themeColor="text1"/>
        </w:rPr>
        <w:t>of BAX and caspase-3 in the colon</w:t>
      </w:r>
      <w:r w:rsidR="00A46C72">
        <w:rPr>
          <w:color w:val="000000" w:themeColor="text1"/>
        </w:rPr>
        <w:t xml:space="preserve"> (Figure 4.6)</w:t>
      </w:r>
      <w:r>
        <w:rPr>
          <w:color w:val="000000" w:themeColor="text1"/>
        </w:rPr>
        <w:t xml:space="preserve">. In addition to its involvement in apoptosis, XIAP plays an important role in the regulation of intestinal immunity and inflammation in IBD </w:t>
      </w:r>
      <w:r>
        <w:rPr>
          <w:color w:val="000000" w:themeColor="text1"/>
        </w:rPr>
        <w:fldChar w:fldCharType="begin" w:fldLock="1"/>
      </w:r>
      <w:r>
        <w:rPr>
          <w:color w:val="000000" w:themeColor="text1"/>
        </w:rPr>
        <w:instrText>ADDIN CSL_CITATION {"citationItems":[{"id":"ITEM-1","itemData":{"DOI":"10.1016/j.molmed.2014.09.006","ISSN":"1471499X","PMID":"25282548","abstract":"The inhibitor of apoptosis (IAP) family members, notably cIAP1, cIAP2, and XIAP, are critical and universal regulators of tumor necrosis factor (TNF) mediated survival, inflammatory, and death signaling pathways. Furthermore, IAPs mediate the signaling of nucleotide-binding oligomerization domain (NOD)1/NOD2 and other intracellular NOD-like receptors in response to bacterial pathogens. These pathways are important to the pathogenesis and treatment of inflammatory bowel disease (IBD). Inactivating mutations in the X-chromosome-linked IAP (. XIAP) gene causes an immunodeficiency syndrome, X-linked lymphoproliferative disease type 2 (XLP2), in which 20% of patients develop severe intestinal inflammation. In addition, 4% of males with early-onset IBD also have inactivating mutations in XIAP. Therefore, the IAPs play a greater role in gut homeostasis, immunity and IBD development than previously suspected, and may have therapeutic potential.","author":[{"dropping-particle":"","family":"Pedersen","given":"Jannie","non-dropping-particle":"","parse-names":false,"suffix":""},{"dropping-particle":"","family":"LaCasse","given":"Eric C.","non-dropping-particle":"","parse-names":false,"suffix":""},{"dropping-particle":"","family":"Seidelin","given":"Jakob B.","non-dropping-particle":"","parse-names":false,"suffix":""},{"dropping-particle":"","family":"Coskun","given":"Mehmet","non-dropping-particle":"","parse-names":false,"suffix":""},{"dropping-particle":"","family":"Nielsen","given":"Ole H.","non-dropping-particle":"","parse-names":false,"suffix":""}],"container-title":"Trends in Molecular Medicine","id":"ITEM-1","issue":"11","issued":{"date-parts":[["2014","11","1"]]},"page":"652-665","publisher":"Elsevier Ltd","title":"Inhibitors of apoptosis (IAPs) regulate intestinal immunity and inflammatory bowel disease (IBD) inflammation","type":"article","volume":"20"},"uris":["http://www.mendeley.com/documents/?uuid=ee6c7b3a-1aad-35b8-8fd9-e58452adcc45"]}],"mendeley":{"formattedCitation":"[40]","plainTextFormattedCitation":"[40]","previouslyFormattedCitation":"[196]"},"properties":{"noteIndex":0},"schema":"https://github.com/citation-style-language/schema/raw/master/csl-citation.json"}</w:instrText>
      </w:r>
      <w:r>
        <w:rPr>
          <w:color w:val="000000" w:themeColor="text1"/>
        </w:rPr>
        <w:fldChar w:fldCharType="separate"/>
      </w:r>
      <w:r w:rsidRPr="006F7BF5">
        <w:rPr>
          <w:noProof/>
          <w:color w:val="000000" w:themeColor="text1"/>
        </w:rPr>
        <w:t>[40]</w:t>
      </w:r>
      <w:r>
        <w:rPr>
          <w:color w:val="000000" w:themeColor="text1"/>
        </w:rPr>
        <w:fldChar w:fldCharType="end"/>
      </w:r>
      <w:r>
        <w:rPr>
          <w:color w:val="000000" w:themeColor="text1"/>
        </w:rPr>
        <w:t xml:space="preserve">. XIAP deficiency has been reported to cause a very early onset of intractable colitis </w:t>
      </w:r>
      <w:r>
        <w:rPr>
          <w:color w:val="000000" w:themeColor="text1"/>
        </w:rPr>
        <w:fldChar w:fldCharType="begin" w:fldLock="1"/>
      </w:r>
      <w:r>
        <w:rPr>
          <w:color w:val="000000" w:themeColor="text1"/>
        </w:rPr>
        <w:instrText>ADDIN CSL_CITATION {"citationItems":[{"id":"ITEM-1","itemData":{"DOI":"10.1186/s12887-015-0522-5","ISSN":"14712431","PMID":"26671016","abstract":"Background: Aggressive course and resistance to treatments usually characterize very early onset inflammatory bowel disease (VEO-IBD). Some VEO-IBD cases are due to monogenic immune defects and can benefit from hematopoietic stem cell transplantation (HSCT). Case presentation: We describe a Caucasian male baby who presented in the first months of life macrophage activation syndrome, followed by intractable colitis, recurrent episodes of fever and mild splenomegaly. After several immunological, genetic and clinical investigations, subsequently a therapeutic attempt with colectomy, analysis of VEO-IBD-associated genes, revealed a causative mutation in XIAP. The genetic diagnosis of a primary immune deficiency allowed curing the boy with hematopoietic stem cell transplantation. Conclusion: Our report, together with novel findings from recent literature, should contribute to increase awareness of monogenic immune defects as a cause of VEO-IBD. Comprehensive genetic analysis can allow a prompt diagnosis, resulting in the choice of effective treatments and sparing useless and damaging procedures.","author":[{"dropping-particle":"","family":"Girardelli","given":"Martina","non-dropping-particle":"","parse-names":false,"suffix":""},{"dropping-particle":"","family":"Arrigo","given":"Serena","non-dropping-particle":"","parse-names":false,"suffix":""},{"dropping-particle":"","family":"Barabino","given":"Arrigo","non-dropping-particle":"","parse-names":false,"suffix":""},{"dropping-particle":"","family":"Loganes","given":"Claudia","non-dropping-particle":"","parse-names":false,"suffix":""},{"dropping-particle":"","family":"Morreale","given":"Giuseppe","non-dropping-particle":"","parse-names":false,"suffix":""},{"dropping-particle":"","family":"Crovella","given":"Sergio","non-dropping-particle":"","parse-names":false,"suffix":""},{"dropping-particle":"","family":"Tommasini","given":"Alberto","non-dropping-particle":"","parse-names":false,"suffix":""},{"dropping-particle":"","family":"Bianco","given":"Anna Monica","non-dropping-particle":"","parse-names":false,"suffix":""}],"container-title":"BMC Pediatrics","id":"ITEM-1","issue":"1","issued":{"date-parts":[["2015","12","15"]]},"page":"1-7","publisher":"BioMed Central Ltd.","title":"The diagnostic challenge of very early-onset enterocolitis in an infant with XIAP deficiency","type":"article-journal","volume":"15"},"uris":["http://www.mendeley.com/documents/?uuid=023df8f6-b698-3678-804f-0f33ced11ca2"]}],"mendeley":{"formattedCitation":"[41]","plainTextFormattedCitation":"[41]","previouslyFormattedCitation":"[20]"},"properties":{"noteIndex":0},"schema":"https://github.com/citation-style-language/schema/raw/master/csl-citation.json"}</w:instrText>
      </w:r>
      <w:r>
        <w:rPr>
          <w:color w:val="000000" w:themeColor="text1"/>
        </w:rPr>
        <w:fldChar w:fldCharType="separate"/>
      </w:r>
      <w:r w:rsidRPr="006F7BF5">
        <w:rPr>
          <w:noProof/>
          <w:color w:val="000000" w:themeColor="text1"/>
        </w:rPr>
        <w:t>[41]</w:t>
      </w:r>
      <w:r>
        <w:rPr>
          <w:color w:val="000000" w:themeColor="text1"/>
        </w:rPr>
        <w:fldChar w:fldCharType="end"/>
      </w:r>
      <w:r>
        <w:rPr>
          <w:color w:val="000000" w:themeColor="text1"/>
        </w:rPr>
        <w:t xml:space="preserve">. Then, it is possible that the increased </w:t>
      </w:r>
      <w:r w:rsidR="0019498D">
        <w:rPr>
          <w:color w:val="000000" w:themeColor="text1"/>
        </w:rPr>
        <w:t xml:space="preserve">levels </w:t>
      </w:r>
      <w:r>
        <w:rPr>
          <w:color w:val="000000" w:themeColor="text1"/>
        </w:rPr>
        <w:t xml:space="preserve">of this protein might have contributed to the observed favorable outcomes in mice with increased response to lunasin treatment. Further mechanistic investigation is necessary to establish the potential involvement of lunasin in the </w:t>
      </w:r>
      <w:r w:rsidR="0019498D">
        <w:rPr>
          <w:color w:val="000000" w:themeColor="text1"/>
        </w:rPr>
        <w:t xml:space="preserve">upregulation </w:t>
      </w:r>
      <w:r>
        <w:rPr>
          <w:color w:val="000000" w:themeColor="text1"/>
        </w:rPr>
        <w:t>of XIAP.</w:t>
      </w:r>
    </w:p>
    <w:p w14:paraId="37DAF73B" w14:textId="52E1AD7F" w:rsidR="00C1410F" w:rsidRDefault="00C1410F" w:rsidP="00C1410F">
      <w:pPr>
        <w:spacing w:line="480" w:lineRule="auto"/>
        <w:ind w:firstLine="720"/>
        <w:rPr>
          <w:color w:val="000000" w:themeColor="text1"/>
        </w:rPr>
      </w:pPr>
      <w:r>
        <w:rPr>
          <w:color w:val="000000" w:themeColor="text1"/>
        </w:rPr>
        <w:t xml:space="preserve">Enlargement of the spleen has been previously reported in DSS-induced UC </w:t>
      </w:r>
      <w:r>
        <w:rPr>
          <w:color w:val="000000" w:themeColor="text1"/>
        </w:rPr>
        <w:fldChar w:fldCharType="begin" w:fldLock="1"/>
      </w:r>
      <w:r>
        <w:rPr>
          <w:color w:val="000000" w:themeColor="text1"/>
        </w:rPr>
        <w:instrText>ADDIN CSL_CITATION {"citationItems":[{"id":"ITEM-1","itemData":{"DOI":"10.3892/mmr.2020.11672","ISSN":"17913004","PMID":"33179078","abstract":"curcumin has a therapeutic effect on ulcerative colitis, but the underlying mechanism has yet to be elucidated. The aim of the present study was to clarify the possible mechanisms. dextran sulfate sodium</w:instrText>
      </w:r>
      <w:r>
        <w:rPr>
          <w:rFonts w:ascii="Cambria Math" w:hAnsi="Cambria Math" w:cs="Cambria Math"/>
          <w:color w:val="000000" w:themeColor="text1"/>
        </w:rPr>
        <w:instrText>‑</w:instrText>
      </w:r>
      <w:r>
        <w:rPr>
          <w:color w:val="000000" w:themeColor="text1"/>
        </w:rPr>
        <w:instrText>induced colitis mice were treated with curcumin via gavage for 7 days. The effects of curcumin on disease activity index (dai) and pathological changes of colonic tissue in mice were determined. interleukin (il)</w:instrText>
      </w:r>
      <w:r>
        <w:rPr>
          <w:rFonts w:ascii="Cambria Math" w:hAnsi="Cambria Math" w:cs="Cambria Math"/>
          <w:color w:val="000000" w:themeColor="text1"/>
        </w:rPr>
        <w:instrText>‑</w:instrText>
      </w:r>
      <w:r>
        <w:rPr>
          <w:color w:val="000000" w:themeColor="text1"/>
        </w:rPr>
        <w:instrText>6, il</w:instrText>
      </w:r>
      <w:r>
        <w:rPr>
          <w:rFonts w:ascii="Cambria Math" w:hAnsi="Cambria Math" w:cs="Cambria Math"/>
          <w:color w:val="000000" w:themeColor="text1"/>
        </w:rPr>
        <w:instrText>‑</w:instrText>
      </w:r>
      <w:r>
        <w:rPr>
          <w:color w:val="000000" w:themeColor="text1"/>
        </w:rPr>
        <w:instrText>10, il</w:instrText>
      </w:r>
      <w:r>
        <w:rPr>
          <w:rFonts w:ascii="Cambria Math" w:hAnsi="Cambria Math" w:cs="Cambria Math"/>
          <w:color w:val="000000" w:themeColor="text1"/>
        </w:rPr>
        <w:instrText>‑</w:instrText>
      </w:r>
      <w:r>
        <w:rPr>
          <w:color w:val="000000" w:themeColor="text1"/>
        </w:rPr>
        <w:instrText>17 and il</w:instrText>
      </w:r>
      <w:r>
        <w:rPr>
          <w:rFonts w:ascii="Cambria Math" w:hAnsi="Cambria Math" w:cs="Cambria Math"/>
          <w:color w:val="000000" w:themeColor="text1"/>
        </w:rPr>
        <w:instrText>‑</w:instrText>
      </w:r>
      <w:r>
        <w:rPr>
          <w:color w:val="000000" w:themeColor="text1"/>
        </w:rPr>
        <w:instrText>23 expression levels were measured by eliSa. Flow cytometry was used to detect the ratio of mouse spleen regulatory T cells (Treg)/Th17 cells, and western blot</w:instrText>
      </w:r>
      <w:r>
        <w:rPr>
          <w:rFonts w:ascii="Cambria Math" w:hAnsi="Cambria Math" w:cs="Cambria Math"/>
          <w:color w:val="000000" w:themeColor="text1"/>
        </w:rPr>
        <w:instrText>‑</w:instrText>
      </w:r>
      <w:r>
        <w:rPr>
          <w:color w:val="000000" w:themeColor="text1"/>
        </w:rPr>
        <w:instrText xml:space="preserve"> ting was used to measure the nuclear protein hypoxia inducible factor (HiF)</w:instrText>
      </w:r>
      <w:r>
        <w:rPr>
          <w:rFonts w:ascii="Cambria Math" w:hAnsi="Cambria Math" w:cs="Cambria Math"/>
          <w:color w:val="000000" w:themeColor="text1"/>
        </w:rPr>
        <w:instrText>‑</w:instrText>
      </w:r>
      <w:r>
        <w:rPr>
          <w:color w:val="000000" w:themeColor="text1"/>
        </w:rPr>
        <w:instrText>1α level. The results demonstrated that curcumin can significantly reduce dai and spleen index scores and improve mucosal inflammation. Curcumin could also regulate the re</w:instrText>
      </w:r>
      <w:r>
        <w:rPr>
          <w:rFonts w:ascii="Cambria Math" w:hAnsi="Cambria Math" w:cs="Cambria Math"/>
          <w:color w:val="000000" w:themeColor="text1"/>
        </w:rPr>
        <w:instrText>‑</w:instrText>
      </w:r>
      <w:r>
        <w:rPr>
          <w:color w:val="000000" w:themeColor="text1"/>
        </w:rPr>
        <w:instrText>equilibration of Treg/Th17. il</w:instrText>
      </w:r>
      <w:r>
        <w:rPr>
          <w:rFonts w:ascii="Cambria Math" w:hAnsi="Cambria Math" w:cs="Cambria Math"/>
          <w:color w:val="000000" w:themeColor="text1"/>
        </w:rPr>
        <w:instrText>‑</w:instrText>
      </w:r>
      <w:r>
        <w:rPr>
          <w:color w:val="000000" w:themeColor="text1"/>
        </w:rPr>
        <w:instrText>10 level in the colon was significantly increased, while inflammatory cytokines IL</w:instrText>
      </w:r>
      <w:r>
        <w:rPr>
          <w:rFonts w:ascii="Cambria Math" w:hAnsi="Cambria Math" w:cs="Cambria Math"/>
          <w:color w:val="000000" w:themeColor="text1"/>
        </w:rPr>
        <w:instrText>‑</w:instrText>
      </w:r>
      <w:r>
        <w:rPr>
          <w:color w:val="000000" w:themeColor="text1"/>
        </w:rPr>
        <w:instrText>6, IL</w:instrText>
      </w:r>
      <w:r>
        <w:rPr>
          <w:rFonts w:ascii="Cambria Math" w:hAnsi="Cambria Math" w:cs="Cambria Math"/>
          <w:color w:val="000000" w:themeColor="text1"/>
        </w:rPr>
        <w:instrText>‑</w:instrText>
      </w:r>
      <w:r>
        <w:rPr>
          <w:color w:val="000000" w:themeColor="text1"/>
        </w:rPr>
        <w:instrText>17 and IL</w:instrText>
      </w:r>
      <w:r>
        <w:rPr>
          <w:rFonts w:ascii="Cambria Math" w:hAnsi="Cambria Math" w:cs="Cambria Math"/>
          <w:color w:val="000000" w:themeColor="text1"/>
        </w:rPr>
        <w:instrText>‑</w:instrText>
      </w:r>
      <w:r>
        <w:rPr>
          <w:color w:val="000000" w:themeColor="text1"/>
        </w:rPr>
        <w:instrText>23 were significantly reduced following curcumin treatment. No significant difference in HIF</w:instrText>
      </w:r>
      <w:r>
        <w:rPr>
          <w:rFonts w:ascii="Cambria Math" w:hAnsi="Cambria Math" w:cs="Cambria Math"/>
          <w:color w:val="000000" w:themeColor="text1"/>
        </w:rPr>
        <w:instrText>‑</w:instrText>
      </w:r>
      <w:r>
        <w:rPr>
          <w:color w:val="000000" w:themeColor="text1"/>
        </w:rPr>
        <w:instrText>1α was observed between the colitis and the curcumin group. it was concluded that oral administration of curcumin can effectively treat experimental colitis by regulating the re</w:instrText>
      </w:r>
      <w:r>
        <w:rPr>
          <w:rFonts w:ascii="Cambria Math" w:hAnsi="Cambria Math" w:cs="Cambria Math"/>
          <w:color w:val="000000" w:themeColor="text1"/>
        </w:rPr>
        <w:instrText>‑</w:instrText>
      </w:r>
      <w:r>
        <w:rPr>
          <w:color w:val="000000" w:themeColor="text1"/>
        </w:rPr>
        <w:instrText>equilibration of Treg/Th17 and that the regulatory mechanism may be closely related to the il</w:instrText>
      </w:r>
      <w:r>
        <w:rPr>
          <w:rFonts w:ascii="Cambria Math" w:hAnsi="Cambria Math" w:cs="Cambria Math"/>
          <w:color w:val="000000" w:themeColor="text1"/>
        </w:rPr>
        <w:instrText>‑</w:instrText>
      </w:r>
      <w:r>
        <w:rPr>
          <w:color w:val="000000" w:themeColor="text1"/>
        </w:rPr>
        <w:instrText>23/Th17 pathway. The results of the present study provided molecular insight into the mechanism by which curcumin treats ulcerative colitis.","author":[{"dropping-particle":"","family":"Wei","given":"c. Hen G.","non-dropping-particle":"","parse-names":false,"suffix":""},{"dropping-particle":"","family":"Wang","given":"Jian Yao","non-dropping-particle":"","parse-names":false,"suffix":""},{"dropping-particle":"","family":"Xiong","given":"Fen G.","non-dropping-particle":"","parse-names":false,"suffix":""},{"dropping-particle":"","family":"Wu","given":"Ben Hua","non-dropping-particle":"","parse-names":false,"suffix":""},{"dropping-particle":"","family":"Luo","given":"Min G.Han","non-dropping-particle":"","parse-names":false,"suffix":""},{"dropping-particle":"","family":"Yu","given":"Zhi Chao","non-dropping-particle":"","parse-names":false,"suffix":""},{"dropping-particle":"","family":"Liu","given":"Tin G.Tin G.","non-dropping-particle":"","parse-names":false,"suffix":""},{"dropping-particle":"","family":"Li","given":"de Fen G.","non-dropping-particle":"","parse-names":false,"suffix":""},{"dropping-particle":"","family":"Tang","given":"Qi","non-dropping-particle":"","parse-names":false,"suffix":""},{"dropping-particle":"","family":"Li","given":"Yin G.Xue","non-dropping-particle":"","parse-names":false,"suffix":""},{"dropping-particle":"","family":"Zhang","given":"din G.Guo","non-dropping-particle":"","parse-names":false,"suffix":""},{"dropping-particle":"","family":"Xu","given":"Zheng Lei","non-dropping-particle":"","parse-names":false,"suffix":""},{"dropping-particle":"","family":"Jin","given":"Hon G.Tao","non-dropping-particle":"","parse-names":false,"suffix":""},{"dropping-particle":"","family":"Wang","given":"li SHen G.","non-dropping-particle":"","parse-names":false,"suffix":""},{"dropping-particle":"","family":"Yao","given":"Jun","non-dropping-particle":"","parse-names":false,"suffix":""}],"container-title":"Molecular Medicine Reports","id":"ITEM-1","issue":"1","issued":{"date-parts":[["2021","1","1"]]},"page":"1-7","publisher":"Spandidos Publications","title":"Curcumin ameliorates DSS</w:instrText>
      </w:r>
      <w:r>
        <w:rPr>
          <w:rFonts w:ascii="Cambria Math" w:hAnsi="Cambria Math" w:cs="Cambria Math"/>
          <w:color w:val="000000" w:themeColor="text1"/>
        </w:rPr>
        <w:instrText>‑</w:instrText>
      </w:r>
      <w:r>
        <w:rPr>
          <w:color w:val="000000" w:themeColor="text1"/>
        </w:rPr>
        <w:instrText>induced colitis in mice by regulating the Treg/Th17 signaling pathway","type":"article-journal","volume":"23"},"uris":["http://www.mendeley.com/documents/?uuid=9b679090-40bd-33e9-a6c3-e084f67f6218"]}],"mendeley":{"formattedCitation":"[24]","plainTextFormattedCitation":"[24]","previouslyFormattedCitation":"[184]"},"properties":{"noteIndex":0},"schema":"https://github.com/citation-style-language/schema/raw/master/csl-citation.json"}</w:instrText>
      </w:r>
      <w:r>
        <w:rPr>
          <w:color w:val="000000" w:themeColor="text1"/>
        </w:rPr>
        <w:fldChar w:fldCharType="separate"/>
      </w:r>
      <w:r w:rsidRPr="006F7BF5">
        <w:rPr>
          <w:noProof/>
          <w:color w:val="000000" w:themeColor="text1"/>
        </w:rPr>
        <w:t>[24]</w:t>
      </w:r>
      <w:r>
        <w:rPr>
          <w:color w:val="000000" w:themeColor="text1"/>
        </w:rPr>
        <w:fldChar w:fldCharType="end"/>
      </w:r>
      <w:r>
        <w:rPr>
          <w:color w:val="000000" w:themeColor="text1"/>
        </w:rPr>
        <w:t xml:space="preserve"> and CA-CRC </w:t>
      </w:r>
      <w:r>
        <w:rPr>
          <w:color w:val="000000" w:themeColor="text1"/>
        </w:rPr>
        <w:fldChar w:fldCharType="begin" w:fldLock="1"/>
      </w:r>
      <w:r>
        <w:rPr>
          <w:color w:val="000000" w:themeColor="text1"/>
        </w:rPr>
        <w:instrText>ADDIN CSL_CITATION {"citationItems":[{"id":"ITEM-1","itemData":{"DOI":"10.1093/carcin/bgaa008","ISSN":"14602180","PMID":"32002542","abstract":"The objective was to compare the impact of black lentil (BL) water and delphinidin 3-O-(2-O-β-d-glucopyranosyl-α-l-arabinopyranoside) (D3G)-rich lentil extracts on tumor development, inflammation and immune response in an azoxymethane (AOM)/dextran sodium sulfate (DSS) model. C57BL/6 mice were randomly separated into four groups: Healthy control (n = 6), AOM/DSS control (n = 14), AOM/DSS + BL (600 mg/kg body wt, n = 12) and AOM/DSS + D3G (41 mg/kg body wt, equivalent to D3G concentration in BL, n = 12). Mice were given treatments for 11 weeks using a voluntary jelly administration. AOM/DSS + BL presented a lower (P &lt; 0.05) disease activity index, throughout and at the end (2.4) compared with AOM/DSS (6.3). AOM/DSS + BL mice had an average of 7.8 neoplasms versus 12.8 for the AOM/DSS (P &lt; 0.05). Proinflammatory cytokines were downregulated in the colon mucosa: Interleukin (IL)-1β (-77.5%,-70.7%) and IL-6 (-44.4%,-44.9%) by AOM/DSS + BL and AOM/DSS + D3G, respectively, compared with AOM/DSS. IL-6 protein expression was decreased by BL in plasma (-72.6%) and gene expression in colon polyps (fold change:-4.0) compared with AOM/DSS. AOM/DSS + D3G non-polyp tissue gene expression clustered with the healthy control tissue with only four genes modified (secreted phosphoprotein 1 and CXC motif chemokine ligands 2, 5 and 10). AOM/DSS + BL downregulated programmed death-ligand 1 protein expression in colon tissue (-54.7%) and gene expression by 2.8-fold compared with the AOM/DSS control. In fecal samples, gallic and protocatechuic acids and epicatechin were found, and concentration of most amino acids was lower and unsaturated fatty acids were higher for AOM/DSS + BL and AOM/DSS + D3G. BL and D3G-rich extracts showed anti-inflammatory and proimmune response effects while BL additionally prevented growth of neoplasia.","author":[{"dropping-particle":"","family":"Mazewski","given":"Candice","non-dropping-particle":"","parse-names":false,"suffix":""},{"dropping-particle":"","family":"Luna-Vital","given":"Diego","non-dropping-particle":"","parse-names":false,"suffix":""},{"dropping-particle":"","family":"Berhow","given":"Mark","non-dropping-particle":"","parse-names":false,"suffix":""},{"dropping-particle":"","family":"Gonzalez de Mejia","given":"Elvira","non-dropping-particle":"","parse-names":false,"suffix":""}],"container-title":"Carcinogenesis","id":"ITEM-1","issue":"6","issued":{"date-parts":[["2020","6","1"]]},"page":"790-803","publisher":"Oxford University Press","title":"Reduction of colitis-associated colon carcinogenesis by a black lentil water extract through inhibition of inflammatory and immunomodulatory cytokines","type":"article-journal","volume":"41"},"uris":["http://www.mendeley.com/documents/?uuid=1d517466-7ea7-35cf-a2a7-c416a4b6cd4b"]}],"mendeley":{"formattedCitation":"[25]","plainTextFormattedCitation":"[25]","previouslyFormattedCitation":"[185]"},"properties":{"noteIndex":0},"schema":"https://github.com/citation-style-language/schema/raw/master/csl-citation.json"}</w:instrText>
      </w:r>
      <w:r>
        <w:rPr>
          <w:color w:val="000000" w:themeColor="text1"/>
        </w:rPr>
        <w:fldChar w:fldCharType="separate"/>
      </w:r>
      <w:r w:rsidRPr="006F7BF5">
        <w:rPr>
          <w:noProof/>
          <w:color w:val="000000" w:themeColor="text1"/>
        </w:rPr>
        <w:t>[25]</w:t>
      </w:r>
      <w:r>
        <w:rPr>
          <w:color w:val="000000" w:themeColor="text1"/>
        </w:rPr>
        <w:fldChar w:fldCharType="end"/>
      </w:r>
      <w:r>
        <w:rPr>
          <w:color w:val="000000" w:themeColor="text1"/>
        </w:rPr>
        <w:t xml:space="preserve"> and is considered a marker of disease severity and systemic inflammation </w:t>
      </w:r>
      <w:r>
        <w:rPr>
          <w:color w:val="000000" w:themeColor="text1"/>
        </w:rPr>
        <w:fldChar w:fldCharType="begin" w:fldLock="1"/>
      </w:r>
      <w:r>
        <w:rPr>
          <w:color w:val="000000" w:themeColor="text1"/>
        </w:rPr>
        <w:instrText>ADDIN CSL_CITATION {"citationItems":[{"id":"ITEM-1","itemData":{"DOI":"10.1002/jcp.20701","ISSN":"00219541","PMID":"16741956","abstract":"Osteopontin (OPN), a pro-inflammatory mediator, is constitutively expressed in normal gut and is upregulated in inflammatory colitis. To determine the significance of OPN in inflammatory bowel disease, we studied the development of acute, experimental colitis induced bydextran sulfate sodium (DSS) in OPN-null and wild-type (WT) mice. OPN expression was markedly increased in WT diseased colons, while a higher disease activity index, including spleen enlargement, bowel shortening, and mucosal destruction, was observed in OPN-null mice. Although peripheral blood neutrophil numbers were lower in DSS-treated OPN-null mice, tissue myeloperoxidase levels, reflecting enhanced neutrophil activity, were increased in the diseased colons. In comparison, lymphocyte numbers in peripheral blood were increased earlier than in DSS-treated WT mice. Despite a significantly greater spleen enlargement, flow cytometric analysis of splenocytes from the DSS-treated OPN-null mice revealed lower numbers of differentiated macrophages and (CD4+ and CD8α+) lymphocytes. Whereas pro-inflammatory cytokines, including G-CSF, RANTES, MIP1 a, and TNF-α, were increased &lt;10-fold in DSS-treated WT splenocytes, expression of these cytokines was dramatically suppressed in the DSS-treated OPN-null splenocytes as well as gut tissues. The suppressed TNF-α response in OPN-null mice was reflected in a marked increase in non-apoptotic cell death in diseased colons. Collectively, these studies demonstrate that OPN is required for mucosal protection in acute inflammatory colitis. © 2006 Wiley-Liss, Inc.","author":[{"dropping-particle":"","family":"Silva","given":"Andre Paes Batista","non-dropping-particle":"Da","parse-names":false,"suffix":""},{"dropping-particle":"","family":"Pollett","given":"Aaron","non-dropping-particle":"","parse-names":false,"suffix":""},{"dropping-particle":"","family":"Rittling","given":"Susan R.","non-dropping-particle":"","parse-names":false,"suffix":""},{"dropping-particle":"","family":"Denhardt","given":"David T.","non-dropping-particle":"","parse-names":false,"suffix":""},{"dropping-particle":"","family":"Sodek","given":"Jaro","non-dropping-particle":"","parse-names":false,"suffix":""},{"dropping-particle":"","family":"Zohar","given":"Ron","non-dropping-particle":"","parse-names":false,"suffix":""}],"container-title":"Journal of Cellular Physiology","id":"ITEM-1","issue":"3","issued":{"date-parts":[["2006","9","1"]]},"page":"629-639","publisher":"John Wiley &amp; Sons, Ltd","title":"Exacerbated tissue destruction in DSS-induced acute colitis of OPN-null mice is associated with downregulation of TNF-α expression and non-programmed cell death","type":"article-journal","volume":"208"},"uris":["http://www.mendeley.com/documents/?uuid=25e250f9-88ef-3376-a12e-1e33f2416433"]}],"mendeley":{"formattedCitation":"[42]","plainTextFormattedCitation":"[42]","previouslyFormattedCitation":"[197]"},"properties":{"noteIndex":0},"schema":"https://github.com/citation-style-language/schema/raw/master/csl-citation.json"}</w:instrText>
      </w:r>
      <w:r>
        <w:rPr>
          <w:color w:val="000000" w:themeColor="text1"/>
        </w:rPr>
        <w:fldChar w:fldCharType="separate"/>
      </w:r>
      <w:r w:rsidRPr="006F7BF5">
        <w:rPr>
          <w:noProof/>
          <w:color w:val="000000" w:themeColor="text1"/>
        </w:rPr>
        <w:t>[42]</w:t>
      </w:r>
      <w:r>
        <w:rPr>
          <w:color w:val="000000" w:themeColor="text1"/>
        </w:rPr>
        <w:fldChar w:fldCharType="end"/>
      </w:r>
      <w:r>
        <w:rPr>
          <w:color w:val="000000" w:themeColor="text1"/>
        </w:rPr>
        <w:t>. We observed a significant reduction of the relative spleen weight in mice supplemented with lunasin</w:t>
      </w:r>
      <w:r w:rsidR="00A46C72">
        <w:rPr>
          <w:color w:val="000000" w:themeColor="text1"/>
        </w:rPr>
        <w:t xml:space="preserve"> (Figure 4.2A)</w:t>
      </w:r>
      <w:r>
        <w:rPr>
          <w:color w:val="000000" w:themeColor="text1"/>
        </w:rPr>
        <w:t xml:space="preserve">. Intraperitoneal injection of lunasin has been shown to significantly decrease the enlarged spleen weight of male mice fed with a high-fat diet in a model of obesity-induced inflammation </w:t>
      </w:r>
      <w:r>
        <w:rPr>
          <w:color w:val="000000" w:themeColor="text1"/>
        </w:rPr>
        <w:fldChar w:fldCharType="begin" w:fldLock="1"/>
      </w:r>
      <w:r>
        <w:rPr>
          <w:color w:val="000000" w:themeColor="text1"/>
        </w:rPr>
        <w:instrText>ADDIN CSL_CITATION {"citationItems":[{"id":"ITEM-1","itemData":{"DOI":"10.1016/j.fct.2020.111908","ISSN":"18736351","PMID":"33290807","abstract":"Obesity causes immune cells to infiltrate into adipose tissues and secrete proinflammatory mediators, promoting the development of chronic diseases. The seed peptide lunasin has been reported to have several bioactivities. We aimed to investigate the immunomodulatory properties of lunasin in obese models. Female and male C57BL/6J mice were divided into three groups: low-fat diet (LF), high-fat diet (HF), and HF with an intraperitoneal injection of lunasin (HFL). In females, lunasin decreased the levels of monocyte chemoattractant protein-1 (MCP-1), interleukin (IL)-1β, and tumor necrosis factor (TNF-α) produced in peritoneal macrophages, indicating a decrease in F4/80+ macrophage infiltration, especially the CD11c + M1 phenotype. Serum leptin and tissue-oxidized lipid malondialdehyde levels were decreased in the HFL group. In males, lunasin normalized the obesity-induced increase in spleen size and splenocyte numbers. Moreover, lunasin inhibited IL-6 secretion while promoting interferon gamma (IFN-γ) and IL-2 production in the splenocytes. In vitro, lunasin increased EL-4 T-cell proliferation and IL-2 production in activated T cells under obese conditions. Thus, lunasin is a potential natural compound that promotes immunomodulation in both female and male obese mice in a sex-dependent manner. Furthermore, lunasin mediates the anti-inflammatory response and enhances the T helper type 1 cell response to obesity-related immune disorders.","author":[{"dropping-particle":"","family":"Hsieh","given":"Chia Chien","non-dropping-particle":"","parse-names":false,"suffix":""},{"dropping-particle":"","family":"Wang","given":"Yen Fang","non-dropping-particle":"","parse-names":false,"suffix":""},{"dropping-particle":"","family":"Lin","given":"Pin Yu","non-dropping-particle":"","parse-names":false,"suffix":""},{"dropping-particle":"","family":"Peng","given":"Shih Han","non-dropping-particle":"","parse-names":false,"suffix":""},{"dropping-particle":"","family":"Chou","given":"Mei Jia","non-dropping-particle":"","parse-names":false,"suffix":""}],"container-title":"Food and Chemical Toxicology","id":"ITEM-1","issued":{"date-parts":[["2021","1","1"]]},"page":"111908","publisher":"Elsevier Ltd","title":"Seed peptide lunasin ameliorates obesity-induced inflammation and regulates immune responses in C57BL/6J mice fed high-fat diet","type":"article-journal","volume":"147"},"uris":["http://www.mendeley.com/documents/?uuid=e27caee5-90f5-3f42-be25-1a6a0dab22df"]}],"mendeley":{"formattedCitation":"[43]","plainTextFormattedCitation":"[43]","previouslyFormattedCitation":"[97]"},"properties":{"noteIndex":0},"schema":"https://github.com/citation-style-language/schema/raw/master/csl-citation.json"}</w:instrText>
      </w:r>
      <w:r>
        <w:rPr>
          <w:color w:val="000000" w:themeColor="text1"/>
        </w:rPr>
        <w:fldChar w:fldCharType="separate"/>
      </w:r>
      <w:r w:rsidRPr="006F7BF5">
        <w:rPr>
          <w:noProof/>
          <w:color w:val="000000" w:themeColor="text1"/>
        </w:rPr>
        <w:t>[43]</w:t>
      </w:r>
      <w:r>
        <w:rPr>
          <w:color w:val="000000" w:themeColor="text1"/>
        </w:rPr>
        <w:fldChar w:fldCharType="end"/>
      </w:r>
      <w:r>
        <w:rPr>
          <w:color w:val="000000" w:themeColor="text1"/>
        </w:rPr>
        <w:t xml:space="preserve">.  As such, the effect of lunasin over serum levels of TNF-α and the spleen weight suggests that the biological activity of the peptide, even upon </w:t>
      </w:r>
      <w:r>
        <w:rPr>
          <w:color w:val="000000" w:themeColor="text1"/>
        </w:rPr>
        <w:lastRenderedPageBreak/>
        <w:t>gastrointestinal digestion, is not limited to the large intestine but could directly or indirectly have an impact at the systemic level. Extraintestinal manifestations are observed in 25 to 40% of IBD patients and affect the eyes, skin, liver, joints, skeletal muscle, kidneys, lungs</w:t>
      </w:r>
      <w:r w:rsidR="00DF34C9">
        <w:rPr>
          <w:color w:val="000000" w:themeColor="text1"/>
        </w:rPr>
        <w:t>,</w:t>
      </w:r>
      <w:r>
        <w:rPr>
          <w:color w:val="000000" w:themeColor="text1"/>
        </w:rPr>
        <w:t xml:space="preserve"> as well as metabolic processes </w:t>
      </w:r>
      <w:r>
        <w:rPr>
          <w:color w:val="000000" w:themeColor="text1"/>
        </w:rPr>
        <w:fldChar w:fldCharType="begin" w:fldLock="1"/>
      </w:r>
      <w:r>
        <w:rPr>
          <w:color w:val="000000" w:themeColor="text1"/>
        </w:rPr>
        <w:instrText>ADDIN CSL_CITATION {"citationItems":[{"id":"ITEM-1","itemData":{"DOI":"10.1016/j.med.2020.06.013","ISSN":"15788822","PMID":"21857821","abstract":"Up to 50% of patients with inflammatory bowel disease (IBD) experience at least one extra-intestinal manifestation (EIM), impairing mainly joints, skin, eyes and biliary tract. EIMs are more common in Crohn's disease (CD) than ulcerative colitis (UC), particularly in colonic CD and perianal Crohn's disease. Most EIMs run in parallel with intestinal disease, with the exception of ankylosing spondylitis, uveitis, pyoderma gangrenosum and primary sclerosing cholangitis. Clinical manifestations depend on EIM type and the intestinal disease activity. Usually, EIMs treatment relies on treatment of underlying bowel inflammation; however specific treatment may be required (when EIM is diagnosed before to IBD, or EIM is independent of IBD activity). EIMs associated with IBD are a complex therapeutic frame, requiring a multidisciplinary approach for both evaluation and choice of the most appropriate treatment.","author":[{"dropping-particle":"","family":"Cerrillo","given":"E.","non-dropping-particle":"","parse-names":false,"suffix":""},{"dropping-particle":"","family":"González","given":"E. Sáez","non-dropping-particle":"","parse-names":false,"suffix":""},{"dropping-particle":"","family":"Bastida","given":"G.","non-dropping-particle":"","parse-names":false,"suffix":""},{"dropping-particle":"","family":"Nos","given":"P.","non-dropping-particle":"","parse-names":false,"suffix":""}],"container-title":"Medicine (Spain)","id":"ITEM-1","issue":"11","issued":{"date-parts":[["2020","5","1"]]},"page":"618-630","publisher":"Ediciones Doyma, S.L.","title":"Extraintestinal manifestations in inflammatory bowel disease","type":"article-journal","volume":"13"},"uris":["http://www.mendeley.com/documents/?uuid=b75a9964-a276-3dd4-8e49-368ede26d4a7"]}],"mendeley":{"formattedCitation":"[44]","plainTextFormattedCitation":"[44]","previouslyFormattedCitation":"[10]"},"properties":{"noteIndex":0},"schema":"https://github.com/citation-style-language/schema/raw/master/csl-citation.json"}</w:instrText>
      </w:r>
      <w:r>
        <w:rPr>
          <w:color w:val="000000" w:themeColor="text1"/>
        </w:rPr>
        <w:fldChar w:fldCharType="separate"/>
      </w:r>
      <w:r w:rsidRPr="006F7BF5">
        <w:rPr>
          <w:noProof/>
          <w:color w:val="000000" w:themeColor="text1"/>
        </w:rPr>
        <w:t>[44]</w:t>
      </w:r>
      <w:r>
        <w:rPr>
          <w:color w:val="000000" w:themeColor="text1"/>
        </w:rPr>
        <w:fldChar w:fldCharType="end"/>
      </w:r>
      <w:r>
        <w:rPr>
          <w:color w:val="000000" w:themeColor="text1"/>
        </w:rPr>
        <w:t xml:space="preserve">. Some of </w:t>
      </w:r>
      <w:r w:rsidR="00A46C72">
        <w:rPr>
          <w:color w:val="000000" w:themeColor="text1"/>
        </w:rPr>
        <w:t xml:space="preserve">these manifestations </w:t>
      </w:r>
      <w:r>
        <w:rPr>
          <w:color w:val="000000" w:themeColor="text1"/>
        </w:rPr>
        <w:t xml:space="preserve">such as arthritis, erythema nodosum, pyoderma gangrenosum, iritis, and uveitis, have been demonstrated to have a pathogenic mechanism mediated by TNF-α </w:t>
      </w:r>
      <w:r>
        <w:rPr>
          <w:color w:val="000000" w:themeColor="text1"/>
        </w:rPr>
        <w:fldChar w:fldCharType="begin" w:fldLock="1"/>
      </w:r>
      <w:r>
        <w:rPr>
          <w:color w:val="000000" w:themeColor="text1"/>
        </w:rPr>
        <w:instrText>ADDIN CSL_CITATION {"citationItems":[{"id":"ITEM-1","itemData":{"author":[{"dropping-particle":"","family":"Andrisani","given":"G.","non-dropping-particle":"","parse-names":false,"suffix":""},{"dropping-particle":"","family":"Guidi","given":"L.","non-dropping-particle":"","parse-names":false,"suffix":""},{"dropping-particle":"","family":"Armuzzi","given":"A.","non-dropping-particle":"","parse-names":false,"suffix":""}],"container-title":"European Review for Medical and Pharmacological Sciences","id":"ITEM-1","issued":{"date-parts":[["2012"]]},"page":"890-901","title":"Anti-TNF alpha therapy in the management of extraintestinal manifestation of inflammatory bowel disease","type":"article-journal","volume":"16"},"uris":["http://www.mendeley.com/documents/?uuid=2cd6c42a-19a9-323e-8e76-71f1b8fbeb4a"]}],"mendeley":{"formattedCitation":"[45]","plainTextFormattedCitation":"[45]","previouslyFormattedCitation":"[198]"},"properties":{"noteIndex":0},"schema":"https://github.com/citation-style-language/schema/raw/master/csl-citation.json"}</w:instrText>
      </w:r>
      <w:r>
        <w:rPr>
          <w:color w:val="000000" w:themeColor="text1"/>
        </w:rPr>
        <w:fldChar w:fldCharType="separate"/>
      </w:r>
      <w:r w:rsidRPr="006F7BF5">
        <w:rPr>
          <w:noProof/>
          <w:color w:val="000000" w:themeColor="text1"/>
        </w:rPr>
        <w:t>[45]</w:t>
      </w:r>
      <w:r>
        <w:rPr>
          <w:color w:val="000000" w:themeColor="text1"/>
        </w:rPr>
        <w:fldChar w:fldCharType="end"/>
      </w:r>
      <w:r>
        <w:rPr>
          <w:color w:val="000000" w:themeColor="text1"/>
        </w:rPr>
        <w:t xml:space="preserve">. Then, the anti-inflammatory effect of lunasin, and particularly its impact on the systemic levels of TNF-α, could be beneficial not only in the bowel but also in some of the extraintestinal manifestations of the disease.     </w:t>
      </w:r>
    </w:p>
    <w:p w14:paraId="775A4187" w14:textId="36C9C2D8" w:rsidR="00C1410F" w:rsidRDefault="00C1410F" w:rsidP="00C1410F">
      <w:pPr>
        <w:spacing w:line="480" w:lineRule="auto"/>
        <w:ind w:firstLine="720"/>
        <w:rPr>
          <w:color w:val="000000" w:themeColor="text1"/>
        </w:rPr>
      </w:pPr>
      <w:r>
        <w:rPr>
          <w:color w:val="000000" w:themeColor="text1"/>
        </w:rPr>
        <w:t xml:space="preserve">In contrast to sporadic CRC that follows the adenoma-carcinoma sequence, CA-CRC progresses through the inflammation-dysplasia-carcinoma sequence that involves inflammation, low-grade, high-grade dysplasia, and eventually invasive carcinoma </w:t>
      </w:r>
      <w:r>
        <w:rPr>
          <w:color w:val="000000" w:themeColor="text1"/>
        </w:rPr>
        <w:fldChar w:fldCharType="begin" w:fldLock="1"/>
      </w:r>
      <w:r>
        <w:rPr>
          <w:color w:val="000000" w:themeColor="text1"/>
        </w:rPr>
        <w:instrText>ADDIN CSL_CITATION {"citationItems":[{"id":"ITEM-1","itemData":{"DOI":"10.3748/wjg.v21.i41.11688","ISSN":"22192840","PMID":"26556996","abstract":"Colitis-associated colorectal cancer (CA-CRC) is the cause of death in 10%-15% of inflammatory bowel disease (IBD) patients. CA-CRC results from the accumulation of mutations in intestinal epithelial cells and progresses through a well-characterized inflammation to dysplasia to carcinoma sequence. Quantitative estimates of overall CA-CRC risks are highly variable ranging from 2% to 40% depending on IBD severity, duration and location, with IBD duration being the most significant risk factor associated with CA-CRC development. Recently, studies have identified IBD patients with similar patterns of colonic inflammation, but that differ with respect to CA-CRC development, suggesting a role for additional non-inflammatory risk factors in CA-CRC development. One suggestion is that select IBD patients carry polymorphisms in various low penetrance disease susceptibility genes, which predispose them to CA-CRC development, although these loci have proven difficult to identify in human genomewide association studies. Mouse models of CA-CRC have provided a viable alternative for the discovery, validation and study of individual genes in CA-CRC pathology. In this review, we summarize the current CA-CRC literature with a strong focus on genetic predisposition and highlight an emerging role for mouse models in the search for CA-CRC risk alleles.","author":[{"dropping-particle":"","family":"Kraak","given":"Lauren","non-dropping-particle":"Van Der","parse-names":false,"suffix":""},{"dropping-particle":"","family":"Gros","given":"Philippe","non-dropping-particle":"","parse-names":false,"suffix":""},{"dropping-particle":"","family":"Beauchemin","given":"Nicole","non-dropping-particle":"","parse-names":false,"suffix":""}],"container-title":"World Journal of Gastroenterology","id":"ITEM-1","issue":"41","issued":{"date-parts":[["2015","11","7"]]},"page":"11688-11699","publisher":"WJG Press","title":"Colitis-associated colon cancer: Is it in your genes?","type":"article-journal","volume":"21"},"uris":["http://www.mendeley.com/documents/?uuid=c2504b2c-7dad-3893-85d8-c5e05eb15e0d"]}],"mendeley":{"formattedCitation":"[46]","plainTextFormattedCitation":"[46]","previouslyFormattedCitation":"[199]"},"properties":{"noteIndex":0},"schema":"https://github.com/citation-style-language/schema/raw/master/csl-citation.json"}</w:instrText>
      </w:r>
      <w:r>
        <w:rPr>
          <w:color w:val="000000" w:themeColor="text1"/>
        </w:rPr>
        <w:fldChar w:fldCharType="separate"/>
      </w:r>
      <w:r w:rsidRPr="006F7BF5">
        <w:rPr>
          <w:noProof/>
          <w:color w:val="000000" w:themeColor="text1"/>
        </w:rPr>
        <w:t>[46]</w:t>
      </w:r>
      <w:r>
        <w:rPr>
          <w:color w:val="000000" w:themeColor="text1"/>
        </w:rPr>
        <w:fldChar w:fldCharType="end"/>
      </w:r>
      <w:r>
        <w:rPr>
          <w:color w:val="000000" w:themeColor="text1"/>
        </w:rPr>
        <w:t xml:space="preserve">. Dysplasia in CA-CRC represents a pre-malignant phase </w:t>
      </w:r>
      <w:r>
        <w:rPr>
          <w:color w:val="000000" w:themeColor="text1"/>
        </w:rPr>
        <w:fldChar w:fldCharType="begin" w:fldLock="1"/>
      </w:r>
      <w:r>
        <w:rPr>
          <w:color w:val="000000" w:themeColor="text1"/>
        </w:rPr>
        <w:instrText>ADDIN CSL_CITATION {"citationItems":[{"id":"ITEM-1","itemData":{"DOI":"10.3748/wjg.14.2662","ISSN":"10079327","PMID":"18461651","abstract":"Both ulcerative colitis and Crohn's disease carry an increased risk of developing colorectal cancer. Established risk factors for cancer among patients with inflammatory bowel disease (IBD) include the younger age at diagnosis, greater extent and duration of disease, increased severity of inflammation, family history of colorectal cancer and coexisting primary sclerosing cholangitis. Recent evidence suggests that current medical therapies and surgical techniques for inflammatory bowel disease may be reducing the incidence of this complication. Nonetheless heightened vigilance and a careful, comprehensive approach to prevent or minimize the complications of invasive cancer are warranted in this unique cohort of patients. Current guidelines for the prevention and early detection of cancer in this high risk population are grounded in the concept of an inflammation-dysplasia-carcinoma sequence. A thorough understanding of the definition and natural history of dysplasia in IBD, as well as the challenges associated with detection and interpretation of dysplasia are fundamental to developing an effective strategy for surveillance and prevention, and understanding the limitations of the current approach to prevention. This article reviews the current consensus guidelines for screening and surveillance of cancer in IBD, as well as presenting the evidence and rationale for chemoprevention of cancer and a discussion of emerging technologies for the detection of dysplasia. © 2008 WJG. All rights reserved.","author":[{"dropping-particle":"","family":"Zisman","given":"Timothy L.","non-dropping-particle":"","parse-names":false,"suffix":""},{"dropping-particle":"","family":"Rubin","given":"David T.","non-dropping-particle":"","parse-names":false,"suffix":""}],"container-title":"World Journal of Gastroenterology","id":"ITEM-1","issue":"17","issued":{"date-parts":[["2008","5","7"]]},"page":"2662-2669","publisher":"Baishideng Publishing Group Co","title":"Colorectal cancer and dysplasia in inflammatory bowel disease","type":"article","volume":"14"},"uris":["http://www.mendeley.com/documents/?uuid=828c3b81-dc16-3b6f-acee-e03e2094ea20"]}],"mendeley":{"formattedCitation":"[47]","plainTextFormattedCitation":"[47]","previouslyFormattedCitation":"[200]"},"properties":{"noteIndex":0},"schema":"https://github.com/citation-style-language/schema/raw/master/csl-citation.json"}</w:instrText>
      </w:r>
      <w:r>
        <w:rPr>
          <w:color w:val="000000" w:themeColor="text1"/>
        </w:rPr>
        <w:fldChar w:fldCharType="separate"/>
      </w:r>
      <w:r w:rsidRPr="006F7BF5">
        <w:rPr>
          <w:noProof/>
          <w:color w:val="000000" w:themeColor="text1"/>
        </w:rPr>
        <w:t>[47]</w:t>
      </w:r>
      <w:r>
        <w:rPr>
          <w:color w:val="000000" w:themeColor="text1"/>
        </w:rPr>
        <w:fldChar w:fldCharType="end"/>
      </w:r>
      <w:r>
        <w:rPr>
          <w:color w:val="000000" w:themeColor="text1"/>
        </w:rPr>
        <w:t>. In our observations,</w:t>
      </w:r>
      <w:r w:rsidR="005A56BB">
        <w:rPr>
          <w:color w:val="000000" w:themeColor="text1"/>
        </w:rPr>
        <w:t xml:space="preserve"> Table 4.1,</w:t>
      </w:r>
      <w:r>
        <w:rPr>
          <w:color w:val="000000" w:themeColor="text1"/>
        </w:rPr>
        <w:t xml:space="preserve"> all mice in the untreated group developed some grade of dysplasia, with half of them exhibiting high-grade dysplasia and 25% invasive carcinoma. Administration of lunasin fully abrogated dysplasia in 50% of the mice and delayed the progression of the sequence in another 25%. Genomic alterations that affect genes engaged in cell proliferation, death, and differentiation are highly encountered in CRC and CA-CRC. Mutation in p53, a protein that prevents the clonal expansion of mutant cells, is an early event in CA-CRC that has been found in inflamed mucosa, near 33% of low-</w:t>
      </w:r>
      <w:r>
        <w:rPr>
          <w:color w:val="000000" w:themeColor="text1"/>
        </w:rPr>
        <w:lastRenderedPageBreak/>
        <w:t xml:space="preserve">grade, 63% of high-grade dysplasia, and 85% of cancerous lesions </w:t>
      </w:r>
      <w:r>
        <w:rPr>
          <w:color w:val="000000" w:themeColor="text1"/>
        </w:rPr>
        <w:fldChar w:fldCharType="begin" w:fldLock="1"/>
      </w:r>
      <w:r>
        <w:rPr>
          <w:color w:val="000000" w:themeColor="text1"/>
        </w:rPr>
        <w:instrText>ADDIN CSL_CITATION {"citationItems":[{"id":"ITEM-1","itemData":{"DOI":"10.1016/j.gtc.2006.07.002","ISSN":"08898553","PMID":"16952740","author":[{"dropping-particle":"","family":"Itzkowitz","given":"Steven H.","non-dropping-particle":"","parse-names":false,"suffix":""}],"container-title":"Gastroenterology Clinics of North America","id":"ITEM-1","issue":"3","issued":{"date-parts":[["2006","9","1"]]},"page":"553-571","publisher":"Elsevier","title":"Molecular Biology of Dysplasia and Cancer in Inflammatory Bowel Disease","type":"article","volume":"35"},"uris":["http://www.mendeley.com/documents/?uuid=5e73daf9-4931-3ad4-9ede-52bb8f0f9ee4"]}],"mendeley":{"formattedCitation":"[48]","plainTextFormattedCitation":"[48]","previouslyFormattedCitation":"[201]"},"properties":{"noteIndex":0},"schema":"https://github.com/citation-style-language/schema/raw/master/csl-citation.json"}</w:instrText>
      </w:r>
      <w:r>
        <w:rPr>
          <w:color w:val="000000" w:themeColor="text1"/>
        </w:rPr>
        <w:fldChar w:fldCharType="separate"/>
      </w:r>
      <w:r w:rsidRPr="006F7BF5">
        <w:rPr>
          <w:noProof/>
          <w:color w:val="000000" w:themeColor="text1"/>
        </w:rPr>
        <w:t>[48]</w:t>
      </w:r>
      <w:r>
        <w:rPr>
          <w:color w:val="000000" w:themeColor="text1"/>
        </w:rPr>
        <w:fldChar w:fldCharType="end"/>
      </w:r>
      <w:r>
        <w:rPr>
          <w:color w:val="000000" w:themeColor="text1"/>
        </w:rPr>
        <w:t xml:space="preserve">. Loss of tumor suppressor genes such as </w:t>
      </w:r>
      <w:r>
        <w:rPr>
          <w:i/>
          <w:iCs/>
          <w:color w:val="000000" w:themeColor="text1"/>
        </w:rPr>
        <w:t>APC</w:t>
      </w:r>
      <w:r>
        <w:rPr>
          <w:color w:val="000000" w:themeColor="text1"/>
        </w:rPr>
        <w:t xml:space="preserve">, and activation of the proto-oncogenes </w:t>
      </w:r>
      <w:r>
        <w:rPr>
          <w:i/>
          <w:iCs/>
          <w:color w:val="000000" w:themeColor="text1"/>
        </w:rPr>
        <w:t>k-ras</w:t>
      </w:r>
      <w:r>
        <w:rPr>
          <w:color w:val="000000" w:themeColor="text1"/>
        </w:rPr>
        <w:t xml:space="preserve"> and </w:t>
      </w:r>
      <w:r>
        <w:rPr>
          <w:i/>
          <w:iCs/>
          <w:color w:val="000000" w:themeColor="text1"/>
        </w:rPr>
        <w:t>c-src,</w:t>
      </w:r>
      <w:r>
        <w:rPr>
          <w:color w:val="000000" w:themeColor="text1"/>
        </w:rPr>
        <w:t xml:space="preserve"> are also important in CA-CRC but usually occur as late events </w:t>
      </w:r>
      <w:r>
        <w:rPr>
          <w:color w:val="000000" w:themeColor="text1"/>
        </w:rPr>
        <w:fldChar w:fldCharType="begin" w:fldLock="1"/>
      </w:r>
      <w:r>
        <w:rPr>
          <w:color w:val="000000" w:themeColor="text1"/>
        </w:rPr>
        <w:instrText>ADDIN CSL_CITATION {"citationItems":[{"id":"ITEM-1","itemData":{"DOI":"10.1016/j.gtc.2006.07.002","ISSN":"08898553","PMID":"16952740","author":[{"dropping-particle":"","family":"Itzkowitz","given":"Steven H.","non-dropping-particle":"","parse-names":false,"suffix":""}],"container-title":"Gastroenterology Clinics of North America","id":"ITEM-1","issue":"3","issued":{"date-parts":[["2006","9","1"]]},"page":"553-571","publisher":"Elsevier","title":"Molecular Biology of Dysplasia and Cancer in Inflammatory Bowel Disease","type":"article","volume":"35"},"uris":["http://www.mendeley.com/documents/?uuid=5e73daf9-4931-3ad4-9ede-52bb8f0f9ee4"]}],"mendeley":{"formattedCitation":"[48]","plainTextFormattedCitation":"[48]","previouslyFormattedCitation":"[201]"},"properties":{"noteIndex":0},"schema":"https://github.com/citation-style-language/schema/raw/master/csl-citation.json"}</w:instrText>
      </w:r>
      <w:r>
        <w:rPr>
          <w:color w:val="000000" w:themeColor="text1"/>
        </w:rPr>
        <w:fldChar w:fldCharType="separate"/>
      </w:r>
      <w:r w:rsidRPr="006F7BF5">
        <w:rPr>
          <w:noProof/>
          <w:color w:val="000000" w:themeColor="text1"/>
        </w:rPr>
        <w:t>[48]</w:t>
      </w:r>
      <w:r>
        <w:rPr>
          <w:color w:val="000000" w:themeColor="text1"/>
        </w:rPr>
        <w:fldChar w:fldCharType="end"/>
      </w:r>
      <w:r>
        <w:rPr>
          <w:color w:val="000000" w:themeColor="text1"/>
        </w:rPr>
        <w:t xml:space="preserve">. Regular surveillance colonoscopy, starting 8 to 10 years after diagnosis of UC, accompanied by random biopsy, is recommended for the early detection of dysplastic alterations, and polypectomy or proctocolectomy is usually performed when high-grade dysplasia is detected in flat mucosa </w:t>
      </w:r>
      <w:r>
        <w:rPr>
          <w:color w:val="000000" w:themeColor="text1"/>
        </w:rPr>
        <w:fldChar w:fldCharType="begin" w:fldLock="1"/>
      </w:r>
      <w:r>
        <w:rPr>
          <w:color w:val="000000" w:themeColor="text1"/>
        </w:rPr>
        <w:instrText>ADDIN CSL_CITATION {"citationItems":[{"id":"ITEM-1","itemData":{"DOI":"10.3748/wjg.v20.i44.16389","ISSN":"22192840","PMID":"25469007","abstract":"The association between ulcerative colitis (UC) and colorectal cancer (CRC) has been acknowledged. One of the most serious and life threatening consequences of UC is the development of CRC (UC-CRC). UC-CRC patients are younger, more frequently have multiple cancerous lesions, and histologically show mucinous or signet ring cell carcinomas. The risk of CRC begins to increase 8 or 10 years after the diagnosis of UC. Risk factors for CRC with UC patients include young age at diagnosis, longer duration, greater anatomical extent of colonic involvement, the degree of inflammation, family history of CRC, and presence of primary sclerosing cholangitis. CRC on the ground of UC develop from non-dysplastic mucosa to indefinite dysplasia, lowgrade dysplasia, high-grade dysplasia and finally to invasive adenocarcinoma. Colonoscopy surveillance programs are recommended to reduce the risk of CRC and mortality in UC. Genetic alterations might play a role in the development of UC-CRC. 5-aminosalicylates might represent a favorable therapeutic option for chemoprevention of CRC.","author":[{"dropping-particle":"","family":"Yashiro","given":"Masakazu","non-dropping-particle":"","parse-names":false,"suffix":""}],"container-title":"World Journal of Gastroenterology","id":"ITEM-1","issue":"44","issued":{"date-parts":[["2014","11","28"]]},"page":"16389-16397","publisher":"WJG Press","title":"Ulcerative colitis-associated colorectal cancer","type":"article-journal","volume":"20"},"uris":["http://www.mendeley.com/documents/?uuid=0c061a43-8ceb-3524-b275-3524731fdd5b"]}],"mendeley":{"formattedCitation":"[4]","plainTextFormattedCitation":"[4]","previouslyFormattedCitation":"[13]"},"properties":{"noteIndex":0},"schema":"https://github.com/citation-style-language/schema/raw/master/csl-citation.json"}</w:instrText>
      </w:r>
      <w:r>
        <w:rPr>
          <w:color w:val="000000" w:themeColor="text1"/>
        </w:rPr>
        <w:fldChar w:fldCharType="separate"/>
      </w:r>
      <w:r w:rsidRPr="006F7BF5">
        <w:rPr>
          <w:noProof/>
          <w:color w:val="000000" w:themeColor="text1"/>
        </w:rPr>
        <w:t>[4]</w:t>
      </w:r>
      <w:r>
        <w:rPr>
          <w:color w:val="000000" w:themeColor="text1"/>
        </w:rPr>
        <w:fldChar w:fldCharType="end"/>
      </w:r>
      <w:r>
        <w:rPr>
          <w:color w:val="000000" w:themeColor="text1"/>
        </w:rPr>
        <w:t>. Our results indicate that lunasin can potentially delay or minimize the genomic processes involved in the abnormal growth of cells that results in dysplastic lesions, and their malignant progression towards cancer. Hence, it would lessen the need for preventive removal of sections of the large intestine.</w:t>
      </w:r>
    </w:p>
    <w:p w14:paraId="169657EC" w14:textId="7544ACE9" w:rsidR="00DA7DFE" w:rsidRDefault="00C1410F" w:rsidP="00C1410F">
      <w:pPr>
        <w:spacing w:line="480" w:lineRule="auto"/>
        <w:ind w:firstLine="720"/>
      </w:pPr>
      <w:r>
        <w:t xml:space="preserve">In conclusion, it was </w:t>
      </w:r>
      <w:r>
        <w:rPr>
          <w:color w:val="000000" w:themeColor="text1"/>
        </w:rPr>
        <w:t xml:space="preserve">demonstrated for the first time the anti-inflammatory and chemopreventive properties of lunasin in a model of relapsing </w:t>
      </w:r>
      <w:r w:rsidR="005C68EE">
        <w:rPr>
          <w:color w:val="000000" w:themeColor="text1"/>
        </w:rPr>
        <w:t>UC</w:t>
      </w:r>
      <w:r>
        <w:rPr>
          <w:color w:val="000000" w:themeColor="text1"/>
        </w:rPr>
        <w:t xml:space="preserve"> and CA-CRC. The oral administration of lunasin decreased the impact of inflammation over the colon, reduced tumor incidence, and multiplicity, and delayed the progression of malignant features, by favoring the recovery of the epithelial barrier integrity and reducing the susceptibility to neoplastic initiating events during the inflammatory flares. Our findings </w:t>
      </w:r>
      <w:r>
        <w:t>provide an alternative mechanism to facilitate the control of underlying inflammation during UC and to prevent the development of CA-CRC, which in consequence would contribute to the improvement in the life expectancy and quality of IBD patients, and particularly in those affected by refractory forms of the disease.</w:t>
      </w:r>
      <w:r w:rsidR="00DA7DFE">
        <w:br w:type="page"/>
      </w:r>
    </w:p>
    <w:p w14:paraId="20B7B175" w14:textId="5F77FD80" w:rsidR="00DA7DFE" w:rsidRDefault="00DA7DFE" w:rsidP="00C1410F">
      <w:pPr>
        <w:pStyle w:val="Heading2"/>
        <w:spacing w:line="480" w:lineRule="auto"/>
      </w:pPr>
      <w:bookmarkStart w:id="139" w:name="_Toc77082165"/>
      <w:r w:rsidRPr="005E34C0">
        <w:lastRenderedPageBreak/>
        <w:t>References</w:t>
      </w:r>
      <w:bookmarkEnd w:id="139"/>
    </w:p>
    <w:p w14:paraId="7E26DD01" w14:textId="07248EAD" w:rsidR="00C1410F" w:rsidRPr="006F7BF5" w:rsidRDefault="00C1410F" w:rsidP="00C1410F">
      <w:pPr>
        <w:widowControl w:val="0"/>
        <w:autoSpaceDE w:val="0"/>
        <w:autoSpaceDN w:val="0"/>
        <w:adjustRightInd w:val="0"/>
        <w:spacing w:after="160" w:line="480" w:lineRule="auto"/>
        <w:ind w:left="640" w:hanging="640"/>
        <w:rPr>
          <w:noProof/>
        </w:rPr>
      </w:pPr>
      <w:r>
        <w:fldChar w:fldCharType="begin" w:fldLock="1"/>
      </w:r>
      <w:r>
        <w:instrText xml:space="preserve">ADDIN Mendeley Bibliography CSL_BIBLIOGRAPHY </w:instrText>
      </w:r>
      <w:r>
        <w:fldChar w:fldCharType="separate"/>
      </w:r>
      <w:r w:rsidRPr="006F7BF5">
        <w:rPr>
          <w:noProof/>
        </w:rPr>
        <w:t>[1]</w:t>
      </w:r>
      <w:r w:rsidRPr="006F7BF5">
        <w:rPr>
          <w:noProof/>
        </w:rPr>
        <w:tab/>
        <w:t>R.L. Siegel, K.D. Miller, A. Goding Sauer, S.A. Fedewa, L.F. Butterly, J.C. Anderson, A. Cercek, R.A. Smith, A. Jemal, Colorectal cancer statistics, 2020, CA. Cancer J. Clin. 70 (2020) 145–164. https://doi.org/10.3322/caac.21601.</w:t>
      </w:r>
    </w:p>
    <w:p w14:paraId="33F95E42"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[2]</w:t>
      </w:r>
      <w:r w:rsidRPr="006F7BF5">
        <w:rPr>
          <w:noProof/>
        </w:rPr>
        <w:tab/>
        <w:t>J. Terzić, S. Grivennikov, E. Karin, M. Karin, Inflammation and Colon Cancer, Gastroenterology. 138 (2010) 2101-2114.e5. https://doi.org/10.1053/j.gastro.2010.01.058.</w:t>
      </w:r>
    </w:p>
    <w:p w14:paraId="00A1DD3A"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[3]</w:t>
      </w:r>
      <w:r w:rsidRPr="006F7BF5">
        <w:rPr>
          <w:noProof/>
        </w:rPr>
        <w:tab/>
        <w:t>Crohn’s and Colitis Foundation of America, Crohn’s and Colitis Foundation, Facts about Inflamm. Bowel Dis. (2014) 1–24.</w:t>
      </w:r>
    </w:p>
    <w:p w14:paraId="5CB0A5FA"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[4]</w:t>
      </w:r>
      <w:r w:rsidRPr="006F7BF5">
        <w:rPr>
          <w:noProof/>
        </w:rPr>
        <w:tab/>
        <w:t>M. Yashiro, Ulcerative colitis-associated colorectal cancer, World J. Gastroenterol. 20 (2014) 16389–16397. https://doi.org/10.3748/wjg.v20.i44.16389.</w:t>
      </w:r>
    </w:p>
    <w:p w14:paraId="7FDC5297"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[5]</w:t>
      </w:r>
      <w:r w:rsidRPr="006F7BF5">
        <w:rPr>
          <w:noProof/>
        </w:rPr>
        <w:tab/>
        <w:t>M.S. Nadeem, V. Kumar, F.A. Al-Abbasi, M.A. Kamal, F. Anwar, Risk of colorectal cancer in inflammatory bowel diseases, Semin. Cancer Biol. 64 (2020) 51–60. https://doi.org/10.1016/j.semcancer.2019.05.001.</w:t>
      </w:r>
    </w:p>
    <w:p w14:paraId="4259704E"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[6]</w:t>
      </w:r>
      <w:r w:rsidRPr="006F7BF5">
        <w:rPr>
          <w:noProof/>
        </w:rPr>
        <w:tab/>
        <w:t>J.K. Dyson, M.D. Rutter, Colorectal cancer in inflammatory bowel disease: What is the real magnitude of the risk?, World J. Gastroenterol. 18 (2012) 3839–3848. https://doi.org/10.3748/wjg.v18.i29.3839.</w:t>
      </w:r>
    </w:p>
    <w:p w14:paraId="7C362724"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[7]</w:t>
      </w:r>
      <w:r w:rsidRPr="006F7BF5">
        <w:rPr>
          <w:noProof/>
        </w:rPr>
        <w:tab/>
        <w:t xml:space="preserve">S. Kraus, N. Arber, Inflammation and colorectal cancer, Curr. Opin. </w:t>
      </w:r>
      <w:r w:rsidRPr="006F7BF5">
        <w:rPr>
          <w:noProof/>
        </w:rPr>
        <w:lastRenderedPageBreak/>
        <w:t>Pharmacol. 9 (2009) 405–410. https://doi.org/10.1016/j.coph.2009.06.006.</w:t>
      </w:r>
    </w:p>
    <w:p w14:paraId="448882DE"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[8]</w:t>
      </w:r>
      <w:r w:rsidRPr="006F7BF5">
        <w:rPr>
          <w:noProof/>
        </w:rPr>
        <w:tab/>
        <w:t>M.F. Neurath, Cytokines in inflammatory bowel disease, Nat. Rev. Immunol. 14 (2014) 329–342. https://doi.org/10.1038/nri3661.</w:t>
      </w:r>
    </w:p>
    <w:p w14:paraId="441162FA"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[9]</w:t>
      </w:r>
      <w:r w:rsidRPr="006F7BF5">
        <w:rPr>
          <w:noProof/>
        </w:rPr>
        <w:tab/>
        <w:t>S.H. Itzkowitz, X. Yio, Inflammation and cancer - IV. Colorectal cancer in inflammatory bowel disease: The role of inflammation, Am. J. Physiol. - Gastrointest. Liver Physiol. 287 (2004). https://doi.org/10.1152/ajpgi.00079.2004.</w:t>
      </w:r>
    </w:p>
    <w:p w14:paraId="6A0EF2F9"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[10]</w:t>
      </w:r>
      <w:r w:rsidRPr="006F7BF5">
        <w:rPr>
          <w:noProof/>
        </w:rPr>
        <w:tab/>
        <w:t>C. Luo, H. Zhang, The Role of Proinflammatory Pathways in the Pathogenesis of Colitis-Associated Colorectal Cancer, Mediators Inflamm. 2017 (2017). https://doi.org/10.1155/2017/5126048.</w:t>
      </w:r>
    </w:p>
    <w:p w14:paraId="5A8C38B6"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[11]</w:t>
      </w:r>
      <w:r w:rsidRPr="006F7BF5">
        <w:rPr>
          <w:noProof/>
        </w:rPr>
        <w:tab/>
        <w:t>F. Sanchez-Muñoz, A. Dominguez-Lopez, J.K. Yamamoto-Furusho, Role of cytokines in inflammatory bowel disease, World J. Gastroenterol. 14 (2008) 4280–4288. https://doi.org/10.3748/wjg.14.4280.</w:t>
      </w:r>
    </w:p>
    <w:p w14:paraId="50687A6E"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[12]</w:t>
      </w:r>
      <w:r w:rsidRPr="006F7BF5">
        <w:rPr>
          <w:noProof/>
        </w:rPr>
        <w:tab/>
        <w:t>J.-S. Cai, J.-Y. Feng, Z.-J. Ni, R.-H. Ma, K. Thakur, S. Wang, F. Hu, J.-G. Zhang, Z.-J. Wei, An update on the nutritional, functional, sensory characteristics of soy products, and applications of new processing strategies, Trends Food Sci. Technol. 112 (2021) 676–689. https://doi.org/10.1016/j.tifs.2021.04.039.</w:t>
      </w:r>
    </w:p>
    <w:p w14:paraId="532D9F68"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[13]</w:t>
      </w:r>
      <w:r w:rsidRPr="006F7BF5">
        <w:rPr>
          <w:noProof/>
        </w:rPr>
        <w:tab/>
        <w:t>J.A. Eaden, K.R. Abrams, J.F. Mayberry, The risk of colorectal cancer in ulcerative colitis: A meta-analysis, Gut. 48 (2001) 526–535. https://doi.org/10.1136/gut.48.4.526.</w:t>
      </w:r>
    </w:p>
    <w:p w14:paraId="184943A2"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lastRenderedPageBreak/>
        <w:t>[14]</w:t>
      </w:r>
      <w:r w:rsidRPr="006F7BF5">
        <w:rPr>
          <w:noProof/>
        </w:rPr>
        <w:tab/>
        <w:t>S. Fernández-Tomé, B. Hernández-Ledesma, Current state of art after twenty years of the discovery of bioactive peptide lunasin, Food Res. Int. 116 (2019) 71–78. https://doi.org/10.1016/j.foodres.2018.12.029.</w:t>
      </w:r>
    </w:p>
    <w:p w14:paraId="4DB45213"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[15]</w:t>
      </w:r>
      <w:r w:rsidRPr="006F7BF5">
        <w:rPr>
          <w:noProof/>
        </w:rPr>
        <w:tab/>
        <w:t>C.C. Hsieh, C. Martínez-Villaluenga, B.O. de Lumen, B. Hernández-Ledesma, Updating the research on the chemopreventive and therapeutic role of the peptide lunasin, J. Sci. Food Agric. 98 (2018) 2070–2079. https://doi.org/10.1002/jsfa.8719.</w:t>
      </w:r>
    </w:p>
    <w:p w14:paraId="19BD93E6"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[16]</w:t>
      </w:r>
      <w:r w:rsidRPr="006F7BF5">
        <w:rPr>
          <w:noProof/>
        </w:rPr>
        <w:tab/>
        <w:t>E.G. de Mejia, V.P. Dia, Lunasin and lunasin-like peptides inhibit inflammation through suppression of NF-κB pathway in the macrophage, Peptides. 30 (2009) 2388–2398. https://doi.org/10.1016/j.peptides.2009.08.005.</w:t>
      </w:r>
    </w:p>
    <w:p w14:paraId="18DF8EBC"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[17]</w:t>
      </w:r>
      <w:r w:rsidRPr="006F7BF5">
        <w:rPr>
          <w:noProof/>
        </w:rPr>
        <w:tab/>
        <w:t>S.B. Vuyyuri, C. Shidal, K.R. Davis, Development of the plant-derived peptide lunasin as an anticancer agent, Curr. Opin. Pharmacol. 41 (2018) 27–33. https://doi.org/10.1016/j.coph.2018.04.006.</w:t>
      </w:r>
    </w:p>
    <w:p w14:paraId="53739444"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[18]</w:t>
      </w:r>
      <w:r w:rsidRPr="006F7BF5">
        <w:rPr>
          <w:noProof/>
        </w:rPr>
        <w:tab/>
        <w:t>A. Nieto-Veloza, Q. Zhong, W.-S. Kim, D. D’Souza, H.B. Krishnan, V.P. Dia, Utilization of tofu processing wastewater as a source of the bioactive peptide lunasin, Food Chem. 362 (2021) 130220. https://doi.org/10.1016/j.foodchem.2021.130220.</w:t>
      </w:r>
    </w:p>
    <w:p w14:paraId="140BE9F8"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[19]</w:t>
      </w:r>
      <w:r w:rsidRPr="006F7BF5">
        <w:rPr>
          <w:noProof/>
        </w:rPr>
        <w:tab/>
        <w:t>A. Nair, S. Jacob, A simple practice guide for dose conversion between animals and human, J. Basic Clin. Pharm. 7 (2016) 27. https://doi.org/10.4103/0976-0105.177703.</w:t>
      </w:r>
    </w:p>
    <w:p w14:paraId="281B8CD6"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lastRenderedPageBreak/>
        <w:t>[20]</w:t>
      </w:r>
      <w:r w:rsidRPr="006F7BF5">
        <w:rPr>
          <w:noProof/>
        </w:rPr>
        <w:tab/>
        <w:t>A. Nieto-Veloza, Z. Wang, Q. Zhong, H.B. Krishnan, V.P. Dia, BG-4 from Bitter Gourd (Momordica charantia) Differentially Affects Inflammation In Vitro and In Vivo, Antioxidants. 8 (2019) 175. https://doi.org/10.3390/antiox8060175.</w:t>
      </w:r>
    </w:p>
    <w:p w14:paraId="43F6BAFE"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[21]</w:t>
      </w:r>
      <w:r w:rsidRPr="006F7BF5">
        <w:rPr>
          <w:noProof/>
        </w:rPr>
        <w:tab/>
        <w:t>U. Erben, C. Loddenkemper, K. Doerfel, S. Spieckermann, D. Haller, M.M. Heimesaat, M. Zeitz, B. Siegmund, A.A. Kühl, A guide to histomorphological evaluation of intestinal inflammation in mouse models, 2014. www.ijcep.com/ (accessed November 18, 2020).</w:t>
      </w:r>
    </w:p>
    <w:p w14:paraId="6B708686"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[22]</w:t>
      </w:r>
      <w:r w:rsidRPr="006F7BF5">
        <w:rPr>
          <w:noProof/>
        </w:rPr>
        <w:tab/>
        <w:t>S.H. Itzkowitz, N. Harpaz, Diagnosis and management of dysplasia in patients with inflammatory bowel diseases, Gastroenterology. 126 (2004) 1634–1648. https://doi.org/10.1053/j.gastro.2004.03.025.</w:t>
      </w:r>
    </w:p>
    <w:p w14:paraId="56E5C43B"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[23]</w:t>
      </w:r>
      <w:r w:rsidRPr="006F7BF5">
        <w:rPr>
          <w:noProof/>
        </w:rPr>
        <w:tab/>
        <w:t>K. Head, J. Jurenka, Inflammatory bowel disease part I: Ulcerative Colitis - pathophysiology and conventional and alternative treatment options, Altern. Med. 8 (2003) 247–283.</w:t>
      </w:r>
    </w:p>
    <w:p w14:paraId="47A5E785"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[24]</w:t>
      </w:r>
      <w:r w:rsidRPr="006F7BF5">
        <w:rPr>
          <w:noProof/>
        </w:rPr>
        <w:tab/>
        <w:t xml:space="preserve"> c. H.G. Wei, J.Y. Wang, F.G. Xiong, B.H. Wu, M.G.H. Luo, Z.C. Yu, T.G.T.G. Liu,  de F.G. Li, Q. Tang, Y.G.X. Li,  din G.G. Zhang, Z.L. Xu, H.G.T. Jin,  li Sh.G. Wang, J. Yao, Curcumin ameliorates DSS</w:t>
      </w:r>
      <w:r w:rsidRPr="006F7BF5">
        <w:rPr>
          <w:rFonts w:ascii="Cambria Math" w:hAnsi="Cambria Math" w:cs="Cambria Math"/>
          <w:noProof/>
        </w:rPr>
        <w:t>‑</w:t>
      </w:r>
      <w:r w:rsidRPr="006F7BF5">
        <w:rPr>
          <w:noProof/>
        </w:rPr>
        <w:t>induced colitis in mice by regulating the Treg/Th17 signaling pathway, Mol. Med. Rep. 23 (2021) 1–7. https://doi.org/10.3892/mmr.2020.11672.</w:t>
      </w:r>
    </w:p>
    <w:p w14:paraId="42AFBC39"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[25]</w:t>
      </w:r>
      <w:r w:rsidRPr="006F7BF5">
        <w:rPr>
          <w:noProof/>
        </w:rPr>
        <w:tab/>
        <w:t xml:space="preserve">C. Mazewski, D. Luna-Vital, M. Berhow, E. Gonzalez de Mejia, Reduction of colitis-associated colon carcinogenesis by a black lentil water extract </w:t>
      </w:r>
      <w:r w:rsidRPr="006F7BF5">
        <w:rPr>
          <w:noProof/>
        </w:rPr>
        <w:lastRenderedPageBreak/>
        <w:t>through inhibition of inflammatory and immunomodulatory cytokines, Carcinogenesis. 41 (2020) 790–803. https://doi.org/10.1093/carcin/bgaa008.</w:t>
      </w:r>
    </w:p>
    <w:p w14:paraId="6AD4A78D"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[26]</w:t>
      </w:r>
      <w:r w:rsidRPr="006F7BF5">
        <w:rPr>
          <w:noProof/>
        </w:rPr>
        <w:tab/>
        <w:t>S. Wirtz, M.F. Neurath, Mouse models of inflammatory bowel disease, Adv. Drug Deliv. Rev. 59 (2007) 1073–1083. https://doi.org/10.1016/j.addr.2007.07.003.</w:t>
      </w:r>
    </w:p>
    <w:p w14:paraId="7B2CCC0C"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[27]</w:t>
      </w:r>
      <w:r w:rsidRPr="006F7BF5">
        <w:rPr>
          <w:noProof/>
        </w:rPr>
        <w:tab/>
        <w:t>C. Neufert, C. Becker, M.F. Neurath, An inducible mouse model of colon carcinogenesis for the analysis of sporadic and inflammation-driven tumor progression, (2007). https://doi.org/10.1038/nprot.2007.279.</w:t>
      </w:r>
    </w:p>
    <w:p w14:paraId="009CE412"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[28]</w:t>
      </w:r>
      <w:r w:rsidRPr="006F7BF5">
        <w:rPr>
          <w:noProof/>
        </w:rPr>
        <w:tab/>
        <w:t>A.N. Anbazhagan, S. Priyamvada, W.A. Alrefai, P.K. Dudeja, Pathophysiology of IBD associated diarrhea, Tissue Barriers. 6 (2018). https://doi.org/10.1080/21688370.2018.1463897.</w:t>
      </w:r>
    </w:p>
    <w:p w14:paraId="1DE635D2"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[29]</w:t>
      </w:r>
      <w:r w:rsidRPr="006F7BF5">
        <w:rPr>
          <w:noProof/>
        </w:rPr>
        <w:tab/>
        <w:t>R. Ahmad, M.F. Sorrell, S.K. Batra, P. Dhawan, A.B. Singh, Gut permeability and mucosal inflammation: Bad, good or context dependent, Mucosal Immunol. 10 (2017) 307–317. https://doi.org/10.1038/mi.2016.128.</w:t>
      </w:r>
    </w:p>
    <w:p w14:paraId="23AB845F"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[30]</w:t>
      </w:r>
      <w:r w:rsidRPr="006F7BF5">
        <w:rPr>
          <w:noProof/>
        </w:rPr>
        <w:tab/>
        <w:t>C. Terciolo, A. Dobric, M. Ouaissi, C. Siret, G. Breuzard, F. Silvy, B. Marchiori, S. Germain, R. Bonier, A. Hama, R. Owens, D. Lombardo, V. Rigot, F. André, Saccharomyces boulardii CNCM I-745 Restores intestinal Barrier Integrity by Regulation of E-cadherin Recycling, J. Crohns. Colitis. 11 (2017) 999–1010. https://doi.org/10.1093/ecco-jcc/jjx030.</w:t>
      </w:r>
    </w:p>
    <w:p w14:paraId="0601EFA5"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lastRenderedPageBreak/>
        <w:t>[31]</w:t>
      </w:r>
      <w:r w:rsidRPr="006F7BF5">
        <w:rPr>
          <w:noProof/>
        </w:rPr>
        <w:tab/>
        <w:t>Y. Xin, L. He, Z. Luan, H. Lv, H. Yang, Y. Zhou, X. Zhao, W. Zhou, S. Yu, B. Tan, H. Wang, J. Qian, E-cadherin Mediates the Preventive Effect of Vitamin D 3 in Colitis-associated Carcinogenesis, Inflamm. Bowel Dis. 23 (2017) 1535–1543. https://doi.org/10.1097/MIB.0000000000001209.</w:t>
      </w:r>
    </w:p>
    <w:p w14:paraId="13532E7A"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[32]</w:t>
      </w:r>
      <w:r w:rsidRPr="006F7BF5">
        <w:rPr>
          <w:noProof/>
        </w:rPr>
        <w:tab/>
        <w:t>J.M.P. Pabona, B. Dave, Y. Su, M.T.E. Montales, B.O. De Lumen, E.G. De Mejia, O.M. Rahal, R.C.M. Simmen, The soybean peptide lunasin promotes apoptosis of mammary epithelial cells via induction of tumor suppressor PTEN: Similarities and distinct actions from soy isoflavone genistein, Genes Nutr. 8 (2013) 79–90. https://doi.org/10.1007/s12263-012-0307-5.</w:t>
      </w:r>
    </w:p>
    <w:p w14:paraId="792AA983"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[33]</w:t>
      </w:r>
      <w:r w:rsidRPr="006F7BF5">
        <w:rPr>
          <w:noProof/>
        </w:rPr>
        <w:tab/>
        <w:t>Y. Su, B.O. de Lumen, R.C. Simmen, Soy Components Genistein And Lunasin Regulate E-Cadherin And Wnt Signaling In Mammary Epithelial Cells, FASEB J. 22 (n.d.) 700.1-700.1. https://doi.org/10.1096/FASEBJ.22.1_SUPPLEMENT.700.1.</w:t>
      </w:r>
    </w:p>
    <w:p w14:paraId="74B60F12"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[34]</w:t>
      </w:r>
      <w:r w:rsidRPr="006F7BF5">
        <w:rPr>
          <w:noProof/>
        </w:rPr>
        <w:tab/>
        <w:t>V.P. Dia, E.G. De Mejia, Lunasin induces apoptosis and modifies the expression of genes associated with extracellular matrix and cell adhesion in human metastatic colon cancer cells, Mol. Nutr. Food Res. 55 (2011) 623–634. https://doi.org/10.1002/mnfr.201000419.</w:t>
      </w:r>
    </w:p>
    <w:p w14:paraId="076D0D2B"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[35]</w:t>
      </w:r>
      <w:r w:rsidRPr="006F7BF5">
        <w:rPr>
          <w:noProof/>
        </w:rPr>
        <w:tab/>
        <w:t>A. Dogan, Z.D. Wang, J. Spencer, E-cadherin expression in intestinal epithelium, J. Clin. Pathol. 48 (1995) 143–146. https://doi.org/10.1136/jcp.48.2.143.</w:t>
      </w:r>
    </w:p>
    <w:p w14:paraId="7D9EE630"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lastRenderedPageBreak/>
        <w:t>[36]</w:t>
      </w:r>
      <w:r w:rsidRPr="006F7BF5">
        <w:rPr>
          <w:noProof/>
        </w:rPr>
        <w:tab/>
        <w:t>D. Muthas, A. Reznichenko, C.A. Balendran, G. Böttcher, I.G. Clausen, C. Kärrman Mårdh, T. Ottosson, M. Uddin, T.T. MacDonald, S. Danese, M. Berner Hansen, Neutrophils in ulcerative colitis: a review of selected biomarkers and their potential therapeutic implications, Scand. J. Gastroenterol. 52 (2017) 125–135. https://doi.org/10.1080/00365521.2016.1235224.</w:t>
      </w:r>
    </w:p>
    <w:p w14:paraId="53F1A8C9"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[37]</w:t>
      </w:r>
      <w:r w:rsidRPr="006F7BF5">
        <w:rPr>
          <w:noProof/>
        </w:rPr>
        <w:tab/>
        <w:t>M.H. Gordon, A. Chauvin, F.M. Boisvert, W.K. MacNaughton, Proteolytic Processing of the Epithelial Adherens Junction Molecule E-Cadherin by Neutrophil Elastase Generates Short Peptides With Novel Wound-Healing Bioactivity, CMGH. 7 (2019) 483-486.e8. https://doi.org/10.1016/j.jcmgh.2018.10.012.</w:t>
      </w:r>
    </w:p>
    <w:p w14:paraId="78E50FD7"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[38]</w:t>
      </w:r>
      <w:r w:rsidRPr="006F7BF5">
        <w:rPr>
          <w:noProof/>
        </w:rPr>
        <w:tab/>
        <w:t>S.I. Grivennikov, Inflammation and colorectal cancer: Colitis-associated neoplasia, Semin. Immunopathol. 35 (2013) 229–244. https://doi.org/10.1007/s00281-012-0352-6.</w:t>
      </w:r>
    </w:p>
    <w:p w14:paraId="069DAFBB"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[39]</w:t>
      </w:r>
      <w:r w:rsidRPr="006F7BF5">
        <w:rPr>
          <w:noProof/>
        </w:rPr>
        <w:tab/>
        <w:t>V.P. Dia, E. Gonzalez de Mejia, Lunasin potentiates the effect of oxaliplatin preventing outgrowth of colon cancer metastasis, binds to α 5β 1 integrin and suppresses FAK/ERK/NF-κB signaling, Cancer Lett. 313 (2011) 167–180. https://doi.org/10.1016/j.canlet.2011.09.002.</w:t>
      </w:r>
    </w:p>
    <w:p w14:paraId="6A6B5FE3"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[40]</w:t>
      </w:r>
      <w:r w:rsidRPr="006F7BF5">
        <w:rPr>
          <w:noProof/>
        </w:rPr>
        <w:tab/>
        <w:t xml:space="preserve">J. Pedersen, E.C. LaCasse, J.B. Seidelin, M. Coskun, O.H. Nielsen, Inhibitors of apoptosis (IAPs) regulate intestinal immunity and inflammatory bowel disease (IBD) inflammation, Trends Mol. Med. 20 (2014) 652–665. </w:t>
      </w:r>
      <w:r w:rsidRPr="006F7BF5">
        <w:rPr>
          <w:noProof/>
        </w:rPr>
        <w:lastRenderedPageBreak/>
        <w:t>https://doi.org/10.1016/j.molmed.2014.09.006.</w:t>
      </w:r>
    </w:p>
    <w:p w14:paraId="344A8831"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[41]</w:t>
      </w:r>
      <w:r w:rsidRPr="006F7BF5">
        <w:rPr>
          <w:noProof/>
        </w:rPr>
        <w:tab/>
        <w:t>M. Girardelli, S. Arrigo, A. Barabino, C. Loganes, G. Morreale, S. Crovella, A. Tommasini, A.M. Bianco, The diagnostic challenge of very early-onset enterocolitis in an infant with XIAP deficiency, BMC Pediatr. 15 (2015) 1–7. https://doi.org/10.1186/s12887-015-0522-5.</w:t>
      </w:r>
    </w:p>
    <w:p w14:paraId="2A579BE4"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[42]</w:t>
      </w:r>
      <w:r w:rsidRPr="006F7BF5">
        <w:rPr>
          <w:noProof/>
        </w:rPr>
        <w:tab/>
        <w:t>A.P.B. Da Silva, A. Pollett, S.R. Rittling, D.T. Denhardt, J. Sodek, R. Zohar, Exacerbated tissue destruction in DSS-induced acute colitis of OPN-null mice is associated with downregulation of TNF-α expression and non-programmed cell death, J. Cell. Physiol. 208 (2006) 629–639. https://doi.org/10.1002/jcp.20701.</w:t>
      </w:r>
    </w:p>
    <w:p w14:paraId="7E04365E" w14:textId="77777777" w:rsidR="00C1410F" w:rsidRPr="00C1410F" w:rsidRDefault="00C1410F" w:rsidP="00C1410F">
      <w:pPr>
        <w:widowControl w:val="0"/>
        <w:autoSpaceDE w:val="0"/>
        <w:autoSpaceDN w:val="0"/>
        <w:adjustRightInd w:val="0"/>
        <w:spacing w:after="160" w:line="480" w:lineRule="auto"/>
        <w:ind w:left="640" w:hanging="640"/>
        <w:rPr>
          <w:noProof/>
          <w:lang w:val="es-CO"/>
        </w:rPr>
      </w:pPr>
      <w:r w:rsidRPr="006F7BF5">
        <w:rPr>
          <w:noProof/>
        </w:rPr>
        <w:t>[43]</w:t>
      </w:r>
      <w:r w:rsidRPr="006F7BF5">
        <w:rPr>
          <w:noProof/>
        </w:rPr>
        <w:tab/>
        <w:t xml:space="preserve">C.C. Hsieh, Y.F. Wang, P.Y. Lin, S.H. Peng, M.J. Chou, Seed peptide lunasin ameliorates obesity-induced inflammation and regulates immune responses in C57BL/6J mice fed high-fat diet, Food Chem. </w:t>
      </w:r>
      <w:r w:rsidRPr="00C1410F">
        <w:rPr>
          <w:noProof/>
          <w:lang w:val="es-CO"/>
        </w:rPr>
        <w:t>Toxicol. 147 (2021) 111908. https://doi.org/10.1016/j.fct.2020.111908.</w:t>
      </w:r>
    </w:p>
    <w:p w14:paraId="02A6AB5D" w14:textId="77777777" w:rsidR="00C1410F" w:rsidRPr="00C1410F" w:rsidRDefault="00C1410F" w:rsidP="00C1410F">
      <w:pPr>
        <w:widowControl w:val="0"/>
        <w:autoSpaceDE w:val="0"/>
        <w:autoSpaceDN w:val="0"/>
        <w:adjustRightInd w:val="0"/>
        <w:spacing w:after="160" w:line="480" w:lineRule="auto"/>
        <w:ind w:left="640" w:hanging="640"/>
        <w:rPr>
          <w:noProof/>
          <w:lang w:val="es-CO"/>
        </w:rPr>
      </w:pPr>
      <w:r w:rsidRPr="00C1410F">
        <w:rPr>
          <w:noProof/>
          <w:lang w:val="es-CO"/>
        </w:rPr>
        <w:t>[44]</w:t>
      </w:r>
      <w:r w:rsidRPr="00C1410F">
        <w:rPr>
          <w:noProof/>
          <w:lang w:val="es-CO"/>
        </w:rPr>
        <w:tab/>
        <w:t>E. Cerrillo, E.S. González, G. Bastida, P. Nos, Extraintestinal manifestations in inflammatory bowel disease, Med. 13 (2020) 618–630. https://doi.org/10.1016/j.med.2020.06.013.</w:t>
      </w:r>
    </w:p>
    <w:p w14:paraId="4F08C1F6"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[45]</w:t>
      </w:r>
      <w:r w:rsidRPr="006F7BF5">
        <w:rPr>
          <w:noProof/>
        </w:rPr>
        <w:tab/>
        <w:t xml:space="preserve">G. Andrisani, L. Guidi, A. Armuzzi, Anti-TNF alpha therapy in the management of extraintestinal manifestation of inflammatory bowel disease, Eur. Rev. Med. Pharmacol. Sci. 16 (2012) 890–901. https://www.europeanreview.org/wp/wp-content/uploads/1422.pdf </w:t>
      </w:r>
      <w:r w:rsidRPr="006F7BF5">
        <w:rPr>
          <w:noProof/>
        </w:rPr>
        <w:lastRenderedPageBreak/>
        <w:t>(accessed May 28, 2021).</w:t>
      </w:r>
    </w:p>
    <w:p w14:paraId="1E05D689"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[46]</w:t>
      </w:r>
      <w:r w:rsidRPr="006F7BF5">
        <w:rPr>
          <w:noProof/>
        </w:rPr>
        <w:tab/>
        <w:t>L. Van Der Kraak, P. Gros, N. Beauchemin, Colitis-associated colon cancer: Is it in your genes?, World J. Gastroenterol. 21 (2015) 11688–11699. https://doi.org/10.3748/wjg.v21.i41.11688.</w:t>
      </w:r>
    </w:p>
    <w:p w14:paraId="6103F9EB"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[47]</w:t>
      </w:r>
      <w:r w:rsidRPr="006F7BF5">
        <w:rPr>
          <w:noProof/>
        </w:rPr>
        <w:tab/>
        <w:t>T.L. Zisman, D.T. Rubin, Colorectal cancer and dysplasia in inflammatory bowel disease, World J. Gastroenterol. 14 (2008) 2662–2669. https://doi.org/10.3748/wjg.14.2662.</w:t>
      </w:r>
    </w:p>
    <w:p w14:paraId="70979664" w14:textId="77777777" w:rsidR="00C1410F" w:rsidRPr="006F7BF5" w:rsidRDefault="00C1410F" w:rsidP="00C1410F">
      <w:pPr>
        <w:widowControl w:val="0"/>
        <w:autoSpaceDE w:val="0"/>
        <w:autoSpaceDN w:val="0"/>
        <w:adjustRightInd w:val="0"/>
        <w:spacing w:after="160" w:line="480" w:lineRule="auto"/>
        <w:ind w:left="640" w:hanging="640"/>
        <w:rPr>
          <w:noProof/>
        </w:rPr>
      </w:pPr>
      <w:r w:rsidRPr="006F7BF5">
        <w:rPr>
          <w:noProof/>
        </w:rPr>
        <w:t>[48]</w:t>
      </w:r>
      <w:r w:rsidRPr="006F7BF5">
        <w:rPr>
          <w:noProof/>
        </w:rPr>
        <w:tab/>
        <w:t>S.H. Itzkowitz, Molecular Biology of Dysplasia and Cancer in Inflammatory Bowel Disease, Gastroenterol. Clin. North Am. 35 (2006) 553–571. https://doi.org/10.1016/j.gtc.2006.07.002.</w:t>
      </w:r>
    </w:p>
    <w:p w14:paraId="58F838B9" w14:textId="02717B5C" w:rsidR="00F62846" w:rsidRPr="00DA7DFE" w:rsidRDefault="00C1410F" w:rsidP="00C1410F">
      <w:pPr>
        <w:spacing w:line="480" w:lineRule="auto"/>
        <w:rPr>
          <w:color w:val="000000" w:themeColor="text1"/>
        </w:rPr>
      </w:pPr>
      <w:r>
        <w:fldChar w:fldCharType="end"/>
      </w:r>
    </w:p>
    <w:p w14:paraId="5BB19151" w14:textId="77777777" w:rsidR="00C1410F" w:rsidRDefault="00C1410F">
      <w:pPr>
        <w:rPr>
          <w:b/>
          <w:bCs/>
          <w:iCs/>
          <w:sz w:val="28"/>
          <w:szCs w:val="28"/>
        </w:rPr>
      </w:pPr>
      <w:r>
        <w:br w:type="page"/>
      </w:r>
    </w:p>
    <w:p w14:paraId="45A4ED4B" w14:textId="0FE4E854" w:rsidR="00DA7DFE" w:rsidRDefault="00DA7DFE" w:rsidP="00C1410F">
      <w:pPr>
        <w:pStyle w:val="Heading2"/>
        <w:spacing w:line="480" w:lineRule="auto"/>
      </w:pPr>
      <w:bookmarkStart w:id="140" w:name="_Toc77082166"/>
      <w:r>
        <w:lastRenderedPageBreak/>
        <w:t>Appendix</w:t>
      </w:r>
      <w:bookmarkEnd w:id="140"/>
    </w:p>
    <w:p w14:paraId="2B7C99F4" w14:textId="77777777" w:rsidR="005A09AF" w:rsidRDefault="0000620B" w:rsidP="005A09AF">
      <w:pPr>
        <w:keepNext/>
        <w:jc w:val="center"/>
      </w:pPr>
      <w:r>
        <w:rPr>
          <w:noProof/>
          <w:color w:val="000000" w:themeColor="text1"/>
        </w:rPr>
        <w:drawing>
          <wp:inline distT="0" distB="0" distL="0" distR="0" wp14:anchorId="7A302D70" wp14:editId="254C2710">
            <wp:extent cx="5614035" cy="7209155"/>
            <wp:effectExtent l="0" t="0" r="5715" b="0"/>
            <wp:docPr id="25" name="Imagen 25"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agram, engineering drawing&#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14035" cy="7209155"/>
                    </a:xfrm>
                    <a:prstGeom prst="rect">
                      <a:avLst/>
                    </a:prstGeom>
                    <a:noFill/>
                    <a:ln>
                      <a:noFill/>
                    </a:ln>
                  </pic:spPr>
                </pic:pic>
              </a:graphicData>
            </a:graphic>
          </wp:inline>
        </w:drawing>
      </w:r>
    </w:p>
    <w:p w14:paraId="662B0241" w14:textId="4DE5ADCC" w:rsidR="0000620B" w:rsidRPr="005A09AF" w:rsidRDefault="005A09AF" w:rsidP="00C1410F">
      <w:pPr>
        <w:pStyle w:val="Caption"/>
        <w:spacing w:line="480" w:lineRule="auto"/>
        <w:jc w:val="center"/>
        <w:rPr>
          <w:b w:val="0"/>
          <w:color w:val="000000" w:themeColor="text1"/>
        </w:rPr>
      </w:pPr>
      <w:bookmarkStart w:id="141" w:name="_Toc77082192"/>
      <w:r>
        <w:lastRenderedPageBreak/>
        <w:t xml:space="preserve">Figure </w:t>
      </w:r>
      <w:fldSimple w:instr=" STYLEREF 1 \s ">
        <w:r w:rsidR="0023061D">
          <w:rPr>
            <w:noProof/>
          </w:rPr>
          <w:t>4</w:t>
        </w:r>
      </w:fldSimple>
      <w:r w:rsidR="00A8604A">
        <w:t>.</w:t>
      </w:r>
      <w:fldSimple w:instr=" SEQ Figure \* ARABIC \s 1 ">
        <w:r w:rsidR="0023061D">
          <w:rPr>
            <w:noProof/>
          </w:rPr>
          <w:t>1</w:t>
        </w:r>
      </w:fldSimple>
      <w:r>
        <w:t xml:space="preserve"> </w:t>
      </w:r>
      <w:r w:rsidRPr="005A09AF">
        <w:rPr>
          <w:b w:val="0"/>
        </w:rPr>
        <w:t>Macroscopic markers of the disease.</w:t>
      </w:r>
      <w:bookmarkEnd w:id="141"/>
    </w:p>
    <w:p w14:paraId="1B025593" w14:textId="77777777" w:rsidR="0000620B" w:rsidRDefault="0000620B" w:rsidP="00C1410F">
      <w:pPr>
        <w:spacing w:line="480" w:lineRule="auto"/>
        <w:rPr>
          <w:color w:val="000000" w:themeColor="text1"/>
        </w:rPr>
      </w:pPr>
      <w:r>
        <w:rPr>
          <w:color w:val="000000" w:themeColor="text1"/>
        </w:rPr>
        <w:t>(A) Variation of the average relative body weight, (B) Average and (C) Frequency for disease activity index (DAI) scores, (D) Hemoglobin content in stool as an indicator of occult fecal blood, (E) Frequency for hematochezia score, (F) Average and (G) Frequency for stool consistency score. Results are presented as average ± SEM. * Indicate significant differences (p&lt;0.05) between AOM/DSS and AOM/DSS + Lunasin groups. Over the last 10 days of the experiment, the relative body</w:t>
      </w:r>
      <w:r w:rsidR="00E25534">
        <w:rPr>
          <w:color w:val="000000" w:themeColor="text1"/>
        </w:rPr>
        <w:t xml:space="preserve"> </w:t>
      </w:r>
      <w:r>
        <w:rPr>
          <w:color w:val="000000" w:themeColor="text1"/>
        </w:rPr>
        <w:t xml:space="preserve">weight of the AOM/DSS + Lunasin group was significantly higher than the relative body weight for the AOM/DSS group (indicated by a horizontal bar).   </w:t>
      </w:r>
    </w:p>
    <w:p w14:paraId="4399B9B3" w14:textId="77777777" w:rsidR="0000620B" w:rsidRDefault="0000620B" w:rsidP="0000620B">
      <w:pPr>
        <w:rPr>
          <w:color w:val="000000" w:themeColor="text1"/>
        </w:rPr>
      </w:pPr>
      <w:r>
        <w:rPr>
          <w:color w:val="000000" w:themeColor="text1"/>
        </w:rPr>
        <w:br w:type="page"/>
      </w:r>
    </w:p>
    <w:p w14:paraId="7B75E4EF" w14:textId="77777777" w:rsidR="005A09AF" w:rsidRDefault="0000620B" w:rsidP="005A09AF">
      <w:pPr>
        <w:keepNext/>
        <w:jc w:val="center"/>
      </w:pPr>
      <w:r>
        <w:rPr>
          <w:noProof/>
          <w:color w:val="000000" w:themeColor="text1"/>
        </w:rPr>
        <w:lastRenderedPageBreak/>
        <w:drawing>
          <wp:inline distT="0" distB="0" distL="0" distR="0" wp14:anchorId="75835093" wp14:editId="49B70758">
            <wp:extent cx="5614035" cy="2211705"/>
            <wp:effectExtent l="0" t="0" r="5715" b="0"/>
            <wp:docPr id="24" name="Imagen 2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hart, scatter chart&#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14035" cy="2211705"/>
                    </a:xfrm>
                    <a:prstGeom prst="rect">
                      <a:avLst/>
                    </a:prstGeom>
                    <a:noFill/>
                    <a:ln>
                      <a:noFill/>
                    </a:ln>
                  </pic:spPr>
                </pic:pic>
              </a:graphicData>
            </a:graphic>
          </wp:inline>
        </w:drawing>
      </w:r>
    </w:p>
    <w:p w14:paraId="74DCAE04" w14:textId="6118D0B8" w:rsidR="0000620B" w:rsidRPr="005A09AF" w:rsidRDefault="005A09AF" w:rsidP="00C1410F">
      <w:pPr>
        <w:pStyle w:val="Caption"/>
        <w:spacing w:line="480" w:lineRule="auto"/>
        <w:jc w:val="center"/>
        <w:rPr>
          <w:b w:val="0"/>
          <w:color w:val="000000" w:themeColor="text1"/>
        </w:rPr>
      </w:pPr>
      <w:bookmarkStart w:id="142" w:name="_Toc77082193"/>
      <w:r>
        <w:t xml:space="preserve">Figure </w:t>
      </w:r>
      <w:fldSimple w:instr=" STYLEREF 1 \s ">
        <w:r w:rsidR="0023061D">
          <w:rPr>
            <w:noProof/>
          </w:rPr>
          <w:t>4</w:t>
        </w:r>
      </w:fldSimple>
      <w:r w:rsidR="00A8604A">
        <w:t>.</w:t>
      </w:r>
      <w:fldSimple w:instr=" SEQ Figure \* ARABIC \s 1 ">
        <w:r w:rsidR="0023061D">
          <w:rPr>
            <w:noProof/>
          </w:rPr>
          <w:t>2</w:t>
        </w:r>
      </w:fldSimple>
      <w:r>
        <w:t xml:space="preserve"> </w:t>
      </w:r>
      <w:r w:rsidRPr="005A09AF">
        <w:rPr>
          <w:b w:val="0"/>
        </w:rPr>
        <w:t>Effect of lunasin over spleen and colon.</w:t>
      </w:r>
      <w:bookmarkEnd w:id="142"/>
    </w:p>
    <w:p w14:paraId="510CBFC5" w14:textId="59D7EB68" w:rsidR="0000620B" w:rsidRDefault="0000620B" w:rsidP="00C1410F">
      <w:pPr>
        <w:spacing w:line="480" w:lineRule="auto"/>
        <w:rPr>
          <w:color w:val="000000" w:themeColor="text1"/>
        </w:rPr>
      </w:pPr>
      <w:r>
        <w:rPr>
          <w:color w:val="000000" w:themeColor="text1"/>
        </w:rPr>
        <w:t>(A) Relative spleen weight, representative pictures of the spleens as insets, (B) Relative colon weight, and (C) Representative pictures of colon length</w:t>
      </w:r>
      <w:r w:rsidR="00A23AA3">
        <w:rPr>
          <w:color w:val="000000" w:themeColor="text1"/>
        </w:rPr>
        <w:t>, with</w:t>
      </w:r>
      <w:r>
        <w:rPr>
          <w:color w:val="000000" w:themeColor="text1"/>
        </w:rPr>
        <w:t xml:space="preserve"> </w:t>
      </w:r>
      <w:r w:rsidR="00A23AA3">
        <w:rPr>
          <w:color w:val="000000" w:themeColor="text1"/>
        </w:rPr>
        <w:t>w</w:t>
      </w:r>
      <w:r>
        <w:rPr>
          <w:color w:val="000000" w:themeColor="text1"/>
        </w:rPr>
        <w:t>hite arrows indicat</w:t>
      </w:r>
      <w:r w:rsidR="00A23AA3">
        <w:rPr>
          <w:color w:val="000000" w:themeColor="text1"/>
        </w:rPr>
        <w:t>ing</w:t>
      </w:r>
      <w:r>
        <w:rPr>
          <w:color w:val="000000" w:themeColor="text1"/>
        </w:rPr>
        <w:t xml:space="preserve"> tumors. Results are presented as average ± SEM.  </w:t>
      </w:r>
    </w:p>
    <w:p w14:paraId="7125CD31" w14:textId="77777777" w:rsidR="0000620B" w:rsidRDefault="0000620B" w:rsidP="00C1410F">
      <w:pPr>
        <w:spacing w:line="480" w:lineRule="auto"/>
        <w:rPr>
          <w:color w:val="000000" w:themeColor="text1"/>
        </w:rPr>
      </w:pPr>
      <w:r>
        <w:rPr>
          <w:color w:val="000000" w:themeColor="text1"/>
        </w:rPr>
        <w:br w:type="page"/>
      </w:r>
    </w:p>
    <w:p w14:paraId="523DCED4" w14:textId="201A04FB" w:rsidR="005A09AF" w:rsidRDefault="007453BD" w:rsidP="005A09AF">
      <w:pPr>
        <w:keepNext/>
        <w:jc w:val="center"/>
      </w:pPr>
      <w:r>
        <w:rPr>
          <w:noProof/>
        </w:rPr>
        <w:lastRenderedPageBreak/>
        <w:drawing>
          <wp:inline distT="0" distB="0" distL="0" distR="0" wp14:anchorId="213DE508" wp14:editId="2575CF7A">
            <wp:extent cx="5486400" cy="3616960"/>
            <wp:effectExtent l="0" t="0" r="0" b="2540"/>
            <wp:docPr id="2" name="Picture 2" descr="A picture containing text, receip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receipt&#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5486400" cy="3616960"/>
                    </a:xfrm>
                    <a:prstGeom prst="rect">
                      <a:avLst/>
                    </a:prstGeom>
                  </pic:spPr>
                </pic:pic>
              </a:graphicData>
            </a:graphic>
          </wp:inline>
        </w:drawing>
      </w:r>
    </w:p>
    <w:p w14:paraId="283488F0" w14:textId="25ECA4DF" w:rsidR="0000620B" w:rsidRDefault="005A09AF" w:rsidP="00154906">
      <w:pPr>
        <w:pStyle w:val="Caption"/>
        <w:spacing w:line="480" w:lineRule="auto"/>
        <w:jc w:val="center"/>
        <w:rPr>
          <w:color w:val="000000" w:themeColor="text1"/>
        </w:rPr>
      </w:pPr>
      <w:bookmarkStart w:id="143" w:name="_Toc77082194"/>
      <w:r>
        <w:t xml:space="preserve">Figure </w:t>
      </w:r>
      <w:fldSimple w:instr=" STYLEREF 1 \s ">
        <w:r w:rsidR="0023061D">
          <w:rPr>
            <w:noProof/>
          </w:rPr>
          <w:t>4</w:t>
        </w:r>
      </w:fldSimple>
      <w:r w:rsidR="00A8604A">
        <w:t>.</w:t>
      </w:r>
      <w:fldSimple w:instr=" SEQ Figure \* ARABIC \s 1 ">
        <w:r w:rsidR="0023061D">
          <w:rPr>
            <w:noProof/>
          </w:rPr>
          <w:t>3</w:t>
        </w:r>
      </w:fldSimple>
      <w:r>
        <w:t xml:space="preserve"> </w:t>
      </w:r>
      <w:r w:rsidRPr="005A09AF">
        <w:rPr>
          <w:b w:val="0"/>
        </w:rPr>
        <w:t>Evaluation of histopathological markers of inflammation</w:t>
      </w:r>
      <w:bookmarkEnd w:id="143"/>
    </w:p>
    <w:p w14:paraId="02762493" w14:textId="37EFF766" w:rsidR="0000620B" w:rsidRDefault="0000620B" w:rsidP="00154906">
      <w:pPr>
        <w:spacing w:line="480" w:lineRule="auto"/>
        <w:rPr>
          <w:color w:val="000000" w:themeColor="text1"/>
        </w:rPr>
      </w:pPr>
      <w:r>
        <w:rPr>
          <w:color w:val="000000" w:themeColor="text1"/>
        </w:rPr>
        <w:t>Scores for</w:t>
      </w:r>
      <w:r>
        <w:rPr>
          <w:b/>
          <w:bCs/>
          <w:color w:val="000000" w:themeColor="text1"/>
        </w:rPr>
        <w:t xml:space="preserve"> </w:t>
      </w:r>
      <w:r>
        <w:rPr>
          <w:color w:val="000000" w:themeColor="text1"/>
        </w:rPr>
        <w:t xml:space="preserve">(A) Density of cellular infiltration, (B) Extent of infiltrate, (C) Mucosal architecture, and (D) Total inflammation. (E) Quantification of MPO activity in the colon, (F) H&amp;E micrographs of areas affected by inflammation. Scale bars (bottom right) is 275 µm. Arrows </w:t>
      </w:r>
      <w:r w:rsidR="00766573">
        <w:rPr>
          <w:color w:val="000000" w:themeColor="text1"/>
        </w:rPr>
        <w:t xml:space="preserve">in (F) </w:t>
      </w:r>
      <w:r>
        <w:rPr>
          <w:color w:val="000000" w:themeColor="text1"/>
        </w:rPr>
        <w:t>indicate cellular infiltration (black), goblet cell depletion (white), and erosion (blue). Results are presented as average ± SEM.</w:t>
      </w:r>
    </w:p>
    <w:p w14:paraId="0965D686" w14:textId="77777777" w:rsidR="0000620B" w:rsidRDefault="0000620B" w:rsidP="0000620B">
      <w:pPr>
        <w:rPr>
          <w:color w:val="000000" w:themeColor="text1"/>
        </w:rPr>
      </w:pPr>
    </w:p>
    <w:p w14:paraId="22E39239" w14:textId="77777777" w:rsidR="0000620B" w:rsidRDefault="0000620B" w:rsidP="0000620B">
      <w:pPr>
        <w:rPr>
          <w:color w:val="000000" w:themeColor="text1"/>
        </w:rPr>
      </w:pPr>
    </w:p>
    <w:p w14:paraId="0F6D6061" w14:textId="77777777" w:rsidR="0000620B" w:rsidRDefault="0000620B" w:rsidP="0000620B">
      <w:pPr>
        <w:rPr>
          <w:color w:val="000000" w:themeColor="text1"/>
        </w:rPr>
      </w:pPr>
      <w:r>
        <w:rPr>
          <w:color w:val="000000" w:themeColor="text1"/>
          <w:lang w:eastAsia="es-CO"/>
        </w:rPr>
        <w:br w:type="page"/>
      </w:r>
    </w:p>
    <w:p w14:paraId="72171EFF" w14:textId="2BF7C093" w:rsidR="005A09AF" w:rsidRDefault="007453BD" w:rsidP="005A09AF">
      <w:pPr>
        <w:keepNext/>
        <w:jc w:val="center"/>
      </w:pPr>
      <w:r>
        <w:rPr>
          <w:noProof/>
        </w:rPr>
        <w:lastRenderedPageBreak/>
        <w:drawing>
          <wp:inline distT="0" distB="0" distL="0" distR="0" wp14:anchorId="5AA391CE" wp14:editId="74CC9210">
            <wp:extent cx="5400675" cy="3359150"/>
            <wp:effectExtent l="0" t="0" r="9525" b="0"/>
            <wp:docPr id="3" name="Picture 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with medium confidence"/>
                    <pic:cNvPicPr/>
                  </pic:nvPicPr>
                  <pic:blipFill rotWithShape="1">
                    <a:blip r:embed="rId38">
                      <a:extLst>
                        <a:ext uri="{28A0092B-C50C-407E-A947-70E740481C1C}">
                          <a14:useLocalDpi xmlns:a14="http://schemas.microsoft.com/office/drawing/2010/main" val="0"/>
                        </a:ext>
                      </a:extLst>
                    </a:blip>
                    <a:srcRect r="1563"/>
                    <a:stretch/>
                  </pic:blipFill>
                  <pic:spPr bwMode="auto">
                    <a:xfrm>
                      <a:off x="0" y="0"/>
                      <a:ext cx="5400675" cy="3359150"/>
                    </a:xfrm>
                    <a:prstGeom prst="rect">
                      <a:avLst/>
                    </a:prstGeom>
                    <a:ln>
                      <a:noFill/>
                    </a:ln>
                    <a:extLst>
                      <a:ext uri="{53640926-AAD7-44D8-BBD7-CCE9431645EC}">
                        <a14:shadowObscured xmlns:a14="http://schemas.microsoft.com/office/drawing/2010/main"/>
                      </a:ext>
                    </a:extLst>
                  </pic:spPr>
                </pic:pic>
              </a:graphicData>
            </a:graphic>
          </wp:inline>
        </w:drawing>
      </w:r>
    </w:p>
    <w:p w14:paraId="7C0D1634" w14:textId="05491F1E" w:rsidR="0000620B" w:rsidRPr="005A09AF" w:rsidRDefault="005A09AF" w:rsidP="00154906">
      <w:pPr>
        <w:pStyle w:val="Caption"/>
        <w:spacing w:line="480" w:lineRule="auto"/>
        <w:jc w:val="center"/>
        <w:rPr>
          <w:b w:val="0"/>
          <w:color w:val="000000" w:themeColor="text1"/>
        </w:rPr>
      </w:pPr>
      <w:bookmarkStart w:id="144" w:name="_Toc77082195"/>
      <w:r>
        <w:t xml:space="preserve">Figure </w:t>
      </w:r>
      <w:fldSimple w:instr=" STYLEREF 1 \s ">
        <w:r w:rsidR="0023061D">
          <w:rPr>
            <w:noProof/>
          </w:rPr>
          <w:t>4</w:t>
        </w:r>
      </w:fldSimple>
      <w:r w:rsidR="00A8604A">
        <w:t>.</w:t>
      </w:r>
      <w:fldSimple w:instr=" SEQ Figure \* ARABIC \s 1 ">
        <w:r w:rsidR="0023061D">
          <w:rPr>
            <w:noProof/>
          </w:rPr>
          <w:t>4</w:t>
        </w:r>
      </w:fldSimple>
      <w:r>
        <w:t xml:space="preserve"> </w:t>
      </w:r>
      <w:r w:rsidRPr="005A09AF">
        <w:rPr>
          <w:b w:val="0"/>
        </w:rPr>
        <w:t>Tumor burden and dysplasia.</w:t>
      </w:r>
      <w:bookmarkEnd w:id="144"/>
    </w:p>
    <w:p w14:paraId="0280A13E" w14:textId="4B6EDB48" w:rsidR="004F0F56" w:rsidRDefault="005A09AF" w:rsidP="004F0F56">
      <w:pPr>
        <w:spacing w:line="480" w:lineRule="auto"/>
        <w:rPr>
          <w:color w:val="000000" w:themeColor="text1"/>
        </w:rPr>
      </w:pPr>
      <w:r>
        <w:rPr>
          <w:color w:val="000000" w:themeColor="text1"/>
        </w:rPr>
        <w:t xml:space="preserve"> </w:t>
      </w:r>
      <w:r w:rsidR="0000620B">
        <w:rPr>
          <w:color w:val="000000" w:themeColor="text1"/>
        </w:rPr>
        <w:t xml:space="preserve">(A) Representative pictures of longitudinally opened colons indicating tumors (white arrows), (B) </w:t>
      </w:r>
      <w:r w:rsidR="008D5F96">
        <w:rPr>
          <w:color w:val="000000" w:themeColor="text1"/>
        </w:rPr>
        <w:t>T</w:t>
      </w:r>
      <w:r w:rsidR="0000620B">
        <w:rPr>
          <w:color w:val="000000" w:themeColor="text1"/>
        </w:rPr>
        <w:t>otal number of tumors per mouse, (C)</w:t>
      </w:r>
      <w:r w:rsidR="00E25534">
        <w:rPr>
          <w:color w:val="000000" w:themeColor="text1"/>
        </w:rPr>
        <w:t xml:space="preserve"> Cumulative </w:t>
      </w:r>
      <w:r w:rsidR="0000620B">
        <w:rPr>
          <w:color w:val="000000" w:themeColor="text1"/>
        </w:rPr>
        <w:t>tumor volume, and (D) H&amp;E micrographs of colon sections from each treatment group indicating polypoid dysplastic masses (black squares) and representative pictures of L: low, H: high, and I: indefinite dysplasia, and C: carcinoma. Results are presented as average ± SEM.</w:t>
      </w:r>
    </w:p>
    <w:p w14:paraId="5EAC79E7" w14:textId="77777777" w:rsidR="004F0F56" w:rsidRDefault="004F0F56">
      <w:pPr>
        <w:rPr>
          <w:color w:val="000000" w:themeColor="text1"/>
        </w:rPr>
      </w:pPr>
      <w:r>
        <w:rPr>
          <w:color w:val="000000" w:themeColor="text1"/>
        </w:rPr>
        <w:br w:type="page"/>
      </w:r>
    </w:p>
    <w:p w14:paraId="246711E7" w14:textId="2D68FFBC" w:rsidR="00976CAC" w:rsidRPr="005A09AF" w:rsidRDefault="00976CAC" w:rsidP="00976CAC">
      <w:pPr>
        <w:pStyle w:val="Caption"/>
        <w:spacing w:line="480" w:lineRule="auto"/>
        <w:jc w:val="center"/>
        <w:rPr>
          <w:b w:val="0"/>
        </w:rPr>
      </w:pPr>
      <w:bookmarkStart w:id="145" w:name="_Toc77082175"/>
      <w:r>
        <w:lastRenderedPageBreak/>
        <w:t xml:space="preserve">Table </w:t>
      </w:r>
      <w:fldSimple w:instr=" STYLEREF 1 \s ">
        <w:r w:rsidR="0023061D">
          <w:rPr>
            <w:noProof/>
          </w:rPr>
          <w:t>4</w:t>
        </w:r>
      </w:fldSimple>
      <w:r>
        <w:t>.</w:t>
      </w:r>
      <w:fldSimple w:instr=" SEQ Table \* ARABIC \s 1 ">
        <w:r w:rsidR="0023061D">
          <w:rPr>
            <w:noProof/>
          </w:rPr>
          <w:t>1</w:t>
        </w:r>
      </w:fldSimple>
      <w:r>
        <w:t xml:space="preserve"> </w:t>
      </w:r>
      <w:r w:rsidRPr="005A09AF">
        <w:rPr>
          <w:b w:val="0"/>
        </w:rPr>
        <w:t>Number of mice exhibiting the indicated grade of dysplasia.</w:t>
      </w:r>
      <w:bookmarkEnd w:id="145"/>
    </w:p>
    <w:tbl>
      <w:tblPr>
        <w:tblStyle w:val="TableNormal1"/>
        <w:tblW w:w="3955" w:type="dxa"/>
        <w:jc w:val="center"/>
        <w:tblInd w:w="0" w:type="dxa"/>
        <w:tblCellMar>
          <w:left w:w="70" w:type="dxa"/>
          <w:right w:w="70" w:type="dxa"/>
        </w:tblCellMar>
        <w:tblLook w:val="04A0" w:firstRow="1" w:lastRow="0" w:firstColumn="1" w:lastColumn="0" w:noHBand="0" w:noVBand="1"/>
      </w:tblPr>
      <w:tblGrid>
        <w:gridCol w:w="1301"/>
        <w:gridCol w:w="1261"/>
        <w:gridCol w:w="1393"/>
      </w:tblGrid>
      <w:tr w:rsidR="00976CAC" w14:paraId="2DC5D5F9" w14:textId="77777777" w:rsidTr="004A3367">
        <w:trPr>
          <w:trHeight w:val="510"/>
          <w:jc w:val="center"/>
        </w:trPr>
        <w:tc>
          <w:tcPr>
            <w:tcW w:w="1301" w:type="dxa"/>
            <w:tcBorders>
              <w:top w:val="single" w:sz="4" w:space="0" w:color="auto"/>
              <w:left w:val="nil"/>
              <w:bottom w:val="single" w:sz="4" w:space="0" w:color="auto"/>
              <w:right w:val="nil"/>
            </w:tcBorders>
            <w:shd w:val="clear" w:color="auto" w:fill="FFFFFF"/>
            <w:noWrap/>
            <w:vAlign w:val="center"/>
            <w:hideMark/>
          </w:tcPr>
          <w:p w14:paraId="212693FA" w14:textId="77777777" w:rsidR="00976CAC" w:rsidRDefault="00976CAC" w:rsidP="004A3367">
            <w:pPr>
              <w:spacing w:after="0" w:line="240" w:lineRule="auto"/>
              <w:jc w:val="center"/>
              <w:rPr>
                <w:rFonts w:eastAsia="Times New Roman"/>
                <w:b/>
                <w:bCs/>
                <w:color w:val="000000"/>
              </w:rPr>
            </w:pPr>
            <w:r>
              <w:rPr>
                <w:rFonts w:eastAsia="Times New Roman"/>
                <w:b/>
                <w:bCs/>
                <w:color w:val="000000"/>
              </w:rPr>
              <w:t>Dysplasia</w:t>
            </w:r>
          </w:p>
        </w:tc>
        <w:tc>
          <w:tcPr>
            <w:tcW w:w="1261" w:type="dxa"/>
            <w:tcBorders>
              <w:top w:val="single" w:sz="4" w:space="0" w:color="auto"/>
              <w:left w:val="nil"/>
              <w:bottom w:val="single" w:sz="4" w:space="0" w:color="auto"/>
              <w:right w:val="nil"/>
            </w:tcBorders>
            <w:shd w:val="clear" w:color="auto" w:fill="FFFFFF"/>
            <w:noWrap/>
            <w:vAlign w:val="center"/>
            <w:hideMark/>
          </w:tcPr>
          <w:p w14:paraId="6007951E" w14:textId="77777777" w:rsidR="00976CAC" w:rsidRDefault="00976CAC" w:rsidP="004A3367">
            <w:pPr>
              <w:spacing w:after="0" w:line="240" w:lineRule="auto"/>
              <w:jc w:val="center"/>
              <w:rPr>
                <w:rFonts w:eastAsia="Times New Roman"/>
                <w:b/>
                <w:bCs/>
                <w:color w:val="000000"/>
              </w:rPr>
            </w:pPr>
            <w:r>
              <w:rPr>
                <w:rFonts w:eastAsia="Times New Roman"/>
                <w:b/>
                <w:bCs/>
                <w:color w:val="000000"/>
              </w:rPr>
              <w:t>AOM/DSS</w:t>
            </w:r>
          </w:p>
        </w:tc>
        <w:tc>
          <w:tcPr>
            <w:tcW w:w="1393" w:type="dxa"/>
            <w:tcBorders>
              <w:top w:val="single" w:sz="4" w:space="0" w:color="auto"/>
              <w:left w:val="nil"/>
              <w:bottom w:val="single" w:sz="4" w:space="0" w:color="auto"/>
              <w:right w:val="nil"/>
            </w:tcBorders>
            <w:shd w:val="clear" w:color="auto" w:fill="FFFFFF"/>
            <w:vAlign w:val="center"/>
            <w:hideMark/>
          </w:tcPr>
          <w:p w14:paraId="1DF07BB0" w14:textId="77777777" w:rsidR="00976CAC" w:rsidRDefault="00976CAC" w:rsidP="004A3367">
            <w:pPr>
              <w:spacing w:after="0" w:line="240" w:lineRule="auto"/>
              <w:jc w:val="center"/>
              <w:rPr>
                <w:rFonts w:eastAsia="Times New Roman"/>
                <w:b/>
                <w:bCs/>
                <w:color w:val="000000"/>
              </w:rPr>
            </w:pPr>
            <w:r>
              <w:rPr>
                <w:rFonts w:eastAsia="Times New Roman"/>
                <w:b/>
                <w:bCs/>
                <w:color w:val="000000"/>
              </w:rPr>
              <w:t>AOM/DSS + Lunasin</w:t>
            </w:r>
          </w:p>
        </w:tc>
      </w:tr>
      <w:tr w:rsidR="00976CAC" w14:paraId="443C408B" w14:textId="77777777" w:rsidTr="004A3367">
        <w:trPr>
          <w:trHeight w:val="300"/>
          <w:jc w:val="center"/>
        </w:trPr>
        <w:tc>
          <w:tcPr>
            <w:tcW w:w="1301" w:type="dxa"/>
            <w:tcBorders>
              <w:top w:val="single" w:sz="4" w:space="0" w:color="auto"/>
              <w:left w:val="nil"/>
              <w:bottom w:val="nil"/>
              <w:right w:val="nil"/>
            </w:tcBorders>
            <w:shd w:val="clear" w:color="auto" w:fill="FFFFFF"/>
            <w:noWrap/>
            <w:vAlign w:val="center"/>
            <w:hideMark/>
          </w:tcPr>
          <w:p w14:paraId="19AE6C6E" w14:textId="77777777" w:rsidR="00976CAC" w:rsidRDefault="00976CAC" w:rsidP="004A3367">
            <w:pPr>
              <w:spacing w:after="0" w:line="240" w:lineRule="auto"/>
              <w:rPr>
                <w:rFonts w:eastAsia="Times New Roman"/>
                <w:color w:val="000000"/>
              </w:rPr>
            </w:pPr>
            <w:r>
              <w:rPr>
                <w:rFonts w:eastAsia="Times New Roman"/>
                <w:color w:val="000000"/>
              </w:rPr>
              <w:t>None</w:t>
            </w:r>
          </w:p>
        </w:tc>
        <w:tc>
          <w:tcPr>
            <w:tcW w:w="1261" w:type="dxa"/>
            <w:tcBorders>
              <w:top w:val="single" w:sz="4" w:space="0" w:color="auto"/>
              <w:left w:val="nil"/>
              <w:bottom w:val="nil"/>
              <w:right w:val="nil"/>
            </w:tcBorders>
            <w:shd w:val="clear" w:color="auto" w:fill="FFFFFF"/>
            <w:noWrap/>
            <w:vAlign w:val="bottom"/>
            <w:hideMark/>
          </w:tcPr>
          <w:p w14:paraId="53826990" w14:textId="77777777" w:rsidR="00976CAC" w:rsidRDefault="00976CAC" w:rsidP="004A3367">
            <w:pPr>
              <w:spacing w:after="0" w:line="240" w:lineRule="auto"/>
              <w:jc w:val="center"/>
              <w:rPr>
                <w:rFonts w:eastAsia="Times New Roman"/>
                <w:color w:val="000000"/>
              </w:rPr>
            </w:pPr>
            <w:r>
              <w:rPr>
                <w:rFonts w:eastAsia="Times New Roman"/>
                <w:color w:val="000000"/>
              </w:rPr>
              <w:t>0</w:t>
            </w:r>
          </w:p>
        </w:tc>
        <w:tc>
          <w:tcPr>
            <w:tcW w:w="1393" w:type="dxa"/>
            <w:tcBorders>
              <w:top w:val="single" w:sz="4" w:space="0" w:color="auto"/>
              <w:left w:val="nil"/>
              <w:bottom w:val="nil"/>
              <w:right w:val="nil"/>
            </w:tcBorders>
            <w:shd w:val="clear" w:color="auto" w:fill="FFFFFF"/>
            <w:noWrap/>
            <w:vAlign w:val="bottom"/>
            <w:hideMark/>
          </w:tcPr>
          <w:p w14:paraId="4D189C98" w14:textId="77777777" w:rsidR="00976CAC" w:rsidRDefault="00976CAC" w:rsidP="004A3367">
            <w:pPr>
              <w:spacing w:after="0" w:line="240" w:lineRule="auto"/>
              <w:jc w:val="center"/>
              <w:rPr>
                <w:rFonts w:eastAsia="Times New Roman"/>
                <w:color w:val="000000"/>
              </w:rPr>
            </w:pPr>
            <w:r>
              <w:rPr>
                <w:rFonts w:eastAsia="Times New Roman"/>
                <w:color w:val="000000"/>
              </w:rPr>
              <w:t>4</w:t>
            </w:r>
          </w:p>
        </w:tc>
      </w:tr>
      <w:tr w:rsidR="00976CAC" w14:paraId="5703C252" w14:textId="77777777" w:rsidTr="004A3367">
        <w:trPr>
          <w:trHeight w:val="300"/>
          <w:jc w:val="center"/>
        </w:trPr>
        <w:tc>
          <w:tcPr>
            <w:tcW w:w="1301" w:type="dxa"/>
            <w:shd w:val="clear" w:color="auto" w:fill="FFFFFF"/>
            <w:noWrap/>
            <w:vAlign w:val="center"/>
            <w:hideMark/>
          </w:tcPr>
          <w:p w14:paraId="5684FFB8" w14:textId="77777777" w:rsidR="00976CAC" w:rsidRDefault="00976CAC" w:rsidP="004A3367">
            <w:pPr>
              <w:spacing w:after="0" w:line="240" w:lineRule="auto"/>
              <w:rPr>
                <w:rFonts w:eastAsia="Times New Roman"/>
                <w:color w:val="000000"/>
              </w:rPr>
            </w:pPr>
            <w:r>
              <w:rPr>
                <w:rFonts w:eastAsia="Times New Roman"/>
                <w:color w:val="000000"/>
              </w:rPr>
              <w:t>Indefinite</w:t>
            </w:r>
          </w:p>
        </w:tc>
        <w:tc>
          <w:tcPr>
            <w:tcW w:w="1261" w:type="dxa"/>
            <w:shd w:val="clear" w:color="auto" w:fill="FFFFFF"/>
            <w:noWrap/>
            <w:vAlign w:val="bottom"/>
            <w:hideMark/>
          </w:tcPr>
          <w:p w14:paraId="47530CE9" w14:textId="77777777" w:rsidR="00976CAC" w:rsidRDefault="00976CAC" w:rsidP="004A3367">
            <w:pPr>
              <w:spacing w:after="0" w:line="240" w:lineRule="auto"/>
              <w:jc w:val="center"/>
              <w:rPr>
                <w:rFonts w:eastAsia="Times New Roman"/>
                <w:color w:val="000000"/>
              </w:rPr>
            </w:pPr>
            <w:r>
              <w:rPr>
                <w:rFonts w:eastAsia="Times New Roman"/>
                <w:color w:val="000000"/>
              </w:rPr>
              <w:t>4</w:t>
            </w:r>
          </w:p>
        </w:tc>
        <w:tc>
          <w:tcPr>
            <w:tcW w:w="1393" w:type="dxa"/>
            <w:shd w:val="clear" w:color="auto" w:fill="FFFFFF"/>
            <w:noWrap/>
            <w:vAlign w:val="bottom"/>
            <w:hideMark/>
          </w:tcPr>
          <w:p w14:paraId="58232308" w14:textId="77777777" w:rsidR="00976CAC" w:rsidRDefault="00976CAC" w:rsidP="004A3367">
            <w:pPr>
              <w:spacing w:after="0" w:line="240" w:lineRule="auto"/>
              <w:jc w:val="center"/>
              <w:rPr>
                <w:rFonts w:eastAsia="Times New Roman"/>
                <w:color w:val="000000"/>
              </w:rPr>
            </w:pPr>
            <w:r>
              <w:rPr>
                <w:rFonts w:eastAsia="Times New Roman"/>
                <w:color w:val="000000"/>
              </w:rPr>
              <w:t>1</w:t>
            </w:r>
          </w:p>
        </w:tc>
      </w:tr>
      <w:tr w:rsidR="00976CAC" w14:paraId="6F98FA9E" w14:textId="77777777" w:rsidTr="004A3367">
        <w:trPr>
          <w:trHeight w:val="300"/>
          <w:jc w:val="center"/>
        </w:trPr>
        <w:tc>
          <w:tcPr>
            <w:tcW w:w="1301" w:type="dxa"/>
            <w:shd w:val="clear" w:color="auto" w:fill="FFFFFF"/>
            <w:noWrap/>
            <w:vAlign w:val="center"/>
            <w:hideMark/>
          </w:tcPr>
          <w:p w14:paraId="4642AA84" w14:textId="77777777" w:rsidR="00976CAC" w:rsidRDefault="00976CAC" w:rsidP="004A3367">
            <w:pPr>
              <w:spacing w:after="0" w:line="240" w:lineRule="auto"/>
              <w:rPr>
                <w:rFonts w:eastAsia="Times New Roman"/>
                <w:color w:val="000000"/>
              </w:rPr>
            </w:pPr>
            <w:r>
              <w:rPr>
                <w:rFonts w:eastAsia="Times New Roman"/>
                <w:color w:val="000000"/>
              </w:rPr>
              <w:t>Low</w:t>
            </w:r>
          </w:p>
        </w:tc>
        <w:tc>
          <w:tcPr>
            <w:tcW w:w="1261" w:type="dxa"/>
            <w:shd w:val="clear" w:color="auto" w:fill="FFFFFF"/>
            <w:noWrap/>
            <w:vAlign w:val="bottom"/>
            <w:hideMark/>
          </w:tcPr>
          <w:p w14:paraId="069464EB" w14:textId="77777777" w:rsidR="00976CAC" w:rsidRDefault="00976CAC" w:rsidP="004A3367">
            <w:pPr>
              <w:spacing w:after="0" w:line="240" w:lineRule="auto"/>
              <w:jc w:val="center"/>
              <w:rPr>
                <w:rFonts w:eastAsia="Times New Roman"/>
                <w:color w:val="000000"/>
              </w:rPr>
            </w:pPr>
            <w:r>
              <w:rPr>
                <w:rFonts w:eastAsia="Times New Roman"/>
                <w:color w:val="000000"/>
              </w:rPr>
              <w:t>4</w:t>
            </w:r>
          </w:p>
        </w:tc>
        <w:tc>
          <w:tcPr>
            <w:tcW w:w="1393" w:type="dxa"/>
            <w:shd w:val="clear" w:color="auto" w:fill="FFFFFF"/>
            <w:noWrap/>
            <w:vAlign w:val="bottom"/>
            <w:hideMark/>
          </w:tcPr>
          <w:p w14:paraId="05F0527B" w14:textId="77777777" w:rsidR="00976CAC" w:rsidRDefault="00976CAC" w:rsidP="004A3367">
            <w:pPr>
              <w:spacing w:after="0" w:line="240" w:lineRule="auto"/>
              <w:jc w:val="center"/>
              <w:rPr>
                <w:rFonts w:eastAsia="Times New Roman"/>
                <w:color w:val="000000"/>
              </w:rPr>
            </w:pPr>
            <w:r>
              <w:rPr>
                <w:rFonts w:eastAsia="Times New Roman"/>
                <w:color w:val="000000"/>
              </w:rPr>
              <w:t>3</w:t>
            </w:r>
          </w:p>
        </w:tc>
      </w:tr>
      <w:tr w:rsidR="00976CAC" w14:paraId="225A636E" w14:textId="77777777" w:rsidTr="004A3367">
        <w:trPr>
          <w:trHeight w:val="300"/>
          <w:jc w:val="center"/>
        </w:trPr>
        <w:tc>
          <w:tcPr>
            <w:tcW w:w="1301" w:type="dxa"/>
            <w:shd w:val="clear" w:color="auto" w:fill="FFFFFF"/>
            <w:noWrap/>
            <w:vAlign w:val="center"/>
            <w:hideMark/>
          </w:tcPr>
          <w:p w14:paraId="5AD3799B" w14:textId="77777777" w:rsidR="00976CAC" w:rsidRDefault="00976CAC" w:rsidP="004A3367">
            <w:pPr>
              <w:spacing w:after="0" w:line="240" w:lineRule="auto"/>
              <w:rPr>
                <w:rFonts w:eastAsia="Times New Roman"/>
                <w:color w:val="000000"/>
              </w:rPr>
            </w:pPr>
            <w:r>
              <w:rPr>
                <w:rFonts w:eastAsia="Times New Roman"/>
                <w:color w:val="000000"/>
              </w:rPr>
              <w:t>High</w:t>
            </w:r>
          </w:p>
        </w:tc>
        <w:tc>
          <w:tcPr>
            <w:tcW w:w="1261" w:type="dxa"/>
            <w:shd w:val="clear" w:color="auto" w:fill="FFFFFF"/>
            <w:noWrap/>
            <w:vAlign w:val="bottom"/>
            <w:hideMark/>
          </w:tcPr>
          <w:p w14:paraId="7DED1309" w14:textId="77777777" w:rsidR="00976CAC" w:rsidRDefault="00976CAC" w:rsidP="004A3367">
            <w:pPr>
              <w:spacing w:after="0" w:line="240" w:lineRule="auto"/>
              <w:jc w:val="center"/>
              <w:rPr>
                <w:rFonts w:eastAsia="Times New Roman"/>
                <w:color w:val="000000"/>
              </w:rPr>
            </w:pPr>
            <w:r>
              <w:rPr>
                <w:rFonts w:eastAsia="Times New Roman"/>
                <w:color w:val="000000"/>
              </w:rPr>
              <w:t>4</w:t>
            </w:r>
          </w:p>
        </w:tc>
        <w:tc>
          <w:tcPr>
            <w:tcW w:w="1393" w:type="dxa"/>
            <w:shd w:val="clear" w:color="auto" w:fill="FFFFFF"/>
            <w:noWrap/>
            <w:vAlign w:val="bottom"/>
            <w:hideMark/>
          </w:tcPr>
          <w:p w14:paraId="0B003769" w14:textId="77777777" w:rsidR="00976CAC" w:rsidRDefault="00976CAC" w:rsidP="004A3367">
            <w:pPr>
              <w:spacing w:after="0" w:line="240" w:lineRule="auto"/>
              <w:jc w:val="center"/>
              <w:rPr>
                <w:rFonts w:eastAsia="Times New Roman"/>
                <w:color w:val="000000"/>
              </w:rPr>
            </w:pPr>
            <w:r>
              <w:rPr>
                <w:rFonts w:eastAsia="Times New Roman"/>
                <w:color w:val="000000"/>
              </w:rPr>
              <w:t>2</w:t>
            </w:r>
          </w:p>
        </w:tc>
      </w:tr>
      <w:tr w:rsidR="00976CAC" w14:paraId="1C1A9B8D" w14:textId="77777777" w:rsidTr="004A3367">
        <w:trPr>
          <w:trHeight w:val="300"/>
          <w:jc w:val="center"/>
        </w:trPr>
        <w:tc>
          <w:tcPr>
            <w:tcW w:w="1301" w:type="dxa"/>
            <w:tcBorders>
              <w:top w:val="nil"/>
              <w:left w:val="nil"/>
              <w:bottom w:val="single" w:sz="4" w:space="0" w:color="auto"/>
              <w:right w:val="nil"/>
            </w:tcBorders>
            <w:shd w:val="clear" w:color="auto" w:fill="FFFFFF"/>
            <w:noWrap/>
            <w:vAlign w:val="center"/>
            <w:hideMark/>
          </w:tcPr>
          <w:p w14:paraId="00A533DA" w14:textId="77777777" w:rsidR="00976CAC" w:rsidRDefault="00976CAC" w:rsidP="004A3367">
            <w:pPr>
              <w:spacing w:after="0" w:line="240" w:lineRule="auto"/>
              <w:rPr>
                <w:rFonts w:eastAsia="Times New Roman"/>
                <w:color w:val="000000"/>
              </w:rPr>
            </w:pPr>
            <w:r>
              <w:rPr>
                <w:rFonts w:eastAsia="Times New Roman"/>
                <w:color w:val="000000"/>
              </w:rPr>
              <w:t>Carcinoma</w:t>
            </w:r>
          </w:p>
        </w:tc>
        <w:tc>
          <w:tcPr>
            <w:tcW w:w="1261" w:type="dxa"/>
            <w:tcBorders>
              <w:top w:val="nil"/>
              <w:left w:val="nil"/>
              <w:bottom w:val="single" w:sz="4" w:space="0" w:color="auto"/>
              <w:right w:val="nil"/>
            </w:tcBorders>
            <w:shd w:val="clear" w:color="auto" w:fill="FFFFFF"/>
            <w:noWrap/>
            <w:vAlign w:val="bottom"/>
            <w:hideMark/>
          </w:tcPr>
          <w:p w14:paraId="5CC2F135" w14:textId="77777777" w:rsidR="00976CAC" w:rsidRDefault="00976CAC" w:rsidP="004A3367">
            <w:pPr>
              <w:spacing w:after="0" w:line="240" w:lineRule="auto"/>
              <w:jc w:val="center"/>
              <w:rPr>
                <w:rFonts w:eastAsia="Times New Roman"/>
                <w:color w:val="000000"/>
              </w:rPr>
            </w:pPr>
            <w:r>
              <w:rPr>
                <w:rFonts w:eastAsia="Times New Roman"/>
                <w:color w:val="000000"/>
              </w:rPr>
              <w:t>2</w:t>
            </w:r>
          </w:p>
        </w:tc>
        <w:tc>
          <w:tcPr>
            <w:tcW w:w="1393" w:type="dxa"/>
            <w:tcBorders>
              <w:top w:val="nil"/>
              <w:left w:val="nil"/>
              <w:bottom w:val="single" w:sz="4" w:space="0" w:color="auto"/>
              <w:right w:val="nil"/>
            </w:tcBorders>
            <w:shd w:val="clear" w:color="auto" w:fill="FFFFFF"/>
            <w:noWrap/>
            <w:vAlign w:val="bottom"/>
            <w:hideMark/>
          </w:tcPr>
          <w:p w14:paraId="3DAC753E" w14:textId="77777777" w:rsidR="00976CAC" w:rsidRDefault="00976CAC" w:rsidP="004A3367">
            <w:pPr>
              <w:spacing w:after="0" w:line="240" w:lineRule="auto"/>
              <w:jc w:val="center"/>
              <w:rPr>
                <w:rFonts w:eastAsia="Times New Roman"/>
                <w:color w:val="000000"/>
              </w:rPr>
            </w:pPr>
            <w:r>
              <w:rPr>
                <w:rFonts w:eastAsia="Times New Roman"/>
                <w:color w:val="000000"/>
              </w:rPr>
              <w:t>0</w:t>
            </w:r>
          </w:p>
        </w:tc>
      </w:tr>
    </w:tbl>
    <w:p w14:paraId="43CE2366" w14:textId="77777777" w:rsidR="00976CAC" w:rsidRDefault="00976CAC" w:rsidP="00976CAC">
      <w:pPr>
        <w:rPr>
          <w:rFonts w:eastAsiaTheme="majorEastAsia"/>
          <w:b/>
          <w:bCs/>
          <w:color w:val="000000" w:themeColor="text1"/>
        </w:rPr>
      </w:pPr>
      <w:r>
        <w:rPr>
          <w:b/>
          <w:bCs/>
          <w:color w:val="000000" w:themeColor="text1"/>
          <w:lang w:eastAsia="es-CO"/>
        </w:rPr>
        <w:br w:type="page"/>
      </w:r>
    </w:p>
    <w:p w14:paraId="1BB68890" w14:textId="77777777" w:rsidR="00A8604A" w:rsidRDefault="0000620B" w:rsidP="00A8604A">
      <w:pPr>
        <w:keepNext/>
        <w:jc w:val="center"/>
      </w:pPr>
      <w:r>
        <w:rPr>
          <w:noProof/>
          <w:color w:val="000000" w:themeColor="text1"/>
        </w:rPr>
        <w:lastRenderedPageBreak/>
        <w:drawing>
          <wp:inline distT="0" distB="0" distL="0" distR="0" wp14:anchorId="261F9B8B" wp14:editId="259EEAAE">
            <wp:extent cx="4253230" cy="3742690"/>
            <wp:effectExtent l="0" t="0" r="0" b="0"/>
            <wp:docPr id="21" name="Imagen 2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hart, bar chart&#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253230" cy="3742690"/>
                    </a:xfrm>
                    <a:prstGeom prst="rect">
                      <a:avLst/>
                    </a:prstGeom>
                    <a:noFill/>
                    <a:ln>
                      <a:noFill/>
                    </a:ln>
                  </pic:spPr>
                </pic:pic>
              </a:graphicData>
            </a:graphic>
          </wp:inline>
        </w:drawing>
      </w:r>
    </w:p>
    <w:p w14:paraId="44A1C944" w14:textId="239CCA72" w:rsidR="0000620B" w:rsidRPr="00A8604A" w:rsidRDefault="00A8604A" w:rsidP="00154906">
      <w:pPr>
        <w:pStyle w:val="Caption"/>
        <w:spacing w:line="480" w:lineRule="auto"/>
        <w:jc w:val="center"/>
        <w:rPr>
          <w:b w:val="0"/>
          <w:color w:val="000000" w:themeColor="text1"/>
        </w:rPr>
      </w:pPr>
      <w:bookmarkStart w:id="146" w:name="_Toc77082196"/>
      <w:r>
        <w:t xml:space="preserve">Figure </w:t>
      </w:r>
      <w:fldSimple w:instr=" STYLEREF 1 \s ">
        <w:r w:rsidR="0023061D">
          <w:rPr>
            <w:noProof/>
          </w:rPr>
          <w:t>4</w:t>
        </w:r>
      </w:fldSimple>
      <w:r>
        <w:t>.</w:t>
      </w:r>
      <w:fldSimple w:instr=" SEQ Figure \* ARABIC \s 1 ">
        <w:r w:rsidR="0023061D">
          <w:rPr>
            <w:noProof/>
          </w:rPr>
          <w:t>5</w:t>
        </w:r>
      </w:fldSimple>
      <w:r>
        <w:t xml:space="preserve"> </w:t>
      </w:r>
      <w:r w:rsidRPr="009B51D2">
        <w:t xml:space="preserve">. </w:t>
      </w:r>
      <w:r w:rsidRPr="00A8604A">
        <w:rPr>
          <w:b w:val="0"/>
        </w:rPr>
        <w:t>Colonic and systemic levels of pro-inflammatory cytokines.</w:t>
      </w:r>
      <w:bookmarkEnd w:id="146"/>
    </w:p>
    <w:p w14:paraId="0DB31517" w14:textId="77777777" w:rsidR="0000620B" w:rsidRDefault="0000620B" w:rsidP="00154906">
      <w:pPr>
        <w:spacing w:line="480" w:lineRule="auto"/>
        <w:rPr>
          <w:color w:val="000000" w:themeColor="text1"/>
        </w:rPr>
      </w:pPr>
      <w:r>
        <w:rPr>
          <w:color w:val="000000" w:themeColor="text1"/>
        </w:rPr>
        <w:t xml:space="preserve">Levels of pro-inflammatory cytokines TNF-α (A and B) and IL-1β (C and D) in the colon (A and C), and in </w:t>
      </w:r>
      <w:r w:rsidR="00DF3270">
        <w:rPr>
          <w:color w:val="000000" w:themeColor="text1"/>
        </w:rPr>
        <w:t xml:space="preserve">the </w:t>
      </w:r>
      <w:r>
        <w:rPr>
          <w:color w:val="000000" w:themeColor="text1"/>
        </w:rPr>
        <w:t xml:space="preserve">blood serum (B and D). Results are presented as average ± SEM. </w:t>
      </w:r>
    </w:p>
    <w:p w14:paraId="2A3CCF99" w14:textId="77777777" w:rsidR="0000620B" w:rsidRDefault="0000620B" w:rsidP="0000620B">
      <w:pPr>
        <w:jc w:val="center"/>
        <w:rPr>
          <w:color w:val="000000" w:themeColor="text1"/>
        </w:rPr>
      </w:pPr>
      <w:r>
        <w:rPr>
          <w:color w:val="000000" w:themeColor="text1"/>
        </w:rPr>
        <w:br w:type="page"/>
      </w:r>
    </w:p>
    <w:p w14:paraId="79F4FBEB" w14:textId="77777777" w:rsidR="00A8604A" w:rsidRDefault="0000620B" w:rsidP="00A8604A">
      <w:pPr>
        <w:keepNext/>
        <w:jc w:val="center"/>
      </w:pPr>
      <w:r>
        <w:rPr>
          <w:noProof/>
          <w:color w:val="000000" w:themeColor="text1"/>
        </w:rPr>
        <w:lastRenderedPageBreak/>
        <w:drawing>
          <wp:inline distT="0" distB="0" distL="0" distR="0" wp14:anchorId="5C9DDE1D" wp14:editId="2F5EF4A0">
            <wp:extent cx="4104005" cy="4742180"/>
            <wp:effectExtent l="0" t="0" r="0" b="1270"/>
            <wp:docPr id="19" name="Imagen 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04005" cy="4742180"/>
                    </a:xfrm>
                    <a:prstGeom prst="rect">
                      <a:avLst/>
                    </a:prstGeom>
                    <a:noFill/>
                    <a:ln>
                      <a:noFill/>
                    </a:ln>
                  </pic:spPr>
                </pic:pic>
              </a:graphicData>
            </a:graphic>
          </wp:inline>
        </w:drawing>
      </w:r>
    </w:p>
    <w:p w14:paraId="46715052" w14:textId="76DF4593" w:rsidR="0000620B" w:rsidRPr="00A8604A" w:rsidRDefault="00A8604A" w:rsidP="00154906">
      <w:pPr>
        <w:pStyle w:val="Caption"/>
        <w:spacing w:line="480" w:lineRule="auto"/>
        <w:jc w:val="center"/>
        <w:rPr>
          <w:b w:val="0"/>
          <w:color w:val="000000" w:themeColor="text1"/>
        </w:rPr>
      </w:pPr>
      <w:bookmarkStart w:id="147" w:name="_Toc77082197"/>
      <w:r>
        <w:t xml:space="preserve">Figure </w:t>
      </w:r>
      <w:fldSimple w:instr=" STYLEREF 1 \s ">
        <w:r w:rsidR="0023061D">
          <w:rPr>
            <w:noProof/>
          </w:rPr>
          <w:t>4</w:t>
        </w:r>
      </w:fldSimple>
      <w:r>
        <w:t>.</w:t>
      </w:r>
      <w:fldSimple w:instr=" SEQ Figure \* ARABIC \s 1 ">
        <w:r w:rsidR="0023061D">
          <w:rPr>
            <w:noProof/>
          </w:rPr>
          <w:t>6</w:t>
        </w:r>
      </w:fldSimple>
      <w:r>
        <w:t xml:space="preserve"> </w:t>
      </w:r>
      <w:r w:rsidR="0019498D">
        <w:rPr>
          <w:b w:val="0"/>
        </w:rPr>
        <w:t>M</w:t>
      </w:r>
      <w:r w:rsidRPr="00A8604A">
        <w:rPr>
          <w:b w:val="0"/>
        </w:rPr>
        <w:t>arkers of epithelial integrity and apoptosis.</w:t>
      </w:r>
      <w:bookmarkEnd w:id="147"/>
    </w:p>
    <w:p w14:paraId="04232DA3" w14:textId="6E7D123C" w:rsidR="0000620B" w:rsidRDefault="0000620B" w:rsidP="00154906">
      <w:pPr>
        <w:spacing w:line="480" w:lineRule="auto"/>
        <w:rPr>
          <w:color w:val="000000" w:themeColor="text1"/>
        </w:rPr>
      </w:pPr>
      <w:r>
        <w:rPr>
          <w:color w:val="000000" w:themeColor="text1"/>
        </w:rPr>
        <w:t xml:space="preserve">Relative </w:t>
      </w:r>
      <w:r w:rsidR="0019498D">
        <w:rPr>
          <w:color w:val="000000" w:themeColor="text1"/>
        </w:rPr>
        <w:t xml:space="preserve">protein levels </w:t>
      </w:r>
      <w:r>
        <w:rPr>
          <w:color w:val="000000" w:themeColor="text1"/>
        </w:rPr>
        <w:t>of (A) E-Cadherin and (B) Claudin-3 as indicators of epithelial integrity, and (C) BAX and (D) Caspase-3 as indicators of apoptosis. Results are presented as average ± SEM. A.U.: Arbitrary units.</w:t>
      </w:r>
    </w:p>
    <w:p w14:paraId="549A8381" w14:textId="77777777" w:rsidR="001320C4" w:rsidRDefault="001320C4" w:rsidP="00154906">
      <w:pPr>
        <w:spacing w:line="480" w:lineRule="auto"/>
        <w:rPr>
          <w:color w:val="000000" w:themeColor="text1"/>
        </w:rPr>
      </w:pPr>
      <w:r>
        <w:rPr>
          <w:color w:val="000000" w:themeColor="text1"/>
        </w:rPr>
        <w:br w:type="page"/>
      </w:r>
    </w:p>
    <w:p w14:paraId="46B3DC08" w14:textId="77777777" w:rsidR="001320C4" w:rsidRDefault="001320C4">
      <w:pPr>
        <w:rPr>
          <w:color w:val="000000" w:themeColor="text1"/>
        </w:rPr>
        <w:sectPr w:rsidR="001320C4" w:rsidSect="00F62846">
          <w:pgSz w:w="12240" w:h="15840" w:code="1"/>
          <w:pgMar w:top="1440" w:right="1800" w:bottom="1872" w:left="1800" w:header="720" w:footer="1440" w:gutter="0"/>
          <w:cols w:space="720"/>
          <w:noEndnote/>
          <w:docGrid w:linePitch="360"/>
        </w:sectPr>
      </w:pPr>
    </w:p>
    <w:p w14:paraId="7D0CF585" w14:textId="77777777" w:rsidR="001320C4" w:rsidRPr="001320C4" w:rsidRDefault="00DF3270" w:rsidP="00343306">
      <w:pPr>
        <w:pStyle w:val="Heading1"/>
        <w:numPr>
          <w:ilvl w:val="0"/>
          <w:numId w:val="0"/>
        </w:numPr>
        <w:spacing w:line="480" w:lineRule="auto"/>
        <w:ind w:left="810"/>
        <w:sectPr w:rsidR="001320C4" w:rsidRPr="001320C4" w:rsidSect="001320C4">
          <w:pgSz w:w="12240" w:h="15840" w:code="1"/>
          <w:pgMar w:top="1440" w:right="1800" w:bottom="1872" w:left="1800" w:header="720" w:footer="1440" w:gutter="0"/>
          <w:cols w:space="720"/>
          <w:vAlign w:val="center"/>
          <w:noEndnote/>
          <w:docGrid w:linePitch="360"/>
        </w:sectPr>
      </w:pPr>
      <w:bookmarkStart w:id="148" w:name="_Toc289175843"/>
      <w:bookmarkStart w:id="149" w:name="_Toc77082167"/>
      <w:r>
        <w:lastRenderedPageBreak/>
        <w:t>CHAPTER 5</w:t>
      </w:r>
      <w:r w:rsidR="001320C4">
        <w:t xml:space="preserve">. </w:t>
      </w:r>
      <w:r w:rsidR="00526151" w:rsidRPr="001320C4">
        <w:rPr>
          <w:caps w:val="0"/>
        </w:rPr>
        <w:t>CONCLUSION</w:t>
      </w:r>
      <w:bookmarkEnd w:id="148"/>
      <w:r w:rsidR="00045AC9" w:rsidRPr="001320C4">
        <w:rPr>
          <w:caps w:val="0"/>
        </w:rPr>
        <w:t xml:space="preserve"> AND FUTURE DIRECTIONS</w:t>
      </w:r>
      <w:bookmarkEnd w:id="149"/>
    </w:p>
    <w:p w14:paraId="7533EE9E" w14:textId="77777777" w:rsidR="00045AC9" w:rsidRDefault="001320C4" w:rsidP="00154906">
      <w:pPr>
        <w:pStyle w:val="Heading2"/>
        <w:spacing w:line="480" w:lineRule="auto"/>
      </w:pPr>
      <w:bookmarkStart w:id="150" w:name="_Toc77082168"/>
      <w:r>
        <w:lastRenderedPageBreak/>
        <w:t xml:space="preserve">5.1 </w:t>
      </w:r>
      <w:r w:rsidR="00045AC9" w:rsidRPr="001320C4">
        <w:t>Conclusion</w:t>
      </w:r>
      <w:bookmarkEnd w:id="150"/>
    </w:p>
    <w:p w14:paraId="5561B68E" w14:textId="2DE5BC7B" w:rsidR="00045AC9" w:rsidRDefault="00045AC9" w:rsidP="00154906">
      <w:pPr>
        <w:spacing w:line="480" w:lineRule="auto"/>
        <w:ind w:firstLine="720"/>
        <w:rPr>
          <w:color w:val="000000" w:themeColor="text1"/>
        </w:rPr>
      </w:pPr>
      <w:r>
        <w:rPr>
          <w:color w:val="000000" w:themeColor="text1"/>
        </w:rPr>
        <w:t>In this study, a three-step process for the isolation of bioactive lunasin (&gt;80% purity) from tofu whey was designed. The process involves ethanolic removal of high molecular weight proteins, acidification of the clarified whey to induce the separation of lunasin enriched material, and purification via preparative gel filtration chromatography. The designed process is competitive with current isolation mechanisms but faster and easier and allows the valorization of a waste product generated in large quantities by the soybean industry. Lunasin reduced the susceptibility of IL-10</w:t>
      </w:r>
      <w:r w:rsidR="00DF3270">
        <w:rPr>
          <w:color w:val="000000" w:themeColor="text1"/>
          <w:vertAlign w:val="superscript"/>
        </w:rPr>
        <w:t>-/-</w:t>
      </w:r>
      <w:r>
        <w:rPr>
          <w:color w:val="000000" w:themeColor="text1"/>
        </w:rPr>
        <w:t xml:space="preserve"> mice to minor inflammatory events, which was reflected in a lower frequency of macroscopic manifestations of the disease. The decreased levels of pro-inflammatory cytokines in the small and large intestine</w:t>
      </w:r>
      <w:r w:rsidR="00DF3270">
        <w:rPr>
          <w:color w:val="000000" w:themeColor="text1"/>
        </w:rPr>
        <w:t>s</w:t>
      </w:r>
      <w:r>
        <w:rPr>
          <w:color w:val="000000" w:themeColor="text1"/>
        </w:rPr>
        <w:t xml:space="preserve"> indicated that upon oral administration, lunasin or its digestion products reached and exert anti-inflammatory activity in all the sections of the bowel. The anti-inflammatory activity of lunasin was partially mediated by the inhibition of the NLRP3 inflammasome via the </w:t>
      </w:r>
      <w:r w:rsidR="005266D3">
        <w:rPr>
          <w:color w:val="000000" w:themeColor="text1"/>
        </w:rPr>
        <w:t>downregulation of</w:t>
      </w:r>
      <w:r>
        <w:rPr>
          <w:color w:val="000000" w:themeColor="text1"/>
        </w:rPr>
        <w:t xml:space="preserve"> </w:t>
      </w:r>
      <w:r w:rsidR="0019498D">
        <w:rPr>
          <w:color w:val="000000" w:themeColor="text1"/>
        </w:rPr>
        <w:t xml:space="preserve">the </w:t>
      </w:r>
      <w:r>
        <w:rPr>
          <w:color w:val="000000" w:themeColor="text1"/>
        </w:rPr>
        <w:t xml:space="preserve">NLRP3 </w:t>
      </w:r>
      <w:r w:rsidR="0019498D">
        <w:rPr>
          <w:color w:val="000000" w:themeColor="text1"/>
        </w:rPr>
        <w:t xml:space="preserve">protein, </w:t>
      </w:r>
      <w:r>
        <w:rPr>
          <w:color w:val="000000" w:themeColor="text1"/>
        </w:rPr>
        <w:t xml:space="preserve">and independent from mitochondrial ROS and potassium efflux. Moreover, lunasin exerted chemopreventive properties in the colon by reducing tumor incidence and multiplicity, mitigating the malignant transformation of dysplastic lesions, and attenuating the damage resulting from the chemically induced inflammatory flares. </w:t>
      </w:r>
    </w:p>
    <w:p w14:paraId="0241FEF3" w14:textId="3D1F31C3" w:rsidR="00045AC9" w:rsidRDefault="00045AC9" w:rsidP="00154906">
      <w:pPr>
        <w:spacing w:line="480" w:lineRule="auto"/>
        <w:ind w:firstLine="720"/>
        <w:rPr>
          <w:color w:val="000000" w:themeColor="text1"/>
        </w:rPr>
      </w:pPr>
      <w:r>
        <w:rPr>
          <w:color w:val="000000" w:themeColor="text1"/>
        </w:rPr>
        <w:t xml:space="preserve">Overall, this study for the first time proposed and addressed the isolation of bioactive lunasin from a liquid byproduct of the soybean industry, </w:t>
      </w:r>
      <w:r>
        <w:rPr>
          <w:color w:val="000000" w:themeColor="text1"/>
        </w:rPr>
        <w:lastRenderedPageBreak/>
        <w:t xml:space="preserve">demonstrated the anti-inflammatory and chemopreventive properties of lunasin in the bowel, and showed the modulatory effect of lunasin over the </w:t>
      </w:r>
      <w:r w:rsidR="00DF3270">
        <w:rPr>
          <w:color w:val="000000" w:themeColor="text1"/>
        </w:rPr>
        <w:t xml:space="preserve">NLRP3 </w:t>
      </w:r>
      <w:r>
        <w:rPr>
          <w:color w:val="000000" w:themeColor="text1"/>
        </w:rPr>
        <w:t xml:space="preserve">inflammasome. Furthermore, it served to prove </w:t>
      </w:r>
      <w:r>
        <w:rPr>
          <w:i/>
          <w:iCs/>
          <w:color w:val="000000" w:themeColor="text1"/>
        </w:rPr>
        <w:t>in vivo</w:t>
      </w:r>
      <w:r>
        <w:rPr>
          <w:color w:val="000000" w:themeColor="text1"/>
        </w:rPr>
        <w:t xml:space="preserve"> the biological activity of the products resulting from the gastrointestinal digestion of lunasin when orally consumed. </w:t>
      </w:r>
    </w:p>
    <w:p w14:paraId="70C4D69C" w14:textId="2018EF70" w:rsidR="008F15E9" w:rsidRDefault="008F15E9" w:rsidP="00154906">
      <w:pPr>
        <w:spacing w:line="480" w:lineRule="auto"/>
        <w:ind w:firstLine="720"/>
        <w:rPr>
          <w:color w:val="000000" w:themeColor="text1"/>
        </w:rPr>
      </w:pPr>
      <w:r>
        <w:rPr>
          <w:color w:val="000000" w:themeColor="text1"/>
        </w:rPr>
        <w:t>The incorporation of lunasin in the diet could be partially achieved by the consumption of soybean products</w:t>
      </w:r>
      <w:r w:rsidR="008C3128">
        <w:rPr>
          <w:color w:val="000000" w:themeColor="text1"/>
        </w:rPr>
        <w:t>.</w:t>
      </w:r>
      <w:r>
        <w:rPr>
          <w:color w:val="000000" w:themeColor="text1"/>
        </w:rPr>
        <w:t xml:space="preserve"> </w:t>
      </w:r>
      <w:r w:rsidR="008C3128">
        <w:rPr>
          <w:color w:val="000000" w:themeColor="text1"/>
        </w:rPr>
        <w:t>H</w:t>
      </w:r>
      <w:r>
        <w:rPr>
          <w:color w:val="000000" w:themeColor="text1"/>
        </w:rPr>
        <w:t>owever</w:t>
      </w:r>
      <w:r w:rsidR="003327A5">
        <w:rPr>
          <w:color w:val="000000" w:themeColor="text1"/>
        </w:rPr>
        <w:t>,</w:t>
      </w:r>
      <w:r>
        <w:rPr>
          <w:color w:val="000000" w:themeColor="text1"/>
        </w:rPr>
        <w:t xml:space="preserve"> the </w:t>
      </w:r>
      <w:r w:rsidR="00315C51">
        <w:rPr>
          <w:color w:val="000000" w:themeColor="text1"/>
        </w:rPr>
        <w:t>low</w:t>
      </w:r>
      <w:r>
        <w:rPr>
          <w:color w:val="000000" w:themeColor="text1"/>
        </w:rPr>
        <w:t xml:space="preserve"> bioavailability</w:t>
      </w:r>
      <w:r w:rsidR="003327A5">
        <w:rPr>
          <w:color w:val="000000" w:themeColor="text1"/>
        </w:rPr>
        <w:t xml:space="preserve"> </w:t>
      </w:r>
      <w:r>
        <w:rPr>
          <w:color w:val="000000" w:themeColor="text1"/>
        </w:rPr>
        <w:t>of the peptide</w:t>
      </w:r>
      <w:r w:rsidR="008C3128">
        <w:rPr>
          <w:color w:val="000000" w:themeColor="text1"/>
        </w:rPr>
        <w:t>,</w:t>
      </w:r>
      <w:r>
        <w:rPr>
          <w:color w:val="000000" w:themeColor="text1"/>
        </w:rPr>
        <w:t xml:space="preserve"> </w:t>
      </w:r>
      <w:r w:rsidR="008C3128">
        <w:rPr>
          <w:color w:val="000000" w:themeColor="text1"/>
        </w:rPr>
        <w:t xml:space="preserve">and the limited amount of lunasin </w:t>
      </w:r>
      <w:r>
        <w:rPr>
          <w:color w:val="000000" w:themeColor="text1"/>
        </w:rPr>
        <w:t>could post a challenge for the peptide to reach the bowel as a target site in appropriate concentrations</w:t>
      </w:r>
      <w:r w:rsidR="008C3128">
        <w:rPr>
          <w:color w:val="000000" w:themeColor="text1"/>
        </w:rPr>
        <w:t>, as it would be absorbed and passed to the systemic circulation</w:t>
      </w:r>
      <w:r>
        <w:rPr>
          <w:color w:val="000000" w:themeColor="text1"/>
        </w:rPr>
        <w:t xml:space="preserve">. </w:t>
      </w:r>
      <w:r w:rsidR="008C3128">
        <w:rPr>
          <w:color w:val="000000" w:themeColor="text1"/>
        </w:rPr>
        <w:t>Generation of lunasin supplements or the i</w:t>
      </w:r>
      <w:r>
        <w:rPr>
          <w:color w:val="000000" w:themeColor="text1"/>
        </w:rPr>
        <w:t>ncorporation of purified forms of the peptide</w:t>
      </w:r>
      <w:r w:rsidR="008C3128">
        <w:rPr>
          <w:color w:val="000000" w:themeColor="text1"/>
        </w:rPr>
        <w:t xml:space="preserve"> in vehicle foods</w:t>
      </w:r>
      <w:r>
        <w:rPr>
          <w:color w:val="000000" w:themeColor="text1"/>
        </w:rPr>
        <w:t>, as imitated in the last chapter,</w:t>
      </w:r>
      <w:r w:rsidR="008C3128">
        <w:rPr>
          <w:color w:val="000000" w:themeColor="text1"/>
        </w:rPr>
        <w:t xml:space="preserve"> could be helpful to achieve </w:t>
      </w:r>
      <w:r w:rsidR="003327A5">
        <w:rPr>
          <w:color w:val="000000" w:themeColor="text1"/>
        </w:rPr>
        <w:t>an increased</w:t>
      </w:r>
      <w:r w:rsidR="008C3128">
        <w:rPr>
          <w:color w:val="000000" w:themeColor="text1"/>
        </w:rPr>
        <w:t xml:space="preserve"> intake, and activity in the bowel. Possible interactions between the </w:t>
      </w:r>
      <w:r w:rsidR="003327A5">
        <w:rPr>
          <w:color w:val="000000" w:themeColor="text1"/>
        </w:rPr>
        <w:t xml:space="preserve">food </w:t>
      </w:r>
      <w:r w:rsidR="008C3128">
        <w:rPr>
          <w:color w:val="000000" w:themeColor="text1"/>
        </w:rPr>
        <w:t>matrix and lunasin, as well as</w:t>
      </w:r>
      <w:r w:rsidR="003327A5">
        <w:rPr>
          <w:color w:val="000000" w:themeColor="text1"/>
        </w:rPr>
        <w:t xml:space="preserve"> changes in the biological activity resulting from food processing steps and storage</w:t>
      </w:r>
      <w:r w:rsidR="008C3128">
        <w:rPr>
          <w:color w:val="000000" w:themeColor="text1"/>
        </w:rPr>
        <w:t>,</w:t>
      </w:r>
      <w:r w:rsidR="003327A5">
        <w:rPr>
          <w:color w:val="000000" w:themeColor="text1"/>
        </w:rPr>
        <w:t xml:space="preserve"> require further investigation. </w:t>
      </w:r>
      <w:r w:rsidR="008C3128">
        <w:rPr>
          <w:color w:val="000000" w:themeColor="text1"/>
        </w:rPr>
        <w:t xml:space="preserve"> </w:t>
      </w:r>
    </w:p>
    <w:p w14:paraId="38DE63D4" w14:textId="77777777" w:rsidR="00045AC9" w:rsidRPr="001320C4" w:rsidRDefault="001320C4" w:rsidP="00154906">
      <w:pPr>
        <w:pStyle w:val="Heading2"/>
        <w:spacing w:line="480" w:lineRule="auto"/>
      </w:pPr>
      <w:bookmarkStart w:id="151" w:name="_Toc77082169"/>
      <w:r>
        <w:t xml:space="preserve">5.2 </w:t>
      </w:r>
      <w:r w:rsidR="00045AC9" w:rsidRPr="001320C4">
        <w:t>Future directions</w:t>
      </w:r>
      <w:bookmarkEnd w:id="151"/>
    </w:p>
    <w:p w14:paraId="4C5BDD4D" w14:textId="77777777" w:rsidR="00045AC9" w:rsidRDefault="00045AC9" w:rsidP="00154906">
      <w:pPr>
        <w:spacing w:line="480" w:lineRule="auto"/>
        <w:ind w:firstLine="360"/>
        <w:rPr>
          <w:color w:val="000000" w:themeColor="text1"/>
        </w:rPr>
      </w:pPr>
      <w:r>
        <w:rPr>
          <w:color w:val="000000" w:themeColor="text1"/>
        </w:rPr>
        <w:t>Further research to gain a better understanding of the potential utilization of lunasin in gastrointestinal disorders might include:</w:t>
      </w:r>
    </w:p>
    <w:p w14:paraId="3DB83A11" w14:textId="77777777" w:rsidR="00045AC9" w:rsidRDefault="00045AC9" w:rsidP="00154906">
      <w:pPr>
        <w:pStyle w:val="ListParagraph"/>
        <w:numPr>
          <w:ilvl w:val="0"/>
          <w:numId w:val="4"/>
        </w:numPr>
        <w:spacing w:line="480" w:lineRule="auto"/>
        <w:rPr>
          <w:rFonts w:ascii="Arial" w:hAnsi="Arial" w:cs="Arial"/>
          <w:color w:val="000000" w:themeColor="text1"/>
          <w:sz w:val="24"/>
          <w:szCs w:val="24"/>
        </w:rPr>
      </w:pPr>
      <w:r>
        <w:rPr>
          <w:rFonts w:ascii="Arial" w:hAnsi="Arial" w:cs="Arial"/>
          <w:color w:val="000000" w:themeColor="text1"/>
          <w:sz w:val="24"/>
          <w:szCs w:val="24"/>
        </w:rPr>
        <w:t xml:space="preserve">Identification of the products resulting from the </w:t>
      </w:r>
      <w:r>
        <w:rPr>
          <w:rFonts w:ascii="Arial" w:hAnsi="Arial" w:cs="Arial"/>
          <w:i/>
          <w:iCs/>
          <w:color w:val="000000" w:themeColor="text1"/>
          <w:sz w:val="24"/>
          <w:szCs w:val="24"/>
        </w:rPr>
        <w:t>in vivo</w:t>
      </w:r>
      <w:r>
        <w:rPr>
          <w:rFonts w:ascii="Arial" w:hAnsi="Arial" w:cs="Arial"/>
          <w:color w:val="000000" w:themeColor="text1"/>
          <w:sz w:val="24"/>
          <w:szCs w:val="24"/>
        </w:rPr>
        <w:t xml:space="preserve"> digestion of lunasin and their biodistribution in the different sections of the bowel, as well as the potential correlation between structure and activity. </w:t>
      </w:r>
    </w:p>
    <w:p w14:paraId="77D67C66" w14:textId="77777777" w:rsidR="00045AC9" w:rsidRDefault="00045AC9" w:rsidP="00154906">
      <w:pPr>
        <w:pStyle w:val="ListParagraph"/>
        <w:numPr>
          <w:ilvl w:val="0"/>
          <w:numId w:val="4"/>
        </w:numPr>
        <w:spacing w:line="480" w:lineRule="auto"/>
        <w:rPr>
          <w:rFonts w:ascii="Arial" w:hAnsi="Arial" w:cs="Arial"/>
          <w:color w:val="000000" w:themeColor="text1"/>
          <w:sz w:val="24"/>
          <w:szCs w:val="24"/>
        </w:rPr>
      </w:pPr>
      <w:r>
        <w:rPr>
          <w:rFonts w:ascii="Arial" w:hAnsi="Arial" w:cs="Arial"/>
          <w:color w:val="000000" w:themeColor="text1"/>
          <w:sz w:val="24"/>
          <w:szCs w:val="24"/>
        </w:rPr>
        <w:lastRenderedPageBreak/>
        <w:t>Variation in the composition and functionality of the intestinal microbiota because of lunasin consumption in healthy and diseased conditions, as well as the effect of lunasin and digestion-derived peptides over the crosstalk between epithelial, immune, and microbial cells.</w:t>
      </w:r>
    </w:p>
    <w:p w14:paraId="18B6FE4D" w14:textId="2D8F6142" w:rsidR="00045AC9" w:rsidRDefault="00045AC9" w:rsidP="00154906">
      <w:pPr>
        <w:pStyle w:val="ListParagraph"/>
        <w:numPr>
          <w:ilvl w:val="0"/>
          <w:numId w:val="4"/>
        </w:numPr>
        <w:spacing w:line="480" w:lineRule="auto"/>
        <w:rPr>
          <w:rFonts w:ascii="Arial" w:hAnsi="Arial" w:cs="Arial"/>
          <w:color w:val="000000" w:themeColor="text1"/>
          <w:sz w:val="24"/>
          <w:szCs w:val="24"/>
        </w:rPr>
      </w:pPr>
      <w:r>
        <w:rPr>
          <w:rFonts w:ascii="Arial" w:hAnsi="Arial" w:cs="Arial"/>
          <w:color w:val="000000" w:themeColor="text1"/>
          <w:sz w:val="24"/>
          <w:szCs w:val="24"/>
        </w:rPr>
        <w:t xml:space="preserve">Potential chemopreventive activity of lunasin against sporadic and familiar forms of </w:t>
      </w:r>
      <w:r w:rsidR="00DF3270">
        <w:rPr>
          <w:rFonts w:ascii="Arial" w:hAnsi="Arial" w:cs="Arial"/>
          <w:color w:val="000000" w:themeColor="text1"/>
          <w:sz w:val="24"/>
          <w:szCs w:val="24"/>
        </w:rPr>
        <w:t>CRC</w:t>
      </w:r>
      <w:r>
        <w:rPr>
          <w:rFonts w:ascii="Arial" w:hAnsi="Arial" w:cs="Arial"/>
          <w:color w:val="000000" w:themeColor="text1"/>
          <w:sz w:val="24"/>
          <w:szCs w:val="24"/>
        </w:rPr>
        <w:t xml:space="preserve">, as well as the potential contribution of orally consumed lunasin in extraintestinal manifestations of IBD. </w:t>
      </w:r>
    </w:p>
    <w:p w14:paraId="0F6CE19B" w14:textId="77777777" w:rsidR="00045AC9" w:rsidRDefault="00045AC9" w:rsidP="00154906">
      <w:pPr>
        <w:spacing w:line="480" w:lineRule="auto"/>
        <w:ind w:firstLine="360"/>
        <w:rPr>
          <w:color w:val="000000" w:themeColor="text1"/>
        </w:rPr>
      </w:pPr>
      <w:r>
        <w:rPr>
          <w:color w:val="000000" w:themeColor="text1"/>
        </w:rPr>
        <w:t>Research ideas inspired in the outcomes and results observed in this research, but not related to gastrointestinal health include:</w:t>
      </w:r>
    </w:p>
    <w:p w14:paraId="2D97894F" w14:textId="77777777" w:rsidR="00045AC9" w:rsidRDefault="00045AC9" w:rsidP="00154906">
      <w:pPr>
        <w:pStyle w:val="ListParagraph"/>
        <w:numPr>
          <w:ilvl w:val="0"/>
          <w:numId w:val="4"/>
        </w:numPr>
        <w:spacing w:line="480" w:lineRule="auto"/>
        <w:rPr>
          <w:rFonts w:ascii="Arial" w:hAnsi="Arial" w:cs="Arial"/>
          <w:color w:val="000000" w:themeColor="text1"/>
          <w:sz w:val="24"/>
          <w:szCs w:val="24"/>
        </w:rPr>
      </w:pPr>
      <w:r>
        <w:rPr>
          <w:rFonts w:ascii="Arial" w:hAnsi="Arial" w:cs="Arial"/>
          <w:color w:val="000000" w:themeColor="text1"/>
          <w:sz w:val="24"/>
          <w:szCs w:val="24"/>
        </w:rPr>
        <w:t xml:space="preserve">Effect of lunasin over other inflammasome structures, and the potential utilization of the peptide in diseases with a critical contribution of the inflammasomes. </w:t>
      </w:r>
    </w:p>
    <w:p w14:paraId="7E1FDA68" w14:textId="77777777" w:rsidR="00045AC9" w:rsidRDefault="00045AC9" w:rsidP="00154906">
      <w:pPr>
        <w:pStyle w:val="ListParagraph"/>
        <w:numPr>
          <w:ilvl w:val="0"/>
          <w:numId w:val="4"/>
        </w:numPr>
        <w:spacing w:line="480" w:lineRule="auto"/>
        <w:rPr>
          <w:rFonts w:ascii="Arial" w:hAnsi="Arial" w:cs="Arial"/>
          <w:color w:val="000000" w:themeColor="text1"/>
          <w:sz w:val="24"/>
          <w:szCs w:val="24"/>
        </w:rPr>
      </w:pPr>
      <w:r>
        <w:rPr>
          <w:rFonts w:ascii="Arial" w:hAnsi="Arial" w:cs="Arial"/>
          <w:color w:val="000000" w:themeColor="text1"/>
          <w:sz w:val="24"/>
          <w:szCs w:val="24"/>
        </w:rPr>
        <w:t xml:space="preserve">Causes underlying differential outcomes between individuals that show either high or low response to the peptide. </w:t>
      </w:r>
    </w:p>
    <w:p w14:paraId="270AD1E0" w14:textId="77777777" w:rsidR="00825933" w:rsidRPr="00334400" w:rsidRDefault="00236E6D" w:rsidP="005E54E2">
      <w:pPr>
        <w:pStyle w:val="Heading1"/>
      </w:pPr>
      <w:r>
        <w:br w:type="page"/>
      </w:r>
    </w:p>
    <w:p w14:paraId="7046172B" w14:textId="1334C3DC" w:rsidR="003D63DF" w:rsidRPr="007D788B" w:rsidRDefault="00526151" w:rsidP="002B3E0C">
      <w:pPr>
        <w:pStyle w:val="Heading1"/>
        <w:numPr>
          <w:ilvl w:val="0"/>
          <w:numId w:val="0"/>
        </w:numPr>
        <w:spacing w:line="480" w:lineRule="auto"/>
        <w:rPr>
          <w:color w:val="000000" w:themeColor="text1"/>
        </w:rPr>
      </w:pPr>
      <w:bookmarkStart w:id="152" w:name="_Toc289175845"/>
      <w:bookmarkStart w:id="153" w:name="_Toc77082170"/>
      <w:r w:rsidRPr="007D788B">
        <w:rPr>
          <w:color w:val="000000" w:themeColor="text1"/>
        </w:rPr>
        <w:lastRenderedPageBreak/>
        <w:t>VITA</w:t>
      </w:r>
      <w:bookmarkStart w:id="154" w:name="_GoBack"/>
      <w:bookmarkEnd w:id="152"/>
      <w:bookmarkEnd w:id="153"/>
      <w:bookmarkEnd w:id="154"/>
    </w:p>
    <w:p w14:paraId="2238F1F0" w14:textId="5CE360BD" w:rsidR="005331D2" w:rsidRPr="007D788B" w:rsidRDefault="005978F0" w:rsidP="00154906">
      <w:pPr>
        <w:spacing w:line="480" w:lineRule="auto"/>
        <w:ind w:firstLine="720"/>
        <w:rPr>
          <w:color w:val="000000" w:themeColor="text1"/>
        </w:rPr>
      </w:pPr>
      <w:r w:rsidRPr="007D788B">
        <w:rPr>
          <w:color w:val="000000" w:themeColor="text1"/>
        </w:rPr>
        <w:t xml:space="preserve">Andrea Nieto was born in Bogotá, Colombia. She </w:t>
      </w:r>
      <w:r w:rsidR="002C17F8" w:rsidRPr="007D788B">
        <w:rPr>
          <w:color w:val="000000" w:themeColor="text1"/>
        </w:rPr>
        <w:t>attended Universidad Nacional de Colombia (Bogotá Colombia) where she r</w:t>
      </w:r>
      <w:r w:rsidRPr="007D788B">
        <w:rPr>
          <w:color w:val="000000" w:themeColor="text1"/>
        </w:rPr>
        <w:t xml:space="preserve">eceived her bachelor’s degree in Chemical Engineering </w:t>
      </w:r>
      <w:r w:rsidR="002C17F8" w:rsidRPr="007D788B">
        <w:rPr>
          <w:color w:val="000000" w:themeColor="text1"/>
        </w:rPr>
        <w:t xml:space="preserve">and worked for four years as undergraduate research assistant in the </w:t>
      </w:r>
      <w:r w:rsidR="007D4F95">
        <w:rPr>
          <w:color w:val="000000" w:themeColor="text1"/>
        </w:rPr>
        <w:t xml:space="preserve">Institute of </w:t>
      </w:r>
      <w:r w:rsidR="002C17F8" w:rsidRPr="007D788B">
        <w:rPr>
          <w:color w:val="000000" w:themeColor="text1"/>
        </w:rPr>
        <w:t xml:space="preserve">Food Science and Technology under the guidance of Dr. </w:t>
      </w:r>
      <w:r w:rsidR="00E72E24" w:rsidRPr="007D788B">
        <w:rPr>
          <w:color w:val="000000" w:themeColor="text1"/>
        </w:rPr>
        <w:t>Martha Quicanzan and</w:t>
      </w:r>
      <w:r w:rsidR="002C17F8" w:rsidRPr="007D788B">
        <w:rPr>
          <w:color w:val="000000" w:themeColor="text1"/>
        </w:rPr>
        <w:t xml:space="preserve"> was awarded with the grant Young Researchers and Innovators from Minciencias. </w:t>
      </w:r>
    </w:p>
    <w:p w14:paraId="1B4B3D20" w14:textId="2F7CD872" w:rsidR="005331D2" w:rsidRPr="007D788B" w:rsidRDefault="002C17F8" w:rsidP="00154906">
      <w:pPr>
        <w:spacing w:line="480" w:lineRule="auto"/>
        <w:ind w:firstLine="720"/>
        <w:rPr>
          <w:color w:val="000000" w:themeColor="text1"/>
        </w:rPr>
      </w:pPr>
      <w:r w:rsidRPr="007D788B">
        <w:rPr>
          <w:color w:val="000000" w:themeColor="text1"/>
        </w:rPr>
        <w:t xml:space="preserve">After her graduation, she </w:t>
      </w:r>
      <w:r w:rsidR="005978F0" w:rsidRPr="007D788B">
        <w:rPr>
          <w:color w:val="000000" w:themeColor="text1"/>
        </w:rPr>
        <w:t>continued her master’s education in Advances in Food Safety at Universidad de Jaen (Jaen, Spain)</w:t>
      </w:r>
      <w:r w:rsidRPr="007D788B">
        <w:rPr>
          <w:color w:val="000000" w:themeColor="text1"/>
        </w:rPr>
        <w:t xml:space="preserve"> supported by a </w:t>
      </w:r>
      <w:r w:rsidR="0037112B">
        <w:rPr>
          <w:color w:val="000000" w:themeColor="text1"/>
        </w:rPr>
        <w:t>scholarsh</w:t>
      </w:r>
      <w:r w:rsidR="0037112B" w:rsidRPr="007D788B">
        <w:rPr>
          <w:color w:val="000000" w:themeColor="text1"/>
        </w:rPr>
        <w:t>ip</w:t>
      </w:r>
      <w:r w:rsidRPr="007D788B">
        <w:rPr>
          <w:color w:val="000000" w:themeColor="text1"/>
        </w:rPr>
        <w:t xml:space="preserve"> from the </w:t>
      </w:r>
      <w:r w:rsidR="005331D2" w:rsidRPr="007D788B">
        <w:rPr>
          <w:color w:val="000000" w:themeColor="text1"/>
        </w:rPr>
        <w:t xml:space="preserve">Association of Ibero-American Universities for Postgraduate Studies – AUIP. She then participated in a short-term research program in the Universidad Politecnica de Valencia (Valencia, Spain) supported by the program Young Professors and Researchers from Santander Universities. </w:t>
      </w:r>
    </w:p>
    <w:p w14:paraId="4E8680A9" w14:textId="77A65FDF" w:rsidR="005978F0" w:rsidRPr="007D788B" w:rsidRDefault="005331D2" w:rsidP="00154906">
      <w:pPr>
        <w:spacing w:line="480" w:lineRule="auto"/>
        <w:ind w:firstLine="720"/>
        <w:rPr>
          <w:color w:val="000000" w:themeColor="text1"/>
        </w:rPr>
      </w:pPr>
      <w:r w:rsidRPr="007D788B">
        <w:rPr>
          <w:color w:val="000000" w:themeColor="text1"/>
        </w:rPr>
        <w:t xml:space="preserve">Andrea was awarded the Fulbright-Minciencias </w:t>
      </w:r>
      <w:r w:rsidR="0037112B">
        <w:rPr>
          <w:color w:val="000000" w:themeColor="text1"/>
        </w:rPr>
        <w:t>Scholar</w:t>
      </w:r>
      <w:r w:rsidRPr="007D788B">
        <w:rPr>
          <w:color w:val="000000" w:themeColor="text1"/>
        </w:rPr>
        <w:t xml:space="preserve">ship to </w:t>
      </w:r>
      <w:r w:rsidR="00AF3B1C" w:rsidRPr="007D788B">
        <w:rPr>
          <w:color w:val="000000" w:themeColor="text1"/>
        </w:rPr>
        <w:t>carry out</w:t>
      </w:r>
      <w:r w:rsidRPr="007D788B">
        <w:rPr>
          <w:color w:val="000000" w:themeColor="text1"/>
        </w:rPr>
        <w:t xml:space="preserve"> her doctorate studies in the </w:t>
      </w:r>
      <w:r w:rsidR="00AF3B1C" w:rsidRPr="007D788B">
        <w:rPr>
          <w:color w:val="000000" w:themeColor="text1"/>
        </w:rPr>
        <w:t>USA and</w:t>
      </w:r>
      <w:r w:rsidRPr="007D788B">
        <w:rPr>
          <w:color w:val="000000" w:themeColor="text1"/>
        </w:rPr>
        <w:t xml:space="preserve"> moved to Knoxville to </w:t>
      </w:r>
      <w:r w:rsidR="00AF3B1C" w:rsidRPr="007D788B">
        <w:rPr>
          <w:color w:val="000000" w:themeColor="text1"/>
        </w:rPr>
        <w:t xml:space="preserve">attend </w:t>
      </w:r>
      <w:r w:rsidRPr="007D788B">
        <w:rPr>
          <w:color w:val="000000" w:themeColor="text1"/>
        </w:rPr>
        <w:t xml:space="preserve">the University of Tennessee </w:t>
      </w:r>
      <w:r w:rsidR="00AF3B1C" w:rsidRPr="007D788B">
        <w:rPr>
          <w:color w:val="000000" w:themeColor="text1"/>
        </w:rPr>
        <w:t>and</w:t>
      </w:r>
      <w:r w:rsidRPr="007D788B">
        <w:rPr>
          <w:color w:val="000000" w:themeColor="text1"/>
        </w:rPr>
        <w:t xml:space="preserve"> </w:t>
      </w:r>
      <w:r w:rsidR="00AF3B1C" w:rsidRPr="007D788B">
        <w:rPr>
          <w:color w:val="000000" w:themeColor="text1"/>
        </w:rPr>
        <w:t>pursue</w:t>
      </w:r>
      <w:r w:rsidRPr="007D788B">
        <w:rPr>
          <w:color w:val="000000" w:themeColor="text1"/>
        </w:rPr>
        <w:t xml:space="preserve"> her PhD in Food Science</w:t>
      </w:r>
      <w:r w:rsidR="00AF3B1C" w:rsidRPr="007D788B">
        <w:rPr>
          <w:color w:val="000000" w:themeColor="text1"/>
        </w:rPr>
        <w:t xml:space="preserve">. </w:t>
      </w:r>
      <w:r w:rsidRPr="007D788B">
        <w:rPr>
          <w:color w:val="000000" w:themeColor="text1"/>
        </w:rPr>
        <w:t xml:space="preserve"> </w:t>
      </w:r>
      <w:r w:rsidR="00AF3B1C" w:rsidRPr="007D788B">
        <w:rPr>
          <w:color w:val="000000" w:themeColor="text1"/>
        </w:rPr>
        <w:t>U</w:t>
      </w:r>
      <w:r w:rsidRPr="007D788B">
        <w:rPr>
          <w:color w:val="000000" w:themeColor="text1"/>
        </w:rPr>
        <w:t xml:space="preserve">nder the direction of Dr. Vermont </w:t>
      </w:r>
      <w:r w:rsidR="00AF3B1C" w:rsidRPr="007D788B">
        <w:rPr>
          <w:color w:val="000000" w:themeColor="text1"/>
        </w:rPr>
        <w:t xml:space="preserve">P. </w:t>
      </w:r>
      <w:r w:rsidRPr="007D788B">
        <w:rPr>
          <w:color w:val="000000" w:themeColor="text1"/>
        </w:rPr>
        <w:t>Dia</w:t>
      </w:r>
      <w:r w:rsidR="00AF3B1C" w:rsidRPr="007D788B">
        <w:rPr>
          <w:color w:val="000000" w:themeColor="text1"/>
        </w:rPr>
        <w:t xml:space="preserve"> she worked on the evaluation of bioactive properties of food-derived</w:t>
      </w:r>
      <w:r w:rsidR="007D4F95">
        <w:rPr>
          <w:color w:val="000000" w:themeColor="text1"/>
        </w:rPr>
        <w:t xml:space="preserve"> compounds</w:t>
      </w:r>
      <w:r w:rsidR="00AF3B1C" w:rsidRPr="007D788B">
        <w:rPr>
          <w:color w:val="000000" w:themeColor="text1"/>
        </w:rPr>
        <w:t xml:space="preserve"> using </w:t>
      </w:r>
      <w:r w:rsidR="00AF3B1C" w:rsidRPr="007D788B">
        <w:rPr>
          <w:i/>
          <w:iCs/>
          <w:color w:val="000000" w:themeColor="text1"/>
        </w:rPr>
        <w:t>in vitro</w:t>
      </w:r>
      <w:r w:rsidR="00AF3B1C" w:rsidRPr="007D788B">
        <w:rPr>
          <w:color w:val="000000" w:themeColor="text1"/>
        </w:rPr>
        <w:t xml:space="preserve"> and </w:t>
      </w:r>
      <w:r w:rsidR="00AF3B1C" w:rsidRPr="007D788B">
        <w:rPr>
          <w:i/>
          <w:iCs/>
          <w:color w:val="000000" w:themeColor="text1"/>
        </w:rPr>
        <w:t>in vivo</w:t>
      </w:r>
      <w:r w:rsidR="00AF3B1C" w:rsidRPr="007D788B">
        <w:rPr>
          <w:color w:val="000000" w:themeColor="text1"/>
        </w:rPr>
        <w:t xml:space="preserve"> </w:t>
      </w:r>
      <w:r w:rsidR="007D4F95">
        <w:rPr>
          <w:color w:val="000000" w:themeColor="text1"/>
        </w:rPr>
        <w:t>approaches</w:t>
      </w:r>
      <w:r w:rsidR="00AF3B1C" w:rsidRPr="007D788B">
        <w:rPr>
          <w:color w:val="000000" w:themeColor="text1"/>
        </w:rPr>
        <w:t xml:space="preserve">. Particularly she focused her dissertation work </w:t>
      </w:r>
      <w:r w:rsidR="00E72E24" w:rsidRPr="007D788B">
        <w:rPr>
          <w:color w:val="000000" w:themeColor="text1"/>
        </w:rPr>
        <w:t>on</w:t>
      </w:r>
      <w:r w:rsidR="00AF3B1C" w:rsidRPr="007D788B">
        <w:rPr>
          <w:color w:val="000000" w:themeColor="text1"/>
        </w:rPr>
        <w:t xml:space="preserve"> the anti-inflammatory and chemoprevent</w:t>
      </w:r>
      <w:r w:rsidR="007D788B" w:rsidRPr="007D788B">
        <w:rPr>
          <w:color w:val="000000" w:themeColor="text1"/>
        </w:rPr>
        <w:t>i</w:t>
      </w:r>
      <w:r w:rsidR="00AF3B1C" w:rsidRPr="007D788B">
        <w:rPr>
          <w:color w:val="000000" w:themeColor="text1"/>
        </w:rPr>
        <w:t xml:space="preserve">ve activity of the soybean peptide lunasin </w:t>
      </w:r>
      <w:r w:rsidR="007D788B" w:rsidRPr="007D788B">
        <w:rPr>
          <w:color w:val="000000" w:themeColor="text1"/>
        </w:rPr>
        <w:t xml:space="preserve">in gastrointestinal diseases </w:t>
      </w:r>
      <w:r w:rsidR="00AF3B1C" w:rsidRPr="007D788B">
        <w:rPr>
          <w:color w:val="000000" w:themeColor="text1"/>
        </w:rPr>
        <w:t xml:space="preserve">using </w:t>
      </w:r>
      <w:r w:rsidR="00AF3B1C" w:rsidRPr="00E72E24">
        <w:rPr>
          <w:i/>
          <w:iCs/>
          <w:color w:val="000000" w:themeColor="text1"/>
        </w:rPr>
        <w:t>in</w:t>
      </w:r>
      <w:r w:rsidR="007D788B" w:rsidRPr="00E72E24">
        <w:rPr>
          <w:i/>
          <w:iCs/>
          <w:color w:val="000000" w:themeColor="text1"/>
        </w:rPr>
        <w:t xml:space="preserve"> </w:t>
      </w:r>
      <w:r w:rsidR="00AF3B1C" w:rsidRPr="00E72E24">
        <w:rPr>
          <w:i/>
          <w:iCs/>
          <w:color w:val="000000" w:themeColor="text1"/>
        </w:rPr>
        <w:t>vivo</w:t>
      </w:r>
      <w:r w:rsidR="00AF3B1C" w:rsidRPr="007D788B">
        <w:rPr>
          <w:color w:val="000000" w:themeColor="text1"/>
        </w:rPr>
        <w:t xml:space="preserve"> models of inflammatory bowel disease and colitis</w:t>
      </w:r>
      <w:r w:rsidR="007D788B" w:rsidRPr="007D788B">
        <w:rPr>
          <w:color w:val="000000" w:themeColor="text1"/>
        </w:rPr>
        <w:t>-</w:t>
      </w:r>
      <w:r w:rsidR="00AF3B1C" w:rsidRPr="007D788B">
        <w:rPr>
          <w:color w:val="000000" w:themeColor="text1"/>
        </w:rPr>
        <w:t xml:space="preserve">associated colorectal cancer.  </w:t>
      </w:r>
      <w:r w:rsidRPr="007D788B">
        <w:rPr>
          <w:color w:val="000000" w:themeColor="text1"/>
        </w:rPr>
        <w:t xml:space="preserve"> </w:t>
      </w:r>
    </w:p>
    <w:sectPr w:rsidR="005978F0" w:rsidRPr="007D788B" w:rsidSect="001320C4">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59A7E0" w14:textId="77777777" w:rsidR="005D04B4" w:rsidRDefault="005D04B4" w:rsidP="005E54E2">
      <w:r>
        <w:separator/>
      </w:r>
    </w:p>
    <w:p w14:paraId="008A35EA" w14:textId="77777777" w:rsidR="005D04B4" w:rsidRDefault="005D04B4" w:rsidP="005E54E2"/>
    <w:p w14:paraId="5142F719" w14:textId="77777777" w:rsidR="005D04B4" w:rsidRDefault="005D04B4" w:rsidP="005E54E2"/>
    <w:p w14:paraId="110E508E" w14:textId="77777777" w:rsidR="005D04B4" w:rsidRDefault="005D04B4" w:rsidP="005E54E2"/>
  </w:endnote>
  <w:endnote w:type="continuationSeparator" w:id="0">
    <w:p w14:paraId="2674DC4E" w14:textId="77777777" w:rsidR="005D04B4" w:rsidRDefault="005D04B4" w:rsidP="005E54E2">
      <w:r>
        <w:continuationSeparator/>
      </w:r>
    </w:p>
    <w:p w14:paraId="6C346F6E" w14:textId="77777777" w:rsidR="005D04B4" w:rsidRDefault="005D04B4" w:rsidP="005E54E2"/>
    <w:p w14:paraId="32A3B9A9" w14:textId="77777777" w:rsidR="005D04B4" w:rsidRDefault="005D04B4" w:rsidP="005E54E2"/>
    <w:p w14:paraId="4E16550C" w14:textId="77777777" w:rsidR="005D04B4" w:rsidRDefault="005D04B4"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Perpetua Titling MT">
    <w:panose1 w:val="020205020605050208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73550" w14:textId="77777777" w:rsidR="00636295" w:rsidRDefault="0063629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E0E07" w14:textId="02433A42" w:rsidR="00636295" w:rsidRDefault="00636295">
    <w:pPr>
      <w:jc w:val="right"/>
    </w:pPr>
    <w:r>
      <w:fldChar w:fldCharType="begin"/>
    </w:r>
    <w:r>
      <w:instrText xml:space="preserve"> PAGE   \* MERGEFORMAT </w:instrText>
    </w:r>
    <w:r>
      <w:fldChar w:fldCharType="separate"/>
    </w:r>
    <w:r w:rsidR="002B3E0C">
      <w:rPr>
        <w:noProof/>
      </w:rPr>
      <w:t>199</w:t>
    </w:r>
    <w:r>
      <w:rPr>
        <w:noProof/>
      </w:rPr>
      <w:fldChar w:fldCharType="end"/>
    </w:r>
  </w:p>
  <w:p w14:paraId="486D0BE4" w14:textId="77777777" w:rsidR="00636295" w:rsidRDefault="00636295" w:rsidP="005E54E2"/>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29CE1" w14:textId="77777777" w:rsidR="00636295" w:rsidRDefault="0063629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00EB99" w14:textId="77777777" w:rsidR="005D04B4" w:rsidRDefault="005D04B4" w:rsidP="005E54E2">
      <w:r>
        <w:separator/>
      </w:r>
    </w:p>
    <w:p w14:paraId="525B00A8" w14:textId="77777777" w:rsidR="005D04B4" w:rsidRDefault="005D04B4" w:rsidP="005E54E2"/>
    <w:p w14:paraId="08351017" w14:textId="77777777" w:rsidR="005D04B4" w:rsidRDefault="005D04B4" w:rsidP="005E54E2"/>
    <w:p w14:paraId="76B6FAC6" w14:textId="77777777" w:rsidR="005D04B4" w:rsidRDefault="005D04B4" w:rsidP="005E54E2"/>
  </w:footnote>
  <w:footnote w:type="continuationSeparator" w:id="0">
    <w:p w14:paraId="200C1EE6" w14:textId="77777777" w:rsidR="005D04B4" w:rsidRDefault="005D04B4" w:rsidP="005E54E2">
      <w:r>
        <w:continuationSeparator/>
      </w:r>
    </w:p>
    <w:p w14:paraId="0C0A1E25" w14:textId="77777777" w:rsidR="005D04B4" w:rsidRDefault="005D04B4" w:rsidP="005E54E2"/>
    <w:p w14:paraId="7B333AF1" w14:textId="77777777" w:rsidR="005D04B4" w:rsidRDefault="005D04B4" w:rsidP="005E54E2"/>
    <w:p w14:paraId="77693705" w14:textId="77777777" w:rsidR="005D04B4" w:rsidRDefault="005D04B4" w:rsidP="005E54E2"/>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51F19" w14:textId="77777777" w:rsidR="00636295" w:rsidRDefault="0063629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E9B33" w14:textId="77777777" w:rsidR="00636295" w:rsidRDefault="0063629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8907C" w14:textId="77777777" w:rsidR="00636295" w:rsidRDefault="0063629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03AA8"/>
    <w:multiLevelType w:val="hybridMultilevel"/>
    <w:tmpl w:val="2006CC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457D1324"/>
    <w:multiLevelType w:val="hybridMultilevel"/>
    <w:tmpl w:val="49B87F7E"/>
    <w:lvl w:ilvl="0" w:tplc="C7941ED6">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4D5C7EEB"/>
    <w:multiLevelType w:val="hybridMultilevel"/>
    <w:tmpl w:val="AD3661BC"/>
    <w:lvl w:ilvl="0" w:tplc="7C622BDA">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A151DA9"/>
    <w:multiLevelType w:val="multilevel"/>
    <w:tmpl w:val="82D0DD86"/>
    <w:lvl w:ilvl="0">
      <w:start w:val="1"/>
      <w:numFmt w:val="decimal"/>
      <w:lvlText w:val="CHAPTER %1."/>
      <w:lvlJc w:val="left"/>
      <w:pPr>
        <w:ind w:left="360" w:hanging="72"/>
      </w:pPr>
      <w:rPr>
        <w:rFonts w:ascii="Arial" w:hAnsi="Arial" w:hint="default"/>
        <w:b/>
        <w:i w:val="0"/>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A2B5D6E"/>
    <w:multiLevelType w:val="hybridMultilevel"/>
    <w:tmpl w:val="258E4270"/>
    <w:lvl w:ilvl="0" w:tplc="0409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5" w15:restartNumberingAfterBreak="0">
    <w:nsid w:val="684C034C"/>
    <w:multiLevelType w:val="multilevel"/>
    <w:tmpl w:val="04090029"/>
    <w:lvl w:ilvl="0">
      <w:start w:val="1"/>
      <w:numFmt w:val="decimal"/>
      <w:pStyle w:val="Heading1"/>
      <w:suff w:val="space"/>
      <w:lvlText w:val="Capítulo %1"/>
      <w:lvlJc w:val="left"/>
      <w:pPr>
        <w:ind w:left="81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6" w15:restartNumberingAfterBreak="0">
    <w:nsid w:val="6C6B11DF"/>
    <w:multiLevelType w:val="hybridMultilevel"/>
    <w:tmpl w:val="43989270"/>
    <w:lvl w:ilvl="0" w:tplc="32380E5C">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73D467F7"/>
    <w:multiLevelType w:val="multilevel"/>
    <w:tmpl w:val="9DECF80E"/>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4D42B3B"/>
    <w:multiLevelType w:val="hybridMultilevel"/>
    <w:tmpl w:val="5C20CD7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 w15:restartNumberingAfterBreak="0">
    <w:nsid w:val="79D1161C"/>
    <w:multiLevelType w:val="hybridMultilevel"/>
    <w:tmpl w:val="8F10CBDC"/>
    <w:lvl w:ilvl="0" w:tplc="51603CCA">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7"/>
  </w:num>
  <w:num w:numId="2">
    <w:abstractNumId w:val="4"/>
  </w:num>
  <w:num w:numId="3">
    <w:abstractNumId w:val="5"/>
  </w:num>
  <w:num w:numId="4">
    <w:abstractNumId w:val="8"/>
  </w:num>
  <w:num w:numId="5">
    <w:abstractNumId w:val="6"/>
  </w:num>
  <w:num w:numId="6">
    <w:abstractNumId w:val="1"/>
  </w:num>
  <w:num w:numId="7">
    <w:abstractNumId w:val="9"/>
  </w:num>
  <w:num w:numId="8">
    <w:abstractNumId w:val="2"/>
  </w:num>
  <w:num w:numId="9">
    <w:abstractNumId w:val="0"/>
  </w:num>
  <w:num w:numId="10">
    <w:abstractNumId w:val="3"/>
  </w:num>
  <w:num w:numId="11">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pt-BR" w:vendorID="64" w:dllVersion="6" w:nlCheck="1" w:checkStyle="0"/>
  <w:activeWritingStyle w:appName="MSWord" w:lang="en-US" w:vendorID="64" w:dllVersion="6" w:nlCheck="1" w:checkStyle="1"/>
  <w:activeWritingStyle w:appName="MSWord" w:lang="es-CO" w:vendorID="64" w:dllVersion="6" w:nlCheck="1" w:checkStyle="1"/>
  <w:activeWritingStyle w:appName="MSWord" w:lang="en-CA" w:vendorID="64" w:dllVersion="6" w:nlCheck="1" w:checkStyle="1"/>
  <w:activeWritingStyle w:appName="MSWord" w:lang="en-CA" w:vendorID="64" w:dllVersion="4096" w:nlCheck="1" w:checkStyle="0"/>
  <w:activeWritingStyle w:appName="MSWord" w:lang="en-US" w:vendorID="64" w:dllVersion="4096" w:nlCheck="1" w:checkStyle="0"/>
  <w:activeWritingStyle w:appName="MSWord" w:lang="es-CO" w:vendorID="64" w:dllVersion="4096" w:nlCheck="1" w:checkStyle="0"/>
  <w:activeWritingStyle w:appName="MSWord" w:lang="en-US" w:vendorID="64" w:dllVersion="0" w:nlCheck="1" w:checkStyle="0"/>
  <w:activeWritingStyle w:appName="MSWord" w:lang="en-CA" w:vendorID="64" w:dllVersion="0" w:nlCheck="1" w:checkStyle="0"/>
  <w:activeWritingStyle w:appName="MSWord" w:lang="es-CO" w:vendorID="64" w:dllVersion="0" w:nlCheck="1" w:checkStyle="0"/>
  <w:activeWritingStyle w:appName="MSWord" w:lang="es-ES" w:vendorID="64" w:dllVersion="0" w:nlCheck="1" w:checkStyle="0"/>
  <w:activeWritingStyle w:appName="MSWord" w:lang="es-ES" w:vendorID="64" w:dllVersion="4096" w:nlCheck="1" w:checkStyle="0"/>
  <w:activeWritingStyle w:appName="MSWord" w:lang="en-US" w:vendorID="64" w:dllVersion="131078" w:nlCheck="1" w:checkStyle="0"/>
  <w:proofState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2BC"/>
    <w:rsid w:val="000033A9"/>
    <w:rsid w:val="00003F6A"/>
    <w:rsid w:val="0000620B"/>
    <w:rsid w:val="0000789E"/>
    <w:rsid w:val="00014A3E"/>
    <w:rsid w:val="000156E9"/>
    <w:rsid w:val="000166A9"/>
    <w:rsid w:val="00022C8C"/>
    <w:rsid w:val="00023F48"/>
    <w:rsid w:val="00030311"/>
    <w:rsid w:val="00033DB3"/>
    <w:rsid w:val="00034BF0"/>
    <w:rsid w:val="0003672C"/>
    <w:rsid w:val="00045AC9"/>
    <w:rsid w:val="0005458F"/>
    <w:rsid w:val="00057004"/>
    <w:rsid w:val="00061EE4"/>
    <w:rsid w:val="000644D4"/>
    <w:rsid w:val="00064706"/>
    <w:rsid w:val="000668BF"/>
    <w:rsid w:val="00071FB8"/>
    <w:rsid w:val="00075AA0"/>
    <w:rsid w:val="00076926"/>
    <w:rsid w:val="00076A95"/>
    <w:rsid w:val="00084481"/>
    <w:rsid w:val="00092B52"/>
    <w:rsid w:val="000952EC"/>
    <w:rsid w:val="00097771"/>
    <w:rsid w:val="000A4297"/>
    <w:rsid w:val="000B149D"/>
    <w:rsid w:val="000B370C"/>
    <w:rsid w:val="000B3D19"/>
    <w:rsid w:val="000B5C42"/>
    <w:rsid w:val="000C4CBA"/>
    <w:rsid w:val="000D0605"/>
    <w:rsid w:val="000D0B9C"/>
    <w:rsid w:val="000D1A90"/>
    <w:rsid w:val="000D2524"/>
    <w:rsid w:val="000D55FA"/>
    <w:rsid w:val="000E6E74"/>
    <w:rsid w:val="000F0C55"/>
    <w:rsid w:val="000F27AA"/>
    <w:rsid w:val="00100570"/>
    <w:rsid w:val="0010217F"/>
    <w:rsid w:val="001055EC"/>
    <w:rsid w:val="0010643B"/>
    <w:rsid w:val="001113F0"/>
    <w:rsid w:val="00115CE1"/>
    <w:rsid w:val="00124A01"/>
    <w:rsid w:val="0012507D"/>
    <w:rsid w:val="00130A97"/>
    <w:rsid w:val="001311E7"/>
    <w:rsid w:val="001320C4"/>
    <w:rsid w:val="00134618"/>
    <w:rsid w:val="00136377"/>
    <w:rsid w:val="00136B9B"/>
    <w:rsid w:val="00136F57"/>
    <w:rsid w:val="00140494"/>
    <w:rsid w:val="001405B5"/>
    <w:rsid w:val="00154906"/>
    <w:rsid w:val="001563D8"/>
    <w:rsid w:val="00157BE7"/>
    <w:rsid w:val="00160114"/>
    <w:rsid w:val="00164FBD"/>
    <w:rsid w:val="00166AA2"/>
    <w:rsid w:val="00173C38"/>
    <w:rsid w:val="001823CC"/>
    <w:rsid w:val="0018339E"/>
    <w:rsid w:val="001854FB"/>
    <w:rsid w:val="001904A4"/>
    <w:rsid w:val="0019268F"/>
    <w:rsid w:val="00193642"/>
    <w:rsid w:val="0019498D"/>
    <w:rsid w:val="001976C1"/>
    <w:rsid w:val="001A69FD"/>
    <w:rsid w:val="001B1034"/>
    <w:rsid w:val="001B36B2"/>
    <w:rsid w:val="001B4F0A"/>
    <w:rsid w:val="001C39F6"/>
    <w:rsid w:val="001C66FE"/>
    <w:rsid w:val="001D4908"/>
    <w:rsid w:val="001D6904"/>
    <w:rsid w:val="001F058F"/>
    <w:rsid w:val="001F27A0"/>
    <w:rsid w:val="001F43C1"/>
    <w:rsid w:val="001F522F"/>
    <w:rsid w:val="0020083C"/>
    <w:rsid w:val="00207518"/>
    <w:rsid w:val="002076BA"/>
    <w:rsid w:val="002109CE"/>
    <w:rsid w:val="00211AA5"/>
    <w:rsid w:val="00212D9E"/>
    <w:rsid w:val="0021461A"/>
    <w:rsid w:val="00215C1D"/>
    <w:rsid w:val="00216739"/>
    <w:rsid w:val="0022210F"/>
    <w:rsid w:val="00226CE1"/>
    <w:rsid w:val="0023061D"/>
    <w:rsid w:val="002331A9"/>
    <w:rsid w:val="00236E6D"/>
    <w:rsid w:val="002429E5"/>
    <w:rsid w:val="002449FA"/>
    <w:rsid w:val="00246AF3"/>
    <w:rsid w:val="002502EE"/>
    <w:rsid w:val="00251EBB"/>
    <w:rsid w:val="00253021"/>
    <w:rsid w:val="002559EF"/>
    <w:rsid w:val="00261B12"/>
    <w:rsid w:val="00273EF1"/>
    <w:rsid w:val="00280CEF"/>
    <w:rsid w:val="0028757A"/>
    <w:rsid w:val="00287B30"/>
    <w:rsid w:val="002A02F7"/>
    <w:rsid w:val="002A12F0"/>
    <w:rsid w:val="002A3264"/>
    <w:rsid w:val="002A4117"/>
    <w:rsid w:val="002B3E0C"/>
    <w:rsid w:val="002B516B"/>
    <w:rsid w:val="002C17F8"/>
    <w:rsid w:val="002C447C"/>
    <w:rsid w:val="002D2D11"/>
    <w:rsid w:val="002E0B22"/>
    <w:rsid w:val="002E0C33"/>
    <w:rsid w:val="002E2492"/>
    <w:rsid w:val="002E5D55"/>
    <w:rsid w:val="002E5F14"/>
    <w:rsid w:val="002F3F57"/>
    <w:rsid w:val="002F6C76"/>
    <w:rsid w:val="00300212"/>
    <w:rsid w:val="003015AA"/>
    <w:rsid w:val="0030481A"/>
    <w:rsid w:val="00304BD0"/>
    <w:rsid w:val="003050D2"/>
    <w:rsid w:val="00307D77"/>
    <w:rsid w:val="003127F5"/>
    <w:rsid w:val="00313E9E"/>
    <w:rsid w:val="003150D5"/>
    <w:rsid w:val="003152A3"/>
    <w:rsid w:val="00315C51"/>
    <w:rsid w:val="0031604F"/>
    <w:rsid w:val="003206F1"/>
    <w:rsid w:val="00320F78"/>
    <w:rsid w:val="00323049"/>
    <w:rsid w:val="00324399"/>
    <w:rsid w:val="003327A5"/>
    <w:rsid w:val="003329E6"/>
    <w:rsid w:val="00334400"/>
    <w:rsid w:val="003348A6"/>
    <w:rsid w:val="00343306"/>
    <w:rsid w:val="0034730D"/>
    <w:rsid w:val="00347720"/>
    <w:rsid w:val="0035454B"/>
    <w:rsid w:val="00355F29"/>
    <w:rsid w:val="0035768F"/>
    <w:rsid w:val="00360B3C"/>
    <w:rsid w:val="0036142D"/>
    <w:rsid w:val="003617B3"/>
    <w:rsid w:val="0036251E"/>
    <w:rsid w:val="0037112B"/>
    <w:rsid w:val="00373063"/>
    <w:rsid w:val="003769D4"/>
    <w:rsid w:val="0038177C"/>
    <w:rsid w:val="0038270B"/>
    <w:rsid w:val="003836EB"/>
    <w:rsid w:val="00384E69"/>
    <w:rsid w:val="00386457"/>
    <w:rsid w:val="00387024"/>
    <w:rsid w:val="00387656"/>
    <w:rsid w:val="003877FA"/>
    <w:rsid w:val="00390DD1"/>
    <w:rsid w:val="00394029"/>
    <w:rsid w:val="003A7790"/>
    <w:rsid w:val="003B1D03"/>
    <w:rsid w:val="003B3519"/>
    <w:rsid w:val="003C070F"/>
    <w:rsid w:val="003C1575"/>
    <w:rsid w:val="003C2D8A"/>
    <w:rsid w:val="003C5744"/>
    <w:rsid w:val="003C7FC5"/>
    <w:rsid w:val="003D07F7"/>
    <w:rsid w:val="003D5275"/>
    <w:rsid w:val="003D63DF"/>
    <w:rsid w:val="003D737F"/>
    <w:rsid w:val="003F19F4"/>
    <w:rsid w:val="003F461D"/>
    <w:rsid w:val="003F7474"/>
    <w:rsid w:val="00404616"/>
    <w:rsid w:val="00406F6E"/>
    <w:rsid w:val="00407B6A"/>
    <w:rsid w:val="00414400"/>
    <w:rsid w:val="00421CD4"/>
    <w:rsid w:val="004223BD"/>
    <w:rsid w:val="00422932"/>
    <w:rsid w:val="00423EA7"/>
    <w:rsid w:val="00425921"/>
    <w:rsid w:val="00427833"/>
    <w:rsid w:val="004335E8"/>
    <w:rsid w:val="0044196E"/>
    <w:rsid w:val="00442BFB"/>
    <w:rsid w:val="00454FA7"/>
    <w:rsid w:val="00456984"/>
    <w:rsid w:val="00460E85"/>
    <w:rsid w:val="004635FE"/>
    <w:rsid w:val="00473DCC"/>
    <w:rsid w:val="00474210"/>
    <w:rsid w:val="00480B96"/>
    <w:rsid w:val="0048303E"/>
    <w:rsid w:val="004857A5"/>
    <w:rsid w:val="0049004B"/>
    <w:rsid w:val="00490940"/>
    <w:rsid w:val="004920F6"/>
    <w:rsid w:val="00492AE7"/>
    <w:rsid w:val="00497636"/>
    <w:rsid w:val="004A1223"/>
    <w:rsid w:val="004A3367"/>
    <w:rsid w:val="004A6373"/>
    <w:rsid w:val="004A67E8"/>
    <w:rsid w:val="004B193F"/>
    <w:rsid w:val="004B51C7"/>
    <w:rsid w:val="004C1185"/>
    <w:rsid w:val="004C2071"/>
    <w:rsid w:val="004C3D65"/>
    <w:rsid w:val="004D1AFD"/>
    <w:rsid w:val="004D4E22"/>
    <w:rsid w:val="004D6472"/>
    <w:rsid w:val="004E20F8"/>
    <w:rsid w:val="004F0F56"/>
    <w:rsid w:val="004F1F1D"/>
    <w:rsid w:val="004F2E64"/>
    <w:rsid w:val="005013C9"/>
    <w:rsid w:val="005023C8"/>
    <w:rsid w:val="005049EE"/>
    <w:rsid w:val="00514A51"/>
    <w:rsid w:val="00516118"/>
    <w:rsid w:val="00517D13"/>
    <w:rsid w:val="00522249"/>
    <w:rsid w:val="00526151"/>
    <w:rsid w:val="005266D3"/>
    <w:rsid w:val="00526CAD"/>
    <w:rsid w:val="00531A7D"/>
    <w:rsid w:val="005331D2"/>
    <w:rsid w:val="00535117"/>
    <w:rsid w:val="0053578B"/>
    <w:rsid w:val="00546943"/>
    <w:rsid w:val="00553EBD"/>
    <w:rsid w:val="005547ED"/>
    <w:rsid w:val="00555875"/>
    <w:rsid w:val="0055613C"/>
    <w:rsid w:val="00560EB1"/>
    <w:rsid w:val="00564E0E"/>
    <w:rsid w:val="005659E0"/>
    <w:rsid w:val="00565B17"/>
    <w:rsid w:val="00565BC4"/>
    <w:rsid w:val="00573064"/>
    <w:rsid w:val="00573D15"/>
    <w:rsid w:val="00574F44"/>
    <w:rsid w:val="00580366"/>
    <w:rsid w:val="00583A04"/>
    <w:rsid w:val="00586CE6"/>
    <w:rsid w:val="00593E33"/>
    <w:rsid w:val="005978F0"/>
    <w:rsid w:val="00597AD2"/>
    <w:rsid w:val="00597D3F"/>
    <w:rsid w:val="005A00F5"/>
    <w:rsid w:val="005A09AF"/>
    <w:rsid w:val="005A36C8"/>
    <w:rsid w:val="005A56BB"/>
    <w:rsid w:val="005A5BB1"/>
    <w:rsid w:val="005B6A80"/>
    <w:rsid w:val="005B79E9"/>
    <w:rsid w:val="005C49B3"/>
    <w:rsid w:val="005C513B"/>
    <w:rsid w:val="005C68EE"/>
    <w:rsid w:val="005D04B4"/>
    <w:rsid w:val="005D37A3"/>
    <w:rsid w:val="005E28BE"/>
    <w:rsid w:val="005E34C0"/>
    <w:rsid w:val="005E4912"/>
    <w:rsid w:val="005E54E2"/>
    <w:rsid w:val="005E56E7"/>
    <w:rsid w:val="005E6F1F"/>
    <w:rsid w:val="005F44D1"/>
    <w:rsid w:val="0060147A"/>
    <w:rsid w:val="006041AB"/>
    <w:rsid w:val="00611B90"/>
    <w:rsid w:val="00621129"/>
    <w:rsid w:val="00633916"/>
    <w:rsid w:val="00634C45"/>
    <w:rsid w:val="00636295"/>
    <w:rsid w:val="00640090"/>
    <w:rsid w:val="00641D2B"/>
    <w:rsid w:val="006465A0"/>
    <w:rsid w:val="00652687"/>
    <w:rsid w:val="00662D3E"/>
    <w:rsid w:val="00665C7E"/>
    <w:rsid w:val="006671E3"/>
    <w:rsid w:val="0067113F"/>
    <w:rsid w:val="006718FA"/>
    <w:rsid w:val="00672DDD"/>
    <w:rsid w:val="00673374"/>
    <w:rsid w:val="00676C91"/>
    <w:rsid w:val="006800AF"/>
    <w:rsid w:val="00684370"/>
    <w:rsid w:val="00684FF5"/>
    <w:rsid w:val="00686E43"/>
    <w:rsid w:val="00690B77"/>
    <w:rsid w:val="006A4082"/>
    <w:rsid w:val="006C4000"/>
    <w:rsid w:val="006C621F"/>
    <w:rsid w:val="006C651A"/>
    <w:rsid w:val="006C7B7D"/>
    <w:rsid w:val="006D254F"/>
    <w:rsid w:val="006D28A3"/>
    <w:rsid w:val="006D5EE8"/>
    <w:rsid w:val="006D7F67"/>
    <w:rsid w:val="006E56E8"/>
    <w:rsid w:val="006E5B01"/>
    <w:rsid w:val="006E64B5"/>
    <w:rsid w:val="006E7BE1"/>
    <w:rsid w:val="006F4006"/>
    <w:rsid w:val="006F5AA4"/>
    <w:rsid w:val="00704AB3"/>
    <w:rsid w:val="00706321"/>
    <w:rsid w:val="00711200"/>
    <w:rsid w:val="0071207C"/>
    <w:rsid w:val="007163E5"/>
    <w:rsid w:val="00722711"/>
    <w:rsid w:val="0072397F"/>
    <w:rsid w:val="00727250"/>
    <w:rsid w:val="00731922"/>
    <w:rsid w:val="00731ACB"/>
    <w:rsid w:val="0073238F"/>
    <w:rsid w:val="007355A4"/>
    <w:rsid w:val="007368AD"/>
    <w:rsid w:val="00737F80"/>
    <w:rsid w:val="0074133D"/>
    <w:rsid w:val="007419C4"/>
    <w:rsid w:val="00743144"/>
    <w:rsid w:val="007453BD"/>
    <w:rsid w:val="00745DF6"/>
    <w:rsid w:val="0075196D"/>
    <w:rsid w:val="0075558C"/>
    <w:rsid w:val="00756F41"/>
    <w:rsid w:val="00761EFA"/>
    <w:rsid w:val="00764873"/>
    <w:rsid w:val="007657BC"/>
    <w:rsid w:val="00765DD1"/>
    <w:rsid w:val="00766573"/>
    <w:rsid w:val="00767A13"/>
    <w:rsid w:val="00773150"/>
    <w:rsid w:val="00775D2A"/>
    <w:rsid w:val="007778DD"/>
    <w:rsid w:val="00781055"/>
    <w:rsid w:val="00785176"/>
    <w:rsid w:val="0078604A"/>
    <w:rsid w:val="00787617"/>
    <w:rsid w:val="00796693"/>
    <w:rsid w:val="007A0F41"/>
    <w:rsid w:val="007A1A93"/>
    <w:rsid w:val="007B0670"/>
    <w:rsid w:val="007B0D19"/>
    <w:rsid w:val="007C7591"/>
    <w:rsid w:val="007D1C7E"/>
    <w:rsid w:val="007D2EFF"/>
    <w:rsid w:val="007D49C4"/>
    <w:rsid w:val="007D4F95"/>
    <w:rsid w:val="007D5CD5"/>
    <w:rsid w:val="007D788B"/>
    <w:rsid w:val="007E1476"/>
    <w:rsid w:val="007E40EB"/>
    <w:rsid w:val="007F035A"/>
    <w:rsid w:val="007F2E79"/>
    <w:rsid w:val="007F5A85"/>
    <w:rsid w:val="007F6AE9"/>
    <w:rsid w:val="00807D59"/>
    <w:rsid w:val="00813F8A"/>
    <w:rsid w:val="00816079"/>
    <w:rsid w:val="00820A9C"/>
    <w:rsid w:val="00825933"/>
    <w:rsid w:val="00826D54"/>
    <w:rsid w:val="008336B4"/>
    <w:rsid w:val="008348C1"/>
    <w:rsid w:val="00834CBF"/>
    <w:rsid w:val="00835548"/>
    <w:rsid w:val="00836398"/>
    <w:rsid w:val="00836F89"/>
    <w:rsid w:val="00843C6F"/>
    <w:rsid w:val="00844A6E"/>
    <w:rsid w:val="00846459"/>
    <w:rsid w:val="008470BE"/>
    <w:rsid w:val="008472A4"/>
    <w:rsid w:val="008513A1"/>
    <w:rsid w:val="0085757D"/>
    <w:rsid w:val="00863435"/>
    <w:rsid w:val="00864954"/>
    <w:rsid w:val="00870304"/>
    <w:rsid w:val="00872827"/>
    <w:rsid w:val="0087349A"/>
    <w:rsid w:val="0087532D"/>
    <w:rsid w:val="00876194"/>
    <w:rsid w:val="00881CD9"/>
    <w:rsid w:val="008865B6"/>
    <w:rsid w:val="008877B4"/>
    <w:rsid w:val="00887F42"/>
    <w:rsid w:val="008949E3"/>
    <w:rsid w:val="00894F8F"/>
    <w:rsid w:val="00895DF4"/>
    <w:rsid w:val="008A127A"/>
    <w:rsid w:val="008A7971"/>
    <w:rsid w:val="008B0A19"/>
    <w:rsid w:val="008B1A4D"/>
    <w:rsid w:val="008B1D39"/>
    <w:rsid w:val="008B7C37"/>
    <w:rsid w:val="008C2042"/>
    <w:rsid w:val="008C3128"/>
    <w:rsid w:val="008C6074"/>
    <w:rsid w:val="008D0A54"/>
    <w:rsid w:val="008D536D"/>
    <w:rsid w:val="008D589C"/>
    <w:rsid w:val="008D5AAF"/>
    <w:rsid w:val="008D5F96"/>
    <w:rsid w:val="008D6147"/>
    <w:rsid w:val="008D7969"/>
    <w:rsid w:val="008E7085"/>
    <w:rsid w:val="008F0310"/>
    <w:rsid w:val="008F15E9"/>
    <w:rsid w:val="008F60C3"/>
    <w:rsid w:val="0090138A"/>
    <w:rsid w:val="0090336D"/>
    <w:rsid w:val="00904969"/>
    <w:rsid w:val="00904B5C"/>
    <w:rsid w:val="00912E4C"/>
    <w:rsid w:val="00914B60"/>
    <w:rsid w:val="00916B9A"/>
    <w:rsid w:val="00916C26"/>
    <w:rsid w:val="0092388F"/>
    <w:rsid w:val="009254D6"/>
    <w:rsid w:val="0092669B"/>
    <w:rsid w:val="009300C0"/>
    <w:rsid w:val="0093163E"/>
    <w:rsid w:val="00936436"/>
    <w:rsid w:val="009369AD"/>
    <w:rsid w:val="0094154C"/>
    <w:rsid w:val="00943C22"/>
    <w:rsid w:val="00943E6B"/>
    <w:rsid w:val="00945F77"/>
    <w:rsid w:val="009470B1"/>
    <w:rsid w:val="00950072"/>
    <w:rsid w:val="00953FE3"/>
    <w:rsid w:val="00955CB1"/>
    <w:rsid w:val="00963212"/>
    <w:rsid w:val="00964A31"/>
    <w:rsid w:val="00966BAC"/>
    <w:rsid w:val="00973FDA"/>
    <w:rsid w:val="00975E37"/>
    <w:rsid w:val="00976CAC"/>
    <w:rsid w:val="00982006"/>
    <w:rsid w:val="009853E4"/>
    <w:rsid w:val="009924FF"/>
    <w:rsid w:val="00994F49"/>
    <w:rsid w:val="00995995"/>
    <w:rsid w:val="009A24A0"/>
    <w:rsid w:val="009A2ABE"/>
    <w:rsid w:val="009A6A2F"/>
    <w:rsid w:val="009B1AAB"/>
    <w:rsid w:val="009B28C0"/>
    <w:rsid w:val="009C0FFE"/>
    <w:rsid w:val="009C3A7E"/>
    <w:rsid w:val="009C755C"/>
    <w:rsid w:val="009C780F"/>
    <w:rsid w:val="009D794C"/>
    <w:rsid w:val="009E36E1"/>
    <w:rsid w:val="009E5140"/>
    <w:rsid w:val="009F52DD"/>
    <w:rsid w:val="00A03E2D"/>
    <w:rsid w:val="00A13B9A"/>
    <w:rsid w:val="00A23451"/>
    <w:rsid w:val="00A23AA3"/>
    <w:rsid w:val="00A23C2E"/>
    <w:rsid w:val="00A25353"/>
    <w:rsid w:val="00A25C25"/>
    <w:rsid w:val="00A34F5F"/>
    <w:rsid w:val="00A46A68"/>
    <w:rsid w:val="00A46C72"/>
    <w:rsid w:val="00A46DB1"/>
    <w:rsid w:val="00A50EE9"/>
    <w:rsid w:val="00A50F5A"/>
    <w:rsid w:val="00A52549"/>
    <w:rsid w:val="00A61D7E"/>
    <w:rsid w:val="00A649F0"/>
    <w:rsid w:val="00A665F0"/>
    <w:rsid w:val="00A72273"/>
    <w:rsid w:val="00A746DE"/>
    <w:rsid w:val="00A810AC"/>
    <w:rsid w:val="00A830E9"/>
    <w:rsid w:val="00A833A4"/>
    <w:rsid w:val="00A83CB0"/>
    <w:rsid w:val="00A847CB"/>
    <w:rsid w:val="00A8604A"/>
    <w:rsid w:val="00A86F48"/>
    <w:rsid w:val="00A909CB"/>
    <w:rsid w:val="00AA10AC"/>
    <w:rsid w:val="00AA3E0C"/>
    <w:rsid w:val="00AA744B"/>
    <w:rsid w:val="00AB4198"/>
    <w:rsid w:val="00AB6429"/>
    <w:rsid w:val="00AD0A33"/>
    <w:rsid w:val="00AD2D24"/>
    <w:rsid w:val="00AD31BE"/>
    <w:rsid w:val="00AD5095"/>
    <w:rsid w:val="00AD565B"/>
    <w:rsid w:val="00AE0982"/>
    <w:rsid w:val="00AE127D"/>
    <w:rsid w:val="00AE704A"/>
    <w:rsid w:val="00AF19D4"/>
    <w:rsid w:val="00AF2F07"/>
    <w:rsid w:val="00AF3B1C"/>
    <w:rsid w:val="00AF4A26"/>
    <w:rsid w:val="00AF78DB"/>
    <w:rsid w:val="00B00371"/>
    <w:rsid w:val="00B03458"/>
    <w:rsid w:val="00B03A5E"/>
    <w:rsid w:val="00B07524"/>
    <w:rsid w:val="00B113E7"/>
    <w:rsid w:val="00B15C7E"/>
    <w:rsid w:val="00B22AEC"/>
    <w:rsid w:val="00B26C38"/>
    <w:rsid w:val="00B33D3E"/>
    <w:rsid w:val="00B33DE2"/>
    <w:rsid w:val="00B35B7C"/>
    <w:rsid w:val="00B36790"/>
    <w:rsid w:val="00B42A64"/>
    <w:rsid w:val="00B447C3"/>
    <w:rsid w:val="00B53C15"/>
    <w:rsid w:val="00B634D9"/>
    <w:rsid w:val="00B64A09"/>
    <w:rsid w:val="00B64B1C"/>
    <w:rsid w:val="00B71C67"/>
    <w:rsid w:val="00B74047"/>
    <w:rsid w:val="00B7458D"/>
    <w:rsid w:val="00B745E6"/>
    <w:rsid w:val="00B7746D"/>
    <w:rsid w:val="00B90095"/>
    <w:rsid w:val="00BA0E53"/>
    <w:rsid w:val="00BA2B3A"/>
    <w:rsid w:val="00BA38A4"/>
    <w:rsid w:val="00BB17B0"/>
    <w:rsid w:val="00BB1966"/>
    <w:rsid w:val="00BB465B"/>
    <w:rsid w:val="00BC7657"/>
    <w:rsid w:val="00BC7680"/>
    <w:rsid w:val="00BD194D"/>
    <w:rsid w:val="00BD2603"/>
    <w:rsid w:val="00BD3522"/>
    <w:rsid w:val="00BD43E6"/>
    <w:rsid w:val="00BD55C9"/>
    <w:rsid w:val="00BE263D"/>
    <w:rsid w:val="00BE42B2"/>
    <w:rsid w:val="00C01EF0"/>
    <w:rsid w:val="00C036D9"/>
    <w:rsid w:val="00C0799A"/>
    <w:rsid w:val="00C07E6D"/>
    <w:rsid w:val="00C11D0D"/>
    <w:rsid w:val="00C1410F"/>
    <w:rsid w:val="00C260C9"/>
    <w:rsid w:val="00C26544"/>
    <w:rsid w:val="00C30D60"/>
    <w:rsid w:val="00C44F09"/>
    <w:rsid w:val="00C509C3"/>
    <w:rsid w:val="00C50A17"/>
    <w:rsid w:val="00C55209"/>
    <w:rsid w:val="00C6638F"/>
    <w:rsid w:val="00C707EA"/>
    <w:rsid w:val="00C70EAE"/>
    <w:rsid w:val="00C73BEB"/>
    <w:rsid w:val="00C834C2"/>
    <w:rsid w:val="00C83B65"/>
    <w:rsid w:val="00C90BFD"/>
    <w:rsid w:val="00C91045"/>
    <w:rsid w:val="00CA3A91"/>
    <w:rsid w:val="00CA404A"/>
    <w:rsid w:val="00CB3718"/>
    <w:rsid w:val="00CB5DC5"/>
    <w:rsid w:val="00CD0D93"/>
    <w:rsid w:val="00CD18BC"/>
    <w:rsid w:val="00CD20BF"/>
    <w:rsid w:val="00CD50B5"/>
    <w:rsid w:val="00CD73A9"/>
    <w:rsid w:val="00CE3A3E"/>
    <w:rsid w:val="00CE4D4B"/>
    <w:rsid w:val="00CE5E0E"/>
    <w:rsid w:val="00CE6AE5"/>
    <w:rsid w:val="00CE717A"/>
    <w:rsid w:val="00CF016C"/>
    <w:rsid w:val="00CF1640"/>
    <w:rsid w:val="00CF16FD"/>
    <w:rsid w:val="00CF4B2D"/>
    <w:rsid w:val="00CF7D16"/>
    <w:rsid w:val="00D06F12"/>
    <w:rsid w:val="00D10ADE"/>
    <w:rsid w:val="00D11D0D"/>
    <w:rsid w:val="00D212BC"/>
    <w:rsid w:val="00D21D91"/>
    <w:rsid w:val="00D21EF3"/>
    <w:rsid w:val="00D40ACC"/>
    <w:rsid w:val="00D41205"/>
    <w:rsid w:val="00D41E51"/>
    <w:rsid w:val="00D4475A"/>
    <w:rsid w:val="00D46790"/>
    <w:rsid w:val="00D6504C"/>
    <w:rsid w:val="00D655CA"/>
    <w:rsid w:val="00D677AA"/>
    <w:rsid w:val="00D73B01"/>
    <w:rsid w:val="00D73F4D"/>
    <w:rsid w:val="00D75B9E"/>
    <w:rsid w:val="00D77F56"/>
    <w:rsid w:val="00D814DB"/>
    <w:rsid w:val="00D82E57"/>
    <w:rsid w:val="00D901F5"/>
    <w:rsid w:val="00D91C27"/>
    <w:rsid w:val="00D92265"/>
    <w:rsid w:val="00DA7DFE"/>
    <w:rsid w:val="00DB4E73"/>
    <w:rsid w:val="00DC223B"/>
    <w:rsid w:val="00DC5095"/>
    <w:rsid w:val="00DC50EC"/>
    <w:rsid w:val="00DC5925"/>
    <w:rsid w:val="00DC60FA"/>
    <w:rsid w:val="00DD00DE"/>
    <w:rsid w:val="00DD0AC8"/>
    <w:rsid w:val="00DD3E23"/>
    <w:rsid w:val="00DE1517"/>
    <w:rsid w:val="00DE23AF"/>
    <w:rsid w:val="00DE5625"/>
    <w:rsid w:val="00DE6545"/>
    <w:rsid w:val="00DF24BA"/>
    <w:rsid w:val="00DF3270"/>
    <w:rsid w:val="00DF34C9"/>
    <w:rsid w:val="00DF3B9A"/>
    <w:rsid w:val="00DF5BBC"/>
    <w:rsid w:val="00E07CC9"/>
    <w:rsid w:val="00E143FA"/>
    <w:rsid w:val="00E17598"/>
    <w:rsid w:val="00E2070C"/>
    <w:rsid w:val="00E24836"/>
    <w:rsid w:val="00E2528C"/>
    <w:rsid w:val="00E25534"/>
    <w:rsid w:val="00E3021C"/>
    <w:rsid w:val="00E36EF9"/>
    <w:rsid w:val="00E41BDE"/>
    <w:rsid w:val="00E459DC"/>
    <w:rsid w:val="00E54AD1"/>
    <w:rsid w:val="00E55277"/>
    <w:rsid w:val="00E57302"/>
    <w:rsid w:val="00E579B9"/>
    <w:rsid w:val="00E633BE"/>
    <w:rsid w:val="00E66F57"/>
    <w:rsid w:val="00E72E24"/>
    <w:rsid w:val="00E762AE"/>
    <w:rsid w:val="00E92A7A"/>
    <w:rsid w:val="00E94B71"/>
    <w:rsid w:val="00EA464C"/>
    <w:rsid w:val="00EA5199"/>
    <w:rsid w:val="00ED1E7F"/>
    <w:rsid w:val="00ED5BCA"/>
    <w:rsid w:val="00ED7A05"/>
    <w:rsid w:val="00EE334C"/>
    <w:rsid w:val="00EF6C32"/>
    <w:rsid w:val="00F00D07"/>
    <w:rsid w:val="00F02153"/>
    <w:rsid w:val="00F058DF"/>
    <w:rsid w:val="00F063AE"/>
    <w:rsid w:val="00F064B8"/>
    <w:rsid w:val="00F150C7"/>
    <w:rsid w:val="00F15675"/>
    <w:rsid w:val="00F2094C"/>
    <w:rsid w:val="00F21250"/>
    <w:rsid w:val="00F2398D"/>
    <w:rsid w:val="00F26C23"/>
    <w:rsid w:val="00F30BB1"/>
    <w:rsid w:val="00F41103"/>
    <w:rsid w:val="00F46A59"/>
    <w:rsid w:val="00F57FBD"/>
    <w:rsid w:val="00F6228E"/>
    <w:rsid w:val="00F62846"/>
    <w:rsid w:val="00F634A3"/>
    <w:rsid w:val="00F67946"/>
    <w:rsid w:val="00F70716"/>
    <w:rsid w:val="00F710F9"/>
    <w:rsid w:val="00F715B4"/>
    <w:rsid w:val="00F71ADC"/>
    <w:rsid w:val="00F72C6A"/>
    <w:rsid w:val="00F7620F"/>
    <w:rsid w:val="00F84019"/>
    <w:rsid w:val="00F87F40"/>
    <w:rsid w:val="00F92538"/>
    <w:rsid w:val="00F93F48"/>
    <w:rsid w:val="00F960BE"/>
    <w:rsid w:val="00FA089B"/>
    <w:rsid w:val="00FA0AE4"/>
    <w:rsid w:val="00FA4CAA"/>
    <w:rsid w:val="00FA63D8"/>
    <w:rsid w:val="00FA75A5"/>
    <w:rsid w:val="00FB3D1C"/>
    <w:rsid w:val="00FB4DBA"/>
    <w:rsid w:val="00FB667E"/>
    <w:rsid w:val="00FC5A1B"/>
    <w:rsid w:val="00FC7483"/>
    <w:rsid w:val="00FD4304"/>
    <w:rsid w:val="00FE009C"/>
    <w:rsid w:val="00FE552D"/>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B7F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uiPriority w:val="9"/>
    <w:qFormat/>
    <w:rsid w:val="00D41205"/>
    <w:pPr>
      <w:numPr>
        <w:numId w:val="3"/>
      </w:numPr>
      <w:autoSpaceDE w:val="0"/>
      <w:autoSpaceDN w:val="0"/>
      <w:adjustRightInd w:val="0"/>
      <w:jc w:val="center"/>
      <w:outlineLvl w:val="0"/>
    </w:pPr>
    <w:rPr>
      <w:b/>
      <w:bCs/>
      <w:caps/>
      <w:sz w:val="28"/>
    </w:rPr>
  </w:style>
  <w:style w:type="paragraph" w:styleId="Heading2">
    <w:name w:val="heading 2"/>
    <w:basedOn w:val="Normal"/>
    <w:next w:val="Normal"/>
    <w:link w:val="Heading2Char"/>
    <w:uiPriority w:val="9"/>
    <w:qFormat/>
    <w:rsid w:val="00665C7E"/>
    <w:pPr>
      <w:keepNext/>
      <w:numPr>
        <w:ilvl w:val="1"/>
        <w:numId w:val="3"/>
      </w:numPr>
      <w:spacing w:before="240" w:after="60"/>
      <w:jc w:val="center"/>
      <w:outlineLvl w:val="1"/>
    </w:pPr>
    <w:rPr>
      <w:b/>
      <w:bCs/>
      <w:iCs/>
      <w:sz w:val="28"/>
      <w:szCs w:val="28"/>
    </w:rPr>
  </w:style>
  <w:style w:type="paragraph" w:styleId="Heading3">
    <w:name w:val="heading 3"/>
    <w:basedOn w:val="Normal"/>
    <w:next w:val="Normal"/>
    <w:link w:val="Heading3Char"/>
    <w:uiPriority w:val="9"/>
    <w:qFormat/>
    <w:rsid w:val="00665C7E"/>
    <w:pPr>
      <w:keepNext/>
      <w:numPr>
        <w:ilvl w:val="2"/>
        <w:numId w:val="3"/>
      </w:numPr>
      <w:spacing w:before="240" w:after="60"/>
      <w:outlineLvl w:val="2"/>
    </w:pPr>
    <w:rPr>
      <w:b/>
      <w:bCs/>
      <w:i/>
      <w:szCs w:val="26"/>
    </w:rPr>
  </w:style>
  <w:style w:type="paragraph" w:styleId="Heading4">
    <w:name w:val="heading 4"/>
    <w:basedOn w:val="Normal"/>
    <w:next w:val="Normal"/>
    <w:link w:val="Heading4Char"/>
    <w:semiHidden/>
    <w:unhideWhenUsed/>
    <w:qFormat/>
    <w:rsid w:val="00D901F5"/>
    <w:pPr>
      <w:keepNext/>
      <w:keepLines/>
      <w:numPr>
        <w:ilvl w:val="3"/>
        <w:numId w:val="3"/>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D901F5"/>
    <w:pPr>
      <w:keepNext/>
      <w:keepLines/>
      <w:numPr>
        <w:ilvl w:val="4"/>
        <w:numId w:val="3"/>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D901F5"/>
    <w:pPr>
      <w:keepNext/>
      <w:keepLines/>
      <w:numPr>
        <w:ilvl w:val="5"/>
        <w:numId w:val="3"/>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D901F5"/>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D901F5"/>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D901F5"/>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41205"/>
    <w:rPr>
      <w:rFonts w:ascii="Arial" w:hAnsi="Arial" w:cs="Arial"/>
      <w:b/>
      <w:bCs/>
      <w:caps/>
      <w:sz w:val="28"/>
      <w:szCs w:val="24"/>
    </w:rPr>
  </w:style>
  <w:style w:type="character" w:customStyle="1" w:styleId="Heading2Char">
    <w:name w:val="Heading 2 Char"/>
    <w:basedOn w:val="DefaultParagraphFont"/>
    <w:link w:val="Heading2"/>
    <w:uiPriority w:val="9"/>
    <w:rsid w:val="00CF7D16"/>
    <w:rPr>
      <w:rFonts w:ascii="Arial" w:hAnsi="Arial" w:cs="Arial"/>
      <w:b/>
      <w:bCs/>
      <w:iCs/>
      <w:sz w:val="28"/>
      <w:szCs w:val="28"/>
    </w:rPr>
  </w:style>
  <w:style w:type="character" w:customStyle="1" w:styleId="Heading3Char">
    <w:name w:val="Heading 3 Char"/>
    <w:link w:val="Heading3"/>
    <w:uiPriority w:val="9"/>
    <w:rsid w:val="00975E37"/>
    <w:rPr>
      <w:rFonts w:ascii="Arial" w:hAnsi="Arial" w:cs="Arial"/>
      <w:b/>
      <w:bCs/>
      <w:i/>
      <w:sz w:val="24"/>
      <w:szCs w:val="26"/>
    </w:rPr>
  </w:style>
  <w:style w:type="paragraph" w:styleId="Footer">
    <w:name w:val="footer"/>
    <w:basedOn w:val="Normal"/>
    <w:link w:val="FooterChar"/>
    <w:uiPriority w:val="99"/>
    <w:rsid w:val="00665C7E"/>
    <w:pPr>
      <w:tabs>
        <w:tab w:val="center" w:pos="4320"/>
        <w:tab w:val="right" w:pos="8640"/>
      </w:tabs>
    </w:pPr>
  </w:style>
  <w:style w:type="character" w:customStyle="1" w:styleId="FooterChar">
    <w:name w:val="Footer Char"/>
    <w:link w:val="Footer"/>
    <w:uiPriority w:val="99"/>
    <w:rsid w:val="00387656"/>
    <w:rPr>
      <w:rFonts w:ascii="Arial" w:hAnsi="Arial" w:cs="Arial"/>
      <w:sz w:val="24"/>
      <w:szCs w:val="24"/>
    </w:rPr>
  </w:style>
  <w:style w:type="paragraph" w:styleId="Header">
    <w:name w:val="header"/>
    <w:basedOn w:val="Normal"/>
    <w:link w:val="HeaderChar"/>
    <w:uiPriority w:val="99"/>
    <w:rsid w:val="00665C7E"/>
    <w:pPr>
      <w:tabs>
        <w:tab w:val="center" w:pos="4320"/>
        <w:tab w:val="right" w:pos="8640"/>
      </w:tabs>
    </w:pPr>
  </w:style>
  <w:style w:type="character" w:customStyle="1" w:styleId="HeaderChar">
    <w:name w:val="Header Char"/>
    <w:basedOn w:val="DefaultParagraphFont"/>
    <w:link w:val="Header"/>
    <w:uiPriority w:val="99"/>
    <w:rsid w:val="00CF7D16"/>
    <w:rPr>
      <w:rFonts w:ascii="Arial" w:hAnsi="Arial" w:cs="Arial"/>
      <w:sz w:val="24"/>
      <w:szCs w:val="24"/>
    </w:r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uiPriority w:val="35"/>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756F41"/>
    <w:pPr>
      <w:tabs>
        <w:tab w:val="right" w:leader="dot" w:pos="8630"/>
      </w:tabs>
      <w:spacing w:line="480" w:lineRule="auto"/>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F7D16"/>
    <w:pPr>
      <w:spacing w:after="160" w:line="259" w:lineRule="auto"/>
      <w:ind w:left="720"/>
      <w:contextualSpacing/>
    </w:pPr>
    <w:rPr>
      <w:rFonts w:asciiTheme="minorHAnsi" w:eastAsiaTheme="minorHAnsi" w:hAnsiTheme="minorHAnsi" w:cstheme="minorBidi"/>
      <w:sz w:val="22"/>
      <w:szCs w:val="22"/>
    </w:rPr>
  </w:style>
  <w:style w:type="paragraph" w:styleId="CommentText">
    <w:name w:val="annotation text"/>
    <w:basedOn w:val="Normal"/>
    <w:link w:val="CommentTextChar"/>
    <w:uiPriority w:val="99"/>
    <w:unhideWhenUsed/>
    <w:rsid w:val="00CF7D16"/>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CF7D16"/>
    <w:rPr>
      <w:rFonts w:asciiTheme="minorHAnsi" w:eastAsiaTheme="minorHAnsi" w:hAnsiTheme="minorHAnsi" w:cstheme="minorBidi"/>
    </w:rPr>
  </w:style>
  <w:style w:type="character" w:customStyle="1" w:styleId="BalloonTextChar">
    <w:name w:val="Balloon Text Char"/>
    <w:basedOn w:val="DefaultParagraphFont"/>
    <w:link w:val="BalloonText"/>
    <w:uiPriority w:val="99"/>
    <w:semiHidden/>
    <w:rsid w:val="00CF7D16"/>
    <w:rPr>
      <w:rFonts w:ascii="Segoe UI" w:eastAsiaTheme="minorHAnsi" w:hAnsi="Segoe UI" w:cs="Segoe UI"/>
      <w:sz w:val="18"/>
      <w:szCs w:val="18"/>
    </w:rPr>
  </w:style>
  <w:style w:type="paragraph" w:styleId="BalloonText">
    <w:name w:val="Balloon Text"/>
    <w:basedOn w:val="Normal"/>
    <w:link w:val="BalloonTextChar"/>
    <w:uiPriority w:val="99"/>
    <w:semiHidden/>
    <w:unhideWhenUsed/>
    <w:rsid w:val="00CF7D16"/>
    <w:rPr>
      <w:rFonts w:ascii="Segoe UI" w:eastAsiaTheme="minorHAnsi" w:hAnsi="Segoe UI" w:cs="Segoe UI"/>
      <w:sz w:val="18"/>
      <w:szCs w:val="18"/>
    </w:rPr>
  </w:style>
  <w:style w:type="character" w:styleId="Emphasis">
    <w:name w:val="Emphasis"/>
    <w:basedOn w:val="DefaultParagraphFont"/>
    <w:uiPriority w:val="20"/>
    <w:qFormat/>
    <w:rsid w:val="00CF7D16"/>
    <w:rPr>
      <w:i/>
      <w:iCs/>
    </w:rPr>
  </w:style>
  <w:style w:type="character" w:customStyle="1" w:styleId="title-text">
    <w:name w:val="title-text"/>
    <w:basedOn w:val="DefaultParagraphFont"/>
    <w:rsid w:val="00CF7D16"/>
  </w:style>
  <w:style w:type="character" w:customStyle="1" w:styleId="CommentSubjectChar">
    <w:name w:val="Comment Subject Char"/>
    <w:basedOn w:val="CommentTextChar"/>
    <w:link w:val="CommentSubject"/>
    <w:uiPriority w:val="99"/>
    <w:semiHidden/>
    <w:rsid w:val="00CF7D16"/>
    <w:rPr>
      <w:rFonts w:asciiTheme="minorHAnsi" w:eastAsiaTheme="minorHAnsi" w:hAnsiTheme="minorHAnsi" w:cstheme="minorBidi"/>
      <w:b/>
      <w:bCs/>
    </w:rPr>
  </w:style>
  <w:style w:type="paragraph" w:styleId="CommentSubject">
    <w:name w:val="annotation subject"/>
    <w:basedOn w:val="CommentText"/>
    <w:next w:val="CommentText"/>
    <w:link w:val="CommentSubjectChar"/>
    <w:uiPriority w:val="99"/>
    <w:semiHidden/>
    <w:unhideWhenUsed/>
    <w:rsid w:val="00CF7D16"/>
    <w:rPr>
      <w:b/>
      <w:bCs/>
    </w:rPr>
  </w:style>
  <w:style w:type="paragraph" w:customStyle="1" w:styleId="MDPI13authornames">
    <w:name w:val="MDPI_1.3_authornames"/>
    <w:basedOn w:val="Normal"/>
    <w:next w:val="Normal"/>
    <w:qFormat/>
    <w:rsid w:val="00CF7D16"/>
    <w:pPr>
      <w:adjustRightInd w:val="0"/>
      <w:snapToGrid w:val="0"/>
      <w:spacing w:after="120" w:line="260" w:lineRule="atLeast"/>
    </w:pPr>
    <w:rPr>
      <w:rFonts w:ascii="Palatino Linotype" w:hAnsi="Palatino Linotype" w:cs="Times New Roman"/>
      <w:b/>
      <w:color w:val="000000"/>
      <w:sz w:val="20"/>
      <w:szCs w:val="22"/>
      <w:lang w:eastAsia="de-DE" w:bidi="en-US"/>
    </w:rPr>
  </w:style>
  <w:style w:type="paragraph" w:customStyle="1" w:styleId="MDPI16affiliation">
    <w:name w:val="MDPI_1.6_affiliation"/>
    <w:basedOn w:val="Normal"/>
    <w:qFormat/>
    <w:rsid w:val="00CF7D16"/>
    <w:pPr>
      <w:adjustRightInd w:val="0"/>
      <w:snapToGrid w:val="0"/>
      <w:spacing w:line="200" w:lineRule="atLeast"/>
      <w:ind w:left="311" w:hanging="198"/>
    </w:pPr>
    <w:rPr>
      <w:rFonts w:ascii="Palatino Linotype" w:hAnsi="Palatino Linotype" w:cs="Times New Roman"/>
      <w:color w:val="000000"/>
      <w:sz w:val="18"/>
      <w:szCs w:val="18"/>
      <w:lang w:eastAsia="de-DE" w:bidi="en-US"/>
    </w:rPr>
  </w:style>
  <w:style w:type="character" w:customStyle="1" w:styleId="apple-converted-space">
    <w:name w:val="apple-converted-space"/>
    <w:basedOn w:val="DefaultParagraphFont"/>
    <w:rsid w:val="00CF7D16"/>
  </w:style>
  <w:style w:type="character" w:customStyle="1" w:styleId="text">
    <w:name w:val="text"/>
    <w:basedOn w:val="DefaultParagraphFont"/>
    <w:rsid w:val="00DE6545"/>
  </w:style>
  <w:style w:type="character" w:customStyle="1" w:styleId="author-ref">
    <w:name w:val="author-ref"/>
    <w:basedOn w:val="DefaultParagraphFont"/>
    <w:rsid w:val="00DE6545"/>
  </w:style>
  <w:style w:type="character" w:styleId="CommentReference">
    <w:name w:val="annotation reference"/>
    <w:basedOn w:val="DefaultParagraphFont"/>
    <w:uiPriority w:val="99"/>
    <w:semiHidden/>
    <w:unhideWhenUsed/>
    <w:rsid w:val="00C260C9"/>
    <w:rPr>
      <w:sz w:val="16"/>
      <w:szCs w:val="16"/>
    </w:rPr>
  </w:style>
  <w:style w:type="table" w:customStyle="1" w:styleId="TableNormal1">
    <w:name w:val="Table Normal1"/>
    <w:uiPriority w:val="99"/>
    <w:semiHidden/>
    <w:rsid w:val="00A72273"/>
    <w:pPr>
      <w:spacing w:after="160" w:line="25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character" w:customStyle="1" w:styleId="Heading4Char">
    <w:name w:val="Heading 4 Char"/>
    <w:basedOn w:val="DefaultParagraphFont"/>
    <w:link w:val="Heading4"/>
    <w:semiHidden/>
    <w:rsid w:val="00D901F5"/>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D901F5"/>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D901F5"/>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D901F5"/>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D901F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D901F5"/>
    <w:rPr>
      <w:rFonts w:asciiTheme="majorHAnsi" w:eastAsiaTheme="majorEastAsia" w:hAnsiTheme="majorHAnsi" w:cstheme="majorBidi"/>
      <w:i/>
      <w:iCs/>
      <w:color w:val="272727" w:themeColor="text1" w:themeTint="D8"/>
      <w:sz w:val="21"/>
      <w:szCs w:val="21"/>
    </w:rPr>
  </w:style>
  <w:style w:type="paragraph" w:customStyle="1" w:styleId="paragraph">
    <w:name w:val="paragraph"/>
    <w:basedOn w:val="Normal"/>
    <w:uiPriority w:val="99"/>
    <w:semiHidden/>
    <w:rsid w:val="00973FDA"/>
    <w:pPr>
      <w:spacing w:before="100" w:beforeAutospacing="1" w:after="100" w:afterAutospacing="1"/>
    </w:pPr>
    <w:rPr>
      <w:rFonts w:ascii="Times New Roman" w:hAnsi="Times New Roman" w:cs="Times New Roman"/>
      <w:lang w:val="es-CO" w:eastAsia="es-CO"/>
    </w:rPr>
  </w:style>
  <w:style w:type="character" w:customStyle="1" w:styleId="normaltextrun">
    <w:name w:val="normaltextrun"/>
    <w:basedOn w:val="DefaultParagraphFont"/>
    <w:rsid w:val="00973FDA"/>
  </w:style>
  <w:style w:type="character" w:customStyle="1" w:styleId="eop">
    <w:name w:val="eop"/>
    <w:basedOn w:val="DefaultParagraphFont"/>
    <w:rsid w:val="00973FDA"/>
  </w:style>
  <w:style w:type="paragraph" w:styleId="HTMLPreformatted">
    <w:name w:val="HTML Preformatted"/>
    <w:basedOn w:val="Normal"/>
    <w:link w:val="HTMLPreformattedChar"/>
    <w:uiPriority w:val="99"/>
    <w:semiHidden/>
    <w:unhideWhenUsed/>
    <w:rsid w:val="005331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CO" w:eastAsia="es-CO"/>
    </w:rPr>
  </w:style>
  <w:style w:type="character" w:customStyle="1" w:styleId="HTMLPreformattedChar">
    <w:name w:val="HTML Preformatted Char"/>
    <w:basedOn w:val="DefaultParagraphFont"/>
    <w:link w:val="HTMLPreformatted"/>
    <w:uiPriority w:val="99"/>
    <w:semiHidden/>
    <w:rsid w:val="005331D2"/>
    <w:rPr>
      <w:rFonts w:ascii="Courier New" w:hAnsi="Courier New" w:cs="Courier New"/>
      <w:lang w:val="es-CO" w:eastAsia="es-CO"/>
    </w:rPr>
  </w:style>
  <w:style w:type="character" w:customStyle="1" w:styleId="y2iqfc">
    <w:name w:val="y2iqfc"/>
    <w:basedOn w:val="DefaultParagraphFont"/>
    <w:rsid w:val="005331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88109">
      <w:bodyDiv w:val="1"/>
      <w:marLeft w:val="0"/>
      <w:marRight w:val="0"/>
      <w:marTop w:val="0"/>
      <w:marBottom w:val="0"/>
      <w:divBdr>
        <w:top w:val="none" w:sz="0" w:space="0" w:color="auto"/>
        <w:left w:val="none" w:sz="0" w:space="0" w:color="auto"/>
        <w:bottom w:val="none" w:sz="0" w:space="0" w:color="auto"/>
        <w:right w:val="none" w:sz="0" w:space="0" w:color="auto"/>
      </w:divBdr>
    </w:div>
    <w:div w:id="68043782">
      <w:bodyDiv w:val="1"/>
      <w:marLeft w:val="0"/>
      <w:marRight w:val="0"/>
      <w:marTop w:val="0"/>
      <w:marBottom w:val="0"/>
      <w:divBdr>
        <w:top w:val="none" w:sz="0" w:space="0" w:color="auto"/>
        <w:left w:val="none" w:sz="0" w:space="0" w:color="auto"/>
        <w:bottom w:val="none" w:sz="0" w:space="0" w:color="auto"/>
        <w:right w:val="none" w:sz="0" w:space="0" w:color="auto"/>
      </w:divBdr>
    </w:div>
    <w:div w:id="99958845">
      <w:bodyDiv w:val="1"/>
      <w:marLeft w:val="0"/>
      <w:marRight w:val="0"/>
      <w:marTop w:val="0"/>
      <w:marBottom w:val="0"/>
      <w:divBdr>
        <w:top w:val="none" w:sz="0" w:space="0" w:color="auto"/>
        <w:left w:val="none" w:sz="0" w:space="0" w:color="auto"/>
        <w:bottom w:val="none" w:sz="0" w:space="0" w:color="auto"/>
        <w:right w:val="none" w:sz="0" w:space="0" w:color="auto"/>
      </w:divBdr>
    </w:div>
    <w:div w:id="169104985">
      <w:bodyDiv w:val="1"/>
      <w:marLeft w:val="0"/>
      <w:marRight w:val="0"/>
      <w:marTop w:val="0"/>
      <w:marBottom w:val="0"/>
      <w:divBdr>
        <w:top w:val="none" w:sz="0" w:space="0" w:color="auto"/>
        <w:left w:val="none" w:sz="0" w:space="0" w:color="auto"/>
        <w:bottom w:val="none" w:sz="0" w:space="0" w:color="auto"/>
        <w:right w:val="none" w:sz="0" w:space="0" w:color="auto"/>
      </w:divBdr>
    </w:div>
    <w:div w:id="176309822">
      <w:bodyDiv w:val="1"/>
      <w:marLeft w:val="0"/>
      <w:marRight w:val="0"/>
      <w:marTop w:val="0"/>
      <w:marBottom w:val="0"/>
      <w:divBdr>
        <w:top w:val="none" w:sz="0" w:space="0" w:color="auto"/>
        <w:left w:val="none" w:sz="0" w:space="0" w:color="auto"/>
        <w:bottom w:val="none" w:sz="0" w:space="0" w:color="auto"/>
        <w:right w:val="none" w:sz="0" w:space="0" w:color="auto"/>
      </w:divBdr>
    </w:div>
    <w:div w:id="236978850">
      <w:bodyDiv w:val="1"/>
      <w:marLeft w:val="0"/>
      <w:marRight w:val="0"/>
      <w:marTop w:val="0"/>
      <w:marBottom w:val="0"/>
      <w:divBdr>
        <w:top w:val="none" w:sz="0" w:space="0" w:color="auto"/>
        <w:left w:val="none" w:sz="0" w:space="0" w:color="auto"/>
        <w:bottom w:val="none" w:sz="0" w:space="0" w:color="auto"/>
        <w:right w:val="none" w:sz="0" w:space="0" w:color="auto"/>
      </w:divBdr>
    </w:div>
    <w:div w:id="243488833">
      <w:bodyDiv w:val="1"/>
      <w:marLeft w:val="0"/>
      <w:marRight w:val="0"/>
      <w:marTop w:val="0"/>
      <w:marBottom w:val="0"/>
      <w:divBdr>
        <w:top w:val="none" w:sz="0" w:space="0" w:color="auto"/>
        <w:left w:val="none" w:sz="0" w:space="0" w:color="auto"/>
        <w:bottom w:val="none" w:sz="0" w:space="0" w:color="auto"/>
        <w:right w:val="none" w:sz="0" w:space="0" w:color="auto"/>
      </w:divBdr>
    </w:div>
    <w:div w:id="284316377">
      <w:bodyDiv w:val="1"/>
      <w:marLeft w:val="0"/>
      <w:marRight w:val="0"/>
      <w:marTop w:val="0"/>
      <w:marBottom w:val="0"/>
      <w:divBdr>
        <w:top w:val="none" w:sz="0" w:space="0" w:color="auto"/>
        <w:left w:val="none" w:sz="0" w:space="0" w:color="auto"/>
        <w:bottom w:val="none" w:sz="0" w:space="0" w:color="auto"/>
        <w:right w:val="none" w:sz="0" w:space="0" w:color="auto"/>
      </w:divBdr>
    </w:div>
    <w:div w:id="341392788">
      <w:bodyDiv w:val="1"/>
      <w:marLeft w:val="0"/>
      <w:marRight w:val="0"/>
      <w:marTop w:val="0"/>
      <w:marBottom w:val="0"/>
      <w:divBdr>
        <w:top w:val="none" w:sz="0" w:space="0" w:color="auto"/>
        <w:left w:val="none" w:sz="0" w:space="0" w:color="auto"/>
        <w:bottom w:val="none" w:sz="0" w:space="0" w:color="auto"/>
        <w:right w:val="none" w:sz="0" w:space="0" w:color="auto"/>
      </w:divBdr>
    </w:div>
    <w:div w:id="360084064">
      <w:bodyDiv w:val="1"/>
      <w:marLeft w:val="0"/>
      <w:marRight w:val="0"/>
      <w:marTop w:val="0"/>
      <w:marBottom w:val="0"/>
      <w:divBdr>
        <w:top w:val="none" w:sz="0" w:space="0" w:color="auto"/>
        <w:left w:val="none" w:sz="0" w:space="0" w:color="auto"/>
        <w:bottom w:val="none" w:sz="0" w:space="0" w:color="auto"/>
        <w:right w:val="none" w:sz="0" w:space="0" w:color="auto"/>
      </w:divBdr>
    </w:div>
    <w:div w:id="392126141">
      <w:bodyDiv w:val="1"/>
      <w:marLeft w:val="0"/>
      <w:marRight w:val="0"/>
      <w:marTop w:val="0"/>
      <w:marBottom w:val="0"/>
      <w:divBdr>
        <w:top w:val="none" w:sz="0" w:space="0" w:color="auto"/>
        <w:left w:val="none" w:sz="0" w:space="0" w:color="auto"/>
        <w:bottom w:val="none" w:sz="0" w:space="0" w:color="auto"/>
        <w:right w:val="none" w:sz="0" w:space="0" w:color="auto"/>
      </w:divBdr>
    </w:div>
    <w:div w:id="459689885">
      <w:bodyDiv w:val="1"/>
      <w:marLeft w:val="0"/>
      <w:marRight w:val="0"/>
      <w:marTop w:val="0"/>
      <w:marBottom w:val="0"/>
      <w:divBdr>
        <w:top w:val="none" w:sz="0" w:space="0" w:color="auto"/>
        <w:left w:val="none" w:sz="0" w:space="0" w:color="auto"/>
        <w:bottom w:val="none" w:sz="0" w:space="0" w:color="auto"/>
        <w:right w:val="none" w:sz="0" w:space="0" w:color="auto"/>
      </w:divBdr>
    </w:div>
    <w:div w:id="477263092">
      <w:bodyDiv w:val="1"/>
      <w:marLeft w:val="0"/>
      <w:marRight w:val="0"/>
      <w:marTop w:val="0"/>
      <w:marBottom w:val="0"/>
      <w:divBdr>
        <w:top w:val="none" w:sz="0" w:space="0" w:color="auto"/>
        <w:left w:val="none" w:sz="0" w:space="0" w:color="auto"/>
        <w:bottom w:val="none" w:sz="0" w:space="0" w:color="auto"/>
        <w:right w:val="none" w:sz="0" w:space="0" w:color="auto"/>
      </w:divBdr>
    </w:div>
    <w:div w:id="478696916">
      <w:bodyDiv w:val="1"/>
      <w:marLeft w:val="0"/>
      <w:marRight w:val="0"/>
      <w:marTop w:val="0"/>
      <w:marBottom w:val="0"/>
      <w:divBdr>
        <w:top w:val="none" w:sz="0" w:space="0" w:color="auto"/>
        <w:left w:val="none" w:sz="0" w:space="0" w:color="auto"/>
        <w:bottom w:val="none" w:sz="0" w:space="0" w:color="auto"/>
        <w:right w:val="none" w:sz="0" w:space="0" w:color="auto"/>
      </w:divBdr>
    </w:div>
    <w:div w:id="502866737">
      <w:bodyDiv w:val="1"/>
      <w:marLeft w:val="0"/>
      <w:marRight w:val="0"/>
      <w:marTop w:val="0"/>
      <w:marBottom w:val="0"/>
      <w:divBdr>
        <w:top w:val="none" w:sz="0" w:space="0" w:color="auto"/>
        <w:left w:val="none" w:sz="0" w:space="0" w:color="auto"/>
        <w:bottom w:val="none" w:sz="0" w:space="0" w:color="auto"/>
        <w:right w:val="none" w:sz="0" w:space="0" w:color="auto"/>
      </w:divBdr>
    </w:div>
    <w:div w:id="508256002">
      <w:bodyDiv w:val="1"/>
      <w:marLeft w:val="0"/>
      <w:marRight w:val="0"/>
      <w:marTop w:val="0"/>
      <w:marBottom w:val="0"/>
      <w:divBdr>
        <w:top w:val="none" w:sz="0" w:space="0" w:color="auto"/>
        <w:left w:val="none" w:sz="0" w:space="0" w:color="auto"/>
        <w:bottom w:val="none" w:sz="0" w:space="0" w:color="auto"/>
        <w:right w:val="none" w:sz="0" w:space="0" w:color="auto"/>
      </w:divBdr>
    </w:div>
    <w:div w:id="624392801">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61742249">
      <w:bodyDiv w:val="1"/>
      <w:marLeft w:val="0"/>
      <w:marRight w:val="0"/>
      <w:marTop w:val="0"/>
      <w:marBottom w:val="0"/>
      <w:divBdr>
        <w:top w:val="none" w:sz="0" w:space="0" w:color="auto"/>
        <w:left w:val="none" w:sz="0" w:space="0" w:color="auto"/>
        <w:bottom w:val="none" w:sz="0" w:space="0" w:color="auto"/>
        <w:right w:val="none" w:sz="0" w:space="0" w:color="auto"/>
      </w:divBdr>
    </w:div>
    <w:div w:id="670908574">
      <w:bodyDiv w:val="1"/>
      <w:marLeft w:val="0"/>
      <w:marRight w:val="0"/>
      <w:marTop w:val="0"/>
      <w:marBottom w:val="0"/>
      <w:divBdr>
        <w:top w:val="none" w:sz="0" w:space="0" w:color="auto"/>
        <w:left w:val="none" w:sz="0" w:space="0" w:color="auto"/>
        <w:bottom w:val="none" w:sz="0" w:space="0" w:color="auto"/>
        <w:right w:val="none" w:sz="0" w:space="0" w:color="auto"/>
      </w:divBdr>
    </w:div>
    <w:div w:id="680088519">
      <w:bodyDiv w:val="1"/>
      <w:marLeft w:val="0"/>
      <w:marRight w:val="0"/>
      <w:marTop w:val="0"/>
      <w:marBottom w:val="0"/>
      <w:divBdr>
        <w:top w:val="none" w:sz="0" w:space="0" w:color="auto"/>
        <w:left w:val="none" w:sz="0" w:space="0" w:color="auto"/>
        <w:bottom w:val="none" w:sz="0" w:space="0" w:color="auto"/>
        <w:right w:val="none" w:sz="0" w:space="0" w:color="auto"/>
      </w:divBdr>
    </w:div>
    <w:div w:id="875852140">
      <w:bodyDiv w:val="1"/>
      <w:marLeft w:val="0"/>
      <w:marRight w:val="0"/>
      <w:marTop w:val="0"/>
      <w:marBottom w:val="0"/>
      <w:divBdr>
        <w:top w:val="none" w:sz="0" w:space="0" w:color="auto"/>
        <w:left w:val="none" w:sz="0" w:space="0" w:color="auto"/>
        <w:bottom w:val="none" w:sz="0" w:space="0" w:color="auto"/>
        <w:right w:val="none" w:sz="0" w:space="0" w:color="auto"/>
      </w:divBdr>
    </w:div>
    <w:div w:id="915551364">
      <w:bodyDiv w:val="1"/>
      <w:marLeft w:val="0"/>
      <w:marRight w:val="0"/>
      <w:marTop w:val="0"/>
      <w:marBottom w:val="0"/>
      <w:divBdr>
        <w:top w:val="none" w:sz="0" w:space="0" w:color="auto"/>
        <w:left w:val="none" w:sz="0" w:space="0" w:color="auto"/>
        <w:bottom w:val="none" w:sz="0" w:space="0" w:color="auto"/>
        <w:right w:val="none" w:sz="0" w:space="0" w:color="auto"/>
      </w:divBdr>
    </w:div>
    <w:div w:id="991325921">
      <w:bodyDiv w:val="1"/>
      <w:marLeft w:val="0"/>
      <w:marRight w:val="0"/>
      <w:marTop w:val="0"/>
      <w:marBottom w:val="0"/>
      <w:divBdr>
        <w:top w:val="none" w:sz="0" w:space="0" w:color="auto"/>
        <w:left w:val="none" w:sz="0" w:space="0" w:color="auto"/>
        <w:bottom w:val="none" w:sz="0" w:space="0" w:color="auto"/>
        <w:right w:val="none" w:sz="0" w:space="0" w:color="auto"/>
      </w:divBdr>
    </w:div>
    <w:div w:id="1049376685">
      <w:bodyDiv w:val="1"/>
      <w:marLeft w:val="0"/>
      <w:marRight w:val="0"/>
      <w:marTop w:val="0"/>
      <w:marBottom w:val="0"/>
      <w:divBdr>
        <w:top w:val="none" w:sz="0" w:space="0" w:color="auto"/>
        <w:left w:val="none" w:sz="0" w:space="0" w:color="auto"/>
        <w:bottom w:val="none" w:sz="0" w:space="0" w:color="auto"/>
        <w:right w:val="none" w:sz="0" w:space="0" w:color="auto"/>
      </w:divBdr>
    </w:div>
    <w:div w:id="1266110232">
      <w:bodyDiv w:val="1"/>
      <w:marLeft w:val="0"/>
      <w:marRight w:val="0"/>
      <w:marTop w:val="0"/>
      <w:marBottom w:val="0"/>
      <w:divBdr>
        <w:top w:val="none" w:sz="0" w:space="0" w:color="auto"/>
        <w:left w:val="none" w:sz="0" w:space="0" w:color="auto"/>
        <w:bottom w:val="none" w:sz="0" w:space="0" w:color="auto"/>
        <w:right w:val="none" w:sz="0" w:space="0" w:color="auto"/>
      </w:divBdr>
    </w:div>
    <w:div w:id="1302031547">
      <w:bodyDiv w:val="1"/>
      <w:marLeft w:val="0"/>
      <w:marRight w:val="0"/>
      <w:marTop w:val="0"/>
      <w:marBottom w:val="0"/>
      <w:divBdr>
        <w:top w:val="none" w:sz="0" w:space="0" w:color="auto"/>
        <w:left w:val="none" w:sz="0" w:space="0" w:color="auto"/>
        <w:bottom w:val="none" w:sz="0" w:space="0" w:color="auto"/>
        <w:right w:val="none" w:sz="0" w:space="0" w:color="auto"/>
      </w:divBdr>
    </w:div>
    <w:div w:id="1512989457">
      <w:bodyDiv w:val="1"/>
      <w:marLeft w:val="0"/>
      <w:marRight w:val="0"/>
      <w:marTop w:val="0"/>
      <w:marBottom w:val="0"/>
      <w:divBdr>
        <w:top w:val="none" w:sz="0" w:space="0" w:color="auto"/>
        <w:left w:val="none" w:sz="0" w:space="0" w:color="auto"/>
        <w:bottom w:val="none" w:sz="0" w:space="0" w:color="auto"/>
        <w:right w:val="none" w:sz="0" w:space="0" w:color="auto"/>
      </w:divBdr>
    </w:div>
    <w:div w:id="1621107982">
      <w:bodyDiv w:val="1"/>
      <w:marLeft w:val="0"/>
      <w:marRight w:val="0"/>
      <w:marTop w:val="0"/>
      <w:marBottom w:val="0"/>
      <w:divBdr>
        <w:top w:val="none" w:sz="0" w:space="0" w:color="auto"/>
        <w:left w:val="none" w:sz="0" w:space="0" w:color="auto"/>
        <w:bottom w:val="none" w:sz="0" w:space="0" w:color="auto"/>
        <w:right w:val="none" w:sz="0" w:space="0" w:color="auto"/>
      </w:divBdr>
    </w:div>
    <w:div w:id="1682196896">
      <w:bodyDiv w:val="1"/>
      <w:marLeft w:val="0"/>
      <w:marRight w:val="0"/>
      <w:marTop w:val="0"/>
      <w:marBottom w:val="0"/>
      <w:divBdr>
        <w:top w:val="none" w:sz="0" w:space="0" w:color="auto"/>
        <w:left w:val="none" w:sz="0" w:space="0" w:color="auto"/>
        <w:bottom w:val="none" w:sz="0" w:space="0" w:color="auto"/>
        <w:right w:val="none" w:sz="0" w:space="0" w:color="auto"/>
      </w:divBdr>
    </w:div>
    <w:div w:id="1739592926">
      <w:bodyDiv w:val="1"/>
      <w:marLeft w:val="0"/>
      <w:marRight w:val="0"/>
      <w:marTop w:val="0"/>
      <w:marBottom w:val="0"/>
      <w:divBdr>
        <w:top w:val="none" w:sz="0" w:space="0" w:color="auto"/>
        <w:left w:val="none" w:sz="0" w:space="0" w:color="auto"/>
        <w:bottom w:val="none" w:sz="0" w:space="0" w:color="auto"/>
        <w:right w:val="none" w:sz="0" w:space="0" w:color="auto"/>
      </w:divBdr>
    </w:div>
    <w:div w:id="1893417138">
      <w:bodyDiv w:val="1"/>
      <w:marLeft w:val="0"/>
      <w:marRight w:val="0"/>
      <w:marTop w:val="0"/>
      <w:marBottom w:val="0"/>
      <w:divBdr>
        <w:top w:val="none" w:sz="0" w:space="0" w:color="auto"/>
        <w:left w:val="none" w:sz="0" w:space="0" w:color="auto"/>
        <w:bottom w:val="none" w:sz="0" w:space="0" w:color="auto"/>
        <w:right w:val="none" w:sz="0" w:space="0" w:color="auto"/>
      </w:divBdr>
    </w:div>
    <w:div w:id="208876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sciencedirect.com/science/article/pii/S0308814621012267?CMX_ID=&amp;SIS_ID=&amp;dgcid=STMJ_AUTH_SERV_PUBLISHED&amp;utm_acid=117813781&amp;utm_campaign=STMJ_AUTH_SERV_PUBLISHED&amp;utm_in=DM154458&amp;utm_medium=email&amp;utm_source=AC_" TargetMode="External"/><Relationship Id="rId26" Type="http://schemas.openxmlformats.org/officeDocument/2006/relationships/image" Target="media/image7.png"/><Relationship Id="rId39" Type="http://schemas.openxmlformats.org/officeDocument/2006/relationships/image" Target="media/image20.png"/><Relationship Id="rId3" Type="http://schemas.openxmlformats.org/officeDocument/2006/relationships/customXml" Target="../customXml/item3.xml"/><Relationship Id="rId21" Type="http://schemas.openxmlformats.org/officeDocument/2006/relationships/image" Target="media/image2.tiff"/><Relationship Id="rId34" Type="http://schemas.openxmlformats.org/officeDocument/2006/relationships/image" Target="media/image15.png"/><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sciencedirect.com/science/article/pii/S0308814621012267?CMX_ID=&amp;SIS_ID=&amp;dgcid=STMJ_AUTH_SERV_PUBLISHED&amp;utm_acid=117813781&amp;utm_campaign=STMJ_AUTH_SERV_PUBLISHED&amp;utm_in=DM154458&amp;utm_medium=email&amp;utm_source=AC_" TargetMode="External"/><Relationship Id="rId29" Type="http://schemas.openxmlformats.org/officeDocument/2006/relationships/image" Target="media/image10.tif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5.tiff"/><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4.tiff"/><Relationship Id="rId28" Type="http://schemas.openxmlformats.org/officeDocument/2006/relationships/image" Target="media/image9.png"/><Relationship Id="rId36" Type="http://schemas.openxmlformats.org/officeDocument/2006/relationships/image" Target="media/image17.png"/><Relationship Id="rId10" Type="http://schemas.openxmlformats.org/officeDocument/2006/relationships/endnotes" Target="endnotes.xml"/><Relationship Id="rId19" Type="http://schemas.openxmlformats.org/officeDocument/2006/relationships/hyperlink" Target="https://www.sciencedirect.com/science/article/pii/S0308814621012267?CMX_ID=&amp;SIS_ID=&amp;dgcid=STMJ_AUTH_SERV_PUBLISHED&amp;utm_acid=117813781&amp;utm_campaign=STMJ_AUTH_SERV_PUBLISHED&amp;utm_in=DM154458&amp;utm_medium=email&amp;utm_source=AC_" TargetMode="External"/><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3.tiff"/><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wnload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EAE60592F6A041A0153DD7CF658E38" ma:contentTypeVersion="14" ma:contentTypeDescription="Create a new document." ma:contentTypeScope="" ma:versionID="86bbcebce8bf514f7daecc3c010fd53b">
  <xsd:schema xmlns:xsd="http://www.w3.org/2001/XMLSchema" xmlns:xs="http://www.w3.org/2001/XMLSchema" xmlns:p="http://schemas.microsoft.com/office/2006/metadata/properties" xmlns:ns3="57523fea-2fc4-4415-84a4-91c1a714474a" xmlns:ns4="b004f4f7-e636-4e67-84c4-c084ac18a8ae" targetNamespace="http://schemas.microsoft.com/office/2006/metadata/properties" ma:root="true" ma:fieldsID="b8a3634ea7e003ad62c6a8e7abb7a467" ns3:_="" ns4:_="">
    <xsd:import namespace="57523fea-2fc4-4415-84a4-91c1a714474a"/>
    <xsd:import namespace="b004f4f7-e636-4e67-84c4-c084ac18a8a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523fea-2fc4-4415-84a4-91c1a71447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04f4f7-e636-4e67-84c4-c084ac18a8a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AAC499-7841-4026-A472-D807F20719E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48895F2-A992-4A3B-A31F-217BD16B8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523fea-2fc4-4415-84a4-91c1a714474a"/>
    <ds:schemaRef ds:uri="b004f4f7-e636-4e67-84c4-c084ac18a8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D7860E-DCFE-4085-B758-B52C3643326E}">
  <ds:schemaRefs>
    <ds:schemaRef ds:uri="http://schemas.microsoft.com/sharepoint/v3/contenttype/forms"/>
  </ds:schemaRefs>
</ds:datastoreItem>
</file>

<file path=customXml/itemProps4.xml><?xml version="1.0" encoding="utf-8"?>
<ds:datastoreItem xmlns:ds="http://schemas.openxmlformats.org/officeDocument/2006/customXml" ds:itemID="{7878B7B2-08B4-4C99-A473-E6DBC79F7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215</Pages>
  <Words>181772</Words>
  <Characters>1036103</Characters>
  <Application>Microsoft Office Word</Application>
  <DocSecurity>0</DocSecurity>
  <Lines>8634</Lines>
  <Paragraphs>2430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UTK Multipart Thesis Template</vt:lpstr>
      <vt:lpstr>UTK Multipart Thesis Template</vt:lpstr>
    </vt:vector>
  </TitlesOfParts>
  <LinksUpToDate>false</LinksUpToDate>
  <CharactersWithSpaces>1215445</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2021-07-13T18:33:00Z</dcterms:created>
  <dcterms:modified xsi:type="dcterms:W3CDTF">2021-07-14T13:53:00Z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http://www.zotero.org/styles/biochemical-and-biophysical-research-communications</vt:lpwstr>
  </property>
  <property fmtid="{D5CDD505-2E9C-101B-9397-08002B2CF9AE}" pid="9" name="Mendeley Recent Style Name 3_1">
    <vt:lpwstr>Biochemical and Biophysical Research Communications</vt:lpwstr>
  </property>
  <property fmtid="{D5CDD505-2E9C-101B-9397-08002B2CF9AE}" pid="10" name="Mendeley Recent Style Id 4_1">
    <vt:lpwstr>http://www.zotero.org/styles/bioresource-technology</vt:lpwstr>
  </property>
  <property fmtid="{D5CDD505-2E9C-101B-9397-08002B2CF9AE}" pid="11" name="Mendeley Recent Style Name 4_1">
    <vt:lpwstr>Bioresource Technology</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http://www.zotero.org/styles/the-journal-of-nutritional-biochemistry</vt:lpwstr>
  </property>
  <property fmtid="{D5CDD505-2E9C-101B-9397-08002B2CF9AE}" pid="21" name="Mendeley Recent Style Name 9_1">
    <vt:lpwstr>The Journal of Nutritional Biochemistry</vt:lpwstr>
  </property>
  <property fmtid="{D5CDD505-2E9C-101B-9397-08002B2CF9AE}" pid="22" name="Mendeley Citation Style_1">
    <vt:lpwstr>http://www.zotero.org/styles/biochemical-and-biophysical-research-communications</vt:lpwstr>
  </property>
  <property fmtid="{D5CDD505-2E9C-101B-9397-08002B2CF9AE}" pid="23" name="ContentTypeId">
    <vt:lpwstr>0x01010055EAE60592F6A041A0153DD7CF658E38</vt:lpwstr>
  </property>
  <property fmtid="{D5CDD505-2E9C-101B-9397-08002B2CF9AE}" pid="24" name="Mendeley Document_1">
    <vt:lpwstr>True</vt:lpwstr>
  </property>
  <property fmtid="{D5CDD505-2E9C-101B-9397-08002B2CF9AE}" pid="25" name="Mendeley Unique User Id_1">
    <vt:lpwstr>b825f417-df6b-33a5-84cb-5469a5a448bf</vt:lpwstr>
  </property>
</Properties>
</file>