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F72" w:rsidRPr="00676F72" w:rsidRDefault="00676F72" w:rsidP="007E4BB4">
      <w:pPr>
        <w:spacing w:after="0" w:line="360" w:lineRule="auto"/>
        <w:jc w:val="center"/>
        <w:outlineLvl w:val="0"/>
        <w:rPr>
          <w:rFonts w:ascii="Arial" w:hAnsi="Arial" w:cs="Arial"/>
          <w:sz w:val="36"/>
          <w:szCs w:val="36"/>
        </w:rPr>
      </w:pPr>
      <w:r w:rsidRPr="00676F72">
        <w:rPr>
          <w:rFonts w:ascii="Arial" w:hAnsi="Arial" w:cs="Arial"/>
          <w:sz w:val="36"/>
          <w:szCs w:val="36"/>
        </w:rPr>
        <w:t xml:space="preserve">Influence of Substrate Orientation on </w:t>
      </w:r>
    </w:p>
    <w:p w:rsidR="00676F72" w:rsidRPr="00676F72" w:rsidRDefault="00676F72" w:rsidP="007E4BB4">
      <w:pPr>
        <w:spacing w:after="0" w:line="360" w:lineRule="auto"/>
        <w:jc w:val="center"/>
        <w:outlineLvl w:val="0"/>
        <w:rPr>
          <w:rFonts w:ascii="Arial" w:hAnsi="Arial" w:cs="Arial"/>
          <w:sz w:val="36"/>
          <w:szCs w:val="36"/>
        </w:rPr>
      </w:pPr>
      <w:r w:rsidRPr="00676F72">
        <w:rPr>
          <w:rFonts w:ascii="Arial" w:hAnsi="Arial" w:cs="Arial"/>
          <w:sz w:val="36"/>
          <w:szCs w:val="36"/>
        </w:rPr>
        <w:t xml:space="preserve">Feeding Kinematics of Algae Grazing </w:t>
      </w:r>
    </w:p>
    <w:p w:rsidR="00676F72" w:rsidRPr="00676F72" w:rsidRDefault="00676F72" w:rsidP="007E4BB4">
      <w:pPr>
        <w:spacing w:after="0" w:line="360" w:lineRule="auto"/>
        <w:jc w:val="center"/>
        <w:outlineLvl w:val="0"/>
        <w:rPr>
          <w:rFonts w:ascii="Arial" w:hAnsi="Arial" w:cs="Arial"/>
          <w:sz w:val="36"/>
          <w:szCs w:val="36"/>
        </w:rPr>
      </w:pPr>
      <w:r w:rsidRPr="00676F72">
        <w:rPr>
          <w:rFonts w:ascii="Arial" w:hAnsi="Arial" w:cs="Arial"/>
          <w:sz w:val="36"/>
          <w:szCs w:val="36"/>
        </w:rPr>
        <w:t>Lake Malawi Cichlid Fishes</w:t>
      </w: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r>
        <w:rPr>
          <w:rFonts w:ascii="Arial" w:hAnsi="Arial" w:cs="Arial"/>
          <w:sz w:val="36"/>
          <w:szCs w:val="36"/>
        </w:rPr>
        <w:t>A Thesis Presented for the</w:t>
      </w:r>
    </w:p>
    <w:p w:rsidR="00676F72" w:rsidRDefault="00676F72" w:rsidP="007E4BB4">
      <w:pPr>
        <w:spacing w:after="0" w:line="360" w:lineRule="auto"/>
        <w:jc w:val="center"/>
        <w:rPr>
          <w:rFonts w:ascii="Arial" w:hAnsi="Arial" w:cs="Arial"/>
          <w:sz w:val="36"/>
          <w:szCs w:val="36"/>
        </w:rPr>
      </w:pPr>
      <w:r>
        <w:rPr>
          <w:rFonts w:ascii="Arial" w:hAnsi="Arial" w:cs="Arial"/>
          <w:sz w:val="36"/>
          <w:szCs w:val="36"/>
        </w:rPr>
        <w:t>Master of Science</w:t>
      </w:r>
    </w:p>
    <w:p w:rsidR="00676F72" w:rsidRDefault="00676F72" w:rsidP="007E4BB4">
      <w:pPr>
        <w:spacing w:after="0" w:line="360" w:lineRule="auto"/>
        <w:jc w:val="center"/>
        <w:rPr>
          <w:rFonts w:ascii="Arial" w:hAnsi="Arial" w:cs="Arial"/>
          <w:sz w:val="36"/>
          <w:szCs w:val="36"/>
        </w:rPr>
      </w:pPr>
      <w:r>
        <w:rPr>
          <w:rFonts w:ascii="Arial" w:hAnsi="Arial" w:cs="Arial"/>
          <w:sz w:val="36"/>
          <w:szCs w:val="36"/>
        </w:rPr>
        <w:t>Degree</w:t>
      </w:r>
    </w:p>
    <w:p w:rsidR="00676F72" w:rsidRDefault="00676F72" w:rsidP="007E4BB4">
      <w:pPr>
        <w:spacing w:after="0" w:line="360" w:lineRule="auto"/>
        <w:jc w:val="center"/>
        <w:rPr>
          <w:rFonts w:ascii="Arial" w:hAnsi="Arial" w:cs="Arial"/>
          <w:sz w:val="36"/>
          <w:szCs w:val="36"/>
        </w:rPr>
      </w:pPr>
      <w:r>
        <w:rPr>
          <w:rFonts w:ascii="Arial" w:hAnsi="Arial" w:cs="Arial"/>
          <w:sz w:val="36"/>
          <w:szCs w:val="36"/>
        </w:rPr>
        <w:t>The University of Tennessee, Knoxville</w:t>
      </w: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676F72" w:rsidP="007E4BB4">
      <w:pPr>
        <w:spacing w:after="0" w:line="360" w:lineRule="auto"/>
        <w:jc w:val="center"/>
        <w:rPr>
          <w:rFonts w:ascii="Arial" w:hAnsi="Arial" w:cs="Arial"/>
          <w:sz w:val="36"/>
          <w:szCs w:val="36"/>
        </w:rPr>
      </w:pPr>
    </w:p>
    <w:p w:rsidR="00676F72" w:rsidRDefault="00BD70EE" w:rsidP="007E4BB4">
      <w:pPr>
        <w:spacing w:after="0" w:line="360" w:lineRule="auto"/>
        <w:jc w:val="center"/>
        <w:rPr>
          <w:rFonts w:ascii="Arial" w:hAnsi="Arial" w:cs="Arial"/>
          <w:sz w:val="36"/>
          <w:szCs w:val="36"/>
        </w:rPr>
      </w:pPr>
      <w:r>
        <w:rPr>
          <w:rFonts w:ascii="Arial" w:hAnsi="Arial" w:cs="Arial"/>
          <w:sz w:val="36"/>
          <w:szCs w:val="36"/>
        </w:rPr>
        <w:t>Maxwell Friedrich</w:t>
      </w:r>
      <w:r w:rsidR="00676F72">
        <w:rPr>
          <w:rFonts w:ascii="Arial" w:hAnsi="Arial" w:cs="Arial"/>
          <w:sz w:val="36"/>
          <w:szCs w:val="36"/>
        </w:rPr>
        <w:t xml:space="preserve"> Rupp</w:t>
      </w:r>
    </w:p>
    <w:p w:rsidR="00676F72" w:rsidRDefault="00391582" w:rsidP="007E4BB4">
      <w:pPr>
        <w:spacing w:after="0" w:line="360" w:lineRule="auto"/>
        <w:jc w:val="center"/>
        <w:rPr>
          <w:rFonts w:ascii="Arial" w:hAnsi="Arial" w:cs="Arial"/>
          <w:sz w:val="36"/>
          <w:szCs w:val="36"/>
        </w:rPr>
      </w:pPr>
      <w:r>
        <w:rPr>
          <w:rFonts w:ascii="Arial" w:hAnsi="Arial" w:cs="Arial"/>
          <w:sz w:val="36"/>
          <w:szCs w:val="36"/>
        </w:rPr>
        <w:t>May</w:t>
      </w:r>
      <w:r w:rsidR="00676F72">
        <w:rPr>
          <w:rFonts w:ascii="Arial" w:hAnsi="Arial" w:cs="Arial"/>
          <w:sz w:val="36"/>
          <w:szCs w:val="36"/>
        </w:rPr>
        <w:t xml:space="preserve"> 2014</w:t>
      </w:r>
    </w:p>
    <w:p w:rsidR="00E15E8C" w:rsidRDefault="00E15E8C">
      <w:pPr>
        <w:rPr>
          <w:rFonts w:ascii="Arial" w:hAnsi="Arial" w:cs="Arial"/>
          <w:sz w:val="36"/>
          <w:szCs w:val="36"/>
        </w:rPr>
      </w:pPr>
      <w:r>
        <w:rPr>
          <w:rFonts w:ascii="Arial" w:hAnsi="Arial" w:cs="Arial"/>
          <w:sz w:val="36"/>
          <w:szCs w:val="36"/>
        </w:rPr>
        <w:br w:type="page"/>
      </w:r>
    </w:p>
    <w:p w:rsidR="00676F72" w:rsidRPr="00E746F6" w:rsidRDefault="00E746F6" w:rsidP="007E4BB4">
      <w:pPr>
        <w:spacing w:after="0" w:line="360" w:lineRule="auto"/>
        <w:jc w:val="center"/>
        <w:rPr>
          <w:rFonts w:ascii="Arial" w:hAnsi="Arial" w:cs="Arial"/>
          <w:sz w:val="28"/>
          <w:szCs w:val="28"/>
        </w:rPr>
      </w:pPr>
      <w:r w:rsidRPr="00E746F6">
        <w:rPr>
          <w:rFonts w:ascii="Arial" w:hAnsi="Arial" w:cs="Arial"/>
          <w:b/>
          <w:sz w:val="28"/>
          <w:szCs w:val="28"/>
        </w:rPr>
        <w:lastRenderedPageBreak/>
        <w:t>D</w:t>
      </w:r>
      <w:r>
        <w:rPr>
          <w:rFonts w:ascii="Arial" w:hAnsi="Arial" w:cs="Arial"/>
          <w:b/>
          <w:sz w:val="28"/>
          <w:szCs w:val="28"/>
        </w:rPr>
        <w:t>EDICATION</w:t>
      </w:r>
    </w:p>
    <w:p w:rsidR="00E746F6" w:rsidRDefault="00E746F6" w:rsidP="007E4BB4">
      <w:pPr>
        <w:spacing w:after="0" w:line="360" w:lineRule="auto"/>
        <w:jc w:val="center"/>
        <w:rPr>
          <w:rFonts w:ascii="Arial" w:hAnsi="Arial" w:cs="Arial"/>
          <w:sz w:val="24"/>
          <w:szCs w:val="24"/>
        </w:rPr>
      </w:pPr>
    </w:p>
    <w:p w:rsidR="00E746F6" w:rsidRDefault="00E746F6" w:rsidP="007E4BB4">
      <w:pPr>
        <w:spacing w:after="0" w:line="360" w:lineRule="auto"/>
        <w:jc w:val="center"/>
        <w:rPr>
          <w:rFonts w:ascii="Arial" w:hAnsi="Arial" w:cs="Arial"/>
          <w:sz w:val="24"/>
          <w:szCs w:val="24"/>
        </w:rPr>
      </w:pPr>
      <w:r>
        <w:rPr>
          <w:rFonts w:ascii="Arial" w:hAnsi="Arial" w:cs="Arial"/>
          <w:sz w:val="24"/>
          <w:szCs w:val="24"/>
        </w:rPr>
        <w:t>This work is dedicated to everyone who</w:t>
      </w:r>
      <w:r w:rsidR="004D60E3">
        <w:rPr>
          <w:rFonts w:ascii="Arial" w:hAnsi="Arial" w:cs="Arial"/>
          <w:sz w:val="24"/>
          <w:szCs w:val="24"/>
        </w:rPr>
        <w:br/>
      </w:r>
      <w:r>
        <w:rPr>
          <w:rFonts w:ascii="Arial" w:hAnsi="Arial" w:cs="Arial"/>
          <w:sz w:val="24"/>
          <w:szCs w:val="24"/>
        </w:rPr>
        <w:t xml:space="preserve"> pushed me to go further than I imagined I could.</w:t>
      </w:r>
    </w:p>
    <w:p w:rsidR="00E746F6" w:rsidRDefault="00E746F6" w:rsidP="007E4BB4">
      <w:pPr>
        <w:spacing w:after="0" w:line="360" w:lineRule="auto"/>
        <w:rPr>
          <w:rFonts w:ascii="Arial" w:hAnsi="Arial" w:cs="Arial"/>
          <w:sz w:val="24"/>
          <w:szCs w:val="24"/>
        </w:rPr>
      </w:pPr>
      <w:r>
        <w:rPr>
          <w:rFonts w:ascii="Arial" w:hAnsi="Arial" w:cs="Arial"/>
          <w:sz w:val="24"/>
          <w:szCs w:val="24"/>
        </w:rPr>
        <w:br w:type="page"/>
      </w:r>
    </w:p>
    <w:p w:rsidR="00E746F6" w:rsidRDefault="00E746F6" w:rsidP="007E4BB4">
      <w:pPr>
        <w:spacing w:after="0" w:line="360" w:lineRule="auto"/>
        <w:jc w:val="center"/>
        <w:rPr>
          <w:rFonts w:ascii="Arial" w:hAnsi="Arial" w:cs="Arial"/>
          <w:sz w:val="28"/>
          <w:szCs w:val="28"/>
        </w:rPr>
      </w:pPr>
      <w:r>
        <w:rPr>
          <w:rFonts w:ascii="Arial" w:hAnsi="Arial" w:cs="Arial"/>
          <w:b/>
          <w:sz w:val="28"/>
          <w:szCs w:val="28"/>
        </w:rPr>
        <w:lastRenderedPageBreak/>
        <w:t>ACKNOWLEDGEMENTS</w:t>
      </w:r>
    </w:p>
    <w:p w:rsidR="00E746F6" w:rsidRDefault="00E746F6" w:rsidP="007E4BB4">
      <w:pPr>
        <w:spacing w:after="0" w:line="360" w:lineRule="auto"/>
        <w:jc w:val="center"/>
        <w:rPr>
          <w:rFonts w:ascii="Arial" w:hAnsi="Arial" w:cs="Arial"/>
          <w:sz w:val="24"/>
          <w:szCs w:val="24"/>
        </w:rPr>
      </w:pPr>
    </w:p>
    <w:p w:rsidR="00D15992" w:rsidRDefault="00E746F6" w:rsidP="007E4BB4">
      <w:pPr>
        <w:spacing w:after="0" w:line="360" w:lineRule="auto"/>
        <w:jc w:val="center"/>
        <w:rPr>
          <w:rFonts w:ascii="Arial" w:hAnsi="Arial" w:cs="Arial"/>
          <w:sz w:val="24"/>
          <w:szCs w:val="24"/>
        </w:rPr>
      </w:pPr>
      <w:r>
        <w:rPr>
          <w:rFonts w:ascii="Arial" w:hAnsi="Arial" w:cs="Arial"/>
          <w:sz w:val="24"/>
          <w:szCs w:val="24"/>
        </w:rPr>
        <w:t xml:space="preserve">Thank you </w:t>
      </w:r>
      <w:r w:rsidR="00E15E8C">
        <w:rPr>
          <w:rFonts w:ascii="Arial" w:hAnsi="Arial" w:cs="Arial"/>
          <w:sz w:val="24"/>
          <w:szCs w:val="24"/>
        </w:rPr>
        <w:t>to</w:t>
      </w:r>
      <w:r>
        <w:rPr>
          <w:rFonts w:ascii="Arial" w:hAnsi="Arial" w:cs="Arial"/>
          <w:sz w:val="24"/>
          <w:szCs w:val="24"/>
        </w:rPr>
        <w:t xml:space="preserve"> Darrin Hulsey</w:t>
      </w:r>
      <w:r w:rsidR="00E15E8C">
        <w:rPr>
          <w:rFonts w:ascii="Arial" w:hAnsi="Arial" w:cs="Arial"/>
          <w:sz w:val="24"/>
          <w:szCs w:val="24"/>
        </w:rPr>
        <w:t>, Brian O’Meara, and Ben Fitzpatrick</w:t>
      </w:r>
      <w:r w:rsidR="00E15E8C">
        <w:rPr>
          <w:rFonts w:ascii="Arial" w:hAnsi="Arial" w:cs="Arial"/>
          <w:sz w:val="24"/>
          <w:szCs w:val="24"/>
        </w:rPr>
        <w:br/>
      </w:r>
      <w:r>
        <w:rPr>
          <w:rFonts w:ascii="Arial" w:hAnsi="Arial" w:cs="Arial"/>
          <w:sz w:val="24"/>
          <w:szCs w:val="24"/>
        </w:rPr>
        <w:t xml:space="preserve"> for guidance </w:t>
      </w:r>
      <w:r w:rsidR="00E15E8C">
        <w:rPr>
          <w:rFonts w:ascii="Arial" w:hAnsi="Arial" w:cs="Arial"/>
          <w:sz w:val="24"/>
          <w:szCs w:val="24"/>
        </w:rPr>
        <w:t>and helpful suggestions in conducting this study</w:t>
      </w:r>
      <w:r>
        <w:rPr>
          <w:rFonts w:ascii="Arial" w:hAnsi="Arial" w:cs="Arial"/>
          <w:sz w:val="24"/>
          <w:szCs w:val="24"/>
        </w:rPr>
        <w:t xml:space="preserve">. </w:t>
      </w:r>
      <w:r w:rsidR="00E15E8C">
        <w:rPr>
          <w:rFonts w:ascii="Arial" w:hAnsi="Arial" w:cs="Arial"/>
          <w:sz w:val="24"/>
          <w:szCs w:val="24"/>
        </w:rPr>
        <w:br/>
      </w:r>
      <w:r>
        <w:rPr>
          <w:rFonts w:ascii="Arial" w:hAnsi="Arial" w:cs="Arial"/>
          <w:sz w:val="24"/>
          <w:szCs w:val="24"/>
        </w:rPr>
        <w:t>Also, to the Hulsey lab group</w:t>
      </w:r>
      <w:r w:rsidR="00E15E8C">
        <w:rPr>
          <w:rFonts w:ascii="Arial" w:hAnsi="Arial" w:cs="Arial"/>
          <w:sz w:val="24"/>
          <w:szCs w:val="24"/>
        </w:rPr>
        <w:t xml:space="preserve"> and everyone who helped review</w:t>
      </w:r>
      <w:r w:rsidR="00FD52CE">
        <w:rPr>
          <w:rFonts w:ascii="Arial" w:hAnsi="Arial" w:cs="Arial"/>
          <w:sz w:val="24"/>
          <w:szCs w:val="24"/>
        </w:rPr>
        <w:t xml:space="preserve"> </w:t>
      </w:r>
      <w:r w:rsidR="00E15E8C">
        <w:rPr>
          <w:rFonts w:ascii="Arial" w:hAnsi="Arial" w:cs="Arial"/>
          <w:sz w:val="24"/>
          <w:szCs w:val="24"/>
        </w:rPr>
        <w:br/>
      </w:r>
      <w:r w:rsidR="00FD52CE">
        <w:rPr>
          <w:rFonts w:ascii="Arial" w:hAnsi="Arial" w:cs="Arial"/>
          <w:sz w:val="24"/>
          <w:szCs w:val="24"/>
        </w:rPr>
        <w:t>previous versions of</w:t>
      </w:r>
      <w:r w:rsidR="00E15E8C">
        <w:rPr>
          <w:rFonts w:ascii="Arial" w:hAnsi="Arial" w:cs="Arial"/>
          <w:sz w:val="24"/>
          <w:szCs w:val="24"/>
        </w:rPr>
        <w:t xml:space="preserve"> </w:t>
      </w:r>
      <w:r w:rsidR="00FD52CE">
        <w:rPr>
          <w:rFonts w:ascii="Arial" w:hAnsi="Arial" w:cs="Arial"/>
          <w:sz w:val="24"/>
          <w:szCs w:val="24"/>
        </w:rPr>
        <w:t>this work, I appreciate your time and effort.</w:t>
      </w:r>
    </w:p>
    <w:p w:rsidR="00D15992" w:rsidRDefault="00D15992" w:rsidP="007E4BB4">
      <w:pPr>
        <w:spacing w:after="0" w:line="360" w:lineRule="auto"/>
        <w:rPr>
          <w:rFonts w:ascii="Arial" w:hAnsi="Arial" w:cs="Arial"/>
          <w:sz w:val="24"/>
          <w:szCs w:val="24"/>
        </w:rPr>
      </w:pPr>
      <w:r>
        <w:rPr>
          <w:rFonts w:ascii="Arial" w:hAnsi="Arial" w:cs="Arial"/>
          <w:sz w:val="24"/>
          <w:szCs w:val="24"/>
        </w:rPr>
        <w:br w:type="page"/>
      </w:r>
    </w:p>
    <w:p w:rsidR="00E746F6" w:rsidRDefault="00D15992" w:rsidP="007E4BB4">
      <w:pPr>
        <w:spacing w:after="0" w:line="360" w:lineRule="auto"/>
        <w:jc w:val="center"/>
        <w:rPr>
          <w:rFonts w:ascii="Arial" w:hAnsi="Arial" w:cs="Arial"/>
          <w:sz w:val="28"/>
          <w:szCs w:val="28"/>
        </w:rPr>
      </w:pPr>
      <w:r>
        <w:rPr>
          <w:rFonts w:ascii="Arial" w:hAnsi="Arial" w:cs="Arial"/>
          <w:b/>
          <w:sz w:val="28"/>
          <w:szCs w:val="28"/>
        </w:rPr>
        <w:lastRenderedPageBreak/>
        <w:t>ABSTRACT</w:t>
      </w:r>
    </w:p>
    <w:p w:rsidR="00D15992" w:rsidRDefault="00D15992" w:rsidP="007E4BB4">
      <w:pPr>
        <w:spacing w:after="0" w:line="360" w:lineRule="auto"/>
        <w:jc w:val="center"/>
        <w:rPr>
          <w:rFonts w:ascii="Arial" w:hAnsi="Arial" w:cs="Arial"/>
          <w:sz w:val="28"/>
          <w:szCs w:val="28"/>
        </w:rPr>
      </w:pPr>
    </w:p>
    <w:p w:rsidR="00682F92" w:rsidRDefault="00D15992" w:rsidP="007E4BB4">
      <w:pPr>
        <w:spacing w:after="0" w:line="360" w:lineRule="auto"/>
        <w:ind w:firstLine="720"/>
        <w:rPr>
          <w:rFonts w:ascii="Arial" w:hAnsi="Arial" w:cs="Arial"/>
          <w:sz w:val="24"/>
          <w:szCs w:val="24"/>
        </w:rPr>
      </w:pPr>
      <w:r w:rsidRPr="00D15992">
        <w:rPr>
          <w:rFonts w:ascii="Arial" w:hAnsi="Arial" w:cs="Arial"/>
          <w:sz w:val="24"/>
          <w:szCs w:val="24"/>
        </w:rPr>
        <w:t>Lake Malawi cichlids have been studied extensively in an effort to elucidate the mechanisms underlying their adaptive radiation. This divergence is proposed to have happened via processes such as habitat partitioning, trophic specialization, and sexual selection. However, in the rock-dwelling mbuna of Lake Malawi this divergence likely involves how and where species feed on algae within the rocky reefs they exclusively inhabit. For three species of mbuna, we quantified feeding kinematics on substrates at different orientations that mimicked the top, sides, and bottoms of the algae covered boulders these species feed from in the wild. Significant differences in kinematics were found among the species, and several of the kinematic variables were found to differ within species when the same individuals grazed from different surface orientations. In general, it appears that microhabitat divergence linked to differences in feeding kinematics could have played a significant role in the origin and maintenance of the vast diversity of co-occurring Lake Malawi mbuna species.</w:t>
      </w:r>
    </w:p>
    <w:p w:rsidR="00682F92" w:rsidRDefault="00682F92" w:rsidP="007E4BB4">
      <w:pPr>
        <w:spacing w:after="0" w:line="360" w:lineRule="auto"/>
        <w:rPr>
          <w:rFonts w:ascii="Arial" w:hAnsi="Arial" w:cs="Arial"/>
          <w:sz w:val="24"/>
          <w:szCs w:val="24"/>
        </w:rPr>
      </w:pPr>
      <w:r>
        <w:rPr>
          <w:rFonts w:ascii="Arial" w:hAnsi="Arial" w:cs="Arial"/>
          <w:sz w:val="24"/>
          <w:szCs w:val="24"/>
        </w:rPr>
        <w:br w:type="page"/>
      </w:r>
    </w:p>
    <w:sdt>
      <w:sdtPr>
        <w:rPr>
          <w:rFonts w:ascii="Calibri" w:eastAsia="Calibri" w:hAnsi="Calibri" w:cs="Times New Roman"/>
          <w:b w:val="0"/>
          <w:bCs w:val="0"/>
          <w:color w:val="auto"/>
          <w:sz w:val="22"/>
          <w:szCs w:val="22"/>
        </w:rPr>
        <w:id w:val="61865561"/>
        <w:docPartObj>
          <w:docPartGallery w:val="Table of Contents"/>
          <w:docPartUnique/>
        </w:docPartObj>
      </w:sdtPr>
      <w:sdtContent>
        <w:p w:rsidR="00882645" w:rsidRDefault="00786AE5" w:rsidP="00786AE5">
          <w:pPr>
            <w:pStyle w:val="TOCHeading"/>
            <w:jc w:val="center"/>
            <w:rPr>
              <w:rFonts w:ascii="Arial" w:hAnsi="Arial" w:cs="Arial"/>
              <w:color w:val="auto"/>
            </w:rPr>
          </w:pPr>
          <w:r>
            <w:rPr>
              <w:rFonts w:ascii="Arial" w:hAnsi="Arial" w:cs="Arial"/>
              <w:color w:val="auto"/>
            </w:rPr>
            <w:t>TABLE OF CONTENTS</w:t>
          </w:r>
        </w:p>
        <w:p w:rsidR="00786AE5" w:rsidRPr="00786AE5" w:rsidRDefault="00786AE5" w:rsidP="00786AE5"/>
        <w:p w:rsidR="00882645" w:rsidRPr="00786AE5" w:rsidRDefault="00882645">
          <w:pPr>
            <w:pStyle w:val="TOC1"/>
            <w:rPr>
              <w:rFonts w:ascii="Arial" w:hAnsi="Arial" w:cs="Arial"/>
              <w:sz w:val="24"/>
              <w:szCs w:val="24"/>
            </w:rPr>
          </w:pPr>
          <w:r w:rsidRPr="00786AE5">
            <w:rPr>
              <w:rFonts w:ascii="Arial" w:hAnsi="Arial" w:cs="Arial"/>
              <w:b/>
              <w:sz w:val="24"/>
              <w:szCs w:val="24"/>
            </w:rPr>
            <w:t>CHAPTER 1: INTRODUCTION</w:t>
          </w:r>
          <w:r w:rsidRPr="00786AE5">
            <w:rPr>
              <w:rFonts w:ascii="Arial" w:hAnsi="Arial" w:cs="Arial"/>
              <w:sz w:val="24"/>
              <w:szCs w:val="24"/>
            </w:rPr>
            <w:ptab w:relativeTo="margin" w:alignment="right" w:leader="dot"/>
          </w:r>
          <w:r w:rsidRPr="00786AE5">
            <w:rPr>
              <w:rFonts w:ascii="Arial" w:hAnsi="Arial" w:cs="Arial"/>
              <w:b/>
              <w:sz w:val="24"/>
              <w:szCs w:val="24"/>
            </w:rPr>
            <w:t>1</w:t>
          </w:r>
        </w:p>
        <w:p w:rsidR="00882645" w:rsidRPr="00786AE5" w:rsidRDefault="00882645">
          <w:pPr>
            <w:pStyle w:val="TOC1"/>
            <w:rPr>
              <w:rFonts w:ascii="Arial" w:hAnsi="Arial" w:cs="Arial"/>
              <w:sz w:val="24"/>
              <w:szCs w:val="24"/>
            </w:rPr>
          </w:pPr>
          <w:r w:rsidRPr="00786AE5">
            <w:rPr>
              <w:rFonts w:ascii="Arial" w:hAnsi="Arial" w:cs="Arial"/>
              <w:b/>
              <w:sz w:val="24"/>
              <w:szCs w:val="24"/>
            </w:rPr>
            <w:t>CHAPTER 2: MATERIALS AND METHODS</w:t>
          </w:r>
          <w:r w:rsidRPr="00786AE5">
            <w:rPr>
              <w:rFonts w:ascii="Arial" w:hAnsi="Arial" w:cs="Arial"/>
              <w:sz w:val="24"/>
              <w:szCs w:val="24"/>
            </w:rPr>
            <w:ptab w:relativeTo="margin" w:alignment="right" w:leader="dot"/>
          </w:r>
          <w:r w:rsidR="005E5B33" w:rsidRPr="00786AE5">
            <w:rPr>
              <w:rFonts w:ascii="Arial" w:hAnsi="Arial" w:cs="Arial"/>
              <w:b/>
              <w:sz w:val="24"/>
              <w:szCs w:val="24"/>
            </w:rPr>
            <w:t>5</w:t>
          </w:r>
        </w:p>
        <w:p w:rsidR="00882645" w:rsidRPr="00786AE5" w:rsidRDefault="00327541">
          <w:pPr>
            <w:pStyle w:val="TOC2"/>
            <w:ind w:left="216"/>
            <w:rPr>
              <w:rFonts w:ascii="Arial" w:hAnsi="Arial" w:cs="Arial"/>
              <w:sz w:val="24"/>
              <w:szCs w:val="24"/>
            </w:rPr>
          </w:pPr>
          <w:r w:rsidRPr="00786AE5">
            <w:rPr>
              <w:rFonts w:ascii="Arial" w:hAnsi="Arial" w:cs="Arial"/>
              <w:b/>
              <w:i/>
              <w:sz w:val="24"/>
              <w:szCs w:val="24"/>
            </w:rPr>
            <w:t>Fish Species</w:t>
          </w:r>
          <w:r w:rsidR="00882645" w:rsidRPr="00786AE5">
            <w:rPr>
              <w:rFonts w:ascii="Arial" w:hAnsi="Arial" w:cs="Arial"/>
              <w:sz w:val="24"/>
              <w:szCs w:val="24"/>
            </w:rPr>
            <w:ptab w:relativeTo="margin" w:alignment="right" w:leader="dot"/>
          </w:r>
          <w:r w:rsidR="00882645" w:rsidRPr="00786AE5">
            <w:rPr>
              <w:rFonts w:ascii="Arial" w:hAnsi="Arial" w:cs="Arial"/>
              <w:sz w:val="24"/>
              <w:szCs w:val="24"/>
            </w:rPr>
            <w:t>5</w:t>
          </w:r>
        </w:p>
        <w:p w:rsidR="00327541" w:rsidRPr="00786AE5" w:rsidRDefault="00327541" w:rsidP="00327541">
          <w:pPr>
            <w:pStyle w:val="TOC2"/>
            <w:ind w:left="216"/>
            <w:rPr>
              <w:rFonts w:ascii="Arial" w:hAnsi="Arial" w:cs="Arial"/>
              <w:sz w:val="24"/>
              <w:szCs w:val="24"/>
            </w:rPr>
          </w:pPr>
          <w:r w:rsidRPr="00786AE5">
            <w:rPr>
              <w:rFonts w:ascii="Arial" w:hAnsi="Arial" w:cs="Arial"/>
              <w:b/>
              <w:i/>
              <w:sz w:val="24"/>
              <w:szCs w:val="24"/>
            </w:rPr>
            <w:t>Experimental Setup</w:t>
          </w:r>
          <w:r w:rsidRPr="00786AE5">
            <w:rPr>
              <w:rFonts w:ascii="Arial" w:hAnsi="Arial" w:cs="Arial"/>
              <w:sz w:val="24"/>
              <w:szCs w:val="24"/>
            </w:rPr>
            <w:ptab w:relativeTo="margin" w:alignment="right" w:leader="dot"/>
          </w:r>
          <w:r w:rsidRPr="00786AE5">
            <w:rPr>
              <w:rFonts w:ascii="Arial" w:hAnsi="Arial" w:cs="Arial"/>
              <w:sz w:val="24"/>
              <w:szCs w:val="24"/>
            </w:rPr>
            <w:t>5</w:t>
          </w:r>
        </w:p>
        <w:p w:rsidR="00327541" w:rsidRPr="00786AE5" w:rsidRDefault="00327541" w:rsidP="00327541">
          <w:pPr>
            <w:pStyle w:val="TOC2"/>
            <w:ind w:left="216"/>
            <w:rPr>
              <w:rFonts w:ascii="Arial" w:hAnsi="Arial" w:cs="Arial"/>
              <w:sz w:val="24"/>
              <w:szCs w:val="24"/>
            </w:rPr>
          </w:pPr>
          <w:r w:rsidRPr="00786AE5">
            <w:rPr>
              <w:rFonts w:ascii="Arial" w:hAnsi="Arial" w:cs="Arial"/>
              <w:b/>
              <w:i/>
              <w:sz w:val="24"/>
              <w:szCs w:val="24"/>
            </w:rPr>
            <w:t>Kinematic Measurements</w:t>
          </w:r>
          <w:r w:rsidRPr="00786AE5">
            <w:rPr>
              <w:rFonts w:ascii="Arial" w:hAnsi="Arial" w:cs="Arial"/>
              <w:sz w:val="24"/>
              <w:szCs w:val="24"/>
            </w:rPr>
            <w:ptab w:relativeTo="margin" w:alignment="right" w:leader="dot"/>
          </w:r>
          <w:r w:rsidRPr="00786AE5">
            <w:rPr>
              <w:rFonts w:ascii="Arial" w:hAnsi="Arial" w:cs="Arial"/>
              <w:sz w:val="24"/>
              <w:szCs w:val="24"/>
            </w:rPr>
            <w:t>6</w:t>
          </w:r>
        </w:p>
        <w:p w:rsidR="00327541" w:rsidRPr="00786AE5" w:rsidRDefault="00327541" w:rsidP="00327541">
          <w:pPr>
            <w:pStyle w:val="TOC2"/>
            <w:ind w:left="216"/>
            <w:rPr>
              <w:rFonts w:ascii="Arial" w:hAnsi="Arial" w:cs="Arial"/>
              <w:sz w:val="24"/>
              <w:szCs w:val="24"/>
            </w:rPr>
          </w:pPr>
          <w:r w:rsidRPr="00786AE5">
            <w:rPr>
              <w:rFonts w:ascii="Arial" w:hAnsi="Arial" w:cs="Arial"/>
              <w:b/>
              <w:i/>
              <w:sz w:val="24"/>
              <w:szCs w:val="24"/>
            </w:rPr>
            <w:t>Statistical Analysis</w:t>
          </w:r>
          <w:r w:rsidRPr="00786AE5">
            <w:rPr>
              <w:rFonts w:ascii="Arial" w:hAnsi="Arial" w:cs="Arial"/>
              <w:sz w:val="24"/>
              <w:szCs w:val="24"/>
            </w:rPr>
            <w:ptab w:relativeTo="margin" w:alignment="right" w:leader="dot"/>
          </w:r>
          <w:r w:rsidRPr="00786AE5">
            <w:rPr>
              <w:rFonts w:ascii="Arial" w:hAnsi="Arial" w:cs="Arial"/>
              <w:sz w:val="24"/>
              <w:szCs w:val="24"/>
            </w:rPr>
            <w:t>7</w:t>
          </w:r>
        </w:p>
        <w:p w:rsidR="00327541" w:rsidRPr="00786AE5" w:rsidRDefault="00327541" w:rsidP="00327541">
          <w:pPr>
            <w:pStyle w:val="TOC1"/>
            <w:rPr>
              <w:rFonts w:ascii="Arial" w:hAnsi="Arial" w:cs="Arial"/>
              <w:sz w:val="24"/>
              <w:szCs w:val="24"/>
            </w:rPr>
          </w:pPr>
          <w:r w:rsidRPr="00786AE5">
            <w:rPr>
              <w:rFonts w:ascii="Arial" w:hAnsi="Arial" w:cs="Arial"/>
              <w:b/>
              <w:sz w:val="24"/>
              <w:szCs w:val="24"/>
            </w:rPr>
            <w:t>CHAPTER 3: RESULTS</w:t>
          </w:r>
          <w:r w:rsidRPr="00786AE5">
            <w:rPr>
              <w:rFonts w:ascii="Arial" w:hAnsi="Arial" w:cs="Arial"/>
              <w:sz w:val="24"/>
              <w:szCs w:val="24"/>
            </w:rPr>
            <w:ptab w:relativeTo="margin" w:alignment="right" w:leader="dot"/>
          </w:r>
          <w:r w:rsidRPr="00786AE5">
            <w:rPr>
              <w:rFonts w:ascii="Arial" w:hAnsi="Arial" w:cs="Arial"/>
              <w:sz w:val="24"/>
              <w:szCs w:val="24"/>
            </w:rPr>
            <w:t>9</w:t>
          </w:r>
        </w:p>
        <w:p w:rsidR="00ED15AD" w:rsidRPr="00786AE5" w:rsidRDefault="00ED15AD" w:rsidP="00ED15AD">
          <w:pPr>
            <w:pStyle w:val="TOC2"/>
            <w:ind w:left="216"/>
            <w:rPr>
              <w:rFonts w:ascii="Arial" w:hAnsi="Arial" w:cs="Arial"/>
              <w:sz w:val="24"/>
              <w:szCs w:val="24"/>
            </w:rPr>
          </w:pPr>
          <w:r w:rsidRPr="00786AE5">
            <w:rPr>
              <w:rFonts w:ascii="Arial" w:hAnsi="Arial" w:cs="Arial"/>
              <w:b/>
              <w:i/>
              <w:sz w:val="24"/>
              <w:szCs w:val="24"/>
            </w:rPr>
            <w:t>Intraspecific Variation</w:t>
          </w:r>
          <w:r w:rsidRPr="00786AE5">
            <w:rPr>
              <w:rFonts w:ascii="Arial" w:hAnsi="Arial" w:cs="Arial"/>
              <w:sz w:val="24"/>
              <w:szCs w:val="24"/>
            </w:rPr>
            <w:ptab w:relativeTo="margin" w:alignment="right" w:leader="dot"/>
          </w:r>
          <w:r w:rsidRPr="00786AE5">
            <w:rPr>
              <w:rFonts w:ascii="Arial" w:hAnsi="Arial" w:cs="Arial"/>
              <w:sz w:val="24"/>
              <w:szCs w:val="24"/>
            </w:rPr>
            <w:t>7</w:t>
          </w:r>
        </w:p>
        <w:p w:rsidR="00ED15AD" w:rsidRPr="00786AE5" w:rsidRDefault="00ED15AD" w:rsidP="00ED15AD">
          <w:pPr>
            <w:pStyle w:val="TOC2"/>
            <w:ind w:left="216"/>
            <w:rPr>
              <w:rFonts w:ascii="Arial" w:hAnsi="Arial" w:cs="Arial"/>
              <w:sz w:val="24"/>
              <w:szCs w:val="24"/>
            </w:rPr>
          </w:pPr>
          <w:r w:rsidRPr="00786AE5">
            <w:rPr>
              <w:rFonts w:ascii="Arial" w:hAnsi="Arial" w:cs="Arial"/>
              <w:b/>
              <w:i/>
              <w:sz w:val="24"/>
              <w:szCs w:val="24"/>
            </w:rPr>
            <w:t>Intraspecific Correlations</w:t>
          </w:r>
          <w:r w:rsidRPr="00786AE5">
            <w:rPr>
              <w:rFonts w:ascii="Arial" w:hAnsi="Arial" w:cs="Arial"/>
              <w:sz w:val="24"/>
              <w:szCs w:val="24"/>
            </w:rPr>
            <w:ptab w:relativeTo="margin" w:alignment="right" w:leader="dot"/>
          </w:r>
          <w:r w:rsidRPr="00786AE5">
            <w:rPr>
              <w:rFonts w:ascii="Arial" w:hAnsi="Arial" w:cs="Arial"/>
              <w:sz w:val="24"/>
              <w:szCs w:val="24"/>
            </w:rPr>
            <w:t>7</w:t>
          </w:r>
        </w:p>
        <w:p w:rsidR="00ED15AD" w:rsidRPr="00786AE5" w:rsidRDefault="00ED15AD" w:rsidP="00ED15AD">
          <w:pPr>
            <w:pStyle w:val="TOC2"/>
            <w:ind w:left="216"/>
            <w:rPr>
              <w:rFonts w:ascii="Arial" w:hAnsi="Arial" w:cs="Arial"/>
              <w:sz w:val="24"/>
              <w:szCs w:val="24"/>
            </w:rPr>
          </w:pPr>
          <w:r w:rsidRPr="00786AE5">
            <w:rPr>
              <w:rFonts w:ascii="Arial" w:hAnsi="Arial" w:cs="Arial"/>
              <w:b/>
              <w:i/>
              <w:sz w:val="24"/>
              <w:szCs w:val="24"/>
            </w:rPr>
            <w:t>Interspecific Variation</w:t>
          </w:r>
          <w:r w:rsidRPr="00786AE5">
            <w:rPr>
              <w:rFonts w:ascii="Arial" w:hAnsi="Arial" w:cs="Arial"/>
              <w:sz w:val="24"/>
              <w:szCs w:val="24"/>
            </w:rPr>
            <w:ptab w:relativeTo="margin" w:alignment="right" w:leader="dot"/>
          </w:r>
          <w:r w:rsidRPr="00786AE5">
            <w:rPr>
              <w:rFonts w:ascii="Arial" w:hAnsi="Arial" w:cs="Arial"/>
              <w:sz w:val="24"/>
              <w:szCs w:val="24"/>
            </w:rPr>
            <w:t>7</w:t>
          </w:r>
        </w:p>
        <w:p w:rsidR="00ED15AD" w:rsidRPr="00786AE5" w:rsidRDefault="00ED15AD" w:rsidP="00ED15AD">
          <w:pPr>
            <w:pStyle w:val="TOC1"/>
            <w:rPr>
              <w:rFonts w:ascii="Arial" w:hAnsi="Arial" w:cs="Arial"/>
              <w:sz w:val="24"/>
              <w:szCs w:val="24"/>
            </w:rPr>
          </w:pPr>
          <w:r w:rsidRPr="00786AE5">
            <w:rPr>
              <w:rFonts w:ascii="Arial" w:hAnsi="Arial" w:cs="Arial"/>
              <w:b/>
              <w:sz w:val="24"/>
              <w:szCs w:val="24"/>
            </w:rPr>
            <w:t>CHAPTER 4: DISCUSSION AND CONCLUSIONS</w:t>
          </w:r>
          <w:r w:rsidRPr="00786AE5">
            <w:rPr>
              <w:rFonts w:ascii="Arial" w:hAnsi="Arial" w:cs="Arial"/>
              <w:sz w:val="24"/>
              <w:szCs w:val="24"/>
            </w:rPr>
            <w:ptab w:relativeTo="margin" w:alignment="right" w:leader="dot"/>
          </w:r>
          <w:r w:rsidRPr="00786AE5">
            <w:rPr>
              <w:rFonts w:ascii="Arial" w:hAnsi="Arial" w:cs="Arial"/>
              <w:sz w:val="24"/>
              <w:szCs w:val="24"/>
            </w:rPr>
            <w:t>12</w:t>
          </w:r>
        </w:p>
        <w:p w:rsidR="00ED15AD" w:rsidRPr="00786AE5" w:rsidRDefault="00ED15AD" w:rsidP="00ED15AD">
          <w:pPr>
            <w:pStyle w:val="TOC1"/>
            <w:rPr>
              <w:rFonts w:ascii="Arial" w:hAnsi="Arial" w:cs="Arial"/>
              <w:sz w:val="24"/>
              <w:szCs w:val="24"/>
            </w:rPr>
          </w:pPr>
          <w:r w:rsidRPr="00786AE5">
            <w:rPr>
              <w:rFonts w:ascii="Arial" w:hAnsi="Arial" w:cs="Arial"/>
              <w:b/>
              <w:sz w:val="24"/>
              <w:szCs w:val="24"/>
            </w:rPr>
            <w:t>LIST OF REFERENCES</w:t>
          </w:r>
          <w:r w:rsidRPr="00786AE5">
            <w:rPr>
              <w:rFonts w:ascii="Arial" w:hAnsi="Arial" w:cs="Arial"/>
              <w:sz w:val="24"/>
              <w:szCs w:val="24"/>
            </w:rPr>
            <w:ptab w:relativeTo="margin" w:alignment="right" w:leader="dot"/>
          </w:r>
          <w:r w:rsidRPr="00786AE5">
            <w:rPr>
              <w:rFonts w:ascii="Arial" w:hAnsi="Arial" w:cs="Arial"/>
              <w:sz w:val="24"/>
              <w:szCs w:val="24"/>
            </w:rPr>
            <w:t>16</w:t>
          </w:r>
        </w:p>
        <w:p w:rsidR="002D76AD" w:rsidRPr="00786AE5" w:rsidRDefault="00ED15AD" w:rsidP="002D76AD">
          <w:pPr>
            <w:pStyle w:val="TOC1"/>
            <w:rPr>
              <w:rFonts w:ascii="Arial" w:hAnsi="Arial" w:cs="Arial"/>
              <w:sz w:val="24"/>
              <w:szCs w:val="24"/>
            </w:rPr>
          </w:pPr>
          <w:r w:rsidRPr="00786AE5">
            <w:rPr>
              <w:rFonts w:ascii="Arial" w:hAnsi="Arial" w:cs="Arial"/>
              <w:b/>
              <w:sz w:val="24"/>
              <w:szCs w:val="24"/>
            </w:rPr>
            <w:t>APPENDIX</w:t>
          </w:r>
          <w:r w:rsidRPr="00786AE5">
            <w:rPr>
              <w:rFonts w:ascii="Arial" w:hAnsi="Arial" w:cs="Arial"/>
              <w:sz w:val="24"/>
              <w:szCs w:val="24"/>
            </w:rPr>
            <w:ptab w:relativeTo="margin" w:alignment="right" w:leader="dot"/>
          </w:r>
          <w:r w:rsidRPr="00786AE5">
            <w:rPr>
              <w:rFonts w:ascii="Arial" w:hAnsi="Arial" w:cs="Arial"/>
              <w:sz w:val="24"/>
              <w:szCs w:val="24"/>
            </w:rPr>
            <w:t>2</w:t>
          </w:r>
          <w:r w:rsidR="00391582">
            <w:rPr>
              <w:rFonts w:ascii="Arial" w:hAnsi="Arial" w:cs="Arial"/>
              <w:sz w:val="24"/>
              <w:szCs w:val="24"/>
            </w:rPr>
            <w:t>2</w:t>
          </w:r>
        </w:p>
        <w:p w:rsidR="002D76AD" w:rsidRPr="00786AE5" w:rsidRDefault="002D76AD" w:rsidP="002D76AD">
          <w:pPr>
            <w:pStyle w:val="TOC2"/>
            <w:ind w:left="216"/>
            <w:rPr>
              <w:rFonts w:ascii="Arial" w:hAnsi="Arial" w:cs="Arial"/>
              <w:sz w:val="24"/>
              <w:szCs w:val="24"/>
            </w:rPr>
          </w:pPr>
          <w:r w:rsidRPr="00786AE5">
            <w:rPr>
              <w:rFonts w:ascii="Arial" w:hAnsi="Arial" w:cs="Arial"/>
              <w:b/>
              <w:i/>
              <w:sz w:val="24"/>
              <w:szCs w:val="24"/>
            </w:rPr>
            <w:t>Figures</w:t>
          </w:r>
          <w:r w:rsidRPr="00786AE5">
            <w:rPr>
              <w:rFonts w:ascii="Arial" w:hAnsi="Arial" w:cs="Arial"/>
              <w:sz w:val="24"/>
              <w:szCs w:val="24"/>
            </w:rPr>
            <w:ptab w:relativeTo="margin" w:alignment="right" w:leader="dot"/>
          </w:r>
          <w:r w:rsidRPr="00786AE5">
            <w:rPr>
              <w:rFonts w:ascii="Arial" w:hAnsi="Arial" w:cs="Arial"/>
              <w:sz w:val="24"/>
              <w:szCs w:val="24"/>
            </w:rPr>
            <w:t>2</w:t>
          </w:r>
          <w:r w:rsidR="00391582">
            <w:rPr>
              <w:rFonts w:ascii="Arial" w:hAnsi="Arial" w:cs="Arial"/>
              <w:sz w:val="24"/>
              <w:szCs w:val="24"/>
            </w:rPr>
            <w:t>3</w:t>
          </w:r>
        </w:p>
        <w:p w:rsidR="002D76AD" w:rsidRPr="00786AE5" w:rsidRDefault="002D76AD" w:rsidP="002D76AD">
          <w:pPr>
            <w:pStyle w:val="TOC2"/>
            <w:ind w:left="216" w:firstLine="504"/>
            <w:rPr>
              <w:rFonts w:ascii="Arial" w:hAnsi="Arial" w:cs="Arial"/>
              <w:sz w:val="24"/>
              <w:szCs w:val="24"/>
            </w:rPr>
          </w:pPr>
          <w:r w:rsidRPr="00786AE5">
            <w:rPr>
              <w:rFonts w:ascii="Arial" w:hAnsi="Arial" w:cs="Arial"/>
              <w:b/>
              <w:i/>
              <w:sz w:val="24"/>
              <w:szCs w:val="24"/>
            </w:rPr>
            <w:t>Figure 1</w:t>
          </w:r>
          <w:r w:rsidRPr="00786AE5">
            <w:rPr>
              <w:rFonts w:ascii="Arial" w:hAnsi="Arial" w:cs="Arial"/>
              <w:sz w:val="24"/>
              <w:szCs w:val="24"/>
            </w:rPr>
            <w:ptab w:relativeTo="margin" w:alignment="right" w:leader="dot"/>
          </w:r>
          <w:r w:rsidR="00391582">
            <w:rPr>
              <w:rFonts w:ascii="Arial" w:hAnsi="Arial" w:cs="Arial"/>
              <w:sz w:val="24"/>
              <w:szCs w:val="24"/>
            </w:rPr>
            <w:t>23</w:t>
          </w:r>
        </w:p>
        <w:p w:rsidR="002D76AD" w:rsidRPr="00786AE5" w:rsidRDefault="002D76AD" w:rsidP="002D76AD">
          <w:pPr>
            <w:pStyle w:val="TOC2"/>
            <w:ind w:left="216" w:firstLine="504"/>
            <w:rPr>
              <w:rFonts w:ascii="Arial" w:hAnsi="Arial" w:cs="Arial"/>
              <w:sz w:val="24"/>
              <w:szCs w:val="24"/>
            </w:rPr>
          </w:pPr>
          <w:r w:rsidRPr="00786AE5">
            <w:rPr>
              <w:rFonts w:ascii="Arial" w:hAnsi="Arial" w:cs="Arial"/>
              <w:b/>
              <w:i/>
              <w:sz w:val="24"/>
              <w:szCs w:val="24"/>
            </w:rPr>
            <w:t>Figure 2</w:t>
          </w:r>
          <w:r w:rsidRPr="00786AE5">
            <w:rPr>
              <w:rFonts w:ascii="Arial" w:hAnsi="Arial" w:cs="Arial"/>
              <w:sz w:val="24"/>
              <w:szCs w:val="24"/>
            </w:rPr>
            <w:ptab w:relativeTo="margin" w:alignment="right" w:leader="dot"/>
          </w:r>
          <w:r w:rsidR="00391582">
            <w:rPr>
              <w:rFonts w:ascii="Arial" w:hAnsi="Arial" w:cs="Arial"/>
              <w:sz w:val="24"/>
              <w:szCs w:val="24"/>
            </w:rPr>
            <w:t>24</w:t>
          </w:r>
        </w:p>
        <w:p w:rsidR="002D76AD" w:rsidRPr="00786AE5" w:rsidRDefault="002D76AD" w:rsidP="002D76AD">
          <w:pPr>
            <w:pStyle w:val="TOC2"/>
            <w:ind w:left="216" w:firstLine="504"/>
            <w:rPr>
              <w:rFonts w:ascii="Arial" w:hAnsi="Arial" w:cs="Arial"/>
              <w:sz w:val="24"/>
              <w:szCs w:val="24"/>
            </w:rPr>
          </w:pPr>
          <w:r w:rsidRPr="00786AE5">
            <w:rPr>
              <w:rFonts w:ascii="Arial" w:hAnsi="Arial" w:cs="Arial"/>
              <w:b/>
              <w:i/>
              <w:sz w:val="24"/>
              <w:szCs w:val="24"/>
            </w:rPr>
            <w:t>Figure 3</w:t>
          </w:r>
          <w:r w:rsidRPr="00786AE5">
            <w:rPr>
              <w:rFonts w:ascii="Arial" w:hAnsi="Arial" w:cs="Arial"/>
              <w:sz w:val="24"/>
              <w:szCs w:val="24"/>
            </w:rPr>
            <w:ptab w:relativeTo="margin" w:alignment="right" w:leader="dot"/>
          </w:r>
          <w:r w:rsidR="00391582">
            <w:rPr>
              <w:rFonts w:ascii="Arial" w:hAnsi="Arial" w:cs="Arial"/>
              <w:sz w:val="24"/>
              <w:szCs w:val="24"/>
            </w:rPr>
            <w:t>25</w:t>
          </w:r>
        </w:p>
        <w:p w:rsidR="002D76AD" w:rsidRPr="00786AE5" w:rsidRDefault="002D76AD" w:rsidP="002D76AD">
          <w:pPr>
            <w:pStyle w:val="TOC2"/>
            <w:ind w:left="216"/>
            <w:rPr>
              <w:rFonts w:ascii="Arial" w:hAnsi="Arial" w:cs="Arial"/>
              <w:sz w:val="24"/>
              <w:szCs w:val="24"/>
            </w:rPr>
          </w:pPr>
          <w:r w:rsidRPr="00786AE5">
            <w:rPr>
              <w:rFonts w:ascii="Arial" w:hAnsi="Arial" w:cs="Arial"/>
              <w:b/>
              <w:i/>
              <w:sz w:val="24"/>
              <w:szCs w:val="24"/>
            </w:rPr>
            <w:t>Tables</w:t>
          </w:r>
          <w:r w:rsidRPr="00786AE5">
            <w:rPr>
              <w:rFonts w:ascii="Arial" w:hAnsi="Arial" w:cs="Arial"/>
              <w:sz w:val="24"/>
              <w:szCs w:val="24"/>
            </w:rPr>
            <w:ptab w:relativeTo="margin" w:alignment="right" w:leader="dot"/>
          </w:r>
          <w:r w:rsidR="00391582">
            <w:rPr>
              <w:rFonts w:ascii="Arial" w:hAnsi="Arial" w:cs="Arial"/>
              <w:sz w:val="24"/>
              <w:szCs w:val="24"/>
            </w:rPr>
            <w:t>2</w:t>
          </w:r>
          <w:r w:rsidR="00B45974">
            <w:rPr>
              <w:rFonts w:ascii="Arial" w:hAnsi="Arial" w:cs="Arial"/>
              <w:sz w:val="24"/>
              <w:szCs w:val="24"/>
            </w:rPr>
            <w:t>6</w:t>
          </w:r>
        </w:p>
        <w:p w:rsidR="002D76AD" w:rsidRPr="00786AE5" w:rsidRDefault="002D76AD" w:rsidP="002D76AD">
          <w:pPr>
            <w:pStyle w:val="TOC2"/>
            <w:ind w:left="216" w:firstLine="504"/>
            <w:rPr>
              <w:rFonts w:ascii="Arial" w:hAnsi="Arial" w:cs="Arial"/>
              <w:sz w:val="24"/>
              <w:szCs w:val="24"/>
            </w:rPr>
          </w:pPr>
          <w:r w:rsidRPr="00786AE5">
            <w:rPr>
              <w:rFonts w:ascii="Arial" w:hAnsi="Arial" w:cs="Arial"/>
              <w:b/>
              <w:i/>
              <w:sz w:val="24"/>
              <w:szCs w:val="24"/>
            </w:rPr>
            <w:t>Table 1</w:t>
          </w:r>
          <w:r w:rsidRPr="00786AE5">
            <w:rPr>
              <w:rFonts w:ascii="Arial" w:hAnsi="Arial" w:cs="Arial"/>
              <w:sz w:val="24"/>
              <w:szCs w:val="24"/>
            </w:rPr>
            <w:ptab w:relativeTo="margin" w:alignment="right" w:leader="dot"/>
          </w:r>
          <w:r w:rsidR="00391582">
            <w:rPr>
              <w:rFonts w:ascii="Arial" w:hAnsi="Arial" w:cs="Arial"/>
              <w:sz w:val="24"/>
              <w:szCs w:val="24"/>
            </w:rPr>
            <w:t>2</w:t>
          </w:r>
          <w:r w:rsidR="00B45974">
            <w:rPr>
              <w:rFonts w:ascii="Arial" w:hAnsi="Arial" w:cs="Arial"/>
              <w:sz w:val="24"/>
              <w:szCs w:val="24"/>
            </w:rPr>
            <w:t>6</w:t>
          </w:r>
        </w:p>
        <w:p w:rsidR="002D76AD" w:rsidRPr="00786AE5" w:rsidRDefault="002D76AD" w:rsidP="002D76AD">
          <w:pPr>
            <w:pStyle w:val="TOC2"/>
            <w:ind w:left="216" w:firstLine="504"/>
            <w:rPr>
              <w:rFonts w:ascii="Arial" w:hAnsi="Arial" w:cs="Arial"/>
              <w:sz w:val="24"/>
              <w:szCs w:val="24"/>
            </w:rPr>
          </w:pPr>
          <w:r w:rsidRPr="00786AE5">
            <w:rPr>
              <w:rFonts w:ascii="Arial" w:hAnsi="Arial" w:cs="Arial"/>
              <w:b/>
              <w:i/>
              <w:sz w:val="24"/>
              <w:szCs w:val="24"/>
            </w:rPr>
            <w:t>Table 2</w:t>
          </w:r>
          <w:r w:rsidRPr="00786AE5">
            <w:rPr>
              <w:rFonts w:ascii="Arial" w:hAnsi="Arial" w:cs="Arial"/>
              <w:sz w:val="24"/>
              <w:szCs w:val="24"/>
            </w:rPr>
            <w:ptab w:relativeTo="margin" w:alignment="right" w:leader="dot"/>
          </w:r>
          <w:r w:rsidR="00391582">
            <w:rPr>
              <w:rFonts w:ascii="Arial" w:hAnsi="Arial" w:cs="Arial"/>
              <w:sz w:val="24"/>
              <w:szCs w:val="24"/>
            </w:rPr>
            <w:t>2</w:t>
          </w:r>
          <w:r w:rsidR="00B45974">
            <w:rPr>
              <w:rFonts w:ascii="Arial" w:hAnsi="Arial" w:cs="Arial"/>
              <w:sz w:val="24"/>
              <w:szCs w:val="24"/>
            </w:rPr>
            <w:t>7</w:t>
          </w:r>
        </w:p>
        <w:p w:rsidR="002D76AD" w:rsidRPr="00786AE5" w:rsidRDefault="00391582" w:rsidP="002D76AD">
          <w:pPr>
            <w:pStyle w:val="TOC2"/>
            <w:ind w:left="216" w:firstLine="504"/>
            <w:rPr>
              <w:rFonts w:ascii="Arial" w:hAnsi="Arial" w:cs="Arial"/>
              <w:sz w:val="24"/>
              <w:szCs w:val="24"/>
            </w:rPr>
          </w:pPr>
          <w:r>
            <w:rPr>
              <w:rFonts w:ascii="Arial" w:hAnsi="Arial" w:cs="Arial"/>
              <w:b/>
              <w:i/>
              <w:sz w:val="24"/>
              <w:szCs w:val="24"/>
            </w:rPr>
            <w:t>Tabl</w:t>
          </w:r>
          <w:r w:rsidR="002D76AD" w:rsidRPr="00786AE5">
            <w:rPr>
              <w:rFonts w:ascii="Arial" w:hAnsi="Arial" w:cs="Arial"/>
              <w:b/>
              <w:i/>
              <w:sz w:val="24"/>
              <w:szCs w:val="24"/>
            </w:rPr>
            <w:t>e 3</w:t>
          </w:r>
          <w:r w:rsidR="002D76AD" w:rsidRPr="00786AE5">
            <w:rPr>
              <w:rFonts w:ascii="Arial" w:hAnsi="Arial" w:cs="Arial"/>
              <w:sz w:val="24"/>
              <w:szCs w:val="24"/>
            </w:rPr>
            <w:ptab w:relativeTo="margin" w:alignment="right" w:leader="dot"/>
          </w:r>
          <w:r>
            <w:rPr>
              <w:rFonts w:ascii="Arial" w:hAnsi="Arial" w:cs="Arial"/>
              <w:sz w:val="24"/>
              <w:szCs w:val="24"/>
            </w:rPr>
            <w:t>2</w:t>
          </w:r>
          <w:r w:rsidR="00B45974">
            <w:rPr>
              <w:rFonts w:ascii="Arial" w:hAnsi="Arial" w:cs="Arial"/>
              <w:sz w:val="24"/>
              <w:szCs w:val="24"/>
            </w:rPr>
            <w:t>9</w:t>
          </w:r>
        </w:p>
        <w:p w:rsidR="00882645" w:rsidRPr="002D76AD" w:rsidRDefault="002D76AD" w:rsidP="002D76AD">
          <w:pPr>
            <w:pStyle w:val="TOC1"/>
          </w:pPr>
          <w:r w:rsidRPr="00786AE5">
            <w:rPr>
              <w:rFonts w:ascii="Arial" w:hAnsi="Arial" w:cs="Arial"/>
              <w:b/>
              <w:sz w:val="24"/>
              <w:szCs w:val="24"/>
            </w:rPr>
            <w:t>VITA</w:t>
          </w:r>
          <w:r w:rsidRPr="00786AE5">
            <w:rPr>
              <w:rFonts w:ascii="Arial" w:hAnsi="Arial" w:cs="Arial"/>
              <w:sz w:val="24"/>
              <w:szCs w:val="24"/>
            </w:rPr>
            <w:ptab w:relativeTo="margin" w:alignment="right" w:leader="dot"/>
          </w:r>
          <w:r w:rsidR="00B45974">
            <w:rPr>
              <w:rFonts w:ascii="Arial" w:hAnsi="Arial" w:cs="Arial"/>
              <w:sz w:val="24"/>
              <w:szCs w:val="24"/>
            </w:rPr>
            <w:t>30</w:t>
          </w:r>
        </w:p>
      </w:sdtContent>
    </w:sdt>
    <w:p w:rsidR="00682F92" w:rsidRDefault="002C4712" w:rsidP="00882645">
      <w:pPr>
        <w:pStyle w:val="Thesis1"/>
      </w:pPr>
      <w:r>
        <w:tab/>
      </w:r>
    </w:p>
    <w:p w:rsidR="002C4712" w:rsidRDefault="002C4712" w:rsidP="007E4BB4">
      <w:pPr>
        <w:spacing w:after="0" w:line="360" w:lineRule="auto"/>
        <w:rPr>
          <w:rFonts w:ascii="Arial" w:hAnsi="Arial" w:cs="Arial"/>
          <w:sz w:val="28"/>
          <w:szCs w:val="28"/>
        </w:rPr>
      </w:pPr>
    </w:p>
    <w:p w:rsidR="009D5E23" w:rsidRDefault="00682F92" w:rsidP="007E4BB4">
      <w:pPr>
        <w:spacing w:after="0" w:line="360" w:lineRule="auto"/>
        <w:rPr>
          <w:rFonts w:ascii="Arial" w:hAnsi="Arial" w:cs="Arial"/>
          <w:sz w:val="28"/>
          <w:szCs w:val="28"/>
        </w:rPr>
        <w:sectPr w:rsidR="009D5E23" w:rsidSect="003D4A38">
          <w:footerReference w:type="default" r:id="rId6"/>
          <w:footerReference w:type="first" r:id="rId7"/>
          <w:pgSz w:w="12240" w:h="15840"/>
          <w:pgMar w:top="1440" w:right="1440" w:bottom="1440" w:left="1440" w:header="720" w:footer="720" w:gutter="0"/>
          <w:pgNumType w:fmt="lowerRoman" w:start="1"/>
          <w:cols w:space="720"/>
          <w:titlePg/>
          <w:docGrid w:linePitch="360"/>
        </w:sectPr>
      </w:pPr>
      <w:r>
        <w:rPr>
          <w:rFonts w:ascii="Arial" w:hAnsi="Arial" w:cs="Arial"/>
          <w:sz w:val="28"/>
          <w:szCs w:val="28"/>
        </w:rPr>
        <w:br w:type="page"/>
      </w:r>
    </w:p>
    <w:p w:rsidR="002C4712" w:rsidRDefault="00682F92" w:rsidP="007E4BB4">
      <w:pPr>
        <w:pStyle w:val="Thesis1"/>
      </w:pPr>
      <w:r>
        <w:lastRenderedPageBreak/>
        <w:t>CHAPTER I</w:t>
      </w:r>
      <w:r w:rsidR="002C4712">
        <w:br/>
      </w:r>
      <w:r>
        <w:t>INTRODUCTION</w:t>
      </w:r>
    </w:p>
    <w:p w:rsidR="002C4712" w:rsidRPr="002C4712" w:rsidRDefault="002C4712" w:rsidP="007E4BB4">
      <w:pPr>
        <w:spacing w:after="0" w:line="360" w:lineRule="auto"/>
        <w:jc w:val="center"/>
        <w:rPr>
          <w:rFonts w:ascii="Arial" w:hAnsi="Arial" w:cs="Arial"/>
          <w:sz w:val="24"/>
          <w:szCs w:val="24"/>
        </w:rPr>
      </w:pPr>
    </w:p>
    <w:p w:rsidR="002C4712" w:rsidRPr="002C4712" w:rsidRDefault="002C4712" w:rsidP="007E4BB4">
      <w:pPr>
        <w:spacing w:after="0" w:line="360" w:lineRule="auto"/>
        <w:ind w:firstLine="720"/>
        <w:rPr>
          <w:rFonts w:ascii="Arial" w:hAnsi="Arial" w:cs="Arial"/>
          <w:sz w:val="24"/>
          <w:szCs w:val="24"/>
        </w:rPr>
      </w:pPr>
      <w:r w:rsidRPr="002C4712">
        <w:rPr>
          <w:rFonts w:ascii="Arial" w:hAnsi="Arial" w:cs="Arial"/>
          <w:sz w:val="24"/>
          <w:szCs w:val="24"/>
        </w:rPr>
        <w:t xml:space="preserve">Adaptive radiations provide unparalleled systems for understanding the functional basis of organismal diversification. However, these radiations often challenge our ability to elucidate the mechanisms facilitating coexistence and niche subdivision within communities composed of such remarkable numbers of closely related species. For instance, within Lake Malawi in Africa, up to 1000 species of cichlid fishes </w:t>
      </w:r>
      <w:r w:rsidRPr="002C4712">
        <w:rPr>
          <w:rFonts w:ascii="Arial" w:hAnsi="Arial" w:cs="Arial"/>
          <w:noProof/>
          <w:sz w:val="24"/>
          <w:szCs w:val="24"/>
        </w:rPr>
        <w:t>have diversified extensively over the past 2 million years to feed on virtually every available prey type in the lake (Fryer and Iles, 1972; Pauers, 2010)</w:t>
      </w:r>
      <w:r w:rsidRPr="002C4712">
        <w:rPr>
          <w:rFonts w:ascii="Arial" w:hAnsi="Arial" w:cs="Arial"/>
          <w:sz w:val="24"/>
          <w:szCs w:val="24"/>
        </w:rPr>
        <w:t xml:space="preserve">. Yet, although habitat partitioning and trophic specialization have obviously played a role in this divergence </w:t>
      </w:r>
      <w:r w:rsidRPr="002C4712">
        <w:rPr>
          <w:rFonts w:ascii="Arial" w:hAnsi="Arial" w:cs="Arial"/>
          <w:noProof/>
          <w:sz w:val="24"/>
          <w:szCs w:val="24"/>
        </w:rPr>
        <w:t>(Danley and Kocher, 2001), it is not clear in many instances whether the huge number of co-occurring species are ecologically distinct</w:t>
      </w:r>
      <w:r w:rsidRPr="002C4712">
        <w:rPr>
          <w:rFonts w:ascii="Arial" w:hAnsi="Arial" w:cs="Arial"/>
          <w:sz w:val="24"/>
          <w:szCs w:val="24"/>
        </w:rPr>
        <w:t xml:space="preserve">. For instance, in the most species-rich Malawi cichlid group, the mbuna, several hundred species all obtain their nutrition primarily from the algal mats that cover the rocky shores they exclusively inhabit. This considerable overlap in trophic habits and feeding locations among the mbuna calls into question what factors are facilitating the persistence of so many unique species </w:t>
      </w:r>
      <w:r w:rsidRPr="002C4712">
        <w:rPr>
          <w:rFonts w:ascii="Arial" w:hAnsi="Arial" w:cs="Arial"/>
          <w:noProof/>
          <w:sz w:val="24"/>
          <w:szCs w:val="24"/>
        </w:rPr>
        <w:t>(Genner et al., 1999; Genner and Turner, 2005)</w:t>
      </w:r>
      <w:r w:rsidRPr="002C4712">
        <w:rPr>
          <w:rFonts w:ascii="Arial" w:hAnsi="Arial" w:cs="Arial"/>
          <w:sz w:val="24"/>
          <w:szCs w:val="24"/>
        </w:rPr>
        <w:t xml:space="preserve">. However, microhabitat divergence, even within these algivorous mbuna species, does occur. For example, many species feed mainly from the tops of rocks while others preferentially obtain food from the sides and bottoms of boulders </w:t>
      </w:r>
      <w:r w:rsidRPr="002C4712">
        <w:rPr>
          <w:rFonts w:ascii="Arial" w:hAnsi="Arial" w:cs="Arial"/>
          <w:noProof/>
          <w:sz w:val="24"/>
          <w:szCs w:val="24"/>
        </w:rPr>
        <w:t>(Holzberg, 1978; Ribbink et al., 1983; Stauffer and Posner, 2006)</w:t>
      </w:r>
      <w:r w:rsidRPr="002C4712">
        <w:rPr>
          <w:rFonts w:ascii="Arial" w:hAnsi="Arial" w:cs="Arial"/>
          <w:sz w:val="24"/>
          <w:szCs w:val="24"/>
        </w:rPr>
        <w:t xml:space="preserve">. This variation in the exploitation of substrate orientations could also interact with the extensive variation among mbuna trophic morphologies to facilitate previously underappreciated functional feeding specialization </w:t>
      </w:r>
      <w:r w:rsidRPr="002C4712">
        <w:rPr>
          <w:rFonts w:ascii="Arial" w:hAnsi="Arial" w:cs="Arial"/>
          <w:noProof/>
          <w:sz w:val="24"/>
          <w:szCs w:val="24"/>
        </w:rPr>
        <w:t>(Purcell and Bellwood, 1993; Collar et al., 2008; Wainwright et al., 2008; Afeworki et al., 2013)</w:t>
      </w:r>
      <w:r w:rsidRPr="002C4712">
        <w:rPr>
          <w:rFonts w:ascii="Arial" w:hAnsi="Arial" w:cs="Arial"/>
          <w:sz w:val="24"/>
          <w:szCs w:val="24"/>
        </w:rPr>
        <w:t xml:space="preserve">. Although the mbuna might all be effectively utilizing a single ecological food type, the many ways that they have diverged within and among species to efficiently obtain this same resource could facilitate their coexistence. </w:t>
      </w:r>
    </w:p>
    <w:p w:rsidR="002C4712" w:rsidRPr="002C4712" w:rsidRDefault="002C4712" w:rsidP="007E4BB4">
      <w:pPr>
        <w:spacing w:after="0" w:line="360" w:lineRule="auto"/>
        <w:ind w:firstLine="720"/>
        <w:rPr>
          <w:rFonts w:ascii="Arial" w:hAnsi="Arial" w:cs="Arial"/>
          <w:sz w:val="24"/>
          <w:szCs w:val="24"/>
        </w:rPr>
      </w:pPr>
      <w:r w:rsidRPr="002C4712">
        <w:rPr>
          <w:rFonts w:ascii="Arial" w:hAnsi="Arial" w:cs="Arial"/>
          <w:sz w:val="24"/>
          <w:szCs w:val="24"/>
        </w:rPr>
        <w:t xml:space="preserve">The ability to exploit environments in multiple dimensions is likely a key component of animal diversification. For instance, divergence in locomotory and feeding performance often mediate the ability to exploit novel habitat dimensions and favor </w:t>
      </w:r>
      <w:r w:rsidRPr="002C4712">
        <w:rPr>
          <w:rFonts w:ascii="Arial" w:hAnsi="Arial" w:cs="Arial"/>
          <w:sz w:val="24"/>
          <w:szCs w:val="24"/>
        </w:rPr>
        <w:lastRenderedPageBreak/>
        <w:t xml:space="preserve">species-specific microhabitat usage </w:t>
      </w:r>
      <w:r w:rsidRPr="002C4712">
        <w:rPr>
          <w:rFonts w:ascii="Arial" w:hAnsi="Arial" w:cs="Arial"/>
          <w:noProof/>
          <w:sz w:val="24"/>
          <w:szCs w:val="24"/>
        </w:rPr>
        <w:t>(Higham, 2007)</w:t>
      </w:r>
      <w:r w:rsidRPr="002C4712">
        <w:rPr>
          <w:rFonts w:ascii="Arial" w:hAnsi="Arial" w:cs="Arial"/>
          <w:sz w:val="24"/>
          <w:szCs w:val="24"/>
        </w:rPr>
        <w:t xml:space="preserve">. Likewise, many highly successful groups like birds and bats are able to exploit prey not only from the substrate but can also exploit the air, a third dimension inaccessible to many other groups </w:t>
      </w:r>
      <w:r w:rsidRPr="002C4712">
        <w:rPr>
          <w:rFonts w:ascii="Arial" w:hAnsi="Arial" w:cs="Arial"/>
          <w:noProof/>
          <w:sz w:val="24"/>
          <w:szCs w:val="24"/>
        </w:rPr>
        <w:t>(Dudley and Yanoviak, 2011)</w:t>
      </w:r>
      <w:r w:rsidRPr="002C4712">
        <w:rPr>
          <w:rFonts w:ascii="Arial" w:hAnsi="Arial" w:cs="Arial"/>
          <w:sz w:val="24"/>
          <w:szCs w:val="24"/>
        </w:rPr>
        <w:t xml:space="preserve">. Similarly, the evolution of subdigital toe pads in geckos and other lizards facilitated the ability to feed from the tops as well as the sides of trees and rocky outcrops and the undersides of branches and boulders that characterize their complex habitats </w:t>
      </w:r>
      <w:r w:rsidRPr="002C4712">
        <w:rPr>
          <w:rFonts w:ascii="Arial" w:hAnsi="Arial" w:cs="Arial"/>
          <w:noProof/>
          <w:sz w:val="24"/>
          <w:szCs w:val="24"/>
        </w:rPr>
        <w:t>(Irschick et al., 1996; Higham and Jayne, 2004; Foster and Higham, 2012)</w:t>
      </w:r>
      <w:r w:rsidRPr="002C4712">
        <w:rPr>
          <w:rFonts w:ascii="Arial" w:hAnsi="Arial" w:cs="Arial"/>
          <w:sz w:val="24"/>
          <w:szCs w:val="24"/>
        </w:rPr>
        <w:t xml:space="preserve">. In terrestrial environments, the overriding influence of gravity has clearly created strong functional gradients that require specialized abilities in order to efficiently utilize different micro-habitats </w:t>
      </w:r>
      <w:r w:rsidRPr="002C4712">
        <w:rPr>
          <w:rFonts w:ascii="Arial" w:hAnsi="Arial" w:cs="Arial"/>
          <w:noProof/>
          <w:sz w:val="24"/>
          <w:szCs w:val="24"/>
        </w:rPr>
        <w:t>(Duch and Pfluger, 1995; Astley and Jayne, 2009; Fujiwara et al., 2011; Schmidt and Fischer, 2011)</w:t>
      </w:r>
      <w:r w:rsidRPr="002C4712">
        <w:rPr>
          <w:rFonts w:ascii="Arial" w:hAnsi="Arial" w:cs="Arial"/>
          <w:sz w:val="24"/>
          <w:szCs w:val="24"/>
        </w:rPr>
        <w:t>. However, because many aquatic organisms are neutrally buoyant, there might be few tradeoffs associated with utilizing all three dimensions of aquatic environments. Yet, there are a number of aquatic organisms including brine and fairy shrimps (Artemiidae), back swimmers (Corixidae), jellyfish (Cassiopeidae), the upside down catfish (</w:t>
      </w:r>
      <w:r w:rsidRPr="002C4712">
        <w:rPr>
          <w:rFonts w:ascii="Arial" w:eastAsia="Times New Roman" w:hAnsi="Arial" w:cs="Arial"/>
          <w:sz w:val="24"/>
          <w:szCs w:val="24"/>
        </w:rPr>
        <w:t xml:space="preserve">Mochokidae) </w:t>
      </w:r>
      <w:r w:rsidRPr="002C4712">
        <w:rPr>
          <w:rFonts w:ascii="Arial" w:hAnsi="Arial" w:cs="Arial"/>
          <w:sz w:val="24"/>
          <w:szCs w:val="24"/>
        </w:rPr>
        <w:t xml:space="preserve">and even back-stroking humans that exhibit morphological and kinematic specializations associated with swimming in unusual orientations </w:t>
      </w:r>
      <w:r w:rsidRPr="002C4712">
        <w:rPr>
          <w:rFonts w:ascii="Arial" w:hAnsi="Arial" w:cs="Arial"/>
          <w:noProof/>
          <w:sz w:val="24"/>
          <w:szCs w:val="24"/>
        </w:rPr>
        <w:t>(Chapman et al., 1994; Blake and Chan, 2007; Hamlet et al., 2011)</w:t>
      </w:r>
      <w:r w:rsidRPr="002C4712">
        <w:rPr>
          <w:rFonts w:ascii="Arial" w:hAnsi="Arial" w:cs="Arial"/>
          <w:sz w:val="24"/>
          <w:szCs w:val="24"/>
        </w:rPr>
        <w:t>. In Malawi cichlids, the ability, or inability, of mbuna species to efficiently feed from multiple surface orientations on rocky reefs could have a number of functional consequences.</w:t>
      </w:r>
    </w:p>
    <w:p w:rsidR="002C4712" w:rsidRPr="002C4712" w:rsidRDefault="002C4712" w:rsidP="007E4BB4">
      <w:pPr>
        <w:spacing w:after="0" w:line="360" w:lineRule="auto"/>
        <w:ind w:firstLine="720"/>
        <w:rPr>
          <w:rFonts w:ascii="Arial" w:hAnsi="Arial" w:cs="Arial"/>
          <w:sz w:val="24"/>
          <w:szCs w:val="24"/>
        </w:rPr>
      </w:pPr>
      <w:r w:rsidRPr="002C4712">
        <w:rPr>
          <w:rFonts w:ascii="Arial" w:hAnsi="Arial" w:cs="Arial"/>
          <w:sz w:val="24"/>
          <w:szCs w:val="24"/>
        </w:rPr>
        <w:t xml:space="preserve">Herbivorous cichlids have the potential to consistently alter, or modulate, their oral jaw kinematics in response to functional demands of obtaining food from different locations </w:t>
      </w:r>
      <w:r w:rsidRPr="002C4712">
        <w:rPr>
          <w:rFonts w:ascii="Arial" w:hAnsi="Arial" w:cs="Arial"/>
          <w:noProof/>
          <w:sz w:val="24"/>
          <w:szCs w:val="24"/>
        </w:rPr>
        <w:t>(Liem, 1979)</w:t>
      </w:r>
      <w:r w:rsidRPr="002C4712">
        <w:rPr>
          <w:rFonts w:ascii="Arial" w:hAnsi="Arial" w:cs="Arial"/>
          <w:sz w:val="24"/>
          <w:szCs w:val="24"/>
        </w:rPr>
        <w:t xml:space="preserve">. This modularity could be a general mechanism promoting cichlid’s ability to efficiently exploit multiple types of trophic resources </w:t>
      </w:r>
      <w:r w:rsidRPr="002C4712">
        <w:rPr>
          <w:rFonts w:ascii="Arial" w:hAnsi="Arial" w:cs="Arial"/>
          <w:noProof/>
          <w:sz w:val="24"/>
          <w:szCs w:val="24"/>
        </w:rPr>
        <w:t>(Herrel et al., 1999; Stauffer and Posner, 2006; Iriarte-Diaz et al., 2011)</w:t>
      </w:r>
      <w:r w:rsidRPr="002C4712">
        <w:rPr>
          <w:rFonts w:ascii="Arial" w:hAnsi="Arial" w:cs="Arial"/>
          <w:sz w:val="24"/>
          <w:szCs w:val="24"/>
        </w:rPr>
        <w:t xml:space="preserve">. This modification of kinematics might be especially advantageous if feeding abilities were generally uncorrelated because a single performance trait could readily be varied without substantially influencing other kinematic events </w:t>
      </w:r>
      <w:r w:rsidRPr="002C4712">
        <w:rPr>
          <w:rFonts w:ascii="Arial" w:hAnsi="Arial" w:cs="Arial"/>
          <w:noProof/>
          <w:sz w:val="24"/>
          <w:szCs w:val="24"/>
        </w:rPr>
        <w:t>(Hulsey et al., 2006; Hulsey et al., 2007)</w:t>
      </w:r>
      <w:r w:rsidRPr="002C4712">
        <w:rPr>
          <w:rFonts w:ascii="Arial" w:hAnsi="Arial" w:cs="Arial"/>
          <w:sz w:val="24"/>
          <w:szCs w:val="24"/>
        </w:rPr>
        <w:t xml:space="preserve">. However, the need for individuals to modify their kinematics could also point to strong tradeoffs associated with certain challenges faced during routine feeding (e.g. grazing particular substrate orientations) </w:t>
      </w:r>
      <w:r w:rsidRPr="002C4712">
        <w:rPr>
          <w:rFonts w:ascii="Arial" w:hAnsi="Arial" w:cs="Arial"/>
          <w:noProof/>
          <w:sz w:val="24"/>
          <w:szCs w:val="24"/>
        </w:rPr>
        <w:t>(Matott et al., 2005)</w:t>
      </w:r>
      <w:r w:rsidRPr="002C4712">
        <w:rPr>
          <w:rFonts w:ascii="Arial" w:hAnsi="Arial" w:cs="Arial"/>
          <w:sz w:val="24"/>
          <w:szCs w:val="24"/>
        </w:rPr>
        <w:t xml:space="preserve">. Furthermore, if individual fish change their bite rate or body orientation in response to environmental challenges </w:t>
      </w:r>
      <w:r w:rsidRPr="002C4712">
        <w:rPr>
          <w:rFonts w:ascii="Arial" w:hAnsi="Arial" w:cs="Arial"/>
          <w:sz w:val="24"/>
          <w:szCs w:val="24"/>
        </w:rPr>
        <w:lastRenderedPageBreak/>
        <w:t>such as the orientation of the substrate, those abilities might also be expected to be the traits that differentiate mbuna feeding kinematics. Identifying the kinematic traits that substrate orientation influences within and between mbuna species could therefore illuminate the mechanisms responsible for the microhabitat specialization likely found among many herbivorous Lake Malawi cichlids.</w:t>
      </w:r>
    </w:p>
    <w:p w:rsidR="002C4712" w:rsidRPr="002C4712" w:rsidRDefault="002C4712" w:rsidP="007E4BB4">
      <w:pPr>
        <w:spacing w:after="0" w:line="360" w:lineRule="auto"/>
        <w:ind w:firstLine="720"/>
        <w:rPr>
          <w:rFonts w:ascii="Arial" w:hAnsi="Arial" w:cs="Arial"/>
          <w:sz w:val="24"/>
          <w:szCs w:val="24"/>
        </w:rPr>
      </w:pPr>
      <w:r w:rsidRPr="002C4712">
        <w:rPr>
          <w:rFonts w:ascii="Arial" w:hAnsi="Arial" w:cs="Arial"/>
          <w:sz w:val="24"/>
          <w:szCs w:val="24"/>
        </w:rPr>
        <w:t>There are a number of kinematic variables that likely differentiate how mbuna species procure algae from various substrate orientations (</w:t>
      </w:r>
      <w:r w:rsidR="0018309E">
        <w:rPr>
          <w:rFonts w:ascii="Arial" w:hAnsi="Arial" w:cs="Arial"/>
          <w:sz w:val="24"/>
          <w:szCs w:val="24"/>
        </w:rPr>
        <w:t>Figure. 1, All tables in figures are located in the Appendix section)</w:t>
      </w:r>
      <w:r w:rsidRPr="002C4712">
        <w:rPr>
          <w:rFonts w:ascii="Arial" w:hAnsi="Arial" w:cs="Arial"/>
          <w:sz w:val="24"/>
          <w:szCs w:val="24"/>
        </w:rPr>
        <w:t xml:space="preserve">. Gape width and jaw protrusion are common variables responsible for functional feeding disparity among fish species </w:t>
      </w:r>
      <w:r w:rsidRPr="002C4712">
        <w:rPr>
          <w:rFonts w:ascii="Arial" w:hAnsi="Arial" w:cs="Arial"/>
          <w:noProof/>
          <w:sz w:val="24"/>
          <w:szCs w:val="24"/>
        </w:rPr>
        <w:t>(Higham, 2007; Kane and Higham, 2011; Holzman et al., 2012)</w:t>
      </w:r>
      <w:r w:rsidRPr="002C4712">
        <w:rPr>
          <w:rFonts w:ascii="Arial" w:hAnsi="Arial" w:cs="Arial"/>
          <w:sz w:val="24"/>
          <w:szCs w:val="24"/>
        </w:rPr>
        <w:t xml:space="preserve">, and could determine how much algae mbuna species are able to procure from the top or bottom of an algae covered rock. The existence of species with high bite frequencies and small gape size, as opposed to species with low bite rate and large gape size might suggest trade-offs for the rate at which different mbuna species can acquire algae </w:t>
      </w:r>
      <w:r w:rsidRPr="002C4712">
        <w:rPr>
          <w:rFonts w:ascii="Arial" w:hAnsi="Arial" w:cs="Arial"/>
          <w:noProof/>
          <w:sz w:val="24"/>
          <w:szCs w:val="24"/>
        </w:rPr>
        <w:t>(Kassam et al., 2003a; Kassam et al., 2003b)</w:t>
      </w:r>
      <w:r w:rsidRPr="002C4712">
        <w:rPr>
          <w:rFonts w:ascii="Arial" w:hAnsi="Arial" w:cs="Arial"/>
          <w:sz w:val="24"/>
          <w:szCs w:val="24"/>
        </w:rPr>
        <w:t xml:space="preserve">. We might also expect fish to have a nearly one-to-one association between bites and fin beats. When individuals scrape algae from a surface the force generated during mouth closing tends to push the fish away from the substrate. Because grazing cichlids often use their pectoral fins to provide the necessary propulsion to bring their mouth back into contact with the feeding surface (Rupp per obs), cichlids that bite more frequently might be predicted to exhibit more rapid fin beats. The angle that mbuna protrude their jaw also clearly differs among species </w:t>
      </w:r>
      <w:r w:rsidRPr="002C4712">
        <w:rPr>
          <w:rFonts w:ascii="Arial" w:hAnsi="Arial" w:cs="Arial"/>
          <w:noProof/>
          <w:sz w:val="24"/>
          <w:szCs w:val="24"/>
        </w:rPr>
        <w:t>(Albertson et al., 2003; Stauffer and Posner, 2006)</w:t>
      </w:r>
      <w:r w:rsidRPr="002C4712">
        <w:rPr>
          <w:rFonts w:ascii="Arial" w:hAnsi="Arial" w:cs="Arial"/>
          <w:sz w:val="24"/>
          <w:szCs w:val="24"/>
        </w:rPr>
        <w:t xml:space="preserve"> and might be related to the angle of the fish’s body to the feeding surface. Orientation of the mouth and body of fish species might also be critical to ecological differentiation. Smaller body angles relative to the feeding surface might allow fish to feed in the more spatially constrained areas such as on the sides and underneath algae covered rocks </w:t>
      </w:r>
      <w:r w:rsidRPr="002C4712">
        <w:rPr>
          <w:rFonts w:ascii="Arial" w:hAnsi="Arial" w:cs="Arial"/>
          <w:noProof/>
          <w:sz w:val="24"/>
          <w:szCs w:val="24"/>
        </w:rPr>
        <w:t>(Kassam et al., 2003a; Stauffer and Posner, 2006)</w:t>
      </w:r>
      <w:r w:rsidRPr="002C4712">
        <w:rPr>
          <w:rFonts w:ascii="Arial" w:hAnsi="Arial" w:cs="Arial"/>
          <w:sz w:val="24"/>
          <w:szCs w:val="24"/>
        </w:rPr>
        <w:t>. Generally, the apparent narrow ecological divergence in the trophic resources mbuna utilize might be facilitated by the extensive divergence among mbuna species in feeding kinematics.</w:t>
      </w:r>
    </w:p>
    <w:p w:rsidR="002C4712" w:rsidRDefault="002C4712" w:rsidP="007E4BB4">
      <w:pPr>
        <w:spacing w:after="0" w:line="360" w:lineRule="auto"/>
        <w:ind w:firstLine="720"/>
        <w:rPr>
          <w:rFonts w:ascii="Arial" w:hAnsi="Arial" w:cs="Arial"/>
          <w:sz w:val="24"/>
          <w:szCs w:val="24"/>
        </w:rPr>
      </w:pPr>
      <w:r w:rsidRPr="002C4712">
        <w:rPr>
          <w:rFonts w:ascii="Arial" w:hAnsi="Arial" w:cs="Arial"/>
          <w:sz w:val="24"/>
          <w:szCs w:val="24"/>
        </w:rPr>
        <w:t xml:space="preserve">To better understand the mechanistic factors underlying mbuna micro-habitat partitioning and diversity in kinematics when obtaining algae, we examined the feeding </w:t>
      </w:r>
      <w:r w:rsidRPr="002C4712">
        <w:rPr>
          <w:rFonts w:ascii="Arial" w:hAnsi="Arial" w:cs="Arial"/>
          <w:sz w:val="24"/>
          <w:szCs w:val="24"/>
        </w:rPr>
        <w:lastRenderedPageBreak/>
        <w:t>kinematics of three phenotypically disparate mbuna species.  By examining seven kinematic variables, we first determined if there were intraspecific differences associated with the orientation of the feeding substrate. To establish how modular these traits were intraspecifically, we also examined the intraspecific correlations among these variables. Finally, after controlling for the observed intraspecific differences due to substrate orientation, we determined whether the mbuna species commonly showed substantial interspecific differences in their feeding kinematics.</w:t>
      </w:r>
    </w:p>
    <w:p w:rsidR="004D60E3" w:rsidRDefault="004D60E3" w:rsidP="007E4BB4">
      <w:pPr>
        <w:pStyle w:val="Thesis1"/>
      </w:pPr>
      <w:r>
        <w:br w:type="page"/>
      </w:r>
      <w:r>
        <w:lastRenderedPageBreak/>
        <w:t>CHAPTER II</w:t>
      </w:r>
      <w:r>
        <w:br/>
        <w:t>MATERIALS AND METHODS</w:t>
      </w:r>
    </w:p>
    <w:p w:rsidR="004D60E3" w:rsidRDefault="004D60E3" w:rsidP="007E4BB4">
      <w:pPr>
        <w:pStyle w:val="Thesis2"/>
        <w:spacing w:after="0" w:line="360" w:lineRule="auto"/>
      </w:pPr>
      <w:r w:rsidRPr="004D60E3">
        <w:t>Fish Species</w:t>
      </w:r>
    </w:p>
    <w:p w:rsidR="00ED2104" w:rsidRPr="004D60E3" w:rsidRDefault="00ED2104" w:rsidP="00B90EF5">
      <w:pPr>
        <w:pStyle w:val="Thesis2"/>
        <w:spacing w:after="0" w:line="360" w:lineRule="auto"/>
        <w:jc w:val="both"/>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We examined kinematics in three Malawi species: </w:t>
      </w:r>
      <w:r w:rsidRPr="004D60E3">
        <w:rPr>
          <w:rFonts w:ascii="Arial" w:hAnsi="Arial" w:cs="Arial"/>
          <w:i/>
          <w:sz w:val="24"/>
          <w:szCs w:val="24"/>
        </w:rPr>
        <w:t>Petrotilapia chitimba</w:t>
      </w:r>
      <w:r w:rsidRPr="004D60E3">
        <w:rPr>
          <w:rFonts w:ascii="Arial" w:hAnsi="Arial" w:cs="Arial"/>
          <w:sz w:val="24"/>
          <w:szCs w:val="24"/>
        </w:rPr>
        <w:t xml:space="preserve">, </w:t>
      </w:r>
      <w:r w:rsidRPr="004D60E3">
        <w:rPr>
          <w:rFonts w:ascii="Arial" w:hAnsi="Arial" w:cs="Arial"/>
          <w:i/>
          <w:sz w:val="24"/>
          <w:szCs w:val="24"/>
        </w:rPr>
        <w:t>Metriaclima patricki</w:t>
      </w:r>
      <w:r w:rsidRPr="004D60E3">
        <w:rPr>
          <w:rFonts w:ascii="Arial" w:hAnsi="Arial" w:cs="Arial"/>
          <w:sz w:val="24"/>
          <w:szCs w:val="24"/>
        </w:rPr>
        <w:t xml:space="preserve"> and </w:t>
      </w:r>
      <w:r w:rsidRPr="004D60E3">
        <w:rPr>
          <w:rFonts w:ascii="Arial" w:hAnsi="Arial" w:cs="Arial"/>
          <w:i/>
          <w:sz w:val="24"/>
          <w:szCs w:val="24"/>
        </w:rPr>
        <w:t>Labeotropheus trewavasae</w:t>
      </w:r>
      <w:r w:rsidRPr="004D60E3">
        <w:rPr>
          <w:rFonts w:ascii="Arial" w:hAnsi="Arial" w:cs="Arial"/>
          <w:sz w:val="24"/>
          <w:szCs w:val="24"/>
        </w:rPr>
        <w:t xml:space="preserve">. These species were chosen because they likely represent some of the most morphologically disparate lineages of the algae-grazing mbuna clade in Lake Malawi. For instance, </w:t>
      </w:r>
      <w:r w:rsidRPr="004D60E3">
        <w:rPr>
          <w:rFonts w:ascii="Arial" w:hAnsi="Arial" w:cs="Arial"/>
          <w:i/>
          <w:sz w:val="24"/>
          <w:szCs w:val="24"/>
        </w:rPr>
        <w:t>Petrotilapia chitimba</w:t>
      </w:r>
      <w:r w:rsidRPr="004D60E3">
        <w:rPr>
          <w:rFonts w:ascii="Arial" w:hAnsi="Arial" w:cs="Arial"/>
          <w:sz w:val="24"/>
          <w:szCs w:val="24"/>
        </w:rPr>
        <w:t xml:space="preserve"> has a terminal mouth, </w:t>
      </w:r>
      <w:r w:rsidRPr="004D60E3">
        <w:rPr>
          <w:rFonts w:ascii="Arial" w:hAnsi="Arial" w:cs="Arial"/>
          <w:i/>
          <w:sz w:val="24"/>
          <w:szCs w:val="24"/>
        </w:rPr>
        <w:t>Metriaclima patricki</w:t>
      </w:r>
      <w:r w:rsidRPr="004D60E3">
        <w:rPr>
          <w:rFonts w:ascii="Arial" w:hAnsi="Arial" w:cs="Arial"/>
          <w:sz w:val="24"/>
          <w:szCs w:val="24"/>
        </w:rPr>
        <w:t xml:space="preserve"> has a slightly subterminal mouth, and the mouth of </w:t>
      </w:r>
      <w:r w:rsidRPr="004D60E3">
        <w:rPr>
          <w:rFonts w:ascii="Arial" w:hAnsi="Arial" w:cs="Arial"/>
          <w:i/>
          <w:sz w:val="24"/>
          <w:szCs w:val="24"/>
        </w:rPr>
        <w:t>Labeotropheus trewavasae</w:t>
      </w:r>
      <w:r w:rsidRPr="004D60E3">
        <w:rPr>
          <w:rFonts w:ascii="Arial" w:hAnsi="Arial" w:cs="Arial"/>
          <w:sz w:val="24"/>
          <w:szCs w:val="24"/>
        </w:rPr>
        <w:t xml:space="preserve"> is very subterminal. If any kinematic differences in feeding and pectoral fin use exist among the many species of mbuna, we would expect them to be readily detectable among these three species. All fish were of adult size and obtained commercially with standard lengths (SL) ranging from 6.8 cm to 10.1 cm. The </w:t>
      </w:r>
      <w:r w:rsidRPr="004D60E3">
        <w:rPr>
          <w:rFonts w:ascii="Arial" w:hAnsi="Arial" w:cs="Arial"/>
          <w:i/>
          <w:sz w:val="24"/>
          <w:szCs w:val="24"/>
        </w:rPr>
        <w:t>Petrotilapia chitimba</w:t>
      </w:r>
      <w:r w:rsidRPr="004D60E3">
        <w:rPr>
          <w:rFonts w:ascii="Arial" w:hAnsi="Arial" w:cs="Arial"/>
          <w:sz w:val="24"/>
          <w:szCs w:val="24"/>
        </w:rPr>
        <w:t xml:space="preserve"> had a mean SL of 7.8 cm, </w:t>
      </w:r>
      <w:r w:rsidRPr="004D60E3">
        <w:rPr>
          <w:rFonts w:ascii="Arial" w:hAnsi="Arial" w:cs="Arial"/>
          <w:i/>
          <w:sz w:val="24"/>
          <w:szCs w:val="24"/>
        </w:rPr>
        <w:t>Metriaclima patricki</w:t>
      </w:r>
      <w:r w:rsidRPr="004D60E3">
        <w:rPr>
          <w:rFonts w:ascii="Arial" w:hAnsi="Arial" w:cs="Arial"/>
          <w:sz w:val="24"/>
          <w:szCs w:val="24"/>
        </w:rPr>
        <w:t xml:space="preserve"> had a mean SL of 7.8 cm, and </w:t>
      </w:r>
      <w:r w:rsidRPr="004D60E3">
        <w:rPr>
          <w:rFonts w:ascii="Arial" w:hAnsi="Arial" w:cs="Arial"/>
          <w:i/>
          <w:sz w:val="24"/>
          <w:szCs w:val="24"/>
        </w:rPr>
        <w:t xml:space="preserve">Labeotropheus trewavassae </w:t>
      </w:r>
      <w:r w:rsidRPr="004D60E3">
        <w:rPr>
          <w:rFonts w:ascii="Arial" w:hAnsi="Arial" w:cs="Arial"/>
          <w:sz w:val="24"/>
          <w:szCs w:val="24"/>
        </w:rPr>
        <w:t>had a mean SL of 8.8 cm. Six individuals of each cichlid species were filmed in aquaria maintained at a temperature of 28 ± 2</w:t>
      </w:r>
      <w:r w:rsidRPr="004D60E3">
        <w:rPr>
          <w:rFonts w:ascii="Arial" w:hAnsi="Arial" w:cs="Arial"/>
          <w:sz w:val="24"/>
          <w:szCs w:val="24"/>
          <w:vertAlign w:val="superscript"/>
        </w:rPr>
        <w:t>o</w:t>
      </w:r>
      <w:r w:rsidRPr="004D60E3">
        <w:rPr>
          <w:rFonts w:ascii="Arial" w:hAnsi="Arial" w:cs="Arial"/>
          <w:sz w:val="24"/>
          <w:szCs w:val="24"/>
        </w:rPr>
        <w:t xml:space="preserve">C. Prior to filming, fish were fed tropical fish flake food </w:t>
      </w:r>
      <w:r w:rsidRPr="004D60E3">
        <w:rPr>
          <w:rFonts w:ascii="Arial" w:hAnsi="Arial" w:cs="Arial"/>
          <w:i/>
          <w:sz w:val="24"/>
          <w:szCs w:val="24"/>
        </w:rPr>
        <w:t>ad libitum</w:t>
      </w:r>
      <w:r w:rsidRPr="004D60E3">
        <w:rPr>
          <w:rFonts w:ascii="Arial" w:hAnsi="Arial" w:cs="Arial"/>
          <w:sz w:val="24"/>
          <w:szCs w:val="24"/>
        </w:rPr>
        <w:t xml:space="preserve">. All experimental procedures followed protocols approved through the University of Tennessee’s Institutional Animal Care and Use Committee (IACUC). </w:t>
      </w:r>
    </w:p>
    <w:p w:rsidR="004D60E3" w:rsidRPr="004D60E3" w:rsidRDefault="004D60E3" w:rsidP="007E4BB4">
      <w:pPr>
        <w:spacing w:after="0" w:line="360" w:lineRule="auto"/>
        <w:rPr>
          <w:rFonts w:ascii="Arial" w:hAnsi="Arial" w:cs="Arial"/>
          <w:sz w:val="24"/>
          <w:szCs w:val="24"/>
        </w:rPr>
      </w:pPr>
    </w:p>
    <w:p w:rsidR="004D60E3" w:rsidRDefault="004D60E3" w:rsidP="007E4BB4">
      <w:pPr>
        <w:pStyle w:val="Thesis2"/>
        <w:spacing w:after="0" w:line="360" w:lineRule="auto"/>
      </w:pPr>
      <w:r w:rsidRPr="004D60E3">
        <w:t>Experimental setup</w:t>
      </w:r>
    </w:p>
    <w:p w:rsidR="00ED2104" w:rsidRPr="004D60E3" w:rsidRDefault="00ED2104" w:rsidP="007E4BB4">
      <w:pPr>
        <w:pStyle w:val="Thesis2"/>
        <w:spacing w:after="0" w:line="360" w:lineRule="auto"/>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To measure feeding kinematics, we obtained high-speed video (500 frames/sec) with a Phototron Fastcam 1024PCI video camera using Phototron Fastcam Viewer version 3171. For filming, each fish was isolated to the front 10 cm of a 20 gallon tank using an opaque plexiglass barrier marked with 1 cm grid lines. The barrier was inserted into the tank orthogonal to the camera and used to calibrate all kinematic measurements (</w:t>
      </w:r>
      <w:r w:rsidR="0018309E">
        <w:rPr>
          <w:rFonts w:ascii="Arial" w:hAnsi="Arial" w:cs="Arial"/>
          <w:sz w:val="24"/>
          <w:szCs w:val="24"/>
        </w:rPr>
        <w:t>Figure</w:t>
      </w:r>
      <w:r w:rsidRPr="004D60E3">
        <w:rPr>
          <w:rFonts w:ascii="Arial" w:hAnsi="Arial" w:cs="Arial"/>
          <w:sz w:val="24"/>
          <w:szCs w:val="24"/>
        </w:rPr>
        <w:t xml:space="preserve">. 2). Individuals were filmed while feeding on algae-covered rectangular PVC blocks. The PVC blocks had a depth of 6.4 cm and were 10.3 cm on the top and bottom, and 6.6 cm on each side. To quantify kinematic variables, we filmed </w:t>
      </w:r>
      <w:r w:rsidRPr="004D60E3">
        <w:rPr>
          <w:rFonts w:ascii="Arial" w:hAnsi="Arial" w:cs="Arial"/>
          <w:sz w:val="24"/>
          <w:szCs w:val="24"/>
        </w:rPr>
        <w:lastRenderedPageBreak/>
        <w:t>seven feeding events for each individual on each of the three surface orientations (top, side and bottom). For the purposes of our analyses, we only recorded feeding bouts that consisted of at least five uninterrupted bites from the substrate. To increase the accuracy of our kinematic measurements, we limited our analyses to videos in which the fish was lateral and the feeding bout was confined to a single side of the rectangular feeding block.</w:t>
      </w:r>
    </w:p>
    <w:p w:rsidR="00ED2104" w:rsidRPr="004D60E3" w:rsidRDefault="00ED2104" w:rsidP="00B90EF5">
      <w:pPr>
        <w:pStyle w:val="Thesis2"/>
        <w:spacing w:after="0" w:line="360" w:lineRule="auto"/>
        <w:jc w:val="both"/>
      </w:pPr>
    </w:p>
    <w:p w:rsidR="004D60E3" w:rsidRDefault="004D60E3" w:rsidP="007E4BB4">
      <w:pPr>
        <w:pStyle w:val="Thesis2"/>
        <w:spacing w:after="0" w:line="360" w:lineRule="auto"/>
      </w:pPr>
      <w:r w:rsidRPr="004D60E3">
        <w:t>Kinematic Measurements</w:t>
      </w:r>
    </w:p>
    <w:p w:rsidR="00ED2104" w:rsidRPr="004D60E3" w:rsidRDefault="00ED2104" w:rsidP="007E4BB4">
      <w:pPr>
        <w:pStyle w:val="Thesis2"/>
        <w:spacing w:after="0" w:line="360" w:lineRule="auto"/>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All videos were saved as a stack of TIFF images that were used to digitize kinematic landmarks using Image J (Schneider et al., 2012). Body angle (</w:t>
      </w:r>
      <w:r w:rsidR="0018309E">
        <w:rPr>
          <w:rFonts w:ascii="Arial" w:hAnsi="Arial" w:cs="Arial"/>
          <w:sz w:val="24"/>
          <w:szCs w:val="24"/>
        </w:rPr>
        <w:t>Figure</w:t>
      </w:r>
      <w:r w:rsidRPr="004D60E3">
        <w:rPr>
          <w:rFonts w:ascii="Arial" w:hAnsi="Arial" w:cs="Arial"/>
          <w:sz w:val="24"/>
          <w:szCs w:val="24"/>
        </w:rPr>
        <w:t>. 1B) was quantified as the angle between the feeding surface and the line running through the horizontal axis of the fish’s body. This horizontal axis, was measured from the center of the caudal fin origin through the center of the eye and to the substrate (line 1-4-7-8). Maxillary protrusion angle (</w:t>
      </w:r>
      <w:r w:rsidR="0018309E">
        <w:rPr>
          <w:rFonts w:ascii="Arial" w:hAnsi="Arial" w:cs="Arial"/>
          <w:sz w:val="24"/>
          <w:szCs w:val="24"/>
        </w:rPr>
        <w:t>Figure</w:t>
      </w:r>
      <w:r w:rsidRPr="004D60E3">
        <w:rPr>
          <w:rFonts w:ascii="Arial" w:hAnsi="Arial" w:cs="Arial"/>
          <w:sz w:val="24"/>
          <w:szCs w:val="24"/>
        </w:rPr>
        <w:t>. 1A) was measured from the center of the caudal fin origin to the top edge of the eye, then from the top of the eye to the tip of the fully protruded maxilla (line 1-3-5). Maxillary protrusion distance (</w:t>
      </w:r>
      <w:r w:rsidR="0018309E">
        <w:rPr>
          <w:rFonts w:ascii="Arial" w:hAnsi="Arial" w:cs="Arial"/>
          <w:sz w:val="24"/>
          <w:szCs w:val="24"/>
        </w:rPr>
        <w:t>Figure</w:t>
      </w:r>
      <w:r w:rsidRPr="004D60E3">
        <w:rPr>
          <w:rFonts w:ascii="Arial" w:hAnsi="Arial" w:cs="Arial"/>
          <w:sz w:val="24"/>
          <w:szCs w:val="24"/>
        </w:rPr>
        <w:t>. 1C) was determined as the difference in distance from the back of the eye to the tip of the upper jaw when the jaw was fully protruded minus the distance from the back of the eye to the tip of the upper jaw when it was fully retracted (line 2-5). Gape size (</w:t>
      </w:r>
      <w:r w:rsidR="0018309E">
        <w:rPr>
          <w:rFonts w:ascii="Arial" w:hAnsi="Arial" w:cs="Arial"/>
          <w:sz w:val="24"/>
          <w:szCs w:val="24"/>
        </w:rPr>
        <w:t>Figure</w:t>
      </w:r>
      <w:r w:rsidRPr="004D60E3">
        <w:rPr>
          <w:rFonts w:ascii="Arial" w:hAnsi="Arial" w:cs="Arial"/>
          <w:sz w:val="24"/>
          <w:szCs w:val="24"/>
        </w:rPr>
        <w:t>. 1D) was measured as the distance between the tip of the upper jaw and the tip of the lower jaw when the jaw was fully protruded (line 5-6). Standard length (</w:t>
      </w:r>
      <w:r w:rsidR="0018309E">
        <w:rPr>
          <w:rFonts w:ascii="Arial" w:hAnsi="Arial" w:cs="Arial"/>
          <w:sz w:val="24"/>
          <w:szCs w:val="24"/>
        </w:rPr>
        <w:t>Figure</w:t>
      </w:r>
      <w:r w:rsidRPr="004D60E3">
        <w:rPr>
          <w:rFonts w:ascii="Arial" w:hAnsi="Arial" w:cs="Arial"/>
          <w:sz w:val="24"/>
          <w:szCs w:val="24"/>
        </w:rPr>
        <w:t xml:space="preserve">. 1D) was measured as the length (cm) of the body from the center of the caudal fin origin to the tip of the upper jaw while the jaw was fully closed (line 1-5). For analyses, protrusion distance and gape size were standardized as a proportion of SL to remove the effects of body size. </w:t>
      </w:r>
    </w:p>
    <w:p w:rsidR="00ED2104"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Three timing variables were also measured from each video. Fin beats per second were calculated as the number of fin beats during a feeding bout divided by the time between when the upper jaw first made contact with the feeding surface (time 0) until the jaw came into contact with the feeding surface for the last time. A fin beat was defined as a change from an abducting motion of the fin to an adducting motion. The fin </w:t>
      </w:r>
      <w:r w:rsidRPr="004D60E3">
        <w:rPr>
          <w:rFonts w:ascii="Arial" w:hAnsi="Arial" w:cs="Arial"/>
          <w:sz w:val="24"/>
          <w:szCs w:val="24"/>
        </w:rPr>
        <w:lastRenderedPageBreak/>
        <w:t>beats per second were calculated using the total number of video frames from the jaw’s first contact to its last contact with the feeding surface. The number of bites per second was similarly calculated as beginning when the upper jaw of the fish first made contact with the feeding surface to the moment of the jaw’s final contact with the surface during the feeding bout.</w:t>
      </w:r>
    </w:p>
    <w:p w:rsidR="007E4BB4" w:rsidRPr="004D60E3" w:rsidRDefault="007E4BB4" w:rsidP="003B0AC1">
      <w:pPr>
        <w:pStyle w:val="Thesis2"/>
      </w:pPr>
    </w:p>
    <w:p w:rsidR="004D60E3" w:rsidRDefault="004D60E3" w:rsidP="003B0AC1">
      <w:pPr>
        <w:pStyle w:val="Thesis2"/>
      </w:pPr>
      <w:r w:rsidRPr="004D60E3">
        <w:t>Statistical Analyses</w:t>
      </w:r>
    </w:p>
    <w:p w:rsidR="00ED2104" w:rsidRDefault="00ED2104" w:rsidP="007E4BB4">
      <w:pPr>
        <w:pStyle w:val="Thesis2"/>
        <w:spacing w:after="0" w:line="360" w:lineRule="auto"/>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Statistical analyses were performed using R v2.14.2 (R Core Team, 2011). To test for associations in pectoral fin and jaw kinematics, the data were partitioned in three different ways: 1) Intraspecific by surface orientation, 2) species, and 3) orientation and species. First, we checked for within-species variation in feeding kinematic variables grouped by the different orientations of the feeding surface (top, side and bottom). To account for repeated measurements within individuals, we implemented a linear mixed-effects (LME) model, which considers the correlation between the non-independent measurements within and among individuals. Additionally, LME models describe the variation of individuals with respect to the population mean (Pinheiro and Bates, 2000). Maximum likelihood models were constructed using the lme function in the nlme library (Pinheiro et al., 2013), and for each model, the slope and intercept were allowed to vary for all individuals. To test for significant differences between the three pairwise comparisons of surface orientation, we used the glht function in the multcomp library (Hothorn et al., 2008), specifying “Tukey” as the method for linear post-hoc hypothesis testing. </w:t>
      </w: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Correlations among the seven kinematic variables were calculated using the cor function in R. </w:t>
      </w:r>
      <w:r w:rsidRPr="004D60E3">
        <w:rPr>
          <w:rFonts w:ascii="Arial" w:hAnsi="Arial" w:cs="Arial"/>
          <w:i/>
          <w:sz w:val="24"/>
          <w:szCs w:val="24"/>
        </w:rPr>
        <w:t>P</w:t>
      </w:r>
      <w:r w:rsidRPr="004D60E3">
        <w:rPr>
          <w:rFonts w:ascii="Arial" w:hAnsi="Arial" w:cs="Arial"/>
          <w:sz w:val="24"/>
          <w:szCs w:val="24"/>
        </w:rPr>
        <w:t>-values were obtained for their corresponding correlation coefficients using the cor.test function. Marginal means for each kinematic variable were found for each individual at the three different feeding surface orientations. The marginal means were then used to determine the correlations among the different variables. Means within each species were not partitioned by feeding surface when calculating correlation coefficients.</w:t>
      </w: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lastRenderedPageBreak/>
        <w:t xml:space="preserve">If there were no detectable intraspecific kinematic differences among the orientation treatments for the species, all feeding events within each individual were combined and statistically compared among the three species using an LME model that did not nest feeding surface within individual. If there were intraspecific kinematic differences among the orientation treatments for any of the species, only the feeding events for that kinematic variable at a particular orientation were statistically compared among the three species. All </w:t>
      </w:r>
      <w:r w:rsidRPr="004D60E3">
        <w:rPr>
          <w:rFonts w:ascii="Arial" w:hAnsi="Arial" w:cs="Arial"/>
          <w:i/>
          <w:sz w:val="24"/>
          <w:szCs w:val="24"/>
        </w:rPr>
        <w:t>p</w:t>
      </w:r>
      <w:r w:rsidRPr="004D60E3">
        <w:rPr>
          <w:rFonts w:ascii="Arial" w:hAnsi="Arial" w:cs="Arial"/>
          <w:sz w:val="24"/>
          <w:szCs w:val="24"/>
        </w:rPr>
        <w:t>-values were subsequently adjusted for multiple comparisons by applying a Holm’s correction to estimates of significance. This was performed in R using the function “p.adjust”.</w:t>
      </w:r>
    </w:p>
    <w:p w:rsidR="002C4712" w:rsidRDefault="002C4712" w:rsidP="007E4BB4">
      <w:pPr>
        <w:spacing w:after="0" w:line="360" w:lineRule="auto"/>
        <w:rPr>
          <w:rFonts w:ascii="Arial" w:hAnsi="Arial" w:cs="Arial"/>
          <w:sz w:val="24"/>
          <w:szCs w:val="24"/>
        </w:rPr>
      </w:pPr>
    </w:p>
    <w:p w:rsidR="007E4BB4" w:rsidRDefault="007E4BB4" w:rsidP="007E4BB4">
      <w:pPr>
        <w:pStyle w:val="Thesis1"/>
      </w:pPr>
    </w:p>
    <w:p w:rsidR="007E4BB4" w:rsidRDefault="007E4BB4">
      <w:pPr>
        <w:rPr>
          <w:rFonts w:ascii="Arial" w:hAnsi="Arial" w:cs="Arial"/>
          <w:b/>
          <w:sz w:val="28"/>
          <w:szCs w:val="28"/>
        </w:rPr>
      </w:pPr>
      <w:r>
        <w:br w:type="page"/>
      </w:r>
    </w:p>
    <w:p w:rsidR="00ED2104" w:rsidRPr="003B0AC1" w:rsidRDefault="002C4712" w:rsidP="003B0AC1">
      <w:pPr>
        <w:pStyle w:val="Thesis1"/>
      </w:pPr>
      <w:r w:rsidRPr="003B0AC1">
        <w:lastRenderedPageBreak/>
        <w:t>CHAPTER I</w:t>
      </w:r>
      <w:r w:rsidR="004D60E3" w:rsidRPr="003B0AC1">
        <w:t>I</w:t>
      </w:r>
      <w:r w:rsidRPr="003B0AC1">
        <w:t>I</w:t>
      </w:r>
      <w:r w:rsidRPr="003B0AC1">
        <w:br/>
        <w:t>RESULTS</w:t>
      </w:r>
    </w:p>
    <w:p w:rsidR="002C4712" w:rsidRDefault="002C4712" w:rsidP="007E4BB4">
      <w:pPr>
        <w:pStyle w:val="Thesis2"/>
        <w:spacing w:after="0" w:line="360" w:lineRule="auto"/>
      </w:pPr>
      <w:r>
        <w:t>Intraspecific Variation</w:t>
      </w:r>
    </w:p>
    <w:p w:rsidR="004D60E3" w:rsidRPr="004D60E3" w:rsidRDefault="004D60E3" w:rsidP="007E4BB4">
      <w:pPr>
        <w:pStyle w:val="Thesis2"/>
        <w:spacing w:after="0" w:line="360" w:lineRule="auto"/>
        <w:rPr>
          <w:i w:val="0"/>
        </w:rPr>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The two displacement variables, protrusion distance and gape width, never exhibited intraspecific differences due to feeding surface orientation (Table 1). However, five of the variables showed intraspecific differences (significance threshold of </w:t>
      </w:r>
      <w:r w:rsidRPr="004D60E3">
        <w:rPr>
          <w:rFonts w:ascii="Arial" w:hAnsi="Arial" w:cs="Arial"/>
          <w:i/>
          <w:sz w:val="24"/>
          <w:szCs w:val="24"/>
        </w:rPr>
        <w:t>p</w:t>
      </w:r>
      <w:r w:rsidRPr="004D60E3">
        <w:rPr>
          <w:rFonts w:ascii="Arial" w:hAnsi="Arial" w:cs="Arial"/>
          <w:sz w:val="24"/>
          <w:szCs w:val="24"/>
        </w:rPr>
        <w:t xml:space="preserve"> ≤ 0.05) with respect to surface orientation within at least one species (prior to adjustment for multiple comparisons; Table 2). All three species exhibited significant orientation-induced differences in body angle, and all showed an increase in body angle with respect to the substrate as they moved from top to side to bottom feeding surfaces. </w:t>
      </w:r>
      <w:r w:rsidRPr="004D60E3">
        <w:rPr>
          <w:rFonts w:ascii="Arial" w:hAnsi="Arial" w:cs="Arial"/>
          <w:i/>
          <w:sz w:val="24"/>
          <w:szCs w:val="24"/>
        </w:rPr>
        <w:t>P. chitimba</w:t>
      </w:r>
      <w:r w:rsidRPr="004D60E3">
        <w:rPr>
          <w:rFonts w:ascii="Arial" w:hAnsi="Arial" w:cs="Arial"/>
          <w:sz w:val="24"/>
          <w:szCs w:val="24"/>
        </w:rPr>
        <w:t xml:space="preserve"> exhibited a mean body angle of 78.81° ± 2.42° on the top feeding surface and 85.85° ± 1.85° on the bottom surface for an average difference of 7.04°. However, the body angle on the side (81.72° ± 1.56°) was not significantly different from that of either the top or bottom surface. </w:t>
      </w:r>
      <w:r w:rsidRPr="004D60E3">
        <w:rPr>
          <w:rFonts w:ascii="Arial" w:hAnsi="Arial" w:cs="Arial"/>
          <w:i/>
          <w:sz w:val="24"/>
          <w:szCs w:val="24"/>
        </w:rPr>
        <w:t>M. patricki</w:t>
      </w:r>
      <w:r w:rsidRPr="004D60E3">
        <w:rPr>
          <w:rFonts w:ascii="Arial" w:hAnsi="Arial" w:cs="Arial"/>
          <w:sz w:val="24"/>
          <w:szCs w:val="24"/>
        </w:rPr>
        <w:t xml:space="preserve"> displayed a mean body angle of 67.79° ± 4.71° on the top feeding surface, 75.23° ± 2.62° on the side surface, and 82.30° ± 2.38° on the bottom surface, and all pairwise comparisons of feeding surface orientation were significantly different. The third species, </w:t>
      </w:r>
      <w:r w:rsidRPr="004D60E3">
        <w:rPr>
          <w:rFonts w:ascii="Arial" w:hAnsi="Arial" w:cs="Arial"/>
          <w:i/>
          <w:sz w:val="24"/>
          <w:szCs w:val="24"/>
        </w:rPr>
        <w:t>L. trewavasae</w:t>
      </w:r>
      <w:r w:rsidRPr="004D60E3">
        <w:rPr>
          <w:rFonts w:ascii="Arial" w:hAnsi="Arial" w:cs="Arial"/>
          <w:sz w:val="24"/>
          <w:szCs w:val="24"/>
        </w:rPr>
        <w:t xml:space="preserve">, showed a mean body angle of 48.90° ± 3.44° on the top feeding surface, 57.60° ± 2.13° on the side surface, and 62.76° ± 2.46° on the bottom feeding surface, and all pairwise comparisons between orientation treatments were significant. Additionally, </w:t>
      </w:r>
      <w:r w:rsidRPr="004D60E3">
        <w:rPr>
          <w:rFonts w:ascii="Arial" w:hAnsi="Arial" w:cs="Arial"/>
          <w:i/>
          <w:sz w:val="24"/>
          <w:szCs w:val="24"/>
        </w:rPr>
        <w:t>M. patricki</w:t>
      </w:r>
      <w:r w:rsidRPr="004D60E3">
        <w:rPr>
          <w:rFonts w:ascii="Arial" w:hAnsi="Arial" w:cs="Arial"/>
          <w:sz w:val="24"/>
          <w:szCs w:val="24"/>
        </w:rPr>
        <w:t xml:space="preserve"> differed in protrusion angle as a function of feeding surface orientation. On the top surface, </w:t>
      </w:r>
      <w:r w:rsidRPr="004D60E3">
        <w:rPr>
          <w:rFonts w:ascii="Arial" w:hAnsi="Arial" w:cs="Arial"/>
          <w:i/>
          <w:sz w:val="24"/>
          <w:szCs w:val="24"/>
        </w:rPr>
        <w:t>M. patricki</w:t>
      </w:r>
      <w:r w:rsidRPr="004D60E3">
        <w:rPr>
          <w:rFonts w:ascii="Arial" w:hAnsi="Arial" w:cs="Arial"/>
          <w:sz w:val="24"/>
          <w:szCs w:val="24"/>
        </w:rPr>
        <w:t xml:space="preserve"> had a protrusion angle of 40.54° ± 3.38°, while on the side and bottom surfaces its protrusion angle was 36.16 ± 3.18° and 35.20 ± 2.10° respectively.</w:t>
      </w: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Effects of feeding surface orientation on fin beat rate were recovered for </w:t>
      </w:r>
      <w:r w:rsidRPr="004D60E3">
        <w:rPr>
          <w:rFonts w:ascii="Arial" w:hAnsi="Arial" w:cs="Arial"/>
          <w:i/>
          <w:sz w:val="24"/>
          <w:szCs w:val="24"/>
        </w:rPr>
        <w:t>M. patricki</w:t>
      </w:r>
      <w:r w:rsidRPr="004D60E3">
        <w:rPr>
          <w:rFonts w:ascii="Arial" w:hAnsi="Arial" w:cs="Arial"/>
          <w:sz w:val="24"/>
          <w:szCs w:val="24"/>
        </w:rPr>
        <w:t xml:space="preserve"> and </w:t>
      </w:r>
      <w:r w:rsidRPr="004D60E3">
        <w:rPr>
          <w:rFonts w:ascii="Arial" w:hAnsi="Arial" w:cs="Arial"/>
          <w:i/>
          <w:sz w:val="24"/>
          <w:szCs w:val="24"/>
        </w:rPr>
        <w:t>L. trewavasae</w:t>
      </w:r>
      <w:r w:rsidRPr="004D60E3">
        <w:rPr>
          <w:rFonts w:ascii="Arial" w:hAnsi="Arial" w:cs="Arial"/>
          <w:sz w:val="24"/>
          <w:szCs w:val="24"/>
        </w:rPr>
        <w:t xml:space="preserve">. On the top feeding surface, </w:t>
      </w:r>
      <w:r w:rsidRPr="004D60E3">
        <w:rPr>
          <w:rFonts w:ascii="Arial" w:hAnsi="Arial" w:cs="Arial"/>
          <w:i/>
          <w:sz w:val="24"/>
          <w:szCs w:val="24"/>
        </w:rPr>
        <w:t>M. patricki</w:t>
      </w:r>
      <w:r w:rsidRPr="004D60E3">
        <w:rPr>
          <w:rFonts w:ascii="Arial" w:hAnsi="Arial" w:cs="Arial"/>
          <w:sz w:val="24"/>
          <w:szCs w:val="24"/>
        </w:rPr>
        <w:t xml:space="preserve"> exhibited a fin beat rate (beats/sec) of 4.35 ± 0.46, which was significantly different from that of the side (4.04 ± 0.46) and the bottom (3.89 ± 0.49). Similarly, </w:t>
      </w:r>
      <w:r w:rsidRPr="004D60E3">
        <w:rPr>
          <w:rFonts w:ascii="Arial" w:hAnsi="Arial" w:cs="Arial"/>
          <w:i/>
          <w:sz w:val="24"/>
          <w:szCs w:val="24"/>
        </w:rPr>
        <w:t>L. trewavasae</w:t>
      </w:r>
      <w:r w:rsidRPr="004D60E3">
        <w:rPr>
          <w:rFonts w:ascii="Arial" w:hAnsi="Arial" w:cs="Arial"/>
          <w:sz w:val="24"/>
          <w:szCs w:val="24"/>
        </w:rPr>
        <w:t xml:space="preserve">’s fin beat rate on the top (5.86 ± 0.35) was found to be higher than that on both the side (5.30 ± 0.24) and the bottom (5.52 ± 0.34) surfaces. Differences in bite rate (bites/sec) due to surface </w:t>
      </w:r>
      <w:r w:rsidRPr="004D60E3">
        <w:rPr>
          <w:rFonts w:ascii="Arial" w:hAnsi="Arial" w:cs="Arial"/>
          <w:sz w:val="24"/>
          <w:szCs w:val="24"/>
        </w:rPr>
        <w:lastRenderedPageBreak/>
        <w:t xml:space="preserve">orientation were found in both </w:t>
      </w:r>
      <w:r w:rsidRPr="004D60E3">
        <w:rPr>
          <w:rFonts w:ascii="Arial" w:hAnsi="Arial" w:cs="Arial"/>
          <w:i/>
          <w:sz w:val="24"/>
          <w:szCs w:val="24"/>
        </w:rPr>
        <w:t>P. chitimba</w:t>
      </w:r>
      <w:r w:rsidRPr="004D60E3">
        <w:rPr>
          <w:rFonts w:ascii="Arial" w:hAnsi="Arial" w:cs="Arial"/>
          <w:sz w:val="24"/>
          <w:szCs w:val="24"/>
        </w:rPr>
        <w:t xml:space="preserve"> and </w:t>
      </w:r>
      <w:r w:rsidRPr="004D60E3">
        <w:rPr>
          <w:rFonts w:ascii="Arial" w:hAnsi="Arial" w:cs="Arial"/>
          <w:i/>
          <w:sz w:val="24"/>
          <w:szCs w:val="24"/>
        </w:rPr>
        <w:t>L. trewavasae</w:t>
      </w:r>
      <w:r w:rsidRPr="004D60E3">
        <w:rPr>
          <w:rFonts w:ascii="Arial" w:hAnsi="Arial" w:cs="Arial"/>
          <w:sz w:val="24"/>
          <w:szCs w:val="24"/>
        </w:rPr>
        <w:t xml:space="preserve">. In </w:t>
      </w:r>
      <w:r w:rsidRPr="004D60E3">
        <w:rPr>
          <w:rFonts w:ascii="Arial" w:hAnsi="Arial" w:cs="Arial"/>
          <w:i/>
          <w:sz w:val="24"/>
          <w:szCs w:val="24"/>
        </w:rPr>
        <w:t>P. chitimba</w:t>
      </w:r>
      <w:r w:rsidRPr="004D60E3">
        <w:rPr>
          <w:rFonts w:ascii="Arial" w:hAnsi="Arial" w:cs="Arial"/>
          <w:sz w:val="24"/>
          <w:szCs w:val="24"/>
        </w:rPr>
        <w:t xml:space="preserve">, the bite rate on the top (2.94 ± 0.18) and the side (2.92 ± 0.19) differed from the bite rate on the bottom (2.67 ± 0.17). Lastly, </w:t>
      </w:r>
      <w:r w:rsidRPr="004D60E3">
        <w:rPr>
          <w:rFonts w:ascii="Arial" w:hAnsi="Arial" w:cs="Arial"/>
          <w:i/>
          <w:sz w:val="24"/>
          <w:szCs w:val="24"/>
        </w:rPr>
        <w:t xml:space="preserve">P. chitimba </w:t>
      </w:r>
      <w:r w:rsidRPr="004D60E3">
        <w:rPr>
          <w:rFonts w:ascii="Arial" w:hAnsi="Arial" w:cs="Arial"/>
          <w:sz w:val="24"/>
          <w:szCs w:val="24"/>
        </w:rPr>
        <w:t>showed orientation-induced differences in the number of bites per fin beat. The bite per beat ratio on the top surface (0.76 ± 0.05) was not different from the ratio on the side (0.74 ± 0.07), but was different from the bite per beat ratio on the bottom surface (0.69 ± 0.05).</w:t>
      </w:r>
    </w:p>
    <w:p w:rsidR="007E4BB4" w:rsidRPr="004D60E3" w:rsidRDefault="007E4BB4" w:rsidP="00B90EF5">
      <w:pPr>
        <w:spacing w:after="0" w:line="360" w:lineRule="auto"/>
        <w:jc w:val="both"/>
        <w:rPr>
          <w:rFonts w:ascii="Arial" w:hAnsi="Arial" w:cs="Arial"/>
          <w:sz w:val="24"/>
          <w:szCs w:val="24"/>
        </w:rPr>
      </w:pPr>
    </w:p>
    <w:p w:rsidR="004D60E3" w:rsidRDefault="004D60E3" w:rsidP="007E4BB4">
      <w:pPr>
        <w:pStyle w:val="Thesis2"/>
        <w:spacing w:after="0" w:line="360" w:lineRule="auto"/>
      </w:pPr>
      <w:r w:rsidRPr="004D60E3">
        <w:t>Intraspecific correlations</w:t>
      </w:r>
    </w:p>
    <w:p w:rsidR="00ED2104" w:rsidRPr="004D60E3" w:rsidRDefault="00ED2104" w:rsidP="007E4BB4">
      <w:pPr>
        <w:pStyle w:val="Thesis2"/>
        <w:spacing w:after="0" w:line="360" w:lineRule="auto"/>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To test for correlations between kinematic variables within each species, we generated a correlation matrix (Table 3). This matrix shows the correlation coefficients (r) for all pairs of kinematic variables.  Body angle and protrusion angle showed significant correlation for </w:t>
      </w:r>
      <w:r w:rsidRPr="004D60E3">
        <w:rPr>
          <w:rFonts w:ascii="Arial" w:hAnsi="Arial" w:cs="Arial"/>
          <w:i/>
          <w:sz w:val="24"/>
          <w:szCs w:val="24"/>
        </w:rPr>
        <w:t>M. patricki</w:t>
      </w:r>
      <w:r w:rsidRPr="004D60E3">
        <w:rPr>
          <w:rFonts w:ascii="Arial" w:hAnsi="Arial" w:cs="Arial"/>
          <w:sz w:val="24"/>
          <w:szCs w:val="24"/>
        </w:rPr>
        <w:t xml:space="preserve"> and </w:t>
      </w:r>
      <w:r w:rsidRPr="004D60E3">
        <w:rPr>
          <w:rFonts w:ascii="Arial" w:hAnsi="Arial" w:cs="Arial"/>
          <w:i/>
          <w:sz w:val="24"/>
          <w:szCs w:val="24"/>
        </w:rPr>
        <w:t>L. trewavasae</w:t>
      </w:r>
      <w:r w:rsidRPr="004D60E3">
        <w:rPr>
          <w:rFonts w:ascii="Arial" w:hAnsi="Arial" w:cs="Arial"/>
          <w:sz w:val="24"/>
          <w:szCs w:val="24"/>
        </w:rPr>
        <w:t xml:space="preserve"> (</w:t>
      </w:r>
      <w:r w:rsidRPr="004D60E3">
        <w:rPr>
          <w:rFonts w:ascii="Arial" w:hAnsi="Arial" w:cs="Arial"/>
          <w:i/>
          <w:sz w:val="24"/>
          <w:szCs w:val="24"/>
        </w:rPr>
        <w:t>r</w:t>
      </w:r>
      <w:r w:rsidRPr="004D60E3">
        <w:rPr>
          <w:rFonts w:ascii="Arial" w:hAnsi="Arial" w:cs="Arial"/>
          <w:sz w:val="24"/>
          <w:szCs w:val="24"/>
        </w:rPr>
        <w:t xml:space="preserve"> = -0.82, p = &lt; 0.0001 and </w:t>
      </w:r>
      <w:r w:rsidRPr="004D60E3">
        <w:rPr>
          <w:rFonts w:ascii="Arial" w:hAnsi="Arial" w:cs="Arial"/>
          <w:i/>
          <w:sz w:val="24"/>
          <w:szCs w:val="24"/>
        </w:rPr>
        <w:t>r</w:t>
      </w:r>
      <w:r w:rsidRPr="004D60E3">
        <w:rPr>
          <w:rFonts w:ascii="Arial" w:hAnsi="Arial" w:cs="Arial"/>
          <w:sz w:val="24"/>
          <w:szCs w:val="24"/>
        </w:rPr>
        <w:t xml:space="preserve"> = -0.57, p = 0.0194 respectively). </w:t>
      </w:r>
      <w:r w:rsidRPr="004D60E3">
        <w:rPr>
          <w:rFonts w:ascii="Arial" w:hAnsi="Arial" w:cs="Arial"/>
          <w:i/>
          <w:sz w:val="24"/>
          <w:szCs w:val="24"/>
        </w:rPr>
        <w:t>P. chitimba</w:t>
      </w:r>
      <w:r w:rsidRPr="004D60E3">
        <w:rPr>
          <w:rFonts w:ascii="Arial" w:hAnsi="Arial" w:cs="Arial"/>
          <w:sz w:val="24"/>
          <w:szCs w:val="24"/>
        </w:rPr>
        <w:t xml:space="preserve"> had a small correlation (</w:t>
      </w:r>
      <w:r w:rsidRPr="004D60E3">
        <w:rPr>
          <w:rFonts w:ascii="Arial" w:hAnsi="Arial" w:cs="Arial"/>
          <w:i/>
          <w:sz w:val="24"/>
          <w:szCs w:val="24"/>
        </w:rPr>
        <w:t>r</w:t>
      </w:r>
      <w:r w:rsidRPr="004D60E3">
        <w:rPr>
          <w:rFonts w:ascii="Arial" w:hAnsi="Arial" w:cs="Arial"/>
          <w:sz w:val="24"/>
          <w:szCs w:val="24"/>
        </w:rPr>
        <w:t xml:space="preserve"> = -0.31) which was not found to be significant (</w:t>
      </w:r>
      <w:r w:rsidRPr="004D60E3">
        <w:rPr>
          <w:rFonts w:ascii="Arial" w:hAnsi="Arial" w:cs="Arial"/>
          <w:i/>
          <w:sz w:val="24"/>
          <w:szCs w:val="24"/>
        </w:rPr>
        <w:t>p</w:t>
      </w:r>
      <w:r w:rsidRPr="004D60E3">
        <w:rPr>
          <w:rFonts w:ascii="Arial" w:hAnsi="Arial" w:cs="Arial"/>
          <w:sz w:val="24"/>
          <w:szCs w:val="24"/>
        </w:rPr>
        <w:t xml:space="preserve"> = 0.2176). In addition, the correlation between fin beat rate and bite rate for </w:t>
      </w:r>
      <w:r w:rsidRPr="004D60E3">
        <w:rPr>
          <w:rFonts w:ascii="Arial" w:hAnsi="Arial" w:cs="Arial"/>
          <w:i/>
          <w:sz w:val="24"/>
          <w:szCs w:val="24"/>
        </w:rPr>
        <w:t>M. patricki</w:t>
      </w:r>
      <w:r w:rsidRPr="004D60E3">
        <w:rPr>
          <w:rFonts w:ascii="Arial" w:hAnsi="Arial" w:cs="Arial"/>
          <w:sz w:val="24"/>
          <w:szCs w:val="24"/>
        </w:rPr>
        <w:t xml:space="preserve"> and </w:t>
      </w:r>
      <w:r w:rsidRPr="004D60E3">
        <w:rPr>
          <w:rFonts w:ascii="Arial" w:hAnsi="Arial" w:cs="Arial"/>
          <w:i/>
          <w:sz w:val="24"/>
          <w:szCs w:val="24"/>
        </w:rPr>
        <w:t>L. trewavasae</w:t>
      </w:r>
      <w:r w:rsidRPr="004D60E3">
        <w:rPr>
          <w:rFonts w:ascii="Arial" w:hAnsi="Arial" w:cs="Arial"/>
          <w:sz w:val="24"/>
          <w:szCs w:val="24"/>
        </w:rPr>
        <w:t xml:space="preserve"> (</w:t>
      </w:r>
      <w:r w:rsidRPr="004D60E3">
        <w:rPr>
          <w:rFonts w:ascii="Arial" w:hAnsi="Arial" w:cs="Arial"/>
          <w:i/>
          <w:sz w:val="24"/>
          <w:szCs w:val="24"/>
        </w:rPr>
        <w:t>r</w:t>
      </w:r>
      <w:r w:rsidRPr="004D60E3">
        <w:rPr>
          <w:rFonts w:ascii="Arial" w:hAnsi="Arial" w:cs="Arial"/>
          <w:sz w:val="24"/>
          <w:szCs w:val="24"/>
        </w:rPr>
        <w:t xml:space="preserve"> = 0.96 and </w:t>
      </w:r>
      <w:r w:rsidRPr="004D60E3">
        <w:rPr>
          <w:rFonts w:ascii="Arial" w:hAnsi="Arial" w:cs="Arial"/>
          <w:i/>
          <w:sz w:val="24"/>
          <w:szCs w:val="24"/>
        </w:rPr>
        <w:t>r</w:t>
      </w:r>
      <w:r w:rsidRPr="004D60E3">
        <w:rPr>
          <w:rFonts w:ascii="Arial" w:hAnsi="Arial" w:cs="Arial"/>
          <w:sz w:val="24"/>
          <w:szCs w:val="24"/>
        </w:rPr>
        <w:t xml:space="preserve"> = 0.79 respectively) was also significant (</w:t>
      </w:r>
      <w:r w:rsidRPr="004D60E3">
        <w:rPr>
          <w:rFonts w:ascii="Arial" w:hAnsi="Arial" w:cs="Arial"/>
          <w:i/>
          <w:sz w:val="24"/>
          <w:szCs w:val="24"/>
        </w:rPr>
        <w:t>p</w:t>
      </w:r>
      <w:r w:rsidRPr="004D60E3">
        <w:rPr>
          <w:rFonts w:ascii="Arial" w:hAnsi="Arial" w:cs="Arial"/>
          <w:sz w:val="24"/>
          <w:szCs w:val="24"/>
        </w:rPr>
        <w:t xml:space="preserve"> = &lt; 0.0001 for both species). However, </w:t>
      </w:r>
      <w:r w:rsidRPr="004D60E3">
        <w:rPr>
          <w:rFonts w:ascii="Arial" w:hAnsi="Arial" w:cs="Arial"/>
          <w:i/>
          <w:sz w:val="24"/>
          <w:szCs w:val="24"/>
        </w:rPr>
        <w:t>P. chitimba</w:t>
      </w:r>
      <w:r w:rsidRPr="004D60E3">
        <w:rPr>
          <w:rFonts w:ascii="Arial" w:hAnsi="Arial" w:cs="Arial"/>
          <w:sz w:val="24"/>
          <w:szCs w:val="24"/>
        </w:rPr>
        <w:t xml:space="preserve"> again exhibited a relatively low correlation (</w:t>
      </w:r>
      <w:r w:rsidRPr="004D60E3">
        <w:rPr>
          <w:rFonts w:ascii="Arial" w:hAnsi="Arial" w:cs="Arial"/>
          <w:i/>
          <w:sz w:val="24"/>
          <w:szCs w:val="24"/>
        </w:rPr>
        <w:t>r</w:t>
      </w:r>
      <w:r w:rsidRPr="004D60E3">
        <w:rPr>
          <w:rFonts w:ascii="Arial" w:hAnsi="Arial" w:cs="Arial"/>
          <w:sz w:val="24"/>
          <w:szCs w:val="24"/>
        </w:rPr>
        <w:t xml:space="preserve"> = -0.10, </w:t>
      </w:r>
      <w:r w:rsidRPr="004D60E3">
        <w:rPr>
          <w:rFonts w:ascii="Arial" w:hAnsi="Arial" w:cs="Arial"/>
          <w:i/>
          <w:sz w:val="24"/>
          <w:szCs w:val="24"/>
        </w:rPr>
        <w:t>p</w:t>
      </w:r>
      <w:r w:rsidRPr="004D60E3">
        <w:rPr>
          <w:rFonts w:ascii="Arial" w:hAnsi="Arial" w:cs="Arial"/>
          <w:sz w:val="24"/>
          <w:szCs w:val="24"/>
        </w:rPr>
        <w:t xml:space="preserve"> = 07041). There are perceptible interactions between other kinematic variables as well such as protrusion distance and gape width, or bite rate and gape width. On the top feeding surface, </w:t>
      </w:r>
      <w:r w:rsidRPr="004D60E3">
        <w:rPr>
          <w:rFonts w:ascii="Arial" w:hAnsi="Arial" w:cs="Arial"/>
          <w:i/>
          <w:sz w:val="24"/>
          <w:szCs w:val="24"/>
        </w:rPr>
        <w:t>P. chitimba</w:t>
      </w:r>
      <w:r w:rsidRPr="004D60E3">
        <w:rPr>
          <w:rFonts w:ascii="Arial" w:hAnsi="Arial" w:cs="Arial"/>
          <w:sz w:val="24"/>
          <w:szCs w:val="24"/>
        </w:rPr>
        <w:t xml:space="preserve"> has the largest gape width and the slowest bite rate (</w:t>
      </w:r>
      <w:r w:rsidRPr="004D60E3">
        <w:rPr>
          <w:rFonts w:ascii="Arial" w:hAnsi="Arial" w:cs="Arial"/>
          <w:i/>
          <w:sz w:val="24"/>
          <w:szCs w:val="24"/>
        </w:rPr>
        <w:t>r</w:t>
      </w:r>
      <w:r w:rsidRPr="004D60E3">
        <w:rPr>
          <w:rFonts w:ascii="Arial" w:hAnsi="Arial" w:cs="Arial"/>
          <w:sz w:val="24"/>
          <w:szCs w:val="24"/>
        </w:rPr>
        <w:t xml:space="preserve"> = 0.0409, </w:t>
      </w:r>
      <w:r w:rsidRPr="004D60E3">
        <w:rPr>
          <w:rFonts w:ascii="Arial" w:hAnsi="Arial" w:cs="Arial"/>
          <w:i/>
          <w:sz w:val="24"/>
          <w:szCs w:val="24"/>
        </w:rPr>
        <w:t>p</w:t>
      </w:r>
      <w:r w:rsidRPr="004D60E3">
        <w:rPr>
          <w:rFonts w:ascii="Arial" w:hAnsi="Arial" w:cs="Arial"/>
          <w:sz w:val="24"/>
          <w:szCs w:val="24"/>
        </w:rPr>
        <w:t xml:space="preserve"> = 0.8719), </w:t>
      </w:r>
      <w:r w:rsidRPr="004D60E3">
        <w:rPr>
          <w:rFonts w:ascii="Arial" w:hAnsi="Arial" w:cs="Arial"/>
          <w:i/>
          <w:sz w:val="24"/>
          <w:szCs w:val="24"/>
        </w:rPr>
        <w:t>M. patricki</w:t>
      </w:r>
      <w:r w:rsidRPr="004D60E3">
        <w:rPr>
          <w:rFonts w:ascii="Arial" w:hAnsi="Arial" w:cs="Arial"/>
          <w:sz w:val="24"/>
          <w:szCs w:val="24"/>
        </w:rPr>
        <w:t xml:space="preserve"> has a 40% smaller gape width and a 33% faster bite rate (</w:t>
      </w:r>
      <w:r w:rsidRPr="004D60E3">
        <w:rPr>
          <w:rFonts w:ascii="Arial" w:hAnsi="Arial" w:cs="Arial"/>
          <w:i/>
          <w:sz w:val="24"/>
          <w:szCs w:val="24"/>
        </w:rPr>
        <w:t>r</w:t>
      </w:r>
      <w:r w:rsidRPr="004D60E3">
        <w:rPr>
          <w:rFonts w:ascii="Arial" w:hAnsi="Arial" w:cs="Arial"/>
          <w:sz w:val="24"/>
          <w:szCs w:val="24"/>
        </w:rPr>
        <w:t xml:space="preserve"> = -0.5518, </w:t>
      </w:r>
      <w:r w:rsidRPr="004D60E3">
        <w:rPr>
          <w:rFonts w:ascii="Arial" w:hAnsi="Arial" w:cs="Arial"/>
          <w:i/>
          <w:sz w:val="24"/>
          <w:szCs w:val="24"/>
        </w:rPr>
        <w:t>p</w:t>
      </w:r>
      <w:r w:rsidRPr="004D60E3">
        <w:rPr>
          <w:rFonts w:ascii="Arial" w:hAnsi="Arial" w:cs="Arial"/>
          <w:sz w:val="24"/>
          <w:szCs w:val="24"/>
        </w:rPr>
        <w:t xml:space="preserve"> = 0.0176), and </w:t>
      </w:r>
      <w:r w:rsidRPr="004D60E3">
        <w:rPr>
          <w:rFonts w:ascii="Arial" w:hAnsi="Arial" w:cs="Arial"/>
          <w:i/>
          <w:sz w:val="24"/>
          <w:szCs w:val="24"/>
        </w:rPr>
        <w:t xml:space="preserve">L. trewavasae </w:t>
      </w:r>
      <w:r w:rsidRPr="004D60E3">
        <w:rPr>
          <w:rFonts w:ascii="Arial" w:hAnsi="Arial" w:cs="Arial"/>
          <w:sz w:val="24"/>
          <w:szCs w:val="24"/>
        </w:rPr>
        <w:t>has a 73% smaller gape width with an 89% faster bite rate (</w:t>
      </w:r>
      <w:r w:rsidRPr="004D60E3">
        <w:rPr>
          <w:rFonts w:ascii="Arial" w:hAnsi="Arial" w:cs="Arial"/>
          <w:i/>
          <w:sz w:val="24"/>
          <w:szCs w:val="24"/>
        </w:rPr>
        <w:t>r</w:t>
      </w:r>
      <w:r w:rsidRPr="004D60E3">
        <w:rPr>
          <w:rFonts w:ascii="Arial" w:hAnsi="Arial" w:cs="Arial"/>
          <w:sz w:val="24"/>
          <w:szCs w:val="24"/>
        </w:rPr>
        <w:t xml:space="preserve"> = -0.4256, </w:t>
      </w:r>
      <w:r w:rsidRPr="004D60E3">
        <w:rPr>
          <w:rFonts w:ascii="Arial" w:hAnsi="Arial" w:cs="Arial"/>
          <w:i/>
          <w:sz w:val="24"/>
          <w:szCs w:val="24"/>
        </w:rPr>
        <w:t>p</w:t>
      </w:r>
      <w:r w:rsidRPr="004D60E3">
        <w:rPr>
          <w:rFonts w:ascii="Arial" w:hAnsi="Arial" w:cs="Arial"/>
          <w:sz w:val="24"/>
          <w:szCs w:val="24"/>
        </w:rPr>
        <w:t xml:space="preserve"> = 0.1137) than </w:t>
      </w:r>
      <w:r w:rsidRPr="004D60E3">
        <w:rPr>
          <w:rFonts w:ascii="Arial" w:hAnsi="Arial" w:cs="Arial"/>
          <w:i/>
          <w:sz w:val="24"/>
          <w:szCs w:val="24"/>
        </w:rPr>
        <w:t>P. chitimba</w:t>
      </w:r>
      <w:r w:rsidRPr="004D60E3">
        <w:rPr>
          <w:rFonts w:ascii="Arial" w:hAnsi="Arial" w:cs="Arial"/>
          <w:sz w:val="24"/>
          <w:szCs w:val="24"/>
        </w:rPr>
        <w:t>.</w:t>
      </w:r>
    </w:p>
    <w:p w:rsidR="004D60E3" w:rsidRPr="004D60E3" w:rsidRDefault="004D60E3" w:rsidP="007E4BB4">
      <w:pPr>
        <w:spacing w:after="0" w:line="360" w:lineRule="auto"/>
        <w:rPr>
          <w:rFonts w:ascii="Arial" w:hAnsi="Arial" w:cs="Arial"/>
          <w:sz w:val="24"/>
          <w:szCs w:val="24"/>
        </w:rPr>
      </w:pPr>
    </w:p>
    <w:p w:rsidR="004D60E3" w:rsidRPr="004D60E3" w:rsidRDefault="004D60E3" w:rsidP="007E4BB4">
      <w:pPr>
        <w:pStyle w:val="Thesis2"/>
        <w:spacing w:after="0" w:line="360" w:lineRule="auto"/>
      </w:pPr>
      <w:r w:rsidRPr="004D60E3">
        <w:t>Interspecific Variation</w:t>
      </w:r>
    </w:p>
    <w:p w:rsidR="004D60E3" w:rsidRDefault="004D60E3" w:rsidP="007E4BB4">
      <w:pPr>
        <w:spacing w:after="0" w:line="360" w:lineRule="auto"/>
        <w:rPr>
          <w:rFonts w:ascii="Arial" w:hAnsi="Arial" w:cs="Arial"/>
          <w:sz w:val="24"/>
          <w:szCs w:val="24"/>
        </w:rPr>
      </w:pPr>
    </w:p>
    <w:p w:rsidR="004D60E3" w:rsidRDefault="004D60E3" w:rsidP="00B90EF5">
      <w:pPr>
        <w:spacing w:after="0" w:line="360" w:lineRule="auto"/>
        <w:ind w:firstLine="720"/>
        <w:jc w:val="both"/>
        <w:rPr>
          <w:rFonts w:ascii="Arial" w:hAnsi="Arial" w:cs="Arial"/>
          <w:b/>
          <w:sz w:val="28"/>
          <w:szCs w:val="28"/>
        </w:rPr>
      </w:pPr>
      <w:r w:rsidRPr="004D60E3">
        <w:rPr>
          <w:rFonts w:ascii="Arial" w:hAnsi="Arial" w:cs="Arial"/>
          <w:sz w:val="24"/>
          <w:szCs w:val="24"/>
        </w:rPr>
        <w:t xml:space="preserve">Significant differences in all seven kinematic variables were found among the three species (Tables 1, 2). All means and standard errors (s.e.m) given in this section are from the top feeding surface, but the comparisons made for the other two surfaces showed very similar differences among the three species. </w:t>
      </w:r>
      <w:r w:rsidRPr="004D60E3">
        <w:rPr>
          <w:rFonts w:ascii="Arial" w:hAnsi="Arial" w:cs="Arial"/>
          <w:i/>
          <w:sz w:val="24"/>
          <w:szCs w:val="24"/>
        </w:rPr>
        <w:t>P. chitimba</w:t>
      </w:r>
      <w:r w:rsidRPr="004D60E3">
        <w:rPr>
          <w:rFonts w:ascii="Arial" w:hAnsi="Arial" w:cs="Arial"/>
          <w:sz w:val="24"/>
          <w:szCs w:val="24"/>
        </w:rPr>
        <w:t xml:space="preserve"> consistently </w:t>
      </w:r>
      <w:r w:rsidRPr="004D60E3">
        <w:rPr>
          <w:rFonts w:ascii="Arial" w:hAnsi="Arial" w:cs="Arial"/>
          <w:sz w:val="24"/>
          <w:szCs w:val="24"/>
        </w:rPr>
        <w:lastRenderedPageBreak/>
        <w:t xml:space="preserve">exhibited the largest body angle (78.81 ± 2.42°) of the three species, followed by </w:t>
      </w:r>
      <w:r w:rsidRPr="004D60E3">
        <w:rPr>
          <w:rFonts w:ascii="Arial" w:hAnsi="Arial" w:cs="Arial"/>
          <w:i/>
          <w:sz w:val="24"/>
          <w:szCs w:val="24"/>
        </w:rPr>
        <w:t xml:space="preserve">M. patricki </w:t>
      </w:r>
      <w:r w:rsidRPr="004D60E3">
        <w:rPr>
          <w:rFonts w:ascii="Arial" w:hAnsi="Arial" w:cs="Arial"/>
          <w:sz w:val="24"/>
          <w:szCs w:val="24"/>
        </w:rPr>
        <w:t xml:space="preserve">(67.79 ± 4.71) and then </w:t>
      </w:r>
      <w:r w:rsidRPr="004D60E3">
        <w:rPr>
          <w:rFonts w:ascii="Arial" w:hAnsi="Arial" w:cs="Arial"/>
          <w:i/>
          <w:sz w:val="24"/>
          <w:szCs w:val="24"/>
        </w:rPr>
        <w:t xml:space="preserve">L. trewavasae </w:t>
      </w:r>
      <w:r w:rsidRPr="004D60E3">
        <w:rPr>
          <w:rFonts w:ascii="Arial" w:hAnsi="Arial" w:cs="Arial"/>
          <w:sz w:val="24"/>
          <w:szCs w:val="24"/>
        </w:rPr>
        <w:t>(48.90 ± 3.44°)</w:t>
      </w:r>
      <w:r w:rsidRPr="004D60E3">
        <w:rPr>
          <w:rFonts w:ascii="Arial" w:hAnsi="Arial" w:cs="Arial"/>
          <w:i/>
          <w:sz w:val="24"/>
          <w:szCs w:val="24"/>
        </w:rPr>
        <w:t xml:space="preserve">. </w:t>
      </w:r>
      <w:r w:rsidRPr="004D60E3">
        <w:rPr>
          <w:rFonts w:ascii="Arial" w:hAnsi="Arial" w:cs="Arial"/>
          <w:sz w:val="24"/>
          <w:szCs w:val="24"/>
        </w:rPr>
        <w:t xml:space="preserve">All changes in body angle were in the same direction for all three species as the orientation of the feeding surface changed. Protrusion angle differed among all three species for all feeding surface orientations in a similar manner to body angle. </w:t>
      </w:r>
      <w:r w:rsidRPr="004D60E3">
        <w:rPr>
          <w:rFonts w:ascii="Arial" w:hAnsi="Arial" w:cs="Arial"/>
          <w:i/>
          <w:sz w:val="24"/>
          <w:szCs w:val="24"/>
        </w:rPr>
        <w:t xml:space="preserve">P. chitimba </w:t>
      </w:r>
      <w:r w:rsidRPr="004D60E3">
        <w:rPr>
          <w:rFonts w:ascii="Arial" w:hAnsi="Arial" w:cs="Arial"/>
          <w:sz w:val="24"/>
          <w:szCs w:val="24"/>
        </w:rPr>
        <w:t xml:space="preserve">displayed the most terminal protrusion angle (26.83 ± 3.29°), </w:t>
      </w:r>
      <w:r w:rsidRPr="004D60E3">
        <w:rPr>
          <w:rFonts w:ascii="Arial" w:hAnsi="Arial" w:cs="Arial"/>
          <w:i/>
          <w:sz w:val="24"/>
          <w:szCs w:val="24"/>
        </w:rPr>
        <w:t>M. patricki</w:t>
      </w:r>
      <w:r w:rsidRPr="004D60E3">
        <w:rPr>
          <w:rFonts w:ascii="Arial" w:hAnsi="Arial" w:cs="Arial"/>
          <w:sz w:val="24"/>
          <w:szCs w:val="24"/>
        </w:rPr>
        <w:t xml:space="preserve"> exhibited a slightly more subterminal protrusion angle (40.54 ± 3.38°), and </w:t>
      </w:r>
      <w:r w:rsidRPr="004D60E3">
        <w:rPr>
          <w:rFonts w:ascii="Arial" w:hAnsi="Arial" w:cs="Arial"/>
          <w:i/>
          <w:sz w:val="24"/>
          <w:szCs w:val="24"/>
        </w:rPr>
        <w:t>L. trewavasae</w:t>
      </w:r>
      <w:r w:rsidRPr="004D60E3">
        <w:rPr>
          <w:rFonts w:ascii="Arial" w:hAnsi="Arial" w:cs="Arial"/>
          <w:sz w:val="24"/>
          <w:szCs w:val="24"/>
        </w:rPr>
        <w:t xml:space="preserve"> had the most subterminal protrusion angle (55.36 ± 2.57°) of the three species. </w:t>
      </w:r>
      <w:r w:rsidRPr="004D60E3">
        <w:rPr>
          <w:rFonts w:ascii="Arial" w:hAnsi="Arial" w:cs="Arial"/>
          <w:i/>
          <w:sz w:val="24"/>
          <w:szCs w:val="24"/>
        </w:rPr>
        <w:t>L.trewavasae</w:t>
      </w:r>
      <w:r w:rsidRPr="004D60E3">
        <w:rPr>
          <w:rFonts w:ascii="Arial" w:hAnsi="Arial" w:cs="Arial"/>
          <w:sz w:val="24"/>
          <w:szCs w:val="24"/>
        </w:rPr>
        <w:t xml:space="preserve"> had the greatest size-standardized protrusion distance (0.017 ± 0.002). </w:t>
      </w:r>
      <w:r w:rsidRPr="004D60E3">
        <w:rPr>
          <w:rFonts w:ascii="Arial" w:hAnsi="Arial" w:cs="Arial"/>
          <w:i/>
          <w:sz w:val="24"/>
          <w:szCs w:val="24"/>
        </w:rPr>
        <w:t>M. patricki</w:t>
      </w:r>
      <w:r w:rsidRPr="004D60E3">
        <w:rPr>
          <w:rFonts w:ascii="Arial" w:hAnsi="Arial" w:cs="Arial"/>
          <w:sz w:val="24"/>
          <w:szCs w:val="24"/>
        </w:rPr>
        <w:t xml:space="preserve"> showed slightly less protrusion (0.013 ± 0.003) and, interestingly, </w:t>
      </w:r>
      <w:r w:rsidRPr="004D60E3">
        <w:rPr>
          <w:rFonts w:ascii="Arial" w:hAnsi="Arial" w:cs="Arial"/>
          <w:i/>
          <w:sz w:val="24"/>
          <w:szCs w:val="24"/>
        </w:rPr>
        <w:t>P. chitimba</w:t>
      </w:r>
      <w:r w:rsidRPr="004D60E3">
        <w:rPr>
          <w:rFonts w:ascii="Arial" w:hAnsi="Arial" w:cs="Arial"/>
          <w:sz w:val="24"/>
          <w:szCs w:val="24"/>
        </w:rPr>
        <w:t xml:space="preserve"> showed negative protrusion distance (-0.006 ± 0.004). This negative value of protrusion distance accurately reflects the fact that the tip of </w:t>
      </w:r>
      <w:r w:rsidRPr="004D60E3">
        <w:rPr>
          <w:rFonts w:ascii="Arial" w:hAnsi="Arial" w:cs="Arial"/>
          <w:i/>
          <w:sz w:val="24"/>
          <w:szCs w:val="24"/>
        </w:rPr>
        <w:t>P. chitimba</w:t>
      </w:r>
      <w:r w:rsidRPr="004D60E3">
        <w:rPr>
          <w:rFonts w:ascii="Arial" w:hAnsi="Arial" w:cs="Arial"/>
          <w:sz w:val="24"/>
          <w:szCs w:val="24"/>
        </w:rPr>
        <w:t>’s</w:t>
      </w:r>
      <w:r w:rsidRPr="004D60E3">
        <w:rPr>
          <w:rFonts w:ascii="Arial" w:hAnsi="Arial" w:cs="Arial"/>
          <w:i/>
          <w:sz w:val="24"/>
          <w:szCs w:val="24"/>
        </w:rPr>
        <w:t xml:space="preserve"> </w:t>
      </w:r>
      <w:r w:rsidRPr="004D60E3">
        <w:rPr>
          <w:rFonts w:ascii="Arial" w:hAnsi="Arial" w:cs="Arial"/>
          <w:sz w:val="24"/>
          <w:szCs w:val="24"/>
        </w:rPr>
        <w:t xml:space="preserve">upper jaw actually moves slightly posteriorly at maximum gape width. Gape width differed significantly among the three species with </w:t>
      </w:r>
      <w:r w:rsidRPr="004D60E3">
        <w:rPr>
          <w:rFonts w:ascii="Arial" w:hAnsi="Arial" w:cs="Arial"/>
          <w:i/>
          <w:sz w:val="24"/>
          <w:szCs w:val="24"/>
        </w:rPr>
        <w:t>P.chitimba</w:t>
      </w:r>
      <w:r w:rsidRPr="004D60E3">
        <w:rPr>
          <w:rFonts w:ascii="Arial" w:hAnsi="Arial" w:cs="Arial"/>
          <w:sz w:val="24"/>
          <w:szCs w:val="24"/>
        </w:rPr>
        <w:t xml:space="preserve"> having the largest SL standardized gape width (0.187 ± 0.005).  </w:t>
      </w:r>
      <w:r w:rsidRPr="004D60E3">
        <w:rPr>
          <w:rFonts w:ascii="Arial" w:hAnsi="Arial" w:cs="Arial"/>
          <w:i/>
          <w:sz w:val="24"/>
          <w:szCs w:val="24"/>
        </w:rPr>
        <w:t>M. patricki</w:t>
      </w:r>
      <w:r w:rsidRPr="004D60E3">
        <w:rPr>
          <w:rFonts w:ascii="Arial" w:hAnsi="Arial" w:cs="Arial"/>
          <w:sz w:val="24"/>
          <w:szCs w:val="24"/>
        </w:rPr>
        <w:t xml:space="preserve"> had the next largest gape (0.111 ± 0.007) and </w:t>
      </w:r>
      <w:r w:rsidRPr="004D60E3">
        <w:rPr>
          <w:rFonts w:ascii="Arial" w:hAnsi="Arial" w:cs="Arial"/>
          <w:i/>
          <w:sz w:val="24"/>
          <w:szCs w:val="24"/>
        </w:rPr>
        <w:t>L. trewavasae</w:t>
      </w:r>
      <w:r w:rsidRPr="004D60E3">
        <w:rPr>
          <w:rFonts w:ascii="Arial" w:hAnsi="Arial" w:cs="Arial"/>
          <w:sz w:val="24"/>
          <w:szCs w:val="24"/>
        </w:rPr>
        <w:t xml:space="preserve"> had the smallest gape width (0.052 ± 0.003). Fin beat frequencies also differed significantly among the species with </w:t>
      </w:r>
      <w:r w:rsidRPr="004D60E3">
        <w:rPr>
          <w:rFonts w:ascii="Arial" w:hAnsi="Arial" w:cs="Arial"/>
          <w:i/>
          <w:sz w:val="24"/>
          <w:szCs w:val="24"/>
        </w:rPr>
        <w:t>P. chitimba</w:t>
      </w:r>
      <w:r w:rsidRPr="004D60E3">
        <w:rPr>
          <w:rFonts w:ascii="Arial" w:hAnsi="Arial" w:cs="Arial"/>
          <w:sz w:val="24"/>
          <w:szCs w:val="24"/>
        </w:rPr>
        <w:t xml:space="preserve"> exhibiting the fewest fin beats per second (3.89 ± 0.21) and </w:t>
      </w:r>
      <w:r w:rsidRPr="004D60E3">
        <w:rPr>
          <w:rFonts w:ascii="Arial" w:hAnsi="Arial" w:cs="Arial"/>
          <w:i/>
          <w:sz w:val="24"/>
          <w:szCs w:val="24"/>
        </w:rPr>
        <w:t>L. trewavasae</w:t>
      </w:r>
      <w:r w:rsidRPr="004D60E3">
        <w:rPr>
          <w:rFonts w:ascii="Arial" w:hAnsi="Arial" w:cs="Arial"/>
          <w:sz w:val="24"/>
          <w:szCs w:val="24"/>
        </w:rPr>
        <w:t xml:space="preserve"> beating its fins at the highest rate (5.86 ± 0.35). </w:t>
      </w:r>
      <w:r w:rsidRPr="004D60E3">
        <w:rPr>
          <w:rFonts w:ascii="Arial" w:hAnsi="Arial" w:cs="Arial"/>
          <w:i/>
          <w:sz w:val="24"/>
          <w:szCs w:val="24"/>
        </w:rPr>
        <w:t>M. patricki</w:t>
      </w:r>
      <w:r w:rsidRPr="004D60E3">
        <w:rPr>
          <w:rFonts w:ascii="Arial" w:hAnsi="Arial" w:cs="Arial"/>
          <w:sz w:val="24"/>
          <w:szCs w:val="24"/>
        </w:rPr>
        <w:t xml:space="preserve"> fell in between with an average fin beat rate of 4.35 ± 0.46 beats per second. The mean bite rate of </w:t>
      </w:r>
      <w:r w:rsidRPr="004D60E3">
        <w:rPr>
          <w:rFonts w:ascii="Arial" w:hAnsi="Arial" w:cs="Arial"/>
          <w:i/>
          <w:sz w:val="24"/>
          <w:szCs w:val="24"/>
        </w:rPr>
        <w:t>P.chitimba</w:t>
      </w:r>
      <w:r w:rsidRPr="004D60E3">
        <w:rPr>
          <w:rFonts w:ascii="Arial" w:hAnsi="Arial" w:cs="Arial"/>
          <w:sz w:val="24"/>
          <w:szCs w:val="24"/>
        </w:rPr>
        <w:t xml:space="preserve"> (2.94 ± 0.18) was the slowest of the three species. </w:t>
      </w:r>
      <w:r w:rsidRPr="004D60E3">
        <w:rPr>
          <w:rFonts w:ascii="Arial" w:hAnsi="Arial" w:cs="Arial"/>
          <w:i/>
          <w:sz w:val="24"/>
          <w:szCs w:val="24"/>
        </w:rPr>
        <w:t>L. trewavasae</w:t>
      </w:r>
      <w:r w:rsidRPr="004D60E3">
        <w:rPr>
          <w:rFonts w:ascii="Arial" w:hAnsi="Arial" w:cs="Arial"/>
          <w:sz w:val="24"/>
          <w:szCs w:val="24"/>
        </w:rPr>
        <w:t xml:space="preserve"> had the highest bite rate (5.54 ± 0.25), and again </w:t>
      </w:r>
      <w:r w:rsidRPr="004D60E3">
        <w:rPr>
          <w:rFonts w:ascii="Arial" w:hAnsi="Arial" w:cs="Arial"/>
          <w:i/>
          <w:sz w:val="24"/>
          <w:szCs w:val="24"/>
        </w:rPr>
        <w:t>M. patricki</w:t>
      </w:r>
      <w:r w:rsidRPr="004D60E3">
        <w:rPr>
          <w:rFonts w:ascii="Arial" w:hAnsi="Arial" w:cs="Arial"/>
          <w:sz w:val="24"/>
          <w:szCs w:val="24"/>
        </w:rPr>
        <w:t xml:space="preserve"> fell in between (3.91 ± 0.43). Finally, </w:t>
      </w:r>
      <w:r w:rsidRPr="004D60E3">
        <w:rPr>
          <w:rFonts w:ascii="Arial" w:hAnsi="Arial" w:cs="Arial"/>
          <w:i/>
          <w:sz w:val="24"/>
          <w:szCs w:val="24"/>
        </w:rPr>
        <w:t xml:space="preserve">M. patricki </w:t>
      </w:r>
      <w:r w:rsidRPr="004D60E3">
        <w:rPr>
          <w:rFonts w:ascii="Arial" w:hAnsi="Arial" w:cs="Arial"/>
          <w:sz w:val="24"/>
          <w:szCs w:val="24"/>
        </w:rPr>
        <w:t xml:space="preserve">and </w:t>
      </w:r>
      <w:r w:rsidRPr="004D60E3">
        <w:rPr>
          <w:rFonts w:ascii="Arial" w:hAnsi="Arial" w:cs="Arial"/>
          <w:i/>
          <w:sz w:val="24"/>
          <w:szCs w:val="24"/>
        </w:rPr>
        <w:t>L. trewavasae</w:t>
      </w:r>
      <w:r w:rsidRPr="004D60E3">
        <w:rPr>
          <w:rFonts w:ascii="Arial" w:hAnsi="Arial" w:cs="Arial"/>
          <w:sz w:val="24"/>
          <w:szCs w:val="24"/>
        </w:rPr>
        <w:t xml:space="preserve"> both exhibited tightly coupled ratios of bites per fin beat (0.90 ± 0.04 and 0.95 ± 0.03 respectively), while</w:t>
      </w:r>
      <w:r w:rsidRPr="004D60E3">
        <w:rPr>
          <w:rFonts w:ascii="Arial" w:hAnsi="Arial" w:cs="Arial"/>
          <w:i/>
          <w:sz w:val="24"/>
          <w:szCs w:val="24"/>
        </w:rPr>
        <w:t xml:space="preserve"> P. chitimba</w:t>
      </w:r>
      <w:r w:rsidRPr="004D60E3">
        <w:rPr>
          <w:rFonts w:ascii="Arial" w:hAnsi="Arial" w:cs="Arial"/>
          <w:sz w:val="24"/>
          <w:szCs w:val="24"/>
        </w:rPr>
        <w:t xml:space="preserve"> exhibited a relatively uncoupled ratio of 0.76 ± 0.05 bites per fin beat.</w:t>
      </w:r>
      <w:r>
        <w:br w:type="page"/>
      </w:r>
    </w:p>
    <w:p w:rsidR="004D60E3" w:rsidRPr="00ED2104" w:rsidRDefault="004D60E3" w:rsidP="007E4BB4">
      <w:pPr>
        <w:pStyle w:val="Thesis1"/>
      </w:pPr>
      <w:r w:rsidRPr="00ED2104">
        <w:lastRenderedPageBreak/>
        <w:t>C</w:t>
      </w:r>
      <w:r w:rsidR="00ED2104" w:rsidRPr="00ED2104">
        <w:t>HAPTER</w:t>
      </w:r>
      <w:r w:rsidRPr="00ED2104">
        <w:t xml:space="preserve"> IV</w:t>
      </w:r>
      <w:r w:rsidRPr="00ED2104">
        <w:br/>
        <w:t>D</w:t>
      </w:r>
      <w:r w:rsidR="00ED2104" w:rsidRPr="00ED2104">
        <w:t>ISCUSSION</w:t>
      </w:r>
      <w:r w:rsidR="003B0AC1">
        <w:t xml:space="preserve"> AND CONCLUSIONS</w:t>
      </w:r>
    </w:p>
    <w:p w:rsidR="004D60E3" w:rsidRPr="004D60E3" w:rsidRDefault="004D60E3" w:rsidP="007E4BB4">
      <w:pPr>
        <w:pStyle w:val="Thesis1"/>
      </w:pP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The Lake Malawi mbuna radiation has likely diversified substantially along a prey acquisition axis (Fryer and Iles, 1972; Genner et al., 1999). The observed kinematic divergence related to surface orientation differences suggests there is performance variation associated with particular microhabitats found within the rocky substrates of Lake Malawi. Furthermore, all seven kinematic variables we examined differed significantly between at least two of the three cichlid species studied. Although most of the mbuna species exploit the same algal mats that coat the boulder fields they inhabit, they are clearly using highly divergent feeding kinematics to obtain this food resource. This type of performance mediated ecological many-to-one mapping, whereby multiple species exploit the same resource in functionally different ways, is likely characteristic of many adaptively radiating lineages (Wainwright et al., 2005; Parnell et al., 2008). </w:t>
      </w: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The ability of species to modulate their feeding kinematics is a potentially critical factor in maintaining efficiency during feeding. We found that several kinematic variables differed within the three species with respect to substrate orientation. Body angle changed significantly for each species among the three surface orientation treatments. In general, as each species moved from the top, to the side, and finally to the bottom of the algae covered surfaces, their body angle increased. In addition to changes in body angle, </w:t>
      </w:r>
      <w:r w:rsidRPr="004D60E3">
        <w:rPr>
          <w:rFonts w:ascii="Arial" w:hAnsi="Arial" w:cs="Arial"/>
          <w:i/>
          <w:sz w:val="24"/>
          <w:szCs w:val="24"/>
        </w:rPr>
        <w:t>M. patricki</w:t>
      </w:r>
      <w:r w:rsidRPr="004D60E3">
        <w:rPr>
          <w:rFonts w:ascii="Arial" w:hAnsi="Arial" w:cs="Arial"/>
          <w:sz w:val="24"/>
          <w:szCs w:val="24"/>
        </w:rPr>
        <w:t xml:space="preserve"> and </w:t>
      </w:r>
      <w:r w:rsidRPr="004D60E3">
        <w:rPr>
          <w:rFonts w:ascii="Arial" w:hAnsi="Arial" w:cs="Arial"/>
          <w:i/>
          <w:sz w:val="24"/>
          <w:szCs w:val="24"/>
        </w:rPr>
        <w:t xml:space="preserve">L. trewavasae </w:t>
      </w:r>
      <w:r w:rsidRPr="004D60E3">
        <w:rPr>
          <w:rFonts w:ascii="Arial" w:hAnsi="Arial" w:cs="Arial"/>
          <w:sz w:val="24"/>
          <w:szCs w:val="24"/>
        </w:rPr>
        <w:t xml:space="preserve">also modulated protrusion angle in relation to the different substrate orientations. Interestingly, as body angle increased protrusion angle tended to decrease. These kinematic adjustments likely exist to maintain optimal contact between the trophic apparatus and feeding surface regardless of substrate orientation. </w:t>
      </w:r>
      <w:r w:rsidRPr="004D60E3">
        <w:rPr>
          <w:rFonts w:ascii="Arial" w:hAnsi="Arial" w:cs="Arial"/>
          <w:i/>
          <w:sz w:val="24"/>
          <w:szCs w:val="24"/>
        </w:rPr>
        <w:t>L. trewavasae</w:t>
      </w:r>
      <w:r w:rsidRPr="004D60E3">
        <w:rPr>
          <w:rFonts w:ascii="Arial" w:hAnsi="Arial" w:cs="Arial"/>
          <w:sz w:val="24"/>
          <w:szCs w:val="24"/>
        </w:rPr>
        <w:t xml:space="preserve"> exhibited modulation of both its fin beat and bite frequencies with respect to feeding surface orientation, with both frequencies decreasing as the species moved from the top to the bottom feeding surface. Modularity in feeding kinematics could be a critical mechanism promoting cichlid’s ability to efficiently exploit multiple types of trophic resources (Liem 1979; Hulsey et al., 2006; Stauffer and Posner, 2006)</w:t>
      </w: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lastRenderedPageBreak/>
        <w:t xml:space="preserve">There are also clear interactions among the kinematic variables. A good example is the interplay between bites per beat and gape width (Table 3). The closing of the mouth pushes the fish away from the feeding surface, and therefore, some forward force must be applied to bring the trophic apparatus back to the surface for each subsequent bite.  During feeding, the mbuna routinely exhibited extensive use of the pectoral fins in producing this forward propulsion. Our original prediction was that the ratio of bites to pectoral fin beats should be very close to one-to-one since each pectoral fin beat might be predicted to produce enough force to bring the fish back to the feeding surface. For </w:t>
      </w:r>
      <w:r w:rsidRPr="004D60E3">
        <w:rPr>
          <w:rFonts w:ascii="Arial" w:hAnsi="Arial" w:cs="Arial"/>
          <w:i/>
          <w:sz w:val="24"/>
          <w:szCs w:val="24"/>
        </w:rPr>
        <w:t>M. patricki</w:t>
      </w:r>
      <w:r w:rsidRPr="004D60E3">
        <w:rPr>
          <w:rFonts w:ascii="Arial" w:hAnsi="Arial" w:cs="Arial"/>
          <w:sz w:val="24"/>
          <w:szCs w:val="24"/>
        </w:rPr>
        <w:t xml:space="preserve"> and </w:t>
      </w:r>
      <w:r w:rsidRPr="004D60E3">
        <w:rPr>
          <w:rFonts w:ascii="Arial" w:hAnsi="Arial" w:cs="Arial"/>
          <w:i/>
          <w:sz w:val="24"/>
          <w:szCs w:val="24"/>
        </w:rPr>
        <w:t>L. trewavasae</w:t>
      </w:r>
      <w:r w:rsidRPr="004D60E3">
        <w:rPr>
          <w:rFonts w:ascii="Arial" w:hAnsi="Arial" w:cs="Arial"/>
          <w:sz w:val="24"/>
          <w:szCs w:val="24"/>
        </w:rPr>
        <w:t xml:space="preserve"> this does appear to be the case as both species displayed bite per beat ratios of roughly one-to-one, and the correlation between fin beat rate and bite rate was highly significant (Tables 2, 3). However, </w:t>
      </w:r>
      <w:r w:rsidRPr="004D60E3">
        <w:rPr>
          <w:rFonts w:ascii="Arial" w:hAnsi="Arial" w:cs="Arial"/>
          <w:i/>
          <w:sz w:val="24"/>
          <w:szCs w:val="24"/>
        </w:rPr>
        <w:t>P. chitimba</w:t>
      </w:r>
      <w:r w:rsidRPr="004D60E3">
        <w:rPr>
          <w:rFonts w:ascii="Arial" w:hAnsi="Arial" w:cs="Arial"/>
          <w:sz w:val="24"/>
          <w:szCs w:val="24"/>
        </w:rPr>
        <w:t xml:space="preserve"> exhibited a relatively decoupled ratio of around three bites to every four fin beats. It would sometimes take an individual of </w:t>
      </w:r>
      <w:r w:rsidRPr="004D60E3">
        <w:rPr>
          <w:rFonts w:ascii="Arial" w:hAnsi="Arial" w:cs="Arial"/>
          <w:i/>
          <w:sz w:val="24"/>
          <w:szCs w:val="24"/>
        </w:rPr>
        <w:t>P. chitimba</w:t>
      </w:r>
      <w:r w:rsidRPr="004D60E3">
        <w:rPr>
          <w:rFonts w:ascii="Arial" w:hAnsi="Arial" w:cs="Arial"/>
          <w:sz w:val="24"/>
          <w:szCs w:val="24"/>
        </w:rPr>
        <w:t xml:space="preserve"> more than one fin beat to get back to the feeding surface (Rupp per obs.). Individuals of </w:t>
      </w:r>
      <w:r w:rsidRPr="004D60E3">
        <w:rPr>
          <w:rFonts w:ascii="Arial" w:hAnsi="Arial" w:cs="Arial"/>
          <w:i/>
          <w:sz w:val="24"/>
          <w:szCs w:val="24"/>
        </w:rPr>
        <w:t>M. patricki</w:t>
      </w:r>
      <w:r w:rsidRPr="004D60E3">
        <w:rPr>
          <w:rFonts w:ascii="Arial" w:hAnsi="Arial" w:cs="Arial"/>
          <w:sz w:val="24"/>
          <w:szCs w:val="24"/>
        </w:rPr>
        <w:t xml:space="preserve"> and </w:t>
      </w:r>
      <w:r w:rsidRPr="004D60E3">
        <w:rPr>
          <w:rFonts w:ascii="Arial" w:hAnsi="Arial" w:cs="Arial"/>
          <w:i/>
          <w:sz w:val="24"/>
          <w:szCs w:val="24"/>
        </w:rPr>
        <w:t>L. trewavasae</w:t>
      </w:r>
      <w:r w:rsidRPr="004D60E3">
        <w:rPr>
          <w:rFonts w:ascii="Arial" w:hAnsi="Arial" w:cs="Arial"/>
          <w:sz w:val="24"/>
          <w:szCs w:val="24"/>
        </w:rPr>
        <w:t xml:space="preserve"> moved noticeably shorter distances from the feeding surface after each bite and this might be why they were able to maintain the one-to-one coupling of bites to fin beats. The three dimensional kinematics of fish fins and swimming are receiving increasing attention (Chapman et al., 1994; Blake and Chan, 2007) and our study indicates that understanding the dimensionality of the feeding habitat, and the links between locomotion and feeding might both be key to elucidating the mechanistic basis of how jaws and fins have diversified (Collar et al., 2008).</w:t>
      </w:r>
    </w:p>
    <w:p w:rsidR="004D60E3" w:rsidRPr="004D60E3"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Our results also suggest that the variation in kinematics is likely a result of trade-offs associated with the different trophic morphologies of the three species. Gape width almost certainly plays a key role in determining bite and fin beat rates. Studies have shown gape width influences traits such as prey capture and jaw movement speeds (Wainwright and Richard, 1995; Venesky et al., 2013), and its link to feeding kinematics is likely ubiquitous. Among the three mbuna species we filmed, there is a clear trend between gape width and bite rate. It appears that as gape width increases so does the length of the gape cycle, and this trend holds for not only the top, but the side and bottom feeding surfaces as well. Previous studies have also shown correlations between gape width and other feeding kinematic variables during feeding (Wainwright </w:t>
      </w:r>
      <w:r w:rsidRPr="004D60E3">
        <w:rPr>
          <w:rFonts w:ascii="Arial" w:hAnsi="Arial" w:cs="Arial"/>
          <w:sz w:val="24"/>
          <w:szCs w:val="24"/>
        </w:rPr>
        <w:lastRenderedPageBreak/>
        <w:t xml:space="preserve">et al., 2001; Higham et al., 2007). The large gape width of </w:t>
      </w:r>
      <w:r w:rsidRPr="004D60E3">
        <w:rPr>
          <w:rFonts w:ascii="Arial" w:hAnsi="Arial" w:cs="Arial"/>
          <w:i/>
          <w:sz w:val="24"/>
          <w:szCs w:val="24"/>
        </w:rPr>
        <w:t>P. chitimba</w:t>
      </w:r>
      <w:r w:rsidRPr="004D60E3">
        <w:rPr>
          <w:rFonts w:ascii="Arial" w:hAnsi="Arial" w:cs="Arial"/>
          <w:sz w:val="24"/>
          <w:szCs w:val="24"/>
        </w:rPr>
        <w:t xml:space="preserve"> likely allows more algal biomass to be obtained with every bite than </w:t>
      </w:r>
      <w:r w:rsidRPr="004D60E3">
        <w:rPr>
          <w:rFonts w:ascii="Arial" w:hAnsi="Arial" w:cs="Arial"/>
          <w:i/>
          <w:sz w:val="24"/>
          <w:szCs w:val="24"/>
        </w:rPr>
        <w:t>M. patricki</w:t>
      </w:r>
      <w:r w:rsidRPr="004D60E3">
        <w:rPr>
          <w:rFonts w:ascii="Arial" w:hAnsi="Arial" w:cs="Arial"/>
          <w:sz w:val="24"/>
          <w:szCs w:val="24"/>
        </w:rPr>
        <w:t xml:space="preserve"> or </w:t>
      </w:r>
      <w:r w:rsidRPr="004D60E3">
        <w:rPr>
          <w:rFonts w:ascii="Arial" w:hAnsi="Arial" w:cs="Arial"/>
          <w:i/>
          <w:sz w:val="24"/>
          <w:szCs w:val="24"/>
        </w:rPr>
        <w:t>L. trewavasae</w:t>
      </w:r>
      <w:r w:rsidRPr="004D60E3">
        <w:rPr>
          <w:rFonts w:ascii="Arial" w:hAnsi="Arial" w:cs="Arial"/>
          <w:sz w:val="24"/>
          <w:szCs w:val="24"/>
        </w:rPr>
        <w:t xml:space="preserve">. Similar functional trade-offs have been proposed in the kissing gourami </w:t>
      </w:r>
      <w:r w:rsidRPr="004D60E3">
        <w:rPr>
          <w:rFonts w:ascii="Arial" w:hAnsi="Arial" w:cs="Arial"/>
          <w:i/>
          <w:sz w:val="24"/>
          <w:szCs w:val="24"/>
        </w:rPr>
        <w:t xml:space="preserve">Helostoma temminckii </w:t>
      </w:r>
      <w:r w:rsidRPr="004D60E3">
        <w:rPr>
          <w:rFonts w:ascii="Arial" w:hAnsi="Arial" w:cs="Arial"/>
          <w:sz w:val="24"/>
          <w:szCs w:val="24"/>
        </w:rPr>
        <w:t xml:space="preserve">and armored suckermouth catfishes of the family Loricariidae (Adriaens et al., 2008; Ferry et al., 2012). However, further investigation into bite area and feeding efficiency would be necessary to test predictions about this putative correlation. Understanding the tradeoffs among kinematic variables associated with exploiting algae growing on different substrate orientations could be critical to understanding how so many species of mbuna seemingly coexist.  </w:t>
      </w:r>
    </w:p>
    <w:p w:rsidR="003B0AC1" w:rsidRDefault="004D60E3" w:rsidP="00B90EF5">
      <w:pPr>
        <w:spacing w:after="0" w:line="360" w:lineRule="auto"/>
        <w:ind w:firstLine="720"/>
        <w:jc w:val="both"/>
        <w:rPr>
          <w:rFonts w:ascii="Arial" w:hAnsi="Arial" w:cs="Arial"/>
          <w:sz w:val="24"/>
          <w:szCs w:val="24"/>
        </w:rPr>
      </w:pPr>
      <w:r w:rsidRPr="004D60E3">
        <w:rPr>
          <w:rFonts w:ascii="Arial" w:hAnsi="Arial" w:cs="Arial"/>
          <w:sz w:val="24"/>
          <w:szCs w:val="24"/>
        </w:rPr>
        <w:t xml:space="preserve">The ability to exploit multiple habitat dimensions has been shown to be vital to the success of many groups (Irschick and Losos, 1999; Higham et al., 2001). Innovations such as wings and the toe pads of geckos have likely allowed the groups possessing these functional abilities to diversify in three dimensions rather than the two dimensions previously available to their ancestors. Similarly, the ability of the mbuna to exploit algae growing on the tops, sides, and bottom of rocks has likely been one factor that has facilitated their exceptional diversification (Stauffer and Posner, 2006). For instance, variation in body angle and pectoral fin locomotion could be associated with </w:t>
      </w:r>
      <w:r w:rsidRPr="004D60E3">
        <w:rPr>
          <w:rFonts w:ascii="Arial" w:hAnsi="Arial" w:cs="Arial"/>
          <w:i/>
          <w:sz w:val="24"/>
          <w:szCs w:val="24"/>
        </w:rPr>
        <w:t>L. trewavasae</w:t>
      </w:r>
      <w:r w:rsidRPr="004D60E3">
        <w:rPr>
          <w:rFonts w:ascii="Arial" w:hAnsi="Arial" w:cs="Arial"/>
          <w:sz w:val="24"/>
          <w:szCs w:val="24"/>
        </w:rPr>
        <w:t xml:space="preserve">’s documented specialization of feeding on the sides and undersides of rocks (Ribbink et al., 1983).  The substantial variation in how organisms utilize particular substrate orientations (Cartmill, 1985; Higham and Jayne, 2004; Foster and Higham, 2012) is clearly not constrained to terrestrial systems as the mbuna are influenced by substrate orientation during feeding. Nevertheless, since all three mbuna species could feed from all three orientations and not all of their kinematics appeared to be extensively modulated with respect to surface orientation, there are likely fewer tradeoffs associated with feeding from multiple substrate orientations in aquatic systems as compared to gravity-dominated terrestrial systems. Additional understanding of whether substrate orientation greatly influences resource acquisition in aquatic environments could provide substantial insight into a major difference and similarities in the factors structuring ecological divergence within aquatic and terrestrial systems. Further investigation is warranted to determine whether the varying functional demands of the different feeding </w:t>
      </w:r>
      <w:r w:rsidRPr="004D60E3">
        <w:rPr>
          <w:rFonts w:ascii="Arial" w:hAnsi="Arial" w:cs="Arial"/>
          <w:sz w:val="24"/>
          <w:szCs w:val="24"/>
        </w:rPr>
        <w:lastRenderedPageBreak/>
        <w:t>surface orientations could be one of the driving forces behind the origin and persistence of the incredible diversity of algae grazing cichlids of Lake Malawi.</w:t>
      </w:r>
    </w:p>
    <w:p w:rsidR="003B0AC1" w:rsidRDefault="003B0AC1" w:rsidP="00B90EF5">
      <w:pPr>
        <w:jc w:val="both"/>
        <w:rPr>
          <w:rFonts w:ascii="Arial" w:hAnsi="Arial" w:cs="Arial"/>
          <w:sz w:val="24"/>
          <w:szCs w:val="24"/>
        </w:rPr>
      </w:pPr>
      <w:r>
        <w:rPr>
          <w:rFonts w:ascii="Arial" w:hAnsi="Arial" w:cs="Arial"/>
          <w:sz w:val="24"/>
          <w:szCs w:val="24"/>
        </w:rPr>
        <w:br w:type="page"/>
      </w:r>
    </w:p>
    <w:p w:rsidR="00391582" w:rsidRDefault="00E15E8C" w:rsidP="00B90EF5">
      <w:pPr>
        <w:pStyle w:val="Thesis1"/>
      </w:pPr>
      <w:r>
        <w:lastRenderedPageBreak/>
        <w:t>LIST OF REFERENCES</w:t>
      </w:r>
    </w:p>
    <w:p w:rsidR="00391582" w:rsidRDefault="00391582">
      <w:pPr>
        <w:rPr>
          <w:rFonts w:ascii="Arial" w:hAnsi="Arial" w:cs="Arial"/>
          <w:b/>
          <w:sz w:val="28"/>
          <w:szCs w:val="28"/>
        </w:rPr>
      </w:pPr>
      <w:r>
        <w:br w:type="page"/>
      </w:r>
    </w:p>
    <w:p w:rsidR="00B90EF5" w:rsidRPr="00B90EF5" w:rsidRDefault="00B90EF5" w:rsidP="00B90EF5">
      <w:pPr>
        <w:spacing w:after="0" w:line="360" w:lineRule="auto"/>
        <w:ind w:left="720" w:hanging="720"/>
        <w:rPr>
          <w:rFonts w:ascii="Arial" w:hAnsi="Arial" w:cs="Arial"/>
          <w:sz w:val="24"/>
          <w:szCs w:val="24"/>
        </w:rPr>
      </w:pPr>
      <w:bookmarkStart w:id="0" w:name="_ENREF_1"/>
      <w:r w:rsidRPr="00B90EF5">
        <w:rPr>
          <w:rFonts w:ascii="Arial" w:hAnsi="Arial" w:cs="Arial"/>
          <w:b/>
          <w:sz w:val="24"/>
          <w:szCs w:val="24"/>
        </w:rPr>
        <w:lastRenderedPageBreak/>
        <w:t>Adriaens, D., Geerinckx, T., Vlassenbroeck, J., Van Hoorebeke, L. and Herrel, A.</w:t>
      </w:r>
      <w:r w:rsidRPr="00B90EF5">
        <w:rPr>
          <w:rFonts w:ascii="Arial" w:hAnsi="Arial" w:cs="Arial"/>
          <w:sz w:val="24"/>
          <w:szCs w:val="24"/>
        </w:rPr>
        <w:t xml:space="preserve"> (2008). Extensive jaw mobility in suckermouth armored catfishes (Loricariidae): a morphological and kinematic analysis of substrate scraping mode of feeding. </w:t>
      </w:r>
      <w:r w:rsidRPr="00B90EF5">
        <w:rPr>
          <w:rFonts w:ascii="Arial" w:hAnsi="Arial" w:cs="Arial"/>
          <w:i/>
          <w:sz w:val="24"/>
          <w:szCs w:val="24"/>
        </w:rPr>
        <w:t>Physiol. Biochem. Zool.</w:t>
      </w:r>
      <w:r w:rsidRPr="00B90EF5">
        <w:rPr>
          <w:rFonts w:ascii="Arial" w:hAnsi="Arial" w:cs="Arial"/>
          <w:sz w:val="24"/>
          <w:szCs w:val="24"/>
        </w:rPr>
        <w:t xml:space="preserve"> </w:t>
      </w:r>
      <w:r w:rsidRPr="00B90EF5">
        <w:rPr>
          <w:rFonts w:ascii="Arial" w:hAnsi="Arial" w:cs="Arial"/>
          <w:b/>
          <w:sz w:val="24"/>
          <w:szCs w:val="24"/>
        </w:rPr>
        <w:t>82</w:t>
      </w:r>
      <w:r w:rsidRPr="00B90EF5">
        <w:rPr>
          <w:rFonts w:ascii="Arial" w:hAnsi="Arial" w:cs="Arial"/>
          <w:sz w:val="24"/>
          <w:szCs w:val="24"/>
        </w:rPr>
        <w:t>, 51-62.</w:t>
      </w:r>
      <w:bookmarkEnd w:id="0"/>
    </w:p>
    <w:p w:rsidR="00B90EF5" w:rsidRPr="00B90EF5" w:rsidRDefault="00B90EF5" w:rsidP="00B90EF5">
      <w:pPr>
        <w:spacing w:after="0" w:line="360" w:lineRule="auto"/>
        <w:ind w:left="720" w:hanging="720"/>
        <w:rPr>
          <w:rFonts w:ascii="Arial" w:hAnsi="Arial" w:cs="Arial"/>
          <w:sz w:val="24"/>
          <w:szCs w:val="24"/>
        </w:rPr>
      </w:pPr>
      <w:bookmarkStart w:id="1" w:name="_ENREF_2"/>
      <w:r w:rsidRPr="00B90EF5">
        <w:rPr>
          <w:rFonts w:ascii="Arial" w:hAnsi="Arial" w:cs="Arial"/>
          <w:b/>
          <w:sz w:val="24"/>
          <w:szCs w:val="24"/>
        </w:rPr>
        <w:t>Afeworki, Y., Videler, J. J. and Bruggemann, J. H.</w:t>
      </w:r>
      <w:r w:rsidRPr="00B90EF5">
        <w:rPr>
          <w:rFonts w:ascii="Arial" w:hAnsi="Arial" w:cs="Arial"/>
          <w:sz w:val="24"/>
          <w:szCs w:val="24"/>
        </w:rPr>
        <w:t xml:space="preserve"> (2013). Seasonally changing habitat use patterns among roving herbivorous fishes in the southern Red Sea: the role of temperature and algal community structure. </w:t>
      </w:r>
      <w:r w:rsidRPr="00B90EF5">
        <w:rPr>
          <w:rFonts w:ascii="Arial" w:hAnsi="Arial" w:cs="Arial"/>
          <w:i/>
          <w:sz w:val="24"/>
          <w:szCs w:val="24"/>
        </w:rPr>
        <w:t>Coral Reefs</w:t>
      </w:r>
      <w:r w:rsidRPr="00B90EF5">
        <w:rPr>
          <w:rFonts w:ascii="Arial" w:hAnsi="Arial" w:cs="Arial"/>
          <w:sz w:val="24"/>
          <w:szCs w:val="24"/>
        </w:rPr>
        <w:t xml:space="preserve"> </w:t>
      </w:r>
      <w:r w:rsidRPr="00B90EF5">
        <w:rPr>
          <w:rFonts w:ascii="Arial" w:hAnsi="Arial" w:cs="Arial"/>
          <w:b/>
          <w:sz w:val="24"/>
          <w:szCs w:val="24"/>
        </w:rPr>
        <w:t>32</w:t>
      </w:r>
      <w:r w:rsidRPr="00B90EF5">
        <w:rPr>
          <w:rFonts w:ascii="Arial" w:hAnsi="Arial" w:cs="Arial"/>
          <w:sz w:val="24"/>
          <w:szCs w:val="24"/>
        </w:rPr>
        <w:t>, 475-485.</w:t>
      </w:r>
      <w:bookmarkEnd w:id="1"/>
    </w:p>
    <w:p w:rsidR="00B90EF5" w:rsidRPr="00B90EF5" w:rsidRDefault="00B90EF5" w:rsidP="00B90EF5">
      <w:pPr>
        <w:spacing w:after="0" w:line="360" w:lineRule="auto"/>
        <w:ind w:left="720" w:hanging="720"/>
        <w:rPr>
          <w:rFonts w:ascii="Arial" w:hAnsi="Arial" w:cs="Arial"/>
          <w:sz w:val="24"/>
          <w:szCs w:val="24"/>
        </w:rPr>
      </w:pPr>
      <w:bookmarkStart w:id="2" w:name="_ENREF_3"/>
      <w:r w:rsidRPr="00B90EF5">
        <w:rPr>
          <w:rFonts w:ascii="Arial" w:hAnsi="Arial" w:cs="Arial"/>
          <w:b/>
          <w:sz w:val="24"/>
          <w:szCs w:val="24"/>
        </w:rPr>
        <w:t>Albertson, R. C., Streelman, J. T. and Kocher, T. D.</w:t>
      </w:r>
      <w:r w:rsidRPr="00B90EF5">
        <w:rPr>
          <w:rFonts w:ascii="Arial" w:hAnsi="Arial" w:cs="Arial"/>
          <w:sz w:val="24"/>
          <w:szCs w:val="24"/>
        </w:rPr>
        <w:t xml:space="preserve"> (2003). Directional selection has shaped the oral jaws of Lake Malawi cichlid fishes. </w:t>
      </w:r>
      <w:r w:rsidRPr="00B90EF5">
        <w:rPr>
          <w:rFonts w:ascii="Arial" w:hAnsi="Arial" w:cs="Arial"/>
          <w:i/>
          <w:sz w:val="24"/>
          <w:szCs w:val="24"/>
        </w:rPr>
        <w:t>Proc. Natl. Acad. Sci. USA</w:t>
      </w:r>
      <w:r w:rsidRPr="00B90EF5">
        <w:rPr>
          <w:rFonts w:ascii="Arial" w:hAnsi="Arial" w:cs="Arial"/>
          <w:sz w:val="24"/>
          <w:szCs w:val="24"/>
        </w:rPr>
        <w:t xml:space="preserve"> </w:t>
      </w:r>
      <w:r w:rsidRPr="00B90EF5">
        <w:rPr>
          <w:rFonts w:ascii="Arial" w:hAnsi="Arial" w:cs="Arial"/>
          <w:b/>
          <w:sz w:val="24"/>
          <w:szCs w:val="24"/>
        </w:rPr>
        <w:t>100</w:t>
      </w:r>
      <w:r w:rsidRPr="00B90EF5">
        <w:rPr>
          <w:rFonts w:ascii="Arial" w:hAnsi="Arial" w:cs="Arial"/>
          <w:sz w:val="24"/>
          <w:szCs w:val="24"/>
        </w:rPr>
        <w:t>, 5252-5257.</w:t>
      </w:r>
      <w:bookmarkEnd w:id="2"/>
    </w:p>
    <w:p w:rsidR="00B90EF5" w:rsidRPr="00B90EF5" w:rsidRDefault="00B90EF5" w:rsidP="00B90EF5">
      <w:pPr>
        <w:spacing w:after="0" w:line="360" w:lineRule="auto"/>
        <w:ind w:left="720" w:hanging="720"/>
        <w:rPr>
          <w:rFonts w:ascii="Arial" w:hAnsi="Arial" w:cs="Arial"/>
          <w:sz w:val="24"/>
          <w:szCs w:val="24"/>
        </w:rPr>
      </w:pPr>
      <w:bookmarkStart w:id="3" w:name="_ENREF_4"/>
      <w:r w:rsidRPr="00B90EF5">
        <w:rPr>
          <w:rFonts w:ascii="Arial" w:hAnsi="Arial" w:cs="Arial"/>
          <w:b/>
          <w:sz w:val="24"/>
          <w:szCs w:val="24"/>
        </w:rPr>
        <w:t>Astley, H. C. and Jayne, B. C.</w:t>
      </w:r>
      <w:r w:rsidRPr="00B90EF5">
        <w:rPr>
          <w:rFonts w:ascii="Arial" w:hAnsi="Arial" w:cs="Arial"/>
          <w:sz w:val="24"/>
          <w:szCs w:val="24"/>
        </w:rPr>
        <w:t xml:space="preserve"> (2009). Arboreal habitat structure affects the performance and modes of locomotion of corn snakes (</w:t>
      </w:r>
      <w:r w:rsidRPr="00B90EF5">
        <w:rPr>
          <w:rFonts w:ascii="Arial" w:hAnsi="Arial" w:cs="Arial"/>
          <w:i/>
          <w:sz w:val="24"/>
          <w:szCs w:val="24"/>
        </w:rPr>
        <w:t>Elaphe guttata</w:t>
      </w:r>
      <w:r w:rsidRPr="00B90EF5">
        <w:rPr>
          <w:rFonts w:ascii="Arial" w:hAnsi="Arial" w:cs="Arial"/>
          <w:sz w:val="24"/>
          <w:szCs w:val="24"/>
        </w:rPr>
        <w:t xml:space="preserve">). </w:t>
      </w:r>
      <w:r w:rsidRPr="00B90EF5">
        <w:rPr>
          <w:rFonts w:ascii="Arial" w:hAnsi="Arial" w:cs="Arial"/>
          <w:i/>
          <w:sz w:val="24"/>
          <w:szCs w:val="24"/>
        </w:rPr>
        <w:t>J. Exp. Zool. Part A.</w:t>
      </w:r>
      <w:r w:rsidRPr="00B90EF5">
        <w:rPr>
          <w:rFonts w:ascii="Arial" w:hAnsi="Arial" w:cs="Arial"/>
          <w:sz w:val="24"/>
          <w:szCs w:val="24"/>
        </w:rPr>
        <w:t xml:space="preserve"> </w:t>
      </w:r>
      <w:r w:rsidRPr="00B90EF5">
        <w:rPr>
          <w:rFonts w:ascii="Arial" w:hAnsi="Arial" w:cs="Arial"/>
          <w:b/>
          <w:sz w:val="24"/>
          <w:szCs w:val="24"/>
        </w:rPr>
        <w:t>311A</w:t>
      </w:r>
      <w:r w:rsidRPr="00B90EF5">
        <w:rPr>
          <w:rFonts w:ascii="Arial" w:hAnsi="Arial" w:cs="Arial"/>
          <w:sz w:val="24"/>
          <w:szCs w:val="24"/>
        </w:rPr>
        <w:t>, 207-216.</w:t>
      </w:r>
      <w:bookmarkEnd w:id="3"/>
    </w:p>
    <w:p w:rsidR="00B90EF5" w:rsidRPr="00B90EF5" w:rsidRDefault="00B90EF5" w:rsidP="00B90EF5">
      <w:pPr>
        <w:spacing w:after="0" w:line="360" w:lineRule="auto"/>
        <w:ind w:left="720" w:hanging="720"/>
        <w:rPr>
          <w:rFonts w:ascii="Arial" w:hAnsi="Arial" w:cs="Arial"/>
          <w:sz w:val="24"/>
          <w:szCs w:val="24"/>
        </w:rPr>
      </w:pPr>
      <w:bookmarkStart w:id="4" w:name="_ENREF_5"/>
      <w:r w:rsidRPr="00B90EF5">
        <w:rPr>
          <w:rFonts w:ascii="Arial" w:hAnsi="Arial" w:cs="Arial"/>
          <w:b/>
          <w:sz w:val="24"/>
          <w:szCs w:val="24"/>
        </w:rPr>
        <w:t>Blake, R. W. and Chan, K. H. S.</w:t>
      </w:r>
      <w:r w:rsidRPr="00B90EF5">
        <w:rPr>
          <w:rFonts w:ascii="Arial" w:hAnsi="Arial" w:cs="Arial"/>
          <w:sz w:val="24"/>
          <w:szCs w:val="24"/>
        </w:rPr>
        <w:t xml:space="preserve"> (2007). Swimming in the upside down catfish </w:t>
      </w:r>
      <w:r w:rsidRPr="00B90EF5">
        <w:rPr>
          <w:rFonts w:ascii="Arial" w:hAnsi="Arial" w:cs="Arial"/>
          <w:i/>
          <w:sz w:val="24"/>
          <w:szCs w:val="24"/>
        </w:rPr>
        <w:t>Synodontis nigriventris</w:t>
      </w:r>
      <w:r w:rsidRPr="00B90EF5">
        <w:rPr>
          <w:rFonts w:ascii="Arial" w:hAnsi="Arial" w:cs="Arial"/>
          <w:sz w:val="24"/>
          <w:szCs w:val="24"/>
        </w:rPr>
        <w:t xml:space="preserve">: it matters which way is up.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210</w:t>
      </w:r>
      <w:r w:rsidRPr="00B90EF5">
        <w:rPr>
          <w:rFonts w:ascii="Arial" w:hAnsi="Arial" w:cs="Arial"/>
          <w:sz w:val="24"/>
          <w:szCs w:val="24"/>
        </w:rPr>
        <w:t>, 2979-2989.</w:t>
      </w:r>
      <w:bookmarkEnd w:id="4"/>
    </w:p>
    <w:p w:rsidR="00B90EF5" w:rsidRPr="00B90EF5" w:rsidRDefault="00B90EF5" w:rsidP="00B90EF5">
      <w:pPr>
        <w:spacing w:after="0" w:line="360" w:lineRule="auto"/>
        <w:ind w:left="720" w:hanging="720"/>
        <w:rPr>
          <w:rFonts w:ascii="Arial" w:hAnsi="Arial" w:cs="Arial"/>
          <w:sz w:val="24"/>
          <w:szCs w:val="24"/>
        </w:rPr>
      </w:pPr>
      <w:bookmarkStart w:id="5" w:name="_ENREF_6"/>
      <w:r w:rsidRPr="00B90EF5">
        <w:rPr>
          <w:rFonts w:ascii="Arial" w:hAnsi="Arial" w:cs="Arial"/>
          <w:b/>
          <w:sz w:val="24"/>
          <w:szCs w:val="24"/>
        </w:rPr>
        <w:t>Cartmill, M.</w:t>
      </w:r>
      <w:r w:rsidRPr="00B90EF5">
        <w:rPr>
          <w:rFonts w:ascii="Arial" w:hAnsi="Arial" w:cs="Arial"/>
          <w:sz w:val="24"/>
          <w:szCs w:val="24"/>
        </w:rPr>
        <w:t xml:space="preserve"> (1985). Climbing.</w:t>
      </w:r>
      <w:bookmarkEnd w:id="5"/>
      <w:r w:rsidRPr="00B90EF5">
        <w:rPr>
          <w:rFonts w:ascii="Arial" w:hAnsi="Arial" w:cs="Arial"/>
          <w:sz w:val="24"/>
          <w:szCs w:val="24"/>
        </w:rPr>
        <w:t xml:space="preserve"> In </w:t>
      </w:r>
      <w:r w:rsidRPr="00B90EF5">
        <w:rPr>
          <w:rFonts w:ascii="Arial" w:hAnsi="Arial" w:cs="Arial"/>
          <w:i/>
          <w:sz w:val="24"/>
          <w:szCs w:val="24"/>
        </w:rPr>
        <w:t>Functional Vertebrate Morphology</w:t>
      </w:r>
      <w:r w:rsidRPr="00B90EF5">
        <w:rPr>
          <w:rFonts w:ascii="Arial" w:hAnsi="Arial" w:cs="Arial"/>
          <w:sz w:val="24"/>
          <w:szCs w:val="24"/>
        </w:rPr>
        <w:t xml:space="preserve"> (ed. M. Hildebrand, D. M. Bramble, K. F. Liem and D. B. Wake), pp 73-78. Belknap Press, Cambridge, Mass. &amp; London.</w:t>
      </w:r>
    </w:p>
    <w:p w:rsidR="00B90EF5" w:rsidRPr="00B90EF5" w:rsidRDefault="00B90EF5" w:rsidP="00B90EF5">
      <w:pPr>
        <w:spacing w:after="0" w:line="360" w:lineRule="auto"/>
        <w:ind w:left="720" w:hanging="720"/>
        <w:rPr>
          <w:rFonts w:ascii="Arial" w:hAnsi="Arial" w:cs="Arial"/>
          <w:sz w:val="24"/>
          <w:szCs w:val="24"/>
        </w:rPr>
      </w:pPr>
      <w:bookmarkStart w:id="6" w:name="_ENREF_7"/>
      <w:r w:rsidRPr="00B90EF5">
        <w:rPr>
          <w:rFonts w:ascii="Arial" w:hAnsi="Arial" w:cs="Arial"/>
          <w:b/>
          <w:sz w:val="24"/>
          <w:szCs w:val="24"/>
        </w:rPr>
        <w:t>Chapman, L. J., Kaufman, L. and Chapman, C. A.</w:t>
      </w:r>
      <w:r w:rsidRPr="00B90EF5">
        <w:rPr>
          <w:rFonts w:ascii="Arial" w:hAnsi="Arial" w:cs="Arial"/>
          <w:sz w:val="24"/>
          <w:szCs w:val="24"/>
        </w:rPr>
        <w:t xml:space="preserve"> (1994). Why swim upside down - a comparative study of 2 mochokid catfishes </w:t>
      </w:r>
      <w:r w:rsidRPr="00B90EF5">
        <w:rPr>
          <w:rFonts w:ascii="Arial" w:hAnsi="Arial" w:cs="Arial"/>
          <w:i/>
          <w:sz w:val="24"/>
          <w:szCs w:val="24"/>
        </w:rPr>
        <w:t>Copeia</w:t>
      </w:r>
      <w:r w:rsidRPr="00B90EF5">
        <w:rPr>
          <w:rFonts w:ascii="Arial" w:hAnsi="Arial" w:cs="Arial"/>
          <w:sz w:val="24"/>
          <w:szCs w:val="24"/>
        </w:rPr>
        <w:t>, 130-135.</w:t>
      </w:r>
      <w:bookmarkEnd w:id="6"/>
    </w:p>
    <w:p w:rsidR="00B90EF5" w:rsidRPr="00B90EF5" w:rsidRDefault="00B90EF5" w:rsidP="00B90EF5">
      <w:pPr>
        <w:spacing w:after="0" w:line="360" w:lineRule="auto"/>
        <w:ind w:left="720" w:hanging="720"/>
        <w:rPr>
          <w:rFonts w:ascii="Arial" w:hAnsi="Arial" w:cs="Arial"/>
          <w:sz w:val="24"/>
          <w:szCs w:val="24"/>
        </w:rPr>
      </w:pPr>
      <w:bookmarkStart w:id="7" w:name="_ENREF_8"/>
      <w:r w:rsidRPr="00B90EF5">
        <w:rPr>
          <w:rFonts w:ascii="Arial" w:hAnsi="Arial" w:cs="Arial"/>
          <w:b/>
          <w:sz w:val="24"/>
          <w:szCs w:val="24"/>
        </w:rPr>
        <w:t>Collar, D. C., Wainwright, P. C. and Alfaro, M. E.</w:t>
      </w:r>
      <w:r w:rsidRPr="00B90EF5">
        <w:rPr>
          <w:rFonts w:ascii="Arial" w:hAnsi="Arial" w:cs="Arial"/>
          <w:sz w:val="24"/>
          <w:szCs w:val="24"/>
        </w:rPr>
        <w:t xml:space="preserve"> (2008). Integrated diversification of locomotion and feeding in labrid fishes. </w:t>
      </w:r>
      <w:r w:rsidRPr="00B90EF5">
        <w:rPr>
          <w:rFonts w:ascii="Arial" w:hAnsi="Arial" w:cs="Arial"/>
          <w:i/>
          <w:sz w:val="24"/>
          <w:szCs w:val="24"/>
        </w:rPr>
        <w:t>Biol. Lett.</w:t>
      </w:r>
      <w:r w:rsidRPr="00B90EF5">
        <w:rPr>
          <w:rFonts w:ascii="Arial" w:hAnsi="Arial" w:cs="Arial"/>
          <w:sz w:val="24"/>
          <w:szCs w:val="24"/>
        </w:rPr>
        <w:t xml:space="preserve"> </w:t>
      </w:r>
      <w:r w:rsidRPr="00B90EF5">
        <w:rPr>
          <w:rFonts w:ascii="Arial" w:hAnsi="Arial" w:cs="Arial"/>
          <w:b/>
          <w:sz w:val="24"/>
          <w:szCs w:val="24"/>
        </w:rPr>
        <w:t>4</w:t>
      </w:r>
      <w:r w:rsidRPr="00B90EF5">
        <w:rPr>
          <w:rFonts w:ascii="Arial" w:hAnsi="Arial" w:cs="Arial"/>
          <w:sz w:val="24"/>
          <w:szCs w:val="24"/>
        </w:rPr>
        <w:t>, 84-86.</w:t>
      </w:r>
      <w:bookmarkEnd w:id="7"/>
    </w:p>
    <w:p w:rsidR="00B90EF5" w:rsidRPr="00B90EF5" w:rsidRDefault="00B90EF5" w:rsidP="00B90EF5">
      <w:pPr>
        <w:spacing w:after="0" w:line="360" w:lineRule="auto"/>
        <w:ind w:left="720" w:hanging="720"/>
        <w:rPr>
          <w:rFonts w:ascii="Arial" w:hAnsi="Arial" w:cs="Arial"/>
          <w:sz w:val="24"/>
          <w:szCs w:val="24"/>
        </w:rPr>
      </w:pPr>
      <w:bookmarkStart w:id="8" w:name="_ENREF_9"/>
      <w:r w:rsidRPr="00B90EF5">
        <w:rPr>
          <w:rFonts w:ascii="Arial" w:hAnsi="Arial" w:cs="Arial"/>
          <w:b/>
          <w:sz w:val="24"/>
          <w:szCs w:val="24"/>
        </w:rPr>
        <w:t>Danley, P. D. and Kocher, T. D.</w:t>
      </w:r>
      <w:r w:rsidRPr="00B90EF5">
        <w:rPr>
          <w:rFonts w:ascii="Arial" w:hAnsi="Arial" w:cs="Arial"/>
          <w:sz w:val="24"/>
          <w:szCs w:val="24"/>
        </w:rPr>
        <w:t xml:space="preserve"> (2001). Speciation in rapidly diverging systems: lessons from Lake Malawi. </w:t>
      </w:r>
      <w:r w:rsidRPr="00B90EF5">
        <w:rPr>
          <w:rFonts w:ascii="Arial" w:hAnsi="Arial" w:cs="Arial"/>
          <w:i/>
          <w:sz w:val="24"/>
          <w:szCs w:val="24"/>
        </w:rPr>
        <w:t>Mol. Ecol.</w:t>
      </w:r>
      <w:r w:rsidRPr="00B90EF5">
        <w:rPr>
          <w:rFonts w:ascii="Arial" w:hAnsi="Arial" w:cs="Arial"/>
          <w:sz w:val="24"/>
          <w:szCs w:val="24"/>
        </w:rPr>
        <w:t xml:space="preserve"> </w:t>
      </w:r>
      <w:r w:rsidRPr="00B90EF5">
        <w:rPr>
          <w:rFonts w:ascii="Arial" w:hAnsi="Arial" w:cs="Arial"/>
          <w:b/>
          <w:sz w:val="24"/>
          <w:szCs w:val="24"/>
        </w:rPr>
        <w:t>10</w:t>
      </w:r>
      <w:r w:rsidRPr="00B90EF5">
        <w:rPr>
          <w:rFonts w:ascii="Arial" w:hAnsi="Arial" w:cs="Arial"/>
          <w:sz w:val="24"/>
          <w:szCs w:val="24"/>
        </w:rPr>
        <w:t>, 1075-1086.</w:t>
      </w:r>
      <w:bookmarkEnd w:id="8"/>
    </w:p>
    <w:p w:rsidR="00B90EF5" w:rsidRPr="00B90EF5" w:rsidRDefault="00B90EF5" w:rsidP="00B90EF5">
      <w:pPr>
        <w:spacing w:after="0" w:line="360" w:lineRule="auto"/>
        <w:ind w:left="720" w:hanging="720"/>
        <w:rPr>
          <w:rFonts w:ascii="Arial" w:hAnsi="Arial" w:cs="Arial"/>
          <w:sz w:val="24"/>
          <w:szCs w:val="24"/>
        </w:rPr>
      </w:pPr>
      <w:bookmarkStart w:id="9" w:name="_ENREF_10"/>
      <w:r w:rsidRPr="00B90EF5">
        <w:rPr>
          <w:rFonts w:ascii="Arial" w:hAnsi="Arial" w:cs="Arial"/>
          <w:b/>
          <w:sz w:val="24"/>
          <w:szCs w:val="24"/>
        </w:rPr>
        <w:t>Duch, C. and Pfluger, H. J.</w:t>
      </w:r>
      <w:r w:rsidRPr="00B90EF5">
        <w:rPr>
          <w:rFonts w:ascii="Arial" w:hAnsi="Arial" w:cs="Arial"/>
          <w:sz w:val="24"/>
          <w:szCs w:val="24"/>
        </w:rPr>
        <w:t xml:space="preserve"> (1995). Motor patterns for horizontal and upside-down walking and vertical climbing in the locust.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198</w:t>
      </w:r>
      <w:r w:rsidRPr="00B90EF5">
        <w:rPr>
          <w:rFonts w:ascii="Arial" w:hAnsi="Arial" w:cs="Arial"/>
          <w:sz w:val="24"/>
          <w:szCs w:val="24"/>
        </w:rPr>
        <w:t>, 1963-1976.</w:t>
      </w:r>
      <w:bookmarkEnd w:id="9"/>
    </w:p>
    <w:p w:rsidR="00B90EF5" w:rsidRPr="00B90EF5" w:rsidRDefault="00B90EF5" w:rsidP="00B90EF5">
      <w:pPr>
        <w:spacing w:after="0" w:line="360" w:lineRule="auto"/>
        <w:ind w:left="720" w:hanging="720"/>
        <w:rPr>
          <w:rFonts w:ascii="Arial" w:hAnsi="Arial" w:cs="Arial"/>
          <w:sz w:val="24"/>
          <w:szCs w:val="24"/>
        </w:rPr>
      </w:pPr>
      <w:bookmarkStart w:id="10" w:name="_ENREF_11"/>
      <w:r w:rsidRPr="00B90EF5">
        <w:rPr>
          <w:rFonts w:ascii="Arial" w:hAnsi="Arial" w:cs="Arial"/>
          <w:b/>
          <w:sz w:val="24"/>
          <w:szCs w:val="24"/>
        </w:rPr>
        <w:t>Dudley, R. and Yanoviak, S. P.</w:t>
      </w:r>
      <w:r w:rsidRPr="00B90EF5">
        <w:rPr>
          <w:rFonts w:ascii="Arial" w:hAnsi="Arial" w:cs="Arial"/>
          <w:sz w:val="24"/>
          <w:szCs w:val="24"/>
        </w:rPr>
        <w:t xml:space="preserve"> (2011). Animal aloft: the origins of aerial behavior and flight. </w:t>
      </w:r>
      <w:r w:rsidRPr="00B90EF5">
        <w:rPr>
          <w:rFonts w:ascii="Arial" w:hAnsi="Arial" w:cs="Arial"/>
          <w:i/>
          <w:sz w:val="24"/>
          <w:szCs w:val="24"/>
        </w:rPr>
        <w:t>Integr. Comp. Biol.</w:t>
      </w:r>
      <w:r w:rsidRPr="00B90EF5">
        <w:rPr>
          <w:rFonts w:ascii="Arial" w:hAnsi="Arial" w:cs="Arial"/>
          <w:sz w:val="24"/>
          <w:szCs w:val="24"/>
        </w:rPr>
        <w:t xml:space="preserve"> </w:t>
      </w:r>
      <w:r w:rsidRPr="00B90EF5">
        <w:rPr>
          <w:rFonts w:ascii="Arial" w:hAnsi="Arial" w:cs="Arial"/>
          <w:b/>
          <w:sz w:val="24"/>
          <w:szCs w:val="24"/>
        </w:rPr>
        <w:t>51</w:t>
      </w:r>
      <w:r w:rsidRPr="00B90EF5">
        <w:rPr>
          <w:rFonts w:ascii="Arial" w:hAnsi="Arial" w:cs="Arial"/>
          <w:sz w:val="24"/>
          <w:szCs w:val="24"/>
        </w:rPr>
        <w:t>, 926-936.</w:t>
      </w:r>
      <w:bookmarkEnd w:id="10"/>
    </w:p>
    <w:p w:rsidR="00B90EF5" w:rsidRPr="00B90EF5" w:rsidRDefault="00B90EF5" w:rsidP="00B90EF5">
      <w:pPr>
        <w:spacing w:after="0" w:line="360" w:lineRule="auto"/>
        <w:ind w:left="720" w:hanging="720"/>
        <w:rPr>
          <w:rFonts w:ascii="Arial" w:hAnsi="Arial" w:cs="Arial"/>
          <w:sz w:val="24"/>
          <w:szCs w:val="24"/>
        </w:rPr>
      </w:pPr>
      <w:bookmarkStart w:id="11" w:name="_ENREF_12"/>
      <w:r w:rsidRPr="00B90EF5">
        <w:rPr>
          <w:rFonts w:ascii="Arial" w:hAnsi="Arial" w:cs="Arial"/>
          <w:b/>
          <w:sz w:val="24"/>
          <w:szCs w:val="24"/>
        </w:rPr>
        <w:t>Ferry, L. A., Konow, N. and Gibb, A. C.</w:t>
      </w:r>
      <w:r w:rsidRPr="00B90EF5">
        <w:rPr>
          <w:rFonts w:ascii="Arial" w:hAnsi="Arial" w:cs="Arial"/>
          <w:sz w:val="24"/>
          <w:szCs w:val="24"/>
        </w:rPr>
        <w:t xml:space="preserve"> (2012). Are kissing gourami specialized for substrate-feeding? Prey capture kinematics of </w:t>
      </w:r>
      <w:r w:rsidRPr="00B90EF5">
        <w:rPr>
          <w:rFonts w:ascii="Arial" w:hAnsi="Arial" w:cs="Arial"/>
          <w:i/>
          <w:sz w:val="24"/>
          <w:szCs w:val="24"/>
        </w:rPr>
        <w:t xml:space="preserve">Helostoma temminckii </w:t>
      </w:r>
      <w:r w:rsidRPr="00B90EF5">
        <w:rPr>
          <w:rFonts w:ascii="Arial" w:hAnsi="Arial" w:cs="Arial"/>
          <w:sz w:val="24"/>
          <w:szCs w:val="24"/>
        </w:rPr>
        <w:t xml:space="preserve">and other anabantoid fishes. </w:t>
      </w:r>
      <w:r w:rsidRPr="00B90EF5">
        <w:rPr>
          <w:rFonts w:ascii="Arial" w:hAnsi="Arial" w:cs="Arial"/>
          <w:i/>
          <w:sz w:val="24"/>
          <w:szCs w:val="24"/>
        </w:rPr>
        <w:t>J. Exp. Zool. Part A.</w:t>
      </w:r>
      <w:r w:rsidRPr="00B90EF5">
        <w:rPr>
          <w:rFonts w:ascii="Arial" w:hAnsi="Arial" w:cs="Arial"/>
          <w:sz w:val="24"/>
          <w:szCs w:val="24"/>
        </w:rPr>
        <w:t xml:space="preserve"> </w:t>
      </w:r>
      <w:r w:rsidRPr="00B90EF5">
        <w:rPr>
          <w:rFonts w:ascii="Arial" w:hAnsi="Arial" w:cs="Arial"/>
          <w:b/>
          <w:sz w:val="24"/>
          <w:szCs w:val="24"/>
        </w:rPr>
        <w:t>317A</w:t>
      </w:r>
      <w:r w:rsidRPr="00B90EF5">
        <w:rPr>
          <w:rFonts w:ascii="Arial" w:hAnsi="Arial" w:cs="Arial"/>
          <w:sz w:val="24"/>
          <w:szCs w:val="24"/>
        </w:rPr>
        <w:t>, 571-579.</w:t>
      </w:r>
      <w:bookmarkEnd w:id="11"/>
    </w:p>
    <w:p w:rsidR="00B90EF5" w:rsidRPr="00B90EF5" w:rsidRDefault="00B90EF5" w:rsidP="00B90EF5">
      <w:pPr>
        <w:spacing w:after="0" w:line="360" w:lineRule="auto"/>
        <w:ind w:left="720" w:hanging="720"/>
        <w:rPr>
          <w:rFonts w:ascii="Arial" w:hAnsi="Arial" w:cs="Arial"/>
          <w:sz w:val="24"/>
          <w:szCs w:val="24"/>
        </w:rPr>
      </w:pPr>
      <w:bookmarkStart w:id="12" w:name="_ENREF_13"/>
      <w:r w:rsidRPr="00B90EF5">
        <w:rPr>
          <w:rFonts w:ascii="Arial" w:hAnsi="Arial" w:cs="Arial"/>
          <w:b/>
          <w:sz w:val="24"/>
          <w:szCs w:val="24"/>
        </w:rPr>
        <w:lastRenderedPageBreak/>
        <w:t>Foster, K. L. and Higham, T. E.</w:t>
      </w:r>
      <w:r w:rsidRPr="00B90EF5">
        <w:rPr>
          <w:rFonts w:ascii="Arial" w:hAnsi="Arial" w:cs="Arial"/>
          <w:sz w:val="24"/>
          <w:szCs w:val="24"/>
        </w:rPr>
        <w:t xml:space="preserve"> (2012). How forelimb and hindlimb function changes with incline and perch diameter in the green anole, </w:t>
      </w:r>
      <w:r w:rsidRPr="00B90EF5">
        <w:rPr>
          <w:rFonts w:ascii="Arial" w:hAnsi="Arial" w:cs="Arial"/>
          <w:i/>
          <w:sz w:val="24"/>
          <w:szCs w:val="24"/>
        </w:rPr>
        <w:t>Anolis carolinensis</w:t>
      </w:r>
      <w:r w:rsidRPr="00B90EF5">
        <w:rPr>
          <w:rFonts w:ascii="Arial" w:hAnsi="Arial" w:cs="Arial"/>
          <w:sz w:val="24"/>
          <w:szCs w:val="24"/>
        </w:rPr>
        <w:t xml:space="preserve">.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215</w:t>
      </w:r>
      <w:r w:rsidRPr="00B90EF5">
        <w:rPr>
          <w:rFonts w:ascii="Arial" w:hAnsi="Arial" w:cs="Arial"/>
          <w:sz w:val="24"/>
          <w:szCs w:val="24"/>
        </w:rPr>
        <w:t>, 2288-2300.</w:t>
      </w:r>
      <w:bookmarkEnd w:id="12"/>
    </w:p>
    <w:p w:rsidR="00B90EF5" w:rsidRPr="00B90EF5" w:rsidRDefault="00B90EF5" w:rsidP="00B90EF5">
      <w:pPr>
        <w:spacing w:after="0" w:line="360" w:lineRule="auto"/>
        <w:ind w:left="720" w:hanging="720"/>
        <w:rPr>
          <w:rFonts w:ascii="Arial" w:hAnsi="Arial" w:cs="Arial"/>
          <w:sz w:val="24"/>
          <w:szCs w:val="24"/>
        </w:rPr>
      </w:pPr>
      <w:bookmarkStart w:id="13" w:name="_ENREF_14"/>
      <w:r w:rsidRPr="00B90EF5">
        <w:rPr>
          <w:rFonts w:ascii="Arial" w:hAnsi="Arial" w:cs="Arial"/>
          <w:b/>
          <w:sz w:val="24"/>
          <w:szCs w:val="24"/>
        </w:rPr>
        <w:t>Fryer, G. and Iles, T. D.</w:t>
      </w:r>
      <w:r w:rsidRPr="00B90EF5">
        <w:rPr>
          <w:rFonts w:ascii="Arial" w:hAnsi="Arial" w:cs="Arial"/>
          <w:sz w:val="24"/>
          <w:szCs w:val="24"/>
        </w:rPr>
        <w:t xml:space="preserve"> (1972). The cichlid fishes of the great lakes of Africa. Their biology and evolution: Oliver &amp; Boyd, Edinburgh.</w:t>
      </w:r>
      <w:bookmarkEnd w:id="13"/>
    </w:p>
    <w:p w:rsidR="00B90EF5" w:rsidRPr="00B90EF5" w:rsidRDefault="00B90EF5" w:rsidP="00B90EF5">
      <w:pPr>
        <w:spacing w:after="0" w:line="360" w:lineRule="auto"/>
        <w:ind w:left="720" w:hanging="720"/>
        <w:rPr>
          <w:rFonts w:ascii="Arial" w:hAnsi="Arial" w:cs="Arial"/>
          <w:sz w:val="24"/>
          <w:szCs w:val="24"/>
        </w:rPr>
      </w:pPr>
      <w:bookmarkStart w:id="14" w:name="_ENREF_15"/>
      <w:r w:rsidRPr="00B90EF5">
        <w:rPr>
          <w:rFonts w:ascii="Arial" w:hAnsi="Arial" w:cs="Arial"/>
          <w:b/>
          <w:sz w:val="24"/>
          <w:szCs w:val="24"/>
        </w:rPr>
        <w:t>Fujiwara, S., Endo, H. and Hutchinson, J. R.</w:t>
      </w:r>
      <w:r w:rsidRPr="00B90EF5">
        <w:rPr>
          <w:rFonts w:ascii="Arial" w:hAnsi="Arial" w:cs="Arial"/>
          <w:sz w:val="24"/>
          <w:szCs w:val="24"/>
        </w:rPr>
        <w:t xml:space="preserve"> (2011). Topsy-turvy locomotion: biomechanical specializations of the elbow in suspended quadrupeds reflect inverted gravitational constraints. </w:t>
      </w:r>
      <w:r w:rsidRPr="00B90EF5">
        <w:rPr>
          <w:rFonts w:ascii="Arial" w:hAnsi="Arial" w:cs="Arial"/>
          <w:i/>
          <w:sz w:val="24"/>
          <w:szCs w:val="24"/>
        </w:rPr>
        <w:t>J. Anat.</w:t>
      </w:r>
      <w:r w:rsidRPr="00B90EF5">
        <w:rPr>
          <w:rFonts w:ascii="Arial" w:hAnsi="Arial" w:cs="Arial"/>
          <w:sz w:val="24"/>
          <w:szCs w:val="24"/>
        </w:rPr>
        <w:t xml:space="preserve"> </w:t>
      </w:r>
      <w:r w:rsidRPr="00B90EF5">
        <w:rPr>
          <w:rFonts w:ascii="Arial" w:hAnsi="Arial" w:cs="Arial"/>
          <w:b/>
          <w:sz w:val="24"/>
          <w:szCs w:val="24"/>
        </w:rPr>
        <w:t>219</w:t>
      </w:r>
      <w:r w:rsidRPr="00B90EF5">
        <w:rPr>
          <w:rFonts w:ascii="Arial" w:hAnsi="Arial" w:cs="Arial"/>
          <w:sz w:val="24"/>
          <w:szCs w:val="24"/>
        </w:rPr>
        <w:t>, 176-191.</w:t>
      </w:r>
      <w:bookmarkEnd w:id="14"/>
    </w:p>
    <w:p w:rsidR="00B90EF5" w:rsidRPr="00B90EF5" w:rsidRDefault="00B90EF5" w:rsidP="00B90EF5">
      <w:pPr>
        <w:spacing w:after="0" w:line="360" w:lineRule="auto"/>
        <w:ind w:left="720" w:hanging="720"/>
        <w:rPr>
          <w:rFonts w:ascii="Arial" w:hAnsi="Arial" w:cs="Arial"/>
          <w:sz w:val="24"/>
          <w:szCs w:val="24"/>
        </w:rPr>
      </w:pPr>
      <w:bookmarkStart w:id="15" w:name="_ENREF_16"/>
      <w:r w:rsidRPr="00B90EF5">
        <w:rPr>
          <w:rFonts w:ascii="Arial" w:hAnsi="Arial" w:cs="Arial"/>
          <w:b/>
          <w:sz w:val="24"/>
          <w:szCs w:val="24"/>
        </w:rPr>
        <w:t>Genner, M. J. and Turner, G. F.</w:t>
      </w:r>
      <w:r w:rsidRPr="00B90EF5">
        <w:rPr>
          <w:rFonts w:ascii="Arial" w:hAnsi="Arial" w:cs="Arial"/>
          <w:sz w:val="24"/>
          <w:szCs w:val="24"/>
        </w:rPr>
        <w:t xml:space="preserve"> (2005). The mbuna cichlids of Lake Malawi: a model for rapid speciation and adaptive radiation. </w:t>
      </w:r>
      <w:r w:rsidRPr="00B90EF5">
        <w:rPr>
          <w:rFonts w:ascii="Arial" w:hAnsi="Arial" w:cs="Arial"/>
          <w:i/>
          <w:sz w:val="24"/>
          <w:szCs w:val="24"/>
        </w:rPr>
        <w:t>Fish. Fish.</w:t>
      </w:r>
      <w:r w:rsidRPr="00B90EF5">
        <w:rPr>
          <w:rFonts w:ascii="Arial" w:hAnsi="Arial" w:cs="Arial"/>
          <w:sz w:val="24"/>
          <w:szCs w:val="24"/>
        </w:rPr>
        <w:t xml:space="preserve"> </w:t>
      </w:r>
      <w:r w:rsidRPr="00B90EF5">
        <w:rPr>
          <w:rFonts w:ascii="Arial" w:hAnsi="Arial" w:cs="Arial"/>
          <w:b/>
          <w:sz w:val="24"/>
          <w:szCs w:val="24"/>
        </w:rPr>
        <w:t>6</w:t>
      </w:r>
      <w:r w:rsidRPr="00B90EF5">
        <w:rPr>
          <w:rFonts w:ascii="Arial" w:hAnsi="Arial" w:cs="Arial"/>
          <w:sz w:val="24"/>
          <w:szCs w:val="24"/>
        </w:rPr>
        <w:t>, 1-34.</w:t>
      </w:r>
      <w:bookmarkEnd w:id="15"/>
    </w:p>
    <w:p w:rsidR="00B90EF5" w:rsidRPr="00B90EF5" w:rsidRDefault="00B90EF5" w:rsidP="00B90EF5">
      <w:pPr>
        <w:spacing w:after="0" w:line="360" w:lineRule="auto"/>
        <w:ind w:left="720" w:hanging="720"/>
        <w:rPr>
          <w:rFonts w:ascii="Arial" w:hAnsi="Arial" w:cs="Arial"/>
          <w:sz w:val="24"/>
          <w:szCs w:val="24"/>
        </w:rPr>
      </w:pPr>
      <w:bookmarkStart w:id="16" w:name="_ENREF_17"/>
      <w:r w:rsidRPr="00B90EF5">
        <w:rPr>
          <w:rFonts w:ascii="Arial" w:hAnsi="Arial" w:cs="Arial"/>
          <w:b/>
          <w:sz w:val="24"/>
          <w:szCs w:val="24"/>
        </w:rPr>
        <w:t>Genner, M. J., Turner, G. F. and Hawkins, S. J.</w:t>
      </w:r>
      <w:r w:rsidRPr="00B90EF5">
        <w:rPr>
          <w:rFonts w:ascii="Arial" w:hAnsi="Arial" w:cs="Arial"/>
          <w:sz w:val="24"/>
          <w:szCs w:val="24"/>
        </w:rPr>
        <w:t xml:space="preserve"> (1999). Foraging of rocky habitat cichlid fishes in Lake Malawi: coexistence through niche partitioning? </w:t>
      </w:r>
      <w:r w:rsidRPr="00B90EF5">
        <w:rPr>
          <w:rFonts w:ascii="Arial" w:hAnsi="Arial" w:cs="Arial"/>
          <w:i/>
          <w:sz w:val="24"/>
          <w:szCs w:val="24"/>
        </w:rPr>
        <w:t>Oecologia</w:t>
      </w:r>
      <w:r w:rsidRPr="00B90EF5">
        <w:rPr>
          <w:rFonts w:ascii="Arial" w:hAnsi="Arial" w:cs="Arial"/>
          <w:sz w:val="24"/>
          <w:szCs w:val="24"/>
        </w:rPr>
        <w:t xml:space="preserve"> </w:t>
      </w:r>
      <w:r w:rsidRPr="00B90EF5">
        <w:rPr>
          <w:rFonts w:ascii="Arial" w:hAnsi="Arial" w:cs="Arial"/>
          <w:b/>
          <w:sz w:val="24"/>
          <w:szCs w:val="24"/>
        </w:rPr>
        <w:t>121</w:t>
      </w:r>
      <w:r w:rsidRPr="00B90EF5">
        <w:rPr>
          <w:rFonts w:ascii="Arial" w:hAnsi="Arial" w:cs="Arial"/>
          <w:sz w:val="24"/>
          <w:szCs w:val="24"/>
        </w:rPr>
        <w:t>, 283-292.</w:t>
      </w:r>
      <w:bookmarkEnd w:id="16"/>
    </w:p>
    <w:p w:rsidR="00B90EF5" w:rsidRPr="00B90EF5" w:rsidRDefault="00B90EF5" w:rsidP="00B90EF5">
      <w:pPr>
        <w:spacing w:after="0" w:line="360" w:lineRule="auto"/>
        <w:ind w:left="720" w:hanging="720"/>
        <w:rPr>
          <w:rFonts w:ascii="Arial" w:hAnsi="Arial" w:cs="Arial"/>
          <w:sz w:val="24"/>
          <w:szCs w:val="24"/>
        </w:rPr>
      </w:pPr>
      <w:bookmarkStart w:id="17" w:name="_ENREF_18"/>
      <w:r w:rsidRPr="00B90EF5">
        <w:rPr>
          <w:rFonts w:ascii="Arial" w:hAnsi="Arial" w:cs="Arial"/>
          <w:b/>
          <w:sz w:val="24"/>
          <w:szCs w:val="24"/>
        </w:rPr>
        <w:t>Hamlet, C., Santhanakrishnan, A. and Miller, L. A.</w:t>
      </w:r>
      <w:r w:rsidRPr="00B90EF5">
        <w:rPr>
          <w:rFonts w:ascii="Arial" w:hAnsi="Arial" w:cs="Arial"/>
          <w:sz w:val="24"/>
          <w:szCs w:val="24"/>
        </w:rPr>
        <w:t xml:space="preserve"> (2011). A numerical study of the effects of bell pulsation dynamics and oral arms on the exchange currents generated by the upside-down jellyfish </w:t>
      </w:r>
      <w:r w:rsidRPr="00B90EF5">
        <w:rPr>
          <w:rFonts w:ascii="Arial" w:hAnsi="Arial" w:cs="Arial"/>
          <w:i/>
          <w:sz w:val="24"/>
          <w:szCs w:val="24"/>
        </w:rPr>
        <w:t>Cassiopea xamachana</w:t>
      </w:r>
      <w:r w:rsidRPr="00B90EF5">
        <w:rPr>
          <w:rFonts w:ascii="Arial" w:hAnsi="Arial" w:cs="Arial"/>
          <w:sz w:val="24"/>
          <w:szCs w:val="24"/>
        </w:rPr>
        <w:t xml:space="preserve">.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214</w:t>
      </w:r>
      <w:r w:rsidRPr="00B90EF5">
        <w:rPr>
          <w:rFonts w:ascii="Arial" w:hAnsi="Arial" w:cs="Arial"/>
          <w:sz w:val="24"/>
          <w:szCs w:val="24"/>
        </w:rPr>
        <w:t>, 1911-1921.</w:t>
      </w:r>
      <w:bookmarkEnd w:id="17"/>
    </w:p>
    <w:p w:rsidR="00B90EF5" w:rsidRPr="00B90EF5" w:rsidRDefault="00B90EF5" w:rsidP="00B90EF5">
      <w:pPr>
        <w:spacing w:after="0" w:line="360" w:lineRule="auto"/>
        <w:ind w:left="720" w:hanging="720"/>
        <w:rPr>
          <w:rFonts w:ascii="Arial" w:hAnsi="Arial" w:cs="Arial"/>
          <w:sz w:val="24"/>
          <w:szCs w:val="24"/>
        </w:rPr>
      </w:pPr>
      <w:bookmarkStart w:id="18" w:name="_ENREF_19"/>
      <w:r w:rsidRPr="00B90EF5">
        <w:rPr>
          <w:rFonts w:ascii="Arial" w:hAnsi="Arial" w:cs="Arial"/>
          <w:b/>
          <w:sz w:val="24"/>
          <w:szCs w:val="24"/>
        </w:rPr>
        <w:t>Herrel, A., Verstappen, M. and De Vree, F.</w:t>
      </w:r>
      <w:r w:rsidRPr="00B90EF5">
        <w:rPr>
          <w:rFonts w:ascii="Arial" w:hAnsi="Arial" w:cs="Arial"/>
          <w:sz w:val="24"/>
          <w:szCs w:val="24"/>
        </w:rPr>
        <w:t xml:space="preserve"> (1999). Modulatory complexity of the feeding repertoire in scincid lizards. </w:t>
      </w:r>
      <w:r w:rsidRPr="00B90EF5">
        <w:rPr>
          <w:rFonts w:ascii="Arial" w:hAnsi="Arial" w:cs="Arial"/>
          <w:i/>
          <w:sz w:val="24"/>
          <w:szCs w:val="24"/>
        </w:rPr>
        <w:t>J. Comp. Physiol. (A)</w:t>
      </w:r>
      <w:r w:rsidRPr="00B90EF5">
        <w:rPr>
          <w:rFonts w:ascii="Arial" w:hAnsi="Arial" w:cs="Arial"/>
          <w:sz w:val="24"/>
          <w:szCs w:val="24"/>
        </w:rPr>
        <w:t xml:space="preserve"> </w:t>
      </w:r>
      <w:r w:rsidRPr="00B90EF5">
        <w:rPr>
          <w:rFonts w:ascii="Arial" w:hAnsi="Arial" w:cs="Arial"/>
          <w:b/>
          <w:sz w:val="24"/>
          <w:szCs w:val="24"/>
        </w:rPr>
        <w:t>184</w:t>
      </w:r>
      <w:r w:rsidRPr="00B90EF5">
        <w:rPr>
          <w:rFonts w:ascii="Arial" w:hAnsi="Arial" w:cs="Arial"/>
          <w:sz w:val="24"/>
          <w:szCs w:val="24"/>
        </w:rPr>
        <w:t>, 501-518.</w:t>
      </w:r>
      <w:bookmarkEnd w:id="18"/>
    </w:p>
    <w:p w:rsidR="00B90EF5" w:rsidRPr="00B90EF5" w:rsidRDefault="00B90EF5" w:rsidP="00B90EF5">
      <w:pPr>
        <w:spacing w:after="0" w:line="360" w:lineRule="auto"/>
        <w:ind w:left="720" w:hanging="720"/>
        <w:rPr>
          <w:rFonts w:ascii="Arial" w:hAnsi="Arial" w:cs="Arial"/>
          <w:sz w:val="24"/>
          <w:szCs w:val="24"/>
        </w:rPr>
      </w:pPr>
      <w:bookmarkStart w:id="19" w:name="_ENREF_20"/>
      <w:r w:rsidRPr="00B90EF5">
        <w:rPr>
          <w:rFonts w:ascii="Arial" w:hAnsi="Arial" w:cs="Arial"/>
          <w:b/>
          <w:sz w:val="24"/>
          <w:szCs w:val="24"/>
        </w:rPr>
        <w:t>Higham, T. E.</w:t>
      </w:r>
      <w:r w:rsidRPr="00B90EF5">
        <w:rPr>
          <w:rFonts w:ascii="Arial" w:hAnsi="Arial" w:cs="Arial"/>
          <w:sz w:val="24"/>
          <w:szCs w:val="24"/>
        </w:rPr>
        <w:t xml:space="preserve"> (2007). The integration of locomotion and prey capture in vertebrates: morphology, behavior, and performance. </w:t>
      </w:r>
      <w:r w:rsidRPr="00B90EF5">
        <w:rPr>
          <w:rFonts w:ascii="Arial" w:hAnsi="Arial" w:cs="Arial"/>
          <w:i/>
          <w:sz w:val="24"/>
          <w:szCs w:val="24"/>
        </w:rPr>
        <w:t>Integr. Comp. Biol.</w:t>
      </w:r>
      <w:r w:rsidRPr="00B90EF5">
        <w:rPr>
          <w:rFonts w:ascii="Arial" w:hAnsi="Arial" w:cs="Arial"/>
          <w:sz w:val="24"/>
          <w:szCs w:val="24"/>
        </w:rPr>
        <w:t xml:space="preserve"> </w:t>
      </w:r>
      <w:r w:rsidRPr="00B90EF5">
        <w:rPr>
          <w:rFonts w:ascii="Arial" w:hAnsi="Arial" w:cs="Arial"/>
          <w:b/>
          <w:sz w:val="24"/>
          <w:szCs w:val="24"/>
        </w:rPr>
        <w:t>47</w:t>
      </w:r>
      <w:r w:rsidRPr="00B90EF5">
        <w:rPr>
          <w:rFonts w:ascii="Arial" w:hAnsi="Arial" w:cs="Arial"/>
          <w:sz w:val="24"/>
          <w:szCs w:val="24"/>
        </w:rPr>
        <w:t>, 82-95.</w:t>
      </w:r>
      <w:bookmarkEnd w:id="19"/>
    </w:p>
    <w:p w:rsidR="00B90EF5" w:rsidRPr="00B90EF5" w:rsidRDefault="00B90EF5" w:rsidP="00B90EF5">
      <w:pPr>
        <w:spacing w:after="0" w:line="360" w:lineRule="auto"/>
        <w:ind w:left="720" w:hanging="720"/>
        <w:rPr>
          <w:rFonts w:ascii="Arial" w:hAnsi="Arial" w:cs="Arial"/>
          <w:sz w:val="24"/>
          <w:szCs w:val="24"/>
        </w:rPr>
      </w:pPr>
      <w:bookmarkStart w:id="20" w:name="_ENREF_21"/>
      <w:r w:rsidRPr="00B90EF5">
        <w:rPr>
          <w:rFonts w:ascii="Arial" w:hAnsi="Arial" w:cs="Arial"/>
          <w:b/>
          <w:sz w:val="24"/>
          <w:szCs w:val="24"/>
        </w:rPr>
        <w:t>Higham, T. E. and Jayne, B. C.</w:t>
      </w:r>
      <w:r w:rsidRPr="00B90EF5">
        <w:rPr>
          <w:rFonts w:ascii="Arial" w:hAnsi="Arial" w:cs="Arial"/>
          <w:sz w:val="24"/>
          <w:szCs w:val="24"/>
        </w:rPr>
        <w:t xml:space="preserve"> (2004). In vivo muscle activity in the hindlimb of the arboreal lizard, </w:t>
      </w:r>
      <w:r w:rsidRPr="00B90EF5">
        <w:rPr>
          <w:rFonts w:ascii="Arial" w:hAnsi="Arial" w:cs="Arial"/>
          <w:i/>
          <w:sz w:val="24"/>
          <w:szCs w:val="24"/>
        </w:rPr>
        <w:t>Chamaeleo calyptratus</w:t>
      </w:r>
      <w:r w:rsidRPr="00B90EF5">
        <w:rPr>
          <w:rFonts w:ascii="Arial" w:hAnsi="Arial" w:cs="Arial"/>
          <w:sz w:val="24"/>
          <w:szCs w:val="24"/>
        </w:rPr>
        <w:t xml:space="preserve">: general patterns and the effects of incline.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207</w:t>
      </w:r>
      <w:r w:rsidRPr="00B90EF5">
        <w:rPr>
          <w:rFonts w:ascii="Arial" w:hAnsi="Arial" w:cs="Arial"/>
          <w:sz w:val="24"/>
          <w:szCs w:val="24"/>
        </w:rPr>
        <w:t>, 249-261.</w:t>
      </w:r>
      <w:bookmarkEnd w:id="20"/>
    </w:p>
    <w:p w:rsidR="00B90EF5" w:rsidRPr="00B90EF5" w:rsidRDefault="00B90EF5" w:rsidP="00B90EF5">
      <w:pPr>
        <w:spacing w:after="0" w:line="360" w:lineRule="auto"/>
        <w:ind w:left="720" w:hanging="720"/>
        <w:rPr>
          <w:rFonts w:ascii="Arial" w:hAnsi="Arial" w:cs="Arial"/>
          <w:sz w:val="24"/>
          <w:szCs w:val="24"/>
        </w:rPr>
      </w:pPr>
      <w:bookmarkStart w:id="21" w:name="_ENREF_22"/>
      <w:r w:rsidRPr="00B90EF5">
        <w:rPr>
          <w:rFonts w:ascii="Arial" w:hAnsi="Arial" w:cs="Arial"/>
          <w:b/>
          <w:sz w:val="24"/>
          <w:szCs w:val="24"/>
        </w:rPr>
        <w:t>Higham, T. E., Davenport, M. S. and Jayne, B. C.</w:t>
      </w:r>
      <w:r w:rsidRPr="00B90EF5">
        <w:rPr>
          <w:rFonts w:ascii="Arial" w:hAnsi="Arial" w:cs="Arial"/>
          <w:sz w:val="24"/>
          <w:szCs w:val="24"/>
        </w:rPr>
        <w:t xml:space="preserve"> (2001). Maneuvering in an arboreal habitat: the effects of turning angle on the locomotion of three sympatric ecomorphs of </w:t>
      </w:r>
      <w:r w:rsidRPr="00B90EF5">
        <w:rPr>
          <w:rFonts w:ascii="Arial" w:hAnsi="Arial" w:cs="Arial"/>
          <w:i/>
          <w:sz w:val="24"/>
          <w:szCs w:val="24"/>
        </w:rPr>
        <w:t>Anolis</w:t>
      </w:r>
      <w:r w:rsidRPr="00B90EF5">
        <w:rPr>
          <w:rFonts w:ascii="Arial" w:hAnsi="Arial" w:cs="Arial"/>
          <w:sz w:val="24"/>
          <w:szCs w:val="24"/>
        </w:rPr>
        <w:t xml:space="preserve"> lizards.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204</w:t>
      </w:r>
      <w:r w:rsidRPr="00B90EF5">
        <w:rPr>
          <w:rFonts w:ascii="Arial" w:hAnsi="Arial" w:cs="Arial"/>
          <w:sz w:val="24"/>
          <w:szCs w:val="24"/>
        </w:rPr>
        <w:t>, 4141-4155.</w:t>
      </w:r>
      <w:bookmarkEnd w:id="21"/>
    </w:p>
    <w:p w:rsidR="00B90EF5" w:rsidRPr="00B90EF5" w:rsidRDefault="00B90EF5" w:rsidP="00B90EF5">
      <w:pPr>
        <w:spacing w:after="0" w:line="360" w:lineRule="auto"/>
        <w:ind w:left="720" w:hanging="720"/>
        <w:rPr>
          <w:rFonts w:ascii="Arial" w:hAnsi="Arial" w:cs="Arial"/>
          <w:sz w:val="24"/>
          <w:szCs w:val="24"/>
        </w:rPr>
      </w:pPr>
      <w:bookmarkStart w:id="22" w:name="_ENREF_23"/>
      <w:r w:rsidRPr="00B90EF5">
        <w:rPr>
          <w:rFonts w:ascii="Arial" w:hAnsi="Arial" w:cs="Arial"/>
          <w:b/>
          <w:sz w:val="24"/>
          <w:szCs w:val="24"/>
        </w:rPr>
        <w:t>Higham, T. E., Hulsey, C. D., Rican, O. and Carroll, A. M.</w:t>
      </w:r>
      <w:r w:rsidRPr="00B90EF5">
        <w:rPr>
          <w:rFonts w:ascii="Arial" w:hAnsi="Arial" w:cs="Arial"/>
          <w:sz w:val="24"/>
          <w:szCs w:val="24"/>
        </w:rPr>
        <w:t xml:space="preserve"> (2007). Feeding with speed: prey capture evolution in cichilds. </w:t>
      </w:r>
      <w:r w:rsidRPr="00B90EF5">
        <w:rPr>
          <w:rFonts w:ascii="Arial" w:hAnsi="Arial" w:cs="Arial"/>
          <w:i/>
          <w:sz w:val="24"/>
          <w:szCs w:val="24"/>
        </w:rPr>
        <w:t>J. Evol. Biol.</w:t>
      </w:r>
      <w:r w:rsidRPr="00B90EF5">
        <w:rPr>
          <w:rFonts w:ascii="Arial" w:hAnsi="Arial" w:cs="Arial"/>
          <w:sz w:val="24"/>
          <w:szCs w:val="24"/>
        </w:rPr>
        <w:t xml:space="preserve"> </w:t>
      </w:r>
      <w:r w:rsidRPr="00B90EF5">
        <w:rPr>
          <w:rFonts w:ascii="Arial" w:hAnsi="Arial" w:cs="Arial"/>
          <w:b/>
          <w:sz w:val="24"/>
          <w:szCs w:val="24"/>
        </w:rPr>
        <w:t>20</w:t>
      </w:r>
      <w:r w:rsidRPr="00B90EF5">
        <w:rPr>
          <w:rFonts w:ascii="Arial" w:hAnsi="Arial" w:cs="Arial"/>
          <w:sz w:val="24"/>
          <w:szCs w:val="24"/>
        </w:rPr>
        <w:t>, 70-78.</w:t>
      </w:r>
      <w:bookmarkEnd w:id="22"/>
    </w:p>
    <w:p w:rsidR="00B90EF5" w:rsidRPr="00B90EF5" w:rsidRDefault="00B90EF5" w:rsidP="00B90EF5">
      <w:pPr>
        <w:spacing w:after="0" w:line="360" w:lineRule="auto"/>
        <w:ind w:left="720" w:hanging="720"/>
        <w:rPr>
          <w:rFonts w:ascii="Arial" w:hAnsi="Arial" w:cs="Arial"/>
          <w:sz w:val="24"/>
          <w:szCs w:val="24"/>
        </w:rPr>
      </w:pPr>
      <w:bookmarkStart w:id="23" w:name="_ENREF_24"/>
      <w:r w:rsidRPr="00B90EF5">
        <w:rPr>
          <w:rFonts w:ascii="Arial" w:hAnsi="Arial" w:cs="Arial"/>
          <w:b/>
          <w:sz w:val="24"/>
          <w:szCs w:val="24"/>
        </w:rPr>
        <w:lastRenderedPageBreak/>
        <w:t>Holzberg, S.</w:t>
      </w:r>
      <w:r w:rsidRPr="00B90EF5">
        <w:rPr>
          <w:rFonts w:ascii="Arial" w:hAnsi="Arial" w:cs="Arial"/>
          <w:sz w:val="24"/>
          <w:szCs w:val="24"/>
        </w:rPr>
        <w:t xml:space="preserve"> (1978). Field and laboratory study of behavior and ecology of </w:t>
      </w:r>
      <w:r w:rsidRPr="00B90EF5">
        <w:rPr>
          <w:rFonts w:ascii="Arial" w:hAnsi="Arial" w:cs="Arial"/>
          <w:i/>
          <w:sz w:val="24"/>
          <w:szCs w:val="24"/>
        </w:rPr>
        <w:t>Pseudotropheus zebra</w:t>
      </w:r>
      <w:r w:rsidRPr="00B90EF5">
        <w:rPr>
          <w:rFonts w:ascii="Arial" w:hAnsi="Arial" w:cs="Arial"/>
          <w:sz w:val="24"/>
          <w:szCs w:val="24"/>
        </w:rPr>
        <w:t xml:space="preserve"> (Boulenger), an endemic cichlid of Lake Malawi (Pisces-Cichlidae). </w:t>
      </w:r>
      <w:r w:rsidRPr="00B90EF5">
        <w:rPr>
          <w:rFonts w:ascii="Arial" w:hAnsi="Arial" w:cs="Arial"/>
          <w:i/>
          <w:sz w:val="24"/>
          <w:szCs w:val="24"/>
        </w:rPr>
        <w:t>J. Zoolog. Syst. Evol. Res.</w:t>
      </w:r>
      <w:r w:rsidRPr="00B90EF5">
        <w:rPr>
          <w:rFonts w:ascii="Arial" w:hAnsi="Arial" w:cs="Arial"/>
          <w:sz w:val="24"/>
          <w:szCs w:val="24"/>
        </w:rPr>
        <w:t xml:space="preserve"> </w:t>
      </w:r>
      <w:r w:rsidRPr="00B90EF5">
        <w:rPr>
          <w:rFonts w:ascii="Arial" w:hAnsi="Arial" w:cs="Arial"/>
          <w:b/>
          <w:sz w:val="24"/>
          <w:szCs w:val="24"/>
        </w:rPr>
        <w:t>16</w:t>
      </w:r>
      <w:r w:rsidRPr="00B90EF5">
        <w:rPr>
          <w:rFonts w:ascii="Arial" w:hAnsi="Arial" w:cs="Arial"/>
          <w:sz w:val="24"/>
          <w:szCs w:val="24"/>
        </w:rPr>
        <w:t>, 171-187.</w:t>
      </w:r>
      <w:bookmarkEnd w:id="23"/>
    </w:p>
    <w:p w:rsidR="00B90EF5" w:rsidRPr="00B90EF5" w:rsidRDefault="00B90EF5" w:rsidP="00B90EF5">
      <w:pPr>
        <w:spacing w:after="0" w:line="360" w:lineRule="auto"/>
        <w:ind w:left="720" w:hanging="720"/>
        <w:rPr>
          <w:rFonts w:ascii="Arial" w:hAnsi="Arial" w:cs="Arial"/>
          <w:sz w:val="24"/>
          <w:szCs w:val="24"/>
        </w:rPr>
      </w:pPr>
      <w:bookmarkStart w:id="24" w:name="_ENREF_25"/>
      <w:r w:rsidRPr="00B90EF5">
        <w:rPr>
          <w:rFonts w:ascii="Arial" w:hAnsi="Arial" w:cs="Arial"/>
          <w:b/>
          <w:sz w:val="24"/>
          <w:szCs w:val="24"/>
        </w:rPr>
        <w:t>Holzman, R., Collar, D. C., Mehta, R. S. and Wainwright, P. C.</w:t>
      </w:r>
      <w:r w:rsidRPr="00B90EF5">
        <w:rPr>
          <w:rFonts w:ascii="Arial" w:hAnsi="Arial" w:cs="Arial"/>
          <w:sz w:val="24"/>
          <w:szCs w:val="24"/>
        </w:rPr>
        <w:t xml:space="preserve"> (2012). An integrative modeling approach to elucidate suction-feeding performance.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215</w:t>
      </w:r>
      <w:r w:rsidRPr="00B90EF5">
        <w:rPr>
          <w:rFonts w:ascii="Arial" w:hAnsi="Arial" w:cs="Arial"/>
          <w:sz w:val="24"/>
          <w:szCs w:val="24"/>
        </w:rPr>
        <w:t>, 1-13.</w:t>
      </w:r>
      <w:bookmarkEnd w:id="24"/>
    </w:p>
    <w:p w:rsidR="00B90EF5" w:rsidRPr="00B90EF5" w:rsidRDefault="00B90EF5" w:rsidP="00B90EF5">
      <w:pPr>
        <w:spacing w:after="0" w:line="360" w:lineRule="auto"/>
        <w:ind w:left="720" w:hanging="720"/>
        <w:rPr>
          <w:rFonts w:ascii="Arial" w:hAnsi="Arial" w:cs="Arial"/>
          <w:sz w:val="24"/>
          <w:szCs w:val="24"/>
        </w:rPr>
      </w:pPr>
      <w:bookmarkStart w:id="25" w:name="_ENREF_26"/>
      <w:r w:rsidRPr="00B90EF5">
        <w:rPr>
          <w:rFonts w:ascii="Arial" w:hAnsi="Arial" w:cs="Arial"/>
          <w:b/>
          <w:sz w:val="24"/>
          <w:szCs w:val="24"/>
        </w:rPr>
        <w:t>Hothorn, T., Bretz, F. and Westfall, P.</w:t>
      </w:r>
      <w:r w:rsidRPr="00B90EF5">
        <w:rPr>
          <w:rFonts w:ascii="Arial" w:hAnsi="Arial" w:cs="Arial"/>
          <w:sz w:val="24"/>
          <w:szCs w:val="24"/>
        </w:rPr>
        <w:t xml:space="preserve"> (2008). Simultaneous inference in general parametric models. </w:t>
      </w:r>
      <w:r w:rsidRPr="00B90EF5">
        <w:rPr>
          <w:rFonts w:ascii="Arial" w:hAnsi="Arial" w:cs="Arial"/>
          <w:i/>
          <w:sz w:val="24"/>
          <w:szCs w:val="24"/>
        </w:rPr>
        <w:t>Biom. J.</w:t>
      </w:r>
      <w:r w:rsidRPr="00B90EF5">
        <w:rPr>
          <w:rFonts w:ascii="Arial" w:hAnsi="Arial" w:cs="Arial"/>
          <w:sz w:val="24"/>
          <w:szCs w:val="24"/>
        </w:rPr>
        <w:t xml:space="preserve"> </w:t>
      </w:r>
      <w:r w:rsidRPr="00B90EF5">
        <w:rPr>
          <w:rFonts w:ascii="Arial" w:hAnsi="Arial" w:cs="Arial"/>
          <w:b/>
          <w:sz w:val="24"/>
          <w:szCs w:val="24"/>
        </w:rPr>
        <w:t>50</w:t>
      </w:r>
      <w:r w:rsidRPr="00B90EF5">
        <w:rPr>
          <w:rFonts w:ascii="Arial" w:hAnsi="Arial" w:cs="Arial"/>
          <w:sz w:val="24"/>
          <w:szCs w:val="24"/>
        </w:rPr>
        <w:t>, 346 - 363.</w:t>
      </w:r>
      <w:bookmarkEnd w:id="25"/>
    </w:p>
    <w:p w:rsidR="00B90EF5" w:rsidRPr="00B90EF5" w:rsidRDefault="00B90EF5" w:rsidP="00B90EF5">
      <w:pPr>
        <w:spacing w:after="0" w:line="360" w:lineRule="auto"/>
        <w:ind w:left="720" w:hanging="720"/>
        <w:rPr>
          <w:rFonts w:ascii="Arial" w:hAnsi="Arial" w:cs="Arial"/>
          <w:sz w:val="24"/>
          <w:szCs w:val="24"/>
        </w:rPr>
      </w:pPr>
      <w:bookmarkStart w:id="26" w:name="_ENREF_27"/>
      <w:r w:rsidRPr="00B90EF5">
        <w:rPr>
          <w:rFonts w:ascii="Arial" w:hAnsi="Arial" w:cs="Arial"/>
          <w:b/>
          <w:sz w:val="24"/>
          <w:szCs w:val="24"/>
        </w:rPr>
        <w:t>Hulsey, C. D., de Leon, F. J. G. and Rodiles-Hernandez, R.</w:t>
      </w:r>
      <w:r w:rsidRPr="00B90EF5">
        <w:rPr>
          <w:rFonts w:ascii="Arial" w:hAnsi="Arial" w:cs="Arial"/>
          <w:sz w:val="24"/>
          <w:szCs w:val="24"/>
        </w:rPr>
        <w:t xml:space="preserve"> (2006). Micro- and macroevolutionary decoupling of cichlid jaws: a test of Liem's key innovation hypothesis. </w:t>
      </w:r>
      <w:r w:rsidRPr="00B90EF5">
        <w:rPr>
          <w:rFonts w:ascii="Arial" w:hAnsi="Arial" w:cs="Arial"/>
          <w:i/>
          <w:sz w:val="24"/>
          <w:szCs w:val="24"/>
        </w:rPr>
        <w:t>Evolution</w:t>
      </w:r>
      <w:r w:rsidRPr="00B90EF5">
        <w:rPr>
          <w:rFonts w:ascii="Arial" w:hAnsi="Arial" w:cs="Arial"/>
          <w:sz w:val="24"/>
          <w:szCs w:val="24"/>
        </w:rPr>
        <w:t xml:space="preserve"> </w:t>
      </w:r>
      <w:r w:rsidRPr="00B90EF5">
        <w:rPr>
          <w:rFonts w:ascii="Arial" w:hAnsi="Arial" w:cs="Arial"/>
          <w:b/>
          <w:sz w:val="24"/>
          <w:szCs w:val="24"/>
        </w:rPr>
        <w:t>60</w:t>
      </w:r>
      <w:r w:rsidRPr="00B90EF5">
        <w:rPr>
          <w:rFonts w:ascii="Arial" w:hAnsi="Arial" w:cs="Arial"/>
          <w:sz w:val="24"/>
          <w:szCs w:val="24"/>
        </w:rPr>
        <w:t>, 2096-2109.</w:t>
      </w:r>
      <w:bookmarkEnd w:id="26"/>
    </w:p>
    <w:p w:rsidR="00B90EF5" w:rsidRPr="00B90EF5" w:rsidRDefault="00B90EF5" w:rsidP="00B90EF5">
      <w:pPr>
        <w:spacing w:after="0" w:line="360" w:lineRule="auto"/>
        <w:ind w:left="720" w:hanging="720"/>
        <w:rPr>
          <w:rFonts w:ascii="Arial" w:hAnsi="Arial" w:cs="Arial"/>
          <w:sz w:val="24"/>
          <w:szCs w:val="24"/>
        </w:rPr>
      </w:pPr>
      <w:bookmarkStart w:id="27" w:name="_ENREF_28"/>
      <w:r w:rsidRPr="00B90EF5">
        <w:rPr>
          <w:rFonts w:ascii="Arial" w:hAnsi="Arial" w:cs="Arial"/>
          <w:b/>
          <w:sz w:val="24"/>
          <w:szCs w:val="24"/>
        </w:rPr>
        <w:t>Hulsey, C. D., Mims, M. C. and Streelman, J. T.</w:t>
      </w:r>
      <w:r w:rsidRPr="00B90EF5">
        <w:rPr>
          <w:rFonts w:ascii="Arial" w:hAnsi="Arial" w:cs="Arial"/>
          <w:sz w:val="24"/>
          <w:szCs w:val="24"/>
        </w:rPr>
        <w:t xml:space="preserve"> (2007). Do constructional constraints influence cichlid craniofacial diversification? </w:t>
      </w:r>
      <w:r w:rsidRPr="00B90EF5">
        <w:rPr>
          <w:rFonts w:ascii="Arial" w:hAnsi="Arial" w:cs="Arial"/>
          <w:i/>
          <w:sz w:val="24"/>
          <w:szCs w:val="24"/>
        </w:rPr>
        <w:t>Proc. R. Soc. B</w:t>
      </w:r>
      <w:r w:rsidRPr="00B90EF5">
        <w:rPr>
          <w:rFonts w:ascii="Arial" w:hAnsi="Arial" w:cs="Arial"/>
          <w:sz w:val="24"/>
          <w:szCs w:val="24"/>
        </w:rPr>
        <w:t xml:space="preserve"> </w:t>
      </w:r>
      <w:r w:rsidRPr="00B90EF5">
        <w:rPr>
          <w:rFonts w:ascii="Arial" w:hAnsi="Arial" w:cs="Arial"/>
          <w:b/>
          <w:sz w:val="24"/>
          <w:szCs w:val="24"/>
        </w:rPr>
        <w:t>274</w:t>
      </w:r>
      <w:r w:rsidRPr="00B90EF5">
        <w:rPr>
          <w:rFonts w:ascii="Arial" w:hAnsi="Arial" w:cs="Arial"/>
          <w:sz w:val="24"/>
          <w:szCs w:val="24"/>
        </w:rPr>
        <w:t>, 1867-1875.</w:t>
      </w:r>
      <w:bookmarkEnd w:id="27"/>
    </w:p>
    <w:p w:rsidR="00B90EF5" w:rsidRPr="00B90EF5" w:rsidRDefault="00B90EF5" w:rsidP="00B90EF5">
      <w:pPr>
        <w:spacing w:after="0" w:line="360" w:lineRule="auto"/>
        <w:ind w:left="720" w:hanging="720"/>
        <w:rPr>
          <w:rFonts w:ascii="Arial" w:hAnsi="Arial" w:cs="Arial"/>
          <w:sz w:val="24"/>
          <w:szCs w:val="24"/>
        </w:rPr>
      </w:pPr>
      <w:bookmarkStart w:id="28" w:name="_ENREF_29"/>
      <w:r w:rsidRPr="00B90EF5">
        <w:rPr>
          <w:rFonts w:ascii="Arial" w:hAnsi="Arial" w:cs="Arial"/>
          <w:b/>
          <w:sz w:val="24"/>
          <w:szCs w:val="24"/>
        </w:rPr>
        <w:t>Iriarte-Diaz, J., Reed, D. A. and Ross, C. F.</w:t>
      </w:r>
      <w:r w:rsidRPr="00B90EF5">
        <w:rPr>
          <w:rFonts w:ascii="Arial" w:hAnsi="Arial" w:cs="Arial"/>
          <w:sz w:val="24"/>
          <w:szCs w:val="24"/>
        </w:rPr>
        <w:t xml:space="preserve"> (2011). Sources of variance in temporal and spatial aspects of jaw dinematics in two species of primates feeding on foods of different properties. </w:t>
      </w:r>
      <w:r w:rsidRPr="00B90EF5">
        <w:rPr>
          <w:rFonts w:ascii="Arial" w:hAnsi="Arial" w:cs="Arial"/>
          <w:i/>
          <w:sz w:val="24"/>
          <w:szCs w:val="24"/>
        </w:rPr>
        <w:t>Integr. Comp. Biol.</w:t>
      </w:r>
      <w:r w:rsidRPr="00B90EF5">
        <w:rPr>
          <w:rFonts w:ascii="Arial" w:hAnsi="Arial" w:cs="Arial"/>
          <w:sz w:val="24"/>
          <w:szCs w:val="24"/>
        </w:rPr>
        <w:t xml:space="preserve"> </w:t>
      </w:r>
      <w:r w:rsidRPr="00B90EF5">
        <w:rPr>
          <w:rFonts w:ascii="Arial" w:hAnsi="Arial" w:cs="Arial"/>
          <w:b/>
          <w:sz w:val="24"/>
          <w:szCs w:val="24"/>
        </w:rPr>
        <w:t>51</w:t>
      </w:r>
      <w:r w:rsidRPr="00B90EF5">
        <w:rPr>
          <w:rFonts w:ascii="Arial" w:hAnsi="Arial" w:cs="Arial"/>
          <w:sz w:val="24"/>
          <w:szCs w:val="24"/>
        </w:rPr>
        <w:t>, 307-319.</w:t>
      </w:r>
      <w:bookmarkEnd w:id="28"/>
    </w:p>
    <w:p w:rsidR="00B90EF5" w:rsidRPr="00B90EF5" w:rsidRDefault="00B90EF5" w:rsidP="00B90EF5">
      <w:pPr>
        <w:spacing w:after="0" w:line="360" w:lineRule="auto"/>
        <w:ind w:left="720" w:hanging="720"/>
        <w:rPr>
          <w:rFonts w:ascii="Arial" w:hAnsi="Arial" w:cs="Arial"/>
          <w:sz w:val="24"/>
          <w:szCs w:val="24"/>
        </w:rPr>
      </w:pPr>
      <w:bookmarkStart w:id="29" w:name="_ENREF_30"/>
      <w:r w:rsidRPr="00B90EF5">
        <w:rPr>
          <w:rFonts w:ascii="Arial" w:hAnsi="Arial" w:cs="Arial"/>
          <w:b/>
          <w:sz w:val="24"/>
          <w:szCs w:val="24"/>
        </w:rPr>
        <w:t>Irschick, D. J. and Losos, J. B.</w:t>
      </w:r>
      <w:r w:rsidRPr="00B90EF5">
        <w:rPr>
          <w:rFonts w:ascii="Arial" w:hAnsi="Arial" w:cs="Arial"/>
          <w:sz w:val="24"/>
          <w:szCs w:val="24"/>
        </w:rPr>
        <w:t xml:space="preserve"> (1999). Do lizards avoid habitats in which performance is submaximal? The relationship between sprinting capabilities and structural habitat use in Caribbean anoles. </w:t>
      </w:r>
      <w:r w:rsidRPr="00B90EF5">
        <w:rPr>
          <w:rFonts w:ascii="Arial" w:hAnsi="Arial" w:cs="Arial"/>
          <w:i/>
          <w:sz w:val="24"/>
          <w:szCs w:val="24"/>
        </w:rPr>
        <w:t>Am. Nat.</w:t>
      </w:r>
      <w:r w:rsidRPr="00B90EF5">
        <w:rPr>
          <w:rFonts w:ascii="Arial" w:hAnsi="Arial" w:cs="Arial"/>
          <w:sz w:val="24"/>
          <w:szCs w:val="24"/>
        </w:rPr>
        <w:t xml:space="preserve"> </w:t>
      </w:r>
      <w:r w:rsidRPr="00B90EF5">
        <w:rPr>
          <w:rFonts w:ascii="Arial" w:hAnsi="Arial" w:cs="Arial"/>
          <w:b/>
          <w:sz w:val="24"/>
          <w:szCs w:val="24"/>
        </w:rPr>
        <w:t>154</w:t>
      </w:r>
      <w:r w:rsidRPr="00B90EF5">
        <w:rPr>
          <w:rFonts w:ascii="Arial" w:hAnsi="Arial" w:cs="Arial"/>
          <w:sz w:val="24"/>
          <w:szCs w:val="24"/>
        </w:rPr>
        <w:t>, 293-305.</w:t>
      </w:r>
      <w:bookmarkEnd w:id="29"/>
    </w:p>
    <w:p w:rsidR="00B90EF5" w:rsidRPr="00B90EF5" w:rsidRDefault="00B90EF5" w:rsidP="00B90EF5">
      <w:pPr>
        <w:spacing w:after="0" w:line="360" w:lineRule="auto"/>
        <w:ind w:left="720" w:hanging="720"/>
        <w:rPr>
          <w:rFonts w:ascii="Arial" w:hAnsi="Arial" w:cs="Arial"/>
          <w:sz w:val="24"/>
          <w:szCs w:val="24"/>
        </w:rPr>
      </w:pPr>
      <w:bookmarkStart w:id="30" w:name="_ENREF_31"/>
      <w:r w:rsidRPr="00B90EF5">
        <w:rPr>
          <w:rFonts w:ascii="Arial" w:hAnsi="Arial" w:cs="Arial"/>
          <w:b/>
          <w:sz w:val="24"/>
          <w:szCs w:val="24"/>
        </w:rPr>
        <w:t>Irschick, D. J., Austin, C. C., Petren, K., Fisher, R. N., Losos, J. B. and Ellers, O.</w:t>
      </w:r>
      <w:r w:rsidRPr="00B90EF5">
        <w:rPr>
          <w:rFonts w:ascii="Arial" w:hAnsi="Arial" w:cs="Arial"/>
          <w:sz w:val="24"/>
          <w:szCs w:val="24"/>
        </w:rPr>
        <w:t xml:space="preserve"> (1996). A comparative analysis of clinging ability among pad-bearing lizards. </w:t>
      </w:r>
      <w:r w:rsidRPr="00B90EF5">
        <w:rPr>
          <w:rFonts w:ascii="Arial" w:hAnsi="Arial" w:cs="Arial"/>
          <w:i/>
          <w:sz w:val="24"/>
          <w:szCs w:val="24"/>
        </w:rPr>
        <w:t>Biol. J. Linnean Soc.</w:t>
      </w:r>
      <w:r w:rsidRPr="00B90EF5">
        <w:rPr>
          <w:rFonts w:ascii="Arial" w:hAnsi="Arial" w:cs="Arial"/>
          <w:sz w:val="24"/>
          <w:szCs w:val="24"/>
        </w:rPr>
        <w:t xml:space="preserve"> </w:t>
      </w:r>
      <w:r w:rsidRPr="00B90EF5">
        <w:rPr>
          <w:rFonts w:ascii="Arial" w:hAnsi="Arial" w:cs="Arial"/>
          <w:b/>
          <w:sz w:val="24"/>
          <w:szCs w:val="24"/>
        </w:rPr>
        <w:t>59</w:t>
      </w:r>
      <w:r w:rsidRPr="00B90EF5">
        <w:rPr>
          <w:rFonts w:ascii="Arial" w:hAnsi="Arial" w:cs="Arial"/>
          <w:sz w:val="24"/>
          <w:szCs w:val="24"/>
        </w:rPr>
        <w:t>, 21-35.</w:t>
      </w:r>
      <w:bookmarkEnd w:id="30"/>
    </w:p>
    <w:p w:rsidR="00B90EF5" w:rsidRPr="00B90EF5" w:rsidRDefault="00B90EF5" w:rsidP="00B90EF5">
      <w:pPr>
        <w:spacing w:after="0" w:line="360" w:lineRule="auto"/>
        <w:ind w:left="720" w:hanging="720"/>
        <w:rPr>
          <w:rFonts w:ascii="Arial" w:hAnsi="Arial" w:cs="Arial"/>
          <w:sz w:val="24"/>
          <w:szCs w:val="24"/>
        </w:rPr>
      </w:pPr>
      <w:bookmarkStart w:id="31" w:name="_ENREF_32"/>
      <w:r w:rsidRPr="00B90EF5">
        <w:rPr>
          <w:rFonts w:ascii="Arial" w:hAnsi="Arial" w:cs="Arial"/>
          <w:b/>
          <w:sz w:val="24"/>
          <w:szCs w:val="24"/>
        </w:rPr>
        <w:t>Kane, E. A. and Higham, T. E.</w:t>
      </w:r>
      <w:r w:rsidRPr="00B90EF5">
        <w:rPr>
          <w:rFonts w:ascii="Arial" w:hAnsi="Arial" w:cs="Arial"/>
          <w:sz w:val="24"/>
          <w:szCs w:val="24"/>
        </w:rPr>
        <w:t xml:space="preserve"> (2011). The integration of locomotion and prey capture in divergent cottid fishes: functional disparity despite morphological similarity.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214</w:t>
      </w:r>
      <w:r w:rsidRPr="00B90EF5">
        <w:rPr>
          <w:rFonts w:ascii="Arial" w:hAnsi="Arial" w:cs="Arial"/>
          <w:sz w:val="24"/>
          <w:szCs w:val="24"/>
        </w:rPr>
        <w:t>, 1092-1099.</w:t>
      </w:r>
      <w:bookmarkEnd w:id="31"/>
    </w:p>
    <w:p w:rsidR="00B90EF5" w:rsidRPr="00B90EF5" w:rsidRDefault="00B90EF5" w:rsidP="00B90EF5">
      <w:pPr>
        <w:spacing w:after="0" w:line="360" w:lineRule="auto"/>
        <w:ind w:left="720" w:hanging="720"/>
        <w:rPr>
          <w:rFonts w:ascii="Arial" w:hAnsi="Arial" w:cs="Arial"/>
          <w:sz w:val="24"/>
          <w:szCs w:val="24"/>
        </w:rPr>
      </w:pPr>
      <w:bookmarkStart w:id="32" w:name="_ENREF_33"/>
      <w:r w:rsidRPr="00B90EF5">
        <w:rPr>
          <w:rFonts w:ascii="Arial" w:hAnsi="Arial" w:cs="Arial"/>
          <w:b/>
          <w:sz w:val="24"/>
          <w:szCs w:val="24"/>
        </w:rPr>
        <w:t>Kassam, D. D., Adams, D. C., Ambali, A. J. D. and Yamaoka, K.</w:t>
      </w:r>
      <w:r w:rsidRPr="00B90EF5">
        <w:rPr>
          <w:rFonts w:ascii="Arial" w:hAnsi="Arial" w:cs="Arial"/>
          <w:sz w:val="24"/>
          <w:szCs w:val="24"/>
        </w:rPr>
        <w:t xml:space="preserve"> (2003a). Body shape variation in relation to resource partitioning within cichlid trophic guilds coexisting along the rocky shore of Lake Malawi. </w:t>
      </w:r>
      <w:r w:rsidRPr="00B90EF5">
        <w:rPr>
          <w:rFonts w:ascii="Arial" w:hAnsi="Arial" w:cs="Arial"/>
          <w:i/>
          <w:sz w:val="24"/>
          <w:szCs w:val="24"/>
        </w:rPr>
        <w:t>Anim. Biol.</w:t>
      </w:r>
      <w:r w:rsidRPr="00B90EF5">
        <w:rPr>
          <w:rFonts w:ascii="Arial" w:hAnsi="Arial" w:cs="Arial"/>
          <w:sz w:val="24"/>
          <w:szCs w:val="24"/>
        </w:rPr>
        <w:t xml:space="preserve"> </w:t>
      </w:r>
      <w:r w:rsidRPr="00B90EF5">
        <w:rPr>
          <w:rFonts w:ascii="Arial" w:hAnsi="Arial" w:cs="Arial"/>
          <w:b/>
          <w:sz w:val="24"/>
          <w:szCs w:val="24"/>
        </w:rPr>
        <w:t>53</w:t>
      </w:r>
      <w:r w:rsidRPr="00B90EF5">
        <w:rPr>
          <w:rFonts w:ascii="Arial" w:hAnsi="Arial" w:cs="Arial"/>
          <w:sz w:val="24"/>
          <w:szCs w:val="24"/>
        </w:rPr>
        <w:t>, 59-70.</w:t>
      </w:r>
      <w:bookmarkEnd w:id="32"/>
    </w:p>
    <w:p w:rsidR="00B90EF5" w:rsidRPr="00B90EF5" w:rsidRDefault="00B90EF5" w:rsidP="00B90EF5">
      <w:pPr>
        <w:spacing w:after="0" w:line="360" w:lineRule="auto"/>
        <w:ind w:left="720" w:hanging="720"/>
        <w:rPr>
          <w:rFonts w:ascii="Arial" w:hAnsi="Arial" w:cs="Arial"/>
          <w:sz w:val="24"/>
          <w:szCs w:val="24"/>
        </w:rPr>
      </w:pPr>
      <w:bookmarkStart w:id="33" w:name="_ENREF_34"/>
      <w:r w:rsidRPr="00B90EF5">
        <w:rPr>
          <w:rFonts w:ascii="Arial" w:hAnsi="Arial" w:cs="Arial"/>
          <w:b/>
          <w:sz w:val="24"/>
          <w:szCs w:val="24"/>
        </w:rPr>
        <w:t>Kassam, D. D., Adams, D. C., Hori, M. and Yamaoka, K.</w:t>
      </w:r>
      <w:r w:rsidRPr="00B90EF5">
        <w:rPr>
          <w:rFonts w:ascii="Arial" w:hAnsi="Arial" w:cs="Arial"/>
          <w:sz w:val="24"/>
          <w:szCs w:val="24"/>
        </w:rPr>
        <w:t xml:space="preserve"> (2003b). Morphometric analysis on ecomorphologically equivalent cichlid species from Lakes Malawi and Tanganyika. </w:t>
      </w:r>
      <w:r w:rsidRPr="00B90EF5">
        <w:rPr>
          <w:rFonts w:ascii="Arial" w:hAnsi="Arial" w:cs="Arial"/>
          <w:i/>
          <w:sz w:val="24"/>
          <w:szCs w:val="24"/>
        </w:rPr>
        <w:t>J. Zool.</w:t>
      </w:r>
      <w:r w:rsidRPr="00B90EF5">
        <w:rPr>
          <w:rFonts w:ascii="Arial" w:hAnsi="Arial" w:cs="Arial"/>
          <w:sz w:val="24"/>
          <w:szCs w:val="24"/>
        </w:rPr>
        <w:t xml:space="preserve"> </w:t>
      </w:r>
      <w:r w:rsidRPr="00B90EF5">
        <w:rPr>
          <w:rFonts w:ascii="Arial" w:hAnsi="Arial" w:cs="Arial"/>
          <w:b/>
          <w:sz w:val="24"/>
          <w:szCs w:val="24"/>
        </w:rPr>
        <w:t>260</w:t>
      </w:r>
      <w:r w:rsidRPr="00B90EF5">
        <w:rPr>
          <w:rFonts w:ascii="Arial" w:hAnsi="Arial" w:cs="Arial"/>
          <w:sz w:val="24"/>
          <w:szCs w:val="24"/>
        </w:rPr>
        <w:t>, 153-157.</w:t>
      </w:r>
      <w:bookmarkEnd w:id="33"/>
    </w:p>
    <w:p w:rsidR="00B90EF5" w:rsidRPr="00B90EF5" w:rsidRDefault="00B90EF5" w:rsidP="00B90EF5">
      <w:pPr>
        <w:spacing w:after="0" w:line="360" w:lineRule="auto"/>
        <w:ind w:left="720" w:hanging="720"/>
        <w:rPr>
          <w:rFonts w:ascii="Arial" w:hAnsi="Arial" w:cs="Arial"/>
          <w:sz w:val="24"/>
          <w:szCs w:val="24"/>
        </w:rPr>
      </w:pPr>
      <w:bookmarkStart w:id="34" w:name="_ENREF_35"/>
      <w:r w:rsidRPr="00B90EF5">
        <w:rPr>
          <w:rFonts w:ascii="Arial" w:hAnsi="Arial" w:cs="Arial"/>
          <w:b/>
          <w:sz w:val="24"/>
          <w:szCs w:val="24"/>
        </w:rPr>
        <w:lastRenderedPageBreak/>
        <w:t>Liem, K. F.</w:t>
      </w:r>
      <w:r w:rsidRPr="00B90EF5">
        <w:rPr>
          <w:rFonts w:ascii="Arial" w:hAnsi="Arial" w:cs="Arial"/>
          <w:sz w:val="24"/>
          <w:szCs w:val="24"/>
        </w:rPr>
        <w:t xml:space="preserve"> (1979). Modulatory multiplicity in the feeding mechanism in cichlid fishes, as exemplified by the invertebrate pickers of Lake Tanganyika. </w:t>
      </w:r>
      <w:r w:rsidRPr="00B90EF5">
        <w:rPr>
          <w:rFonts w:ascii="Arial" w:hAnsi="Arial" w:cs="Arial"/>
          <w:i/>
          <w:sz w:val="24"/>
          <w:szCs w:val="24"/>
        </w:rPr>
        <w:t>J. Zool.</w:t>
      </w:r>
      <w:r w:rsidRPr="00B90EF5">
        <w:rPr>
          <w:rFonts w:ascii="Arial" w:hAnsi="Arial" w:cs="Arial"/>
          <w:sz w:val="24"/>
          <w:szCs w:val="24"/>
        </w:rPr>
        <w:t xml:space="preserve"> </w:t>
      </w:r>
      <w:r w:rsidRPr="00B90EF5">
        <w:rPr>
          <w:rFonts w:ascii="Arial" w:hAnsi="Arial" w:cs="Arial"/>
          <w:b/>
          <w:sz w:val="24"/>
          <w:szCs w:val="24"/>
        </w:rPr>
        <w:t>189</w:t>
      </w:r>
      <w:r w:rsidRPr="00B90EF5">
        <w:rPr>
          <w:rFonts w:ascii="Arial" w:hAnsi="Arial" w:cs="Arial"/>
          <w:sz w:val="24"/>
          <w:szCs w:val="24"/>
        </w:rPr>
        <w:t>, 93-125.</w:t>
      </w:r>
      <w:bookmarkEnd w:id="34"/>
    </w:p>
    <w:p w:rsidR="00B90EF5" w:rsidRPr="00B90EF5" w:rsidRDefault="00B90EF5" w:rsidP="00B90EF5">
      <w:pPr>
        <w:spacing w:after="0" w:line="360" w:lineRule="auto"/>
        <w:ind w:left="720" w:hanging="720"/>
        <w:rPr>
          <w:rFonts w:ascii="Arial" w:hAnsi="Arial" w:cs="Arial"/>
          <w:sz w:val="24"/>
          <w:szCs w:val="24"/>
        </w:rPr>
      </w:pPr>
      <w:bookmarkStart w:id="35" w:name="_ENREF_36"/>
      <w:r w:rsidRPr="00B90EF5">
        <w:rPr>
          <w:rFonts w:ascii="Arial" w:hAnsi="Arial" w:cs="Arial"/>
          <w:b/>
          <w:sz w:val="24"/>
          <w:szCs w:val="24"/>
        </w:rPr>
        <w:t>Matott, M. P., Motta, P. J. and Hueter, R. E.</w:t>
      </w:r>
      <w:r w:rsidRPr="00B90EF5">
        <w:rPr>
          <w:rFonts w:ascii="Arial" w:hAnsi="Arial" w:cs="Arial"/>
          <w:sz w:val="24"/>
          <w:szCs w:val="24"/>
        </w:rPr>
        <w:t xml:space="preserve"> (2005). Modulation in feeding kinematics and motor pattern of the nurse shark </w:t>
      </w:r>
      <w:r w:rsidRPr="00B90EF5">
        <w:rPr>
          <w:rFonts w:ascii="Arial" w:hAnsi="Arial" w:cs="Arial"/>
          <w:i/>
          <w:sz w:val="24"/>
          <w:szCs w:val="24"/>
        </w:rPr>
        <w:t>Ginglymostoma cirratum</w:t>
      </w:r>
      <w:r w:rsidRPr="00B90EF5">
        <w:rPr>
          <w:rFonts w:ascii="Arial" w:hAnsi="Arial" w:cs="Arial"/>
          <w:sz w:val="24"/>
          <w:szCs w:val="24"/>
        </w:rPr>
        <w:t xml:space="preserve">. </w:t>
      </w:r>
      <w:r w:rsidRPr="00B90EF5">
        <w:rPr>
          <w:rFonts w:ascii="Arial" w:hAnsi="Arial" w:cs="Arial"/>
          <w:i/>
          <w:sz w:val="24"/>
          <w:szCs w:val="24"/>
        </w:rPr>
        <w:t>Environ. Biol. Fishes</w:t>
      </w:r>
      <w:r w:rsidRPr="00B90EF5">
        <w:rPr>
          <w:rFonts w:ascii="Arial" w:hAnsi="Arial" w:cs="Arial"/>
          <w:sz w:val="24"/>
          <w:szCs w:val="24"/>
        </w:rPr>
        <w:t xml:space="preserve"> </w:t>
      </w:r>
      <w:r w:rsidRPr="00B90EF5">
        <w:rPr>
          <w:rFonts w:ascii="Arial" w:hAnsi="Arial" w:cs="Arial"/>
          <w:b/>
          <w:sz w:val="24"/>
          <w:szCs w:val="24"/>
        </w:rPr>
        <w:t>74</w:t>
      </w:r>
      <w:r w:rsidRPr="00B90EF5">
        <w:rPr>
          <w:rFonts w:ascii="Arial" w:hAnsi="Arial" w:cs="Arial"/>
          <w:sz w:val="24"/>
          <w:szCs w:val="24"/>
        </w:rPr>
        <w:t>, 163-174.</w:t>
      </w:r>
      <w:bookmarkEnd w:id="35"/>
    </w:p>
    <w:p w:rsidR="00B90EF5" w:rsidRPr="00B90EF5" w:rsidRDefault="00B90EF5" w:rsidP="00B90EF5">
      <w:pPr>
        <w:spacing w:after="0" w:line="360" w:lineRule="auto"/>
        <w:ind w:left="720" w:hanging="720"/>
        <w:rPr>
          <w:rFonts w:ascii="Arial" w:hAnsi="Arial" w:cs="Arial"/>
          <w:sz w:val="24"/>
          <w:szCs w:val="24"/>
        </w:rPr>
      </w:pPr>
      <w:bookmarkStart w:id="36" w:name="_ENREF_37"/>
      <w:r w:rsidRPr="00B90EF5">
        <w:rPr>
          <w:rFonts w:ascii="Arial" w:hAnsi="Arial" w:cs="Arial"/>
          <w:b/>
          <w:sz w:val="24"/>
          <w:szCs w:val="24"/>
        </w:rPr>
        <w:t>Parnell, N. F., Hulsey, C. D. and Streelman, J. T.</w:t>
      </w:r>
      <w:r w:rsidRPr="00B90EF5">
        <w:rPr>
          <w:rFonts w:ascii="Arial" w:hAnsi="Arial" w:cs="Arial"/>
          <w:sz w:val="24"/>
          <w:szCs w:val="24"/>
        </w:rPr>
        <w:t xml:space="preserve"> (2008). Hybridization produces novelty when the mapping of form to function is many to one. </w:t>
      </w:r>
      <w:r w:rsidRPr="00B90EF5">
        <w:rPr>
          <w:rFonts w:ascii="Arial" w:hAnsi="Arial" w:cs="Arial"/>
          <w:i/>
          <w:sz w:val="24"/>
          <w:szCs w:val="24"/>
        </w:rPr>
        <w:t>BMC Evol. Biol.</w:t>
      </w:r>
      <w:r w:rsidRPr="00B90EF5">
        <w:rPr>
          <w:rFonts w:ascii="Arial" w:hAnsi="Arial" w:cs="Arial"/>
          <w:sz w:val="24"/>
          <w:szCs w:val="24"/>
        </w:rPr>
        <w:t xml:space="preserve"> </w:t>
      </w:r>
      <w:r w:rsidRPr="00B90EF5">
        <w:rPr>
          <w:rFonts w:ascii="Arial" w:hAnsi="Arial" w:cs="Arial"/>
          <w:b/>
          <w:sz w:val="24"/>
          <w:szCs w:val="24"/>
        </w:rPr>
        <w:t>8</w:t>
      </w:r>
      <w:r w:rsidRPr="00B90EF5">
        <w:rPr>
          <w:rFonts w:ascii="Arial" w:hAnsi="Arial" w:cs="Arial"/>
          <w:sz w:val="24"/>
          <w:szCs w:val="24"/>
        </w:rPr>
        <w:t>.</w:t>
      </w:r>
      <w:bookmarkEnd w:id="36"/>
    </w:p>
    <w:p w:rsidR="00B90EF5" w:rsidRPr="00B90EF5" w:rsidRDefault="00B90EF5" w:rsidP="00B90EF5">
      <w:pPr>
        <w:spacing w:after="0" w:line="360" w:lineRule="auto"/>
        <w:ind w:left="720" w:hanging="720"/>
        <w:rPr>
          <w:rFonts w:ascii="Arial" w:hAnsi="Arial" w:cs="Arial"/>
          <w:sz w:val="24"/>
          <w:szCs w:val="24"/>
        </w:rPr>
      </w:pPr>
      <w:bookmarkStart w:id="37" w:name="_ENREF_38"/>
      <w:r w:rsidRPr="00B90EF5">
        <w:rPr>
          <w:rFonts w:ascii="Arial" w:hAnsi="Arial" w:cs="Arial"/>
          <w:b/>
          <w:sz w:val="24"/>
          <w:szCs w:val="24"/>
        </w:rPr>
        <w:t>Pauers, M. J.</w:t>
      </w:r>
      <w:r w:rsidRPr="00B90EF5">
        <w:rPr>
          <w:rFonts w:ascii="Arial" w:hAnsi="Arial" w:cs="Arial"/>
          <w:sz w:val="24"/>
          <w:szCs w:val="24"/>
        </w:rPr>
        <w:t xml:space="preserve"> (2010). Species concepts, speciation, and taxonomic change in the Lake Malawi mbuna, with special reference to the genus </w:t>
      </w:r>
      <w:r w:rsidRPr="00B90EF5">
        <w:rPr>
          <w:rFonts w:ascii="Arial" w:hAnsi="Arial" w:cs="Arial"/>
          <w:i/>
          <w:sz w:val="24"/>
          <w:szCs w:val="24"/>
        </w:rPr>
        <w:t>Labeotropheus</w:t>
      </w:r>
      <w:r w:rsidRPr="00B90EF5">
        <w:rPr>
          <w:rFonts w:ascii="Arial" w:hAnsi="Arial" w:cs="Arial"/>
          <w:sz w:val="24"/>
          <w:szCs w:val="24"/>
        </w:rPr>
        <w:t xml:space="preserve"> Ahl 1927 (Perciformes: Cichlidae). </w:t>
      </w:r>
      <w:r w:rsidRPr="00B90EF5">
        <w:rPr>
          <w:rFonts w:ascii="Arial" w:hAnsi="Arial" w:cs="Arial"/>
          <w:i/>
          <w:sz w:val="24"/>
          <w:szCs w:val="24"/>
        </w:rPr>
        <w:t>Rev. Fish. Biol. Fish.</w:t>
      </w:r>
      <w:r w:rsidRPr="00B90EF5">
        <w:rPr>
          <w:rFonts w:ascii="Arial" w:hAnsi="Arial" w:cs="Arial"/>
          <w:sz w:val="24"/>
          <w:szCs w:val="24"/>
        </w:rPr>
        <w:t xml:space="preserve"> </w:t>
      </w:r>
      <w:r w:rsidRPr="00B90EF5">
        <w:rPr>
          <w:rFonts w:ascii="Arial" w:hAnsi="Arial" w:cs="Arial"/>
          <w:b/>
          <w:sz w:val="24"/>
          <w:szCs w:val="24"/>
        </w:rPr>
        <w:t>20</w:t>
      </w:r>
      <w:r w:rsidRPr="00B90EF5">
        <w:rPr>
          <w:rFonts w:ascii="Arial" w:hAnsi="Arial" w:cs="Arial"/>
          <w:sz w:val="24"/>
          <w:szCs w:val="24"/>
        </w:rPr>
        <w:t>, 187-202.</w:t>
      </w:r>
      <w:bookmarkEnd w:id="37"/>
    </w:p>
    <w:p w:rsidR="00B90EF5" w:rsidRPr="00B90EF5" w:rsidRDefault="00B90EF5" w:rsidP="00B90EF5">
      <w:pPr>
        <w:spacing w:after="0" w:line="360" w:lineRule="auto"/>
        <w:ind w:left="720" w:hanging="720"/>
        <w:rPr>
          <w:rFonts w:ascii="Arial" w:hAnsi="Arial" w:cs="Arial"/>
          <w:sz w:val="24"/>
          <w:szCs w:val="24"/>
        </w:rPr>
      </w:pPr>
      <w:bookmarkStart w:id="38" w:name="_ENREF_39"/>
      <w:r w:rsidRPr="00B90EF5">
        <w:rPr>
          <w:rFonts w:ascii="Arial" w:hAnsi="Arial" w:cs="Arial"/>
          <w:b/>
          <w:sz w:val="24"/>
          <w:szCs w:val="24"/>
        </w:rPr>
        <w:t>Pinheiro, J., Bates, D., DebRoy, S., Sarkar, D. and Team, R. C.</w:t>
      </w:r>
      <w:r w:rsidRPr="00B90EF5">
        <w:rPr>
          <w:rFonts w:ascii="Arial" w:hAnsi="Arial" w:cs="Arial"/>
          <w:sz w:val="24"/>
          <w:szCs w:val="24"/>
        </w:rPr>
        <w:t xml:space="preserve"> (2013). nlme: Linear and nonlinear mixed effects models.</w:t>
      </w:r>
      <w:bookmarkEnd w:id="38"/>
    </w:p>
    <w:p w:rsidR="00B90EF5" w:rsidRPr="00B90EF5" w:rsidRDefault="00B90EF5" w:rsidP="00B90EF5">
      <w:pPr>
        <w:spacing w:after="0" w:line="360" w:lineRule="auto"/>
        <w:ind w:left="720" w:hanging="720"/>
        <w:rPr>
          <w:rFonts w:ascii="Arial" w:hAnsi="Arial" w:cs="Arial"/>
          <w:sz w:val="24"/>
          <w:szCs w:val="24"/>
        </w:rPr>
      </w:pPr>
      <w:bookmarkStart w:id="39" w:name="_ENREF_40"/>
      <w:r w:rsidRPr="00B90EF5">
        <w:rPr>
          <w:rFonts w:ascii="Arial" w:hAnsi="Arial" w:cs="Arial"/>
          <w:b/>
          <w:sz w:val="24"/>
          <w:szCs w:val="24"/>
        </w:rPr>
        <w:t>Pinheiro, J. C. and Bates, D. M.</w:t>
      </w:r>
      <w:r w:rsidRPr="00B90EF5">
        <w:rPr>
          <w:rFonts w:ascii="Arial" w:hAnsi="Arial" w:cs="Arial"/>
          <w:sz w:val="24"/>
          <w:szCs w:val="24"/>
        </w:rPr>
        <w:t xml:space="preserve"> (2000). Mixed effects models in S and S-PLUS. New York, NY: Springer-Verlag.</w:t>
      </w:r>
      <w:bookmarkEnd w:id="39"/>
    </w:p>
    <w:p w:rsidR="00B90EF5" w:rsidRPr="00B90EF5" w:rsidRDefault="00B90EF5" w:rsidP="00B90EF5">
      <w:pPr>
        <w:spacing w:after="0" w:line="360" w:lineRule="auto"/>
        <w:ind w:left="720" w:hanging="720"/>
        <w:rPr>
          <w:rFonts w:ascii="Arial" w:hAnsi="Arial" w:cs="Arial"/>
          <w:sz w:val="24"/>
          <w:szCs w:val="24"/>
        </w:rPr>
      </w:pPr>
      <w:bookmarkStart w:id="40" w:name="_ENREF_41"/>
      <w:r w:rsidRPr="00B90EF5">
        <w:rPr>
          <w:rFonts w:ascii="Arial" w:hAnsi="Arial" w:cs="Arial"/>
          <w:b/>
          <w:sz w:val="24"/>
          <w:szCs w:val="24"/>
        </w:rPr>
        <w:t>Purcell, S. W. and Bellwood, D. R.</w:t>
      </w:r>
      <w:r w:rsidRPr="00B90EF5">
        <w:rPr>
          <w:rFonts w:ascii="Arial" w:hAnsi="Arial" w:cs="Arial"/>
          <w:sz w:val="24"/>
          <w:szCs w:val="24"/>
        </w:rPr>
        <w:t xml:space="preserve"> (1993). A functional analysis of food procurement in 2 surgeonfish species, </w:t>
      </w:r>
      <w:r w:rsidRPr="00B90EF5">
        <w:rPr>
          <w:rFonts w:ascii="Arial" w:hAnsi="Arial" w:cs="Arial"/>
          <w:i/>
          <w:sz w:val="24"/>
          <w:szCs w:val="24"/>
        </w:rPr>
        <w:t xml:space="preserve">Acanthurus nigrofuscus </w:t>
      </w:r>
      <w:r w:rsidRPr="00B90EF5">
        <w:rPr>
          <w:rFonts w:ascii="Arial" w:hAnsi="Arial" w:cs="Arial"/>
          <w:sz w:val="24"/>
          <w:szCs w:val="24"/>
        </w:rPr>
        <w:t xml:space="preserve">and </w:t>
      </w:r>
      <w:r w:rsidRPr="00B90EF5">
        <w:rPr>
          <w:rFonts w:ascii="Arial" w:hAnsi="Arial" w:cs="Arial"/>
          <w:i/>
          <w:sz w:val="24"/>
          <w:szCs w:val="24"/>
        </w:rPr>
        <w:t>Ctenochaetus striatus</w:t>
      </w:r>
      <w:r w:rsidRPr="00B90EF5">
        <w:rPr>
          <w:rFonts w:ascii="Arial" w:hAnsi="Arial" w:cs="Arial"/>
          <w:sz w:val="24"/>
          <w:szCs w:val="24"/>
        </w:rPr>
        <w:t xml:space="preserve"> (Acanthuridae). </w:t>
      </w:r>
      <w:r w:rsidRPr="00B90EF5">
        <w:rPr>
          <w:rFonts w:ascii="Arial" w:hAnsi="Arial" w:cs="Arial"/>
          <w:i/>
          <w:sz w:val="24"/>
          <w:szCs w:val="24"/>
        </w:rPr>
        <w:t>Environ. Biol. Fishes</w:t>
      </w:r>
      <w:r w:rsidRPr="00B90EF5">
        <w:rPr>
          <w:rFonts w:ascii="Arial" w:hAnsi="Arial" w:cs="Arial"/>
          <w:sz w:val="24"/>
          <w:szCs w:val="24"/>
        </w:rPr>
        <w:t xml:space="preserve"> </w:t>
      </w:r>
      <w:r w:rsidRPr="00B90EF5">
        <w:rPr>
          <w:rFonts w:ascii="Arial" w:hAnsi="Arial" w:cs="Arial"/>
          <w:b/>
          <w:sz w:val="24"/>
          <w:szCs w:val="24"/>
        </w:rPr>
        <w:t>37</w:t>
      </w:r>
      <w:r w:rsidRPr="00B90EF5">
        <w:rPr>
          <w:rFonts w:ascii="Arial" w:hAnsi="Arial" w:cs="Arial"/>
          <w:sz w:val="24"/>
          <w:szCs w:val="24"/>
        </w:rPr>
        <w:t>, 139-159.</w:t>
      </w:r>
      <w:bookmarkEnd w:id="40"/>
    </w:p>
    <w:p w:rsidR="00B90EF5" w:rsidRPr="00B90EF5" w:rsidRDefault="00B90EF5" w:rsidP="00B90EF5">
      <w:pPr>
        <w:spacing w:after="0" w:line="360" w:lineRule="auto"/>
        <w:ind w:left="720" w:hanging="720"/>
        <w:rPr>
          <w:rFonts w:ascii="Arial" w:hAnsi="Arial" w:cs="Arial"/>
          <w:sz w:val="24"/>
          <w:szCs w:val="24"/>
        </w:rPr>
      </w:pPr>
      <w:bookmarkStart w:id="41" w:name="_ENREF_46"/>
      <w:r w:rsidRPr="00B90EF5">
        <w:rPr>
          <w:rFonts w:ascii="Arial" w:hAnsi="Arial" w:cs="Arial"/>
          <w:b/>
          <w:sz w:val="24"/>
          <w:szCs w:val="24"/>
        </w:rPr>
        <w:t>R Core Team</w:t>
      </w:r>
      <w:r w:rsidRPr="00B90EF5">
        <w:rPr>
          <w:rFonts w:ascii="Arial" w:hAnsi="Arial" w:cs="Arial"/>
          <w:sz w:val="24"/>
          <w:szCs w:val="24"/>
        </w:rPr>
        <w:t xml:space="preserve"> (2011). A language and environment for statistical computing. Vienna, Austria: R Foundation for Statistical Computing.</w:t>
      </w:r>
      <w:bookmarkEnd w:id="41"/>
    </w:p>
    <w:p w:rsidR="00B90EF5" w:rsidRPr="00B90EF5" w:rsidRDefault="00B90EF5" w:rsidP="00B90EF5">
      <w:pPr>
        <w:spacing w:after="0" w:line="360" w:lineRule="auto"/>
        <w:ind w:left="720" w:hanging="720"/>
        <w:rPr>
          <w:rFonts w:ascii="Arial" w:hAnsi="Arial" w:cs="Arial"/>
          <w:sz w:val="24"/>
          <w:szCs w:val="24"/>
        </w:rPr>
      </w:pPr>
      <w:bookmarkStart w:id="42" w:name="_ENREF_42"/>
      <w:r w:rsidRPr="00B90EF5">
        <w:rPr>
          <w:rFonts w:ascii="Arial" w:hAnsi="Arial" w:cs="Arial"/>
          <w:b/>
          <w:sz w:val="24"/>
          <w:szCs w:val="24"/>
        </w:rPr>
        <w:t>Ribbink, A. J., Marsh, B. A., Marsh, A. C., Ribbink, A. C. and Sharp, B. J.</w:t>
      </w:r>
      <w:r w:rsidRPr="00B90EF5">
        <w:rPr>
          <w:rFonts w:ascii="Arial" w:hAnsi="Arial" w:cs="Arial"/>
          <w:sz w:val="24"/>
          <w:szCs w:val="24"/>
        </w:rPr>
        <w:t xml:space="preserve"> (1983). A preliminary survey of the cichlid fishes of rocky habitats in Lake Malawi. </w:t>
      </w:r>
      <w:r w:rsidRPr="00B90EF5">
        <w:rPr>
          <w:rFonts w:ascii="Arial" w:hAnsi="Arial" w:cs="Arial"/>
          <w:i/>
          <w:sz w:val="24"/>
          <w:szCs w:val="24"/>
        </w:rPr>
        <w:t>S. Afr. J. Zool.</w:t>
      </w:r>
      <w:r w:rsidRPr="00B90EF5">
        <w:rPr>
          <w:rFonts w:ascii="Arial" w:hAnsi="Arial" w:cs="Arial"/>
          <w:sz w:val="24"/>
          <w:szCs w:val="24"/>
        </w:rPr>
        <w:t xml:space="preserve"> </w:t>
      </w:r>
      <w:r w:rsidRPr="00B90EF5">
        <w:rPr>
          <w:rFonts w:ascii="Arial" w:hAnsi="Arial" w:cs="Arial"/>
          <w:b/>
          <w:sz w:val="24"/>
          <w:szCs w:val="24"/>
        </w:rPr>
        <w:t>18</w:t>
      </w:r>
      <w:r w:rsidRPr="00B90EF5">
        <w:rPr>
          <w:rFonts w:ascii="Arial" w:hAnsi="Arial" w:cs="Arial"/>
          <w:sz w:val="24"/>
          <w:szCs w:val="24"/>
        </w:rPr>
        <w:t>, 149-310.</w:t>
      </w:r>
      <w:bookmarkEnd w:id="42"/>
    </w:p>
    <w:p w:rsidR="00B90EF5" w:rsidRPr="00B90EF5" w:rsidRDefault="00B90EF5" w:rsidP="00B90EF5">
      <w:pPr>
        <w:spacing w:after="0" w:line="360" w:lineRule="auto"/>
        <w:ind w:left="720" w:hanging="720"/>
        <w:rPr>
          <w:rFonts w:ascii="Arial" w:hAnsi="Arial" w:cs="Arial"/>
          <w:sz w:val="24"/>
          <w:szCs w:val="24"/>
        </w:rPr>
      </w:pPr>
      <w:bookmarkStart w:id="43" w:name="_ENREF_43"/>
      <w:r w:rsidRPr="00B90EF5">
        <w:rPr>
          <w:rFonts w:ascii="Arial" w:hAnsi="Arial" w:cs="Arial"/>
          <w:b/>
          <w:sz w:val="24"/>
          <w:szCs w:val="24"/>
        </w:rPr>
        <w:t>Schmidt, A. and Fischer, M. S.</w:t>
      </w:r>
      <w:r w:rsidRPr="00B90EF5">
        <w:rPr>
          <w:rFonts w:ascii="Arial" w:hAnsi="Arial" w:cs="Arial"/>
          <w:sz w:val="24"/>
          <w:szCs w:val="24"/>
        </w:rPr>
        <w:t xml:space="preserve"> (2011). The kinematic consequences of locomotion on sloped arboreal substrates in a generalized (</w:t>
      </w:r>
      <w:r w:rsidRPr="00B90EF5">
        <w:rPr>
          <w:rFonts w:ascii="Arial" w:hAnsi="Arial" w:cs="Arial"/>
          <w:i/>
          <w:sz w:val="24"/>
          <w:szCs w:val="24"/>
        </w:rPr>
        <w:t>Rattus norvegicus</w:t>
      </w:r>
      <w:r w:rsidRPr="00B90EF5">
        <w:rPr>
          <w:rFonts w:ascii="Arial" w:hAnsi="Arial" w:cs="Arial"/>
          <w:sz w:val="24"/>
          <w:szCs w:val="24"/>
        </w:rPr>
        <w:t>) and a specialized (</w:t>
      </w:r>
      <w:r w:rsidRPr="00B90EF5">
        <w:rPr>
          <w:rFonts w:ascii="Arial" w:hAnsi="Arial" w:cs="Arial"/>
          <w:i/>
          <w:sz w:val="24"/>
          <w:szCs w:val="24"/>
        </w:rPr>
        <w:t>Sciurus vulgaris</w:t>
      </w:r>
      <w:r w:rsidRPr="00B90EF5">
        <w:rPr>
          <w:rFonts w:ascii="Arial" w:hAnsi="Arial" w:cs="Arial"/>
          <w:sz w:val="24"/>
          <w:szCs w:val="24"/>
        </w:rPr>
        <w:t xml:space="preserve">) rodent.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214</w:t>
      </w:r>
      <w:r w:rsidRPr="00B90EF5">
        <w:rPr>
          <w:rFonts w:ascii="Arial" w:hAnsi="Arial" w:cs="Arial"/>
          <w:sz w:val="24"/>
          <w:szCs w:val="24"/>
        </w:rPr>
        <w:t>, 2544-2559.</w:t>
      </w:r>
      <w:bookmarkEnd w:id="43"/>
    </w:p>
    <w:p w:rsidR="00B90EF5" w:rsidRPr="00B90EF5" w:rsidRDefault="00B90EF5" w:rsidP="00B90EF5">
      <w:pPr>
        <w:spacing w:after="0" w:line="360" w:lineRule="auto"/>
        <w:ind w:left="720" w:hanging="720"/>
        <w:rPr>
          <w:rFonts w:ascii="Arial" w:hAnsi="Arial" w:cs="Arial"/>
          <w:sz w:val="24"/>
          <w:szCs w:val="24"/>
        </w:rPr>
      </w:pPr>
      <w:bookmarkStart w:id="44" w:name="_ENREF_44"/>
      <w:r w:rsidRPr="00B90EF5">
        <w:rPr>
          <w:rFonts w:ascii="Arial" w:hAnsi="Arial" w:cs="Arial"/>
          <w:b/>
          <w:sz w:val="24"/>
          <w:szCs w:val="24"/>
        </w:rPr>
        <w:t>Schneider, C. A., Rasband, W. S. and Eliceiri, K. W.</w:t>
      </w:r>
      <w:r w:rsidRPr="00B90EF5">
        <w:rPr>
          <w:rFonts w:ascii="Arial" w:hAnsi="Arial" w:cs="Arial"/>
          <w:sz w:val="24"/>
          <w:szCs w:val="24"/>
        </w:rPr>
        <w:t xml:space="preserve"> (2012). NIH Image to ImageJ: 25 years of image analysis. </w:t>
      </w:r>
      <w:r w:rsidRPr="00B90EF5">
        <w:rPr>
          <w:rFonts w:ascii="Arial" w:hAnsi="Arial" w:cs="Arial"/>
          <w:i/>
          <w:sz w:val="24"/>
          <w:szCs w:val="24"/>
        </w:rPr>
        <w:t>Nat. Methods</w:t>
      </w:r>
      <w:r w:rsidRPr="00B90EF5">
        <w:rPr>
          <w:rFonts w:ascii="Arial" w:hAnsi="Arial" w:cs="Arial"/>
          <w:sz w:val="24"/>
          <w:szCs w:val="24"/>
        </w:rPr>
        <w:t xml:space="preserve"> </w:t>
      </w:r>
      <w:r w:rsidRPr="00B90EF5">
        <w:rPr>
          <w:rFonts w:ascii="Arial" w:hAnsi="Arial" w:cs="Arial"/>
          <w:b/>
          <w:sz w:val="24"/>
          <w:szCs w:val="24"/>
        </w:rPr>
        <w:t>9</w:t>
      </w:r>
      <w:r w:rsidRPr="00B90EF5">
        <w:rPr>
          <w:rFonts w:ascii="Arial" w:hAnsi="Arial" w:cs="Arial"/>
          <w:sz w:val="24"/>
          <w:szCs w:val="24"/>
        </w:rPr>
        <w:t>, 671-675.</w:t>
      </w:r>
      <w:bookmarkEnd w:id="44"/>
    </w:p>
    <w:p w:rsidR="00B90EF5" w:rsidRPr="00B90EF5" w:rsidRDefault="00B90EF5" w:rsidP="00B90EF5">
      <w:pPr>
        <w:spacing w:after="0" w:line="360" w:lineRule="auto"/>
        <w:ind w:left="720" w:hanging="720"/>
        <w:rPr>
          <w:rFonts w:ascii="Arial" w:hAnsi="Arial" w:cs="Arial"/>
          <w:sz w:val="24"/>
          <w:szCs w:val="24"/>
        </w:rPr>
      </w:pPr>
      <w:bookmarkStart w:id="45" w:name="_ENREF_45"/>
      <w:r w:rsidRPr="00B90EF5">
        <w:rPr>
          <w:rFonts w:ascii="Arial" w:hAnsi="Arial" w:cs="Arial"/>
          <w:b/>
          <w:sz w:val="24"/>
          <w:szCs w:val="24"/>
        </w:rPr>
        <w:t>Stauffer, J. R. and Posner, I.</w:t>
      </w:r>
      <w:r w:rsidRPr="00B90EF5">
        <w:rPr>
          <w:rFonts w:ascii="Arial" w:hAnsi="Arial" w:cs="Arial"/>
          <w:sz w:val="24"/>
          <w:szCs w:val="24"/>
        </w:rPr>
        <w:t xml:space="preserve"> (2006). An investigation of the utility of feeding angles among Lake Malawi rock-dwelling cichlids (Teleostei : Cichlidae). </w:t>
      </w:r>
      <w:r w:rsidRPr="00B90EF5">
        <w:rPr>
          <w:rFonts w:ascii="Arial" w:hAnsi="Arial" w:cs="Arial"/>
          <w:i/>
          <w:sz w:val="24"/>
          <w:szCs w:val="24"/>
        </w:rPr>
        <w:t>Copeia</w:t>
      </w:r>
      <w:r w:rsidRPr="00B90EF5">
        <w:rPr>
          <w:rFonts w:ascii="Arial" w:hAnsi="Arial" w:cs="Arial"/>
          <w:sz w:val="24"/>
          <w:szCs w:val="24"/>
        </w:rPr>
        <w:t>, 289-292.</w:t>
      </w:r>
      <w:bookmarkEnd w:id="45"/>
    </w:p>
    <w:p w:rsidR="00B90EF5" w:rsidRPr="00B90EF5" w:rsidRDefault="00B90EF5" w:rsidP="00B90EF5">
      <w:pPr>
        <w:spacing w:after="0" w:line="360" w:lineRule="auto"/>
        <w:ind w:left="720" w:hanging="720"/>
        <w:rPr>
          <w:rFonts w:ascii="Arial" w:hAnsi="Arial" w:cs="Arial"/>
          <w:sz w:val="24"/>
          <w:szCs w:val="24"/>
        </w:rPr>
      </w:pPr>
      <w:bookmarkStart w:id="46" w:name="_ENREF_47"/>
      <w:r w:rsidRPr="00B90EF5">
        <w:rPr>
          <w:rFonts w:ascii="Arial" w:hAnsi="Arial" w:cs="Arial"/>
          <w:b/>
          <w:sz w:val="24"/>
          <w:szCs w:val="24"/>
        </w:rPr>
        <w:lastRenderedPageBreak/>
        <w:t>Venesky, M. D., Rossa-Feres, D. C., Nomura, F., de Andrade, G. V., Pezzuti, T. L., de Sousa, V. T. T., Anderson, C. V. and Wassersug, R. J.</w:t>
      </w:r>
      <w:r w:rsidRPr="00B90EF5">
        <w:rPr>
          <w:rFonts w:ascii="Arial" w:hAnsi="Arial" w:cs="Arial"/>
          <w:sz w:val="24"/>
          <w:szCs w:val="24"/>
        </w:rPr>
        <w:t xml:space="preserve"> (2013). Comparative feeding kinematics of tropical hylid tadpoles.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216</w:t>
      </w:r>
      <w:r w:rsidRPr="00B90EF5">
        <w:rPr>
          <w:rFonts w:ascii="Arial" w:hAnsi="Arial" w:cs="Arial"/>
          <w:sz w:val="24"/>
          <w:szCs w:val="24"/>
        </w:rPr>
        <w:t>, 1928-1937.</w:t>
      </w:r>
      <w:bookmarkEnd w:id="46"/>
    </w:p>
    <w:p w:rsidR="00B90EF5" w:rsidRPr="00B90EF5" w:rsidRDefault="00B90EF5" w:rsidP="00B90EF5">
      <w:pPr>
        <w:spacing w:after="0" w:line="360" w:lineRule="auto"/>
        <w:ind w:left="720" w:hanging="720"/>
        <w:rPr>
          <w:rFonts w:ascii="Arial" w:hAnsi="Arial" w:cs="Arial"/>
          <w:sz w:val="24"/>
          <w:szCs w:val="24"/>
        </w:rPr>
      </w:pPr>
      <w:bookmarkStart w:id="47" w:name="_ENREF_48"/>
      <w:r w:rsidRPr="00B90EF5">
        <w:rPr>
          <w:rFonts w:ascii="Arial" w:hAnsi="Arial" w:cs="Arial"/>
          <w:b/>
          <w:sz w:val="24"/>
          <w:szCs w:val="24"/>
        </w:rPr>
        <w:t>Wainwright, P. C. and Richard, B. A.</w:t>
      </w:r>
      <w:r w:rsidRPr="00B90EF5">
        <w:rPr>
          <w:rFonts w:ascii="Arial" w:hAnsi="Arial" w:cs="Arial"/>
          <w:sz w:val="24"/>
          <w:szCs w:val="24"/>
        </w:rPr>
        <w:t xml:space="preserve"> (1995). Predicting patterns of prey use from morphology of fishes. </w:t>
      </w:r>
      <w:r w:rsidRPr="00B90EF5">
        <w:rPr>
          <w:rFonts w:ascii="Arial" w:hAnsi="Arial" w:cs="Arial"/>
          <w:i/>
          <w:sz w:val="24"/>
          <w:szCs w:val="24"/>
        </w:rPr>
        <w:t>Environ. Biol. Fishes</w:t>
      </w:r>
      <w:r w:rsidRPr="00B90EF5">
        <w:rPr>
          <w:rFonts w:ascii="Arial" w:hAnsi="Arial" w:cs="Arial"/>
          <w:sz w:val="24"/>
          <w:szCs w:val="24"/>
        </w:rPr>
        <w:t xml:space="preserve"> </w:t>
      </w:r>
      <w:r w:rsidRPr="00B90EF5">
        <w:rPr>
          <w:rFonts w:ascii="Arial" w:hAnsi="Arial" w:cs="Arial"/>
          <w:b/>
          <w:sz w:val="24"/>
          <w:szCs w:val="24"/>
        </w:rPr>
        <w:t>44</w:t>
      </w:r>
      <w:r w:rsidRPr="00B90EF5">
        <w:rPr>
          <w:rFonts w:ascii="Arial" w:hAnsi="Arial" w:cs="Arial"/>
          <w:sz w:val="24"/>
          <w:szCs w:val="24"/>
        </w:rPr>
        <w:t>, 97-113.</w:t>
      </w:r>
      <w:bookmarkEnd w:id="47"/>
    </w:p>
    <w:p w:rsidR="00B90EF5" w:rsidRPr="00B90EF5" w:rsidRDefault="00B90EF5" w:rsidP="00B90EF5">
      <w:pPr>
        <w:spacing w:after="0" w:line="360" w:lineRule="auto"/>
        <w:ind w:left="720" w:hanging="720"/>
        <w:rPr>
          <w:rFonts w:ascii="Arial" w:hAnsi="Arial" w:cs="Arial"/>
          <w:sz w:val="24"/>
          <w:szCs w:val="24"/>
        </w:rPr>
      </w:pPr>
      <w:bookmarkStart w:id="48" w:name="_ENREF_49"/>
      <w:r w:rsidRPr="00B90EF5">
        <w:rPr>
          <w:rFonts w:ascii="Arial" w:hAnsi="Arial" w:cs="Arial"/>
          <w:b/>
          <w:sz w:val="24"/>
          <w:szCs w:val="24"/>
        </w:rPr>
        <w:t>Wainwright, P. C., Mehta, R. S. and Higham, T. E.</w:t>
      </w:r>
      <w:r w:rsidRPr="00B90EF5">
        <w:rPr>
          <w:rFonts w:ascii="Arial" w:hAnsi="Arial" w:cs="Arial"/>
          <w:sz w:val="24"/>
          <w:szCs w:val="24"/>
        </w:rPr>
        <w:t xml:space="preserve"> (2008). Stereotypy, flexibility and coordination: key concepts in behavioral functional morphology.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211</w:t>
      </w:r>
      <w:r w:rsidRPr="00B90EF5">
        <w:rPr>
          <w:rFonts w:ascii="Arial" w:hAnsi="Arial" w:cs="Arial"/>
          <w:sz w:val="24"/>
          <w:szCs w:val="24"/>
        </w:rPr>
        <w:t>, 3523-3528.</w:t>
      </w:r>
      <w:bookmarkEnd w:id="48"/>
    </w:p>
    <w:p w:rsidR="00B90EF5" w:rsidRPr="00B90EF5" w:rsidRDefault="00B90EF5" w:rsidP="00B90EF5">
      <w:pPr>
        <w:spacing w:after="0" w:line="360" w:lineRule="auto"/>
        <w:ind w:left="720" w:hanging="720"/>
        <w:rPr>
          <w:rFonts w:ascii="Arial" w:hAnsi="Arial" w:cs="Arial"/>
          <w:sz w:val="24"/>
          <w:szCs w:val="24"/>
        </w:rPr>
      </w:pPr>
      <w:bookmarkStart w:id="49" w:name="_ENREF_50"/>
      <w:r w:rsidRPr="00B90EF5">
        <w:rPr>
          <w:rFonts w:ascii="Arial" w:hAnsi="Arial" w:cs="Arial"/>
          <w:b/>
          <w:sz w:val="24"/>
          <w:szCs w:val="24"/>
        </w:rPr>
        <w:t>Wainwright, P. C., Alfaro, M. E., Bolnick, D. I. and Hulsey, C. D.</w:t>
      </w:r>
      <w:r w:rsidRPr="00B90EF5">
        <w:rPr>
          <w:rFonts w:ascii="Arial" w:hAnsi="Arial" w:cs="Arial"/>
          <w:sz w:val="24"/>
          <w:szCs w:val="24"/>
        </w:rPr>
        <w:t xml:space="preserve"> (2005). Many-to-one mapping of form to function: a general principle in organismal design? </w:t>
      </w:r>
      <w:r w:rsidRPr="00B90EF5">
        <w:rPr>
          <w:rFonts w:ascii="Arial" w:hAnsi="Arial" w:cs="Arial"/>
          <w:i/>
          <w:sz w:val="24"/>
          <w:szCs w:val="24"/>
        </w:rPr>
        <w:t>Integr. Comp. Biol.</w:t>
      </w:r>
      <w:r w:rsidRPr="00B90EF5">
        <w:rPr>
          <w:rFonts w:ascii="Arial" w:hAnsi="Arial" w:cs="Arial"/>
          <w:sz w:val="24"/>
          <w:szCs w:val="24"/>
        </w:rPr>
        <w:t xml:space="preserve"> </w:t>
      </w:r>
      <w:r w:rsidRPr="00B90EF5">
        <w:rPr>
          <w:rFonts w:ascii="Arial" w:hAnsi="Arial" w:cs="Arial"/>
          <w:b/>
          <w:sz w:val="24"/>
          <w:szCs w:val="24"/>
        </w:rPr>
        <w:t>45</w:t>
      </w:r>
      <w:r w:rsidRPr="00B90EF5">
        <w:rPr>
          <w:rFonts w:ascii="Arial" w:hAnsi="Arial" w:cs="Arial"/>
          <w:sz w:val="24"/>
          <w:szCs w:val="24"/>
        </w:rPr>
        <w:t>, 256-262.</w:t>
      </w:r>
      <w:bookmarkEnd w:id="49"/>
    </w:p>
    <w:p w:rsidR="00B90EF5" w:rsidRDefault="00B90EF5" w:rsidP="00B90EF5">
      <w:pPr>
        <w:spacing w:after="0" w:line="360" w:lineRule="auto"/>
        <w:ind w:left="720" w:hanging="720"/>
        <w:rPr>
          <w:rFonts w:ascii="Arial" w:hAnsi="Arial" w:cs="Arial"/>
          <w:sz w:val="24"/>
          <w:szCs w:val="24"/>
        </w:rPr>
      </w:pPr>
      <w:bookmarkStart w:id="50" w:name="_ENREF_51"/>
      <w:r w:rsidRPr="00B90EF5">
        <w:rPr>
          <w:rFonts w:ascii="Arial" w:hAnsi="Arial" w:cs="Arial"/>
          <w:b/>
          <w:sz w:val="24"/>
          <w:szCs w:val="24"/>
        </w:rPr>
        <w:t>Wainwright, P. C., Ferry-Graham, L. A., Waltzek, T. B., Carroll, A. M., Hulsey, C. D. and Grubich, J. R.</w:t>
      </w:r>
      <w:r w:rsidRPr="00B90EF5">
        <w:rPr>
          <w:rFonts w:ascii="Arial" w:hAnsi="Arial" w:cs="Arial"/>
          <w:sz w:val="24"/>
          <w:szCs w:val="24"/>
        </w:rPr>
        <w:t xml:space="preserve"> (2001). Evaluating the use of ram and suction during prey capture by cichlid fishes. </w:t>
      </w:r>
      <w:r w:rsidRPr="00B90EF5">
        <w:rPr>
          <w:rFonts w:ascii="Arial" w:hAnsi="Arial" w:cs="Arial"/>
          <w:i/>
          <w:sz w:val="24"/>
          <w:szCs w:val="24"/>
        </w:rPr>
        <w:t>J. Exp. Biol.</w:t>
      </w:r>
      <w:r w:rsidRPr="00B90EF5">
        <w:rPr>
          <w:rFonts w:ascii="Arial" w:hAnsi="Arial" w:cs="Arial"/>
          <w:sz w:val="24"/>
          <w:szCs w:val="24"/>
        </w:rPr>
        <w:t xml:space="preserve"> </w:t>
      </w:r>
      <w:r w:rsidRPr="00B90EF5">
        <w:rPr>
          <w:rFonts w:ascii="Arial" w:hAnsi="Arial" w:cs="Arial"/>
          <w:b/>
          <w:sz w:val="24"/>
          <w:szCs w:val="24"/>
        </w:rPr>
        <w:t>204</w:t>
      </w:r>
      <w:r w:rsidRPr="00B90EF5">
        <w:rPr>
          <w:rFonts w:ascii="Arial" w:hAnsi="Arial" w:cs="Arial"/>
          <w:sz w:val="24"/>
          <w:szCs w:val="24"/>
        </w:rPr>
        <w:t>, 3039-3051.</w:t>
      </w:r>
      <w:bookmarkEnd w:id="50"/>
    </w:p>
    <w:p w:rsidR="00B90EF5" w:rsidRDefault="00B90EF5">
      <w:pPr>
        <w:rPr>
          <w:rFonts w:ascii="Arial" w:hAnsi="Arial" w:cs="Arial"/>
          <w:sz w:val="24"/>
          <w:szCs w:val="24"/>
        </w:rPr>
      </w:pPr>
      <w:r>
        <w:rPr>
          <w:rFonts w:ascii="Arial" w:hAnsi="Arial" w:cs="Arial"/>
          <w:sz w:val="24"/>
          <w:szCs w:val="24"/>
        </w:rPr>
        <w:br w:type="page"/>
      </w:r>
    </w:p>
    <w:p w:rsidR="00391582" w:rsidRDefault="0018309E" w:rsidP="00B90EF5">
      <w:pPr>
        <w:pStyle w:val="Thesis1"/>
      </w:pPr>
      <w:r>
        <w:lastRenderedPageBreak/>
        <w:t>APPENDIX</w:t>
      </w:r>
    </w:p>
    <w:p w:rsidR="00391582" w:rsidRDefault="00391582">
      <w:pPr>
        <w:rPr>
          <w:rFonts w:ascii="Arial" w:hAnsi="Arial" w:cs="Arial"/>
          <w:b/>
          <w:sz w:val="28"/>
          <w:szCs w:val="28"/>
        </w:rPr>
      </w:pPr>
      <w:r>
        <w:br w:type="page"/>
      </w:r>
    </w:p>
    <w:p w:rsidR="00287091" w:rsidRPr="0018309E" w:rsidRDefault="0018309E" w:rsidP="0018309E">
      <w:pPr>
        <w:pStyle w:val="Thesis2"/>
      </w:pPr>
      <w:r w:rsidRPr="0018309E">
        <w:lastRenderedPageBreak/>
        <w:t>Figures</w:t>
      </w:r>
    </w:p>
    <w:p w:rsidR="00B90EF5" w:rsidRDefault="00B90EF5" w:rsidP="00AE67A1">
      <w:pPr>
        <w:spacing w:after="0" w:line="360" w:lineRule="auto"/>
        <w:rPr>
          <w:rFonts w:ascii="Arial" w:hAnsi="Arial" w:cs="Arial"/>
          <w:sz w:val="24"/>
          <w:szCs w:val="24"/>
        </w:rPr>
      </w:pPr>
    </w:p>
    <w:p w:rsidR="00B90EF5" w:rsidRDefault="00B90EF5" w:rsidP="00B90EF5">
      <w:pPr>
        <w:spacing w:after="0" w:line="360" w:lineRule="auto"/>
        <w:ind w:left="720" w:hanging="720"/>
        <w:rPr>
          <w:rFonts w:ascii="Arial" w:hAnsi="Arial" w:cs="Arial"/>
          <w:sz w:val="24"/>
          <w:szCs w:val="24"/>
        </w:rPr>
      </w:pPr>
      <w:r>
        <w:rPr>
          <w:rFonts w:ascii="Arial" w:hAnsi="Arial" w:cs="Arial"/>
          <w:noProof/>
          <w:sz w:val="24"/>
          <w:szCs w:val="24"/>
        </w:rPr>
        <w:drawing>
          <wp:inline distT="0" distB="0" distL="0" distR="0">
            <wp:extent cx="5995384" cy="5496237"/>
            <wp:effectExtent l="19050" t="0" r="5366" b="0"/>
            <wp:docPr id="1" name="Picture 0" descr="Figure1MalawiKinematics10Oct13M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MalawiKinematics10Oct13MFR.jpg"/>
                    <pic:cNvPicPr/>
                  </pic:nvPicPr>
                  <pic:blipFill>
                    <a:blip r:embed="rId8" cstate="print"/>
                    <a:stretch>
                      <a:fillRect/>
                    </a:stretch>
                  </pic:blipFill>
                  <pic:spPr>
                    <a:xfrm>
                      <a:off x="0" y="0"/>
                      <a:ext cx="6011847" cy="5511330"/>
                    </a:xfrm>
                    <a:prstGeom prst="rect">
                      <a:avLst/>
                    </a:prstGeom>
                  </pic:spPr>
                </pic:pic>
              </a:graphicData>
            </a:graphic>
          </wp:inline>
        </w:drawing>
      </w:r>
    </w:p>
    <w:p w:rsidR="00B90EF5" w:rsidRDefault="0018309E" w:rsidP="00AE67A1">
      <w:pPr>
        <w:spacing w:line="360" w:lineRule="auto"/>
        <w:jc w:val="both"/>
        <w:rPr>
          <w:rFonts w:ascii="Arial" w:hAnsi="Arial" w:cs="Arial"/>
          <w:sz w:val="24"/>
          <w:szCs w:val="24"/>
        </w:rPr>
      </w:pPr>
      <w:r w:rsidRPr="0018309E">
        <w:rPr>
          <w:rStyle w:val="Thesis3Char"/>
        </w:rPr>
        <w:t>Figure</w:t>
      </w:r>
      <w:r w:rsidR="00B90EF5" w:rsidRPr="0018309E">
        <w:rPr>
          <w:rStyle w:val="Thesis3Char"/>
        </w:rPr>
        <w:t xml:space="preserve"> 1.</w:t>
      </w:r>
      <w:r w:rsidR="00B90EF5" w:rsidRPr="00AE67A1">
        <w:rPr>
          <w:rFonts w:ascii="Arial" w:hAnsi="Arial" w:cs="Arial"/>
          <w:b/>
          <w:sz w:val="24"/>
          <w:szCs w:val="24"/>
        </w:rPr>
        <w:t xml:space="preserve"> Illustrates the different kinematic variables. </w:t>
      </w:r>
      <w:r w:rsidR="00B90EF5" w:rsidRPr="00AE67A1">
        <w:rPr>
          <w:rFonts w:ascii="Arial" w:hAnsi="Arial" w:cs="Arial"/>
          <w:sz w:val="24"/>
          <w:szCs w:val="24"/>
        </w:rPr>
        <w:t>(A) Illustrates how protrusion angle was measured, (B) shows the measurement of body angle, (C) shows how protrusion distance was measured, and (D) demonstrates the measurement of gape width and standard length.</w:t>
      </w:r>
    </w:p>
    <w:p w:rsidR="00AE67A1" w:rsidRDefault="00AE67A1" w:rsidP="00AE67A1">
      <w:pPr>
        <w:spacing w:line="360" w:lineRule="auto"/>
        <w:jc w:val="both"/>
        <w:rPr>
          <w:rFonts w:ascii="Arial" w:hAnsi="Arial" w:cs="Arial"/>
          <w:sz w:val="24"/>
          <w:szCs w:val="24"/>
        </w:rPr>
      </w:pPr>
    </w:p>
    <w:p w:rsidR="00AE67A1" w:rsidRDefault="00AE67A1" w:rsidP="00AE67A1">
      <w:pPr>
        <w:spacing w:line="360" w:lineRule="auto"/>
        <w:jc w:val="both"/>
        <w:rPr>
          <w:rFonts w:ascii="Arial" w:hAnsi="Arial" w:cs="Arial"/>
          <w:sz w:val="24"/>
          <w:szCs w:val="24"/>
        </w:rPr>
      </w:pPr>
    </w:p>
    <w:p w:rsidR="00AE67A1" w:rsidRDefault="00AE67A1" w:rsidP="00AE67A1">
      <w:pPr>
        <w:spacing w:line="360" w:lineRule="auto"/>
        <w:jc w:val="both"/>
        <w:rPr>
          <w:rFonts w:ascii="Arial" w:hAnsi="Arial" w:cs="Arial"/>
          <w:sz w:val="24"/>
          <w:szCs w:val="24"/>
        </w:rPr>
      </w:pPr>
      <w:r>
        <w:rPr>
          <w:rFonts w:ascii="Arial" w:hAnsi="Arial" w:cs="Arial"/>
          <w:noProof/>
          <w:sz w:val="24"/>
          <w:szCs w:val="24"/>
        </w:rPr>
        <w:lastRenderedPageBreak/>
        <w:drawing>
          <wp:inline distT="0" distB="0" distL="0" distR="0">
            <wp:extent cx="5943600" cy="4133850"/>
            <wp:effectExtent l="19050" t="0" r="0" b="0"/>
            <wp:docPr id="2" name="Picture 1" descr="Figure 2 (Filming Setup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Filming Setup Color).jpg"/>
                    <pic:cNvPicPr/>
                  </pic:nvPicPr>
                  <pic:blipFill>
                    <a:blip r:embed="rId9" cstate="print"/>
                    <a:stretch>
                      <a:fillRect/>
                    </a:stretch>
                  </pic:blipFill>
                  <pic:spPr>
                    <a:xfrm>
                      <a:off x="0" y="0"/>
                      <a:ext cx="5943600" cy="4133850"/>
                    </a:xfrm>
                    <a:prstGeom prst="rect">
                      <a:avLst/>
                    </a:prstGeom>
                  </pic:spPr>
                </pic:pic>
              </a:graphicData>
            </a:graphic>
          </wp:inline>
        </w:drawing>
      </w:r>
    </w:p>
    <w:p w:rsidR="00AE67A1" w:rsidRPr="00AE67A1" w:rsidRDefault="0018309E" w:rsidP="00AE67A1">
      <w:pPr>
        <w:spacing w:line="360" w:lineRule="auto"/>
        <w:jc w:val="both"/>
        <w:rPr>
          <w:rFonts w:ascii="Arial" w:hAnsi="Arial" w:cs="Arial"/>
          <w:sz w:val="24"/>
          <w:szCs w:val="24"/>
        </w:rPr>
      </w:pPr>
      <w:r w:rsidRPr="0018309E">
        <w:rPr>
          <w:rStyle w:val="Thesis3Char"/>
        </w:rPr>
        <w:t>Figure</w:t>
      </w:r>
      <w:r w:rsidR="00AE67A1" w:rsidRPr="0018309E">
        <w:rPr>
          <w:rStyle w:val="Thesis3Char"/>
        </w:rPr>
        <w:t xml:space="preserve"> 2.</w:t>
      </w:r>
      <w:r w:rsidR="00AE67A1" w:rsidRPr="00AE67A1">
        <w:rPr>
          <w:rFonts w:ascii="Arial" w:hAnsi="Arial" w:cs="Arial"/>
          <w:b/>
          <w:sz w:val="24"/>
          <w:szCs w:val="24"/>
        </w:rPr>
        <w:t xml:space="preserve"> Shows the experimental filming setup. </w:t>
      </w:r>
      <w:r w:rsidR="00AE67A1" w:rsidRPr="00AE67A1">
        <w:rPr>
          <w:rFonts w:ascii="Arial" w:hAnsi="Arial" w:cs="Arial"/>
          <w:sz w:val="24"/>
          <w:szCs w:val="24"/>
        </w:rPr>
        <w:t xml:space="preserve">Fish were filmed scraping algae from the PVC rectangle until five feeding events were recorded for each of the three surface orientations. </w:t>
      </w:r>
    </w:p>
    <w:p w:rsidR="00AE67A1" w:rsidRDefault="00AE67A1" w:rsidP="00AE67A1">
      <w:pPr>
        <w:spacing w:line="360" w:lineRule="auto"/>
        <w:jc w:val="both"/>
        <w:rPr>
          <w:rFonts w:ascii="Arial" w:hAnsi="Arial" w:cs="Arial"/>
          <w:sz w:val="24"/>
          <w:szCs w:val="24"/>
        </w:rPr>
      </w:pPr>
    </w:p>
    <w:p w:rsidR="00AE67A1" w:rsidRDefault="00AE67A1" w:rsidP="00AE67A1">
      <w:pPr>
        <w:spacing w:line="360" w:lineRule="auto"/>
        <w:jc w:val="both"/>
        <w:rPr>
          <w:rFonts w:ascii="Arial" w:hAnsi="Arial" w:cs="Arial"/>
          <w:sz w:val="24"/>
          <w:szCs w:val="24"/>
        </w:rPr>
      </w:pPr>
      <w:r>
        <w:rPr>
          <w:rFonts w:ascii="Arial" w:hAnsi="Arial" w:cs="Arial"/>
          <w:noProof/>
          <w:sz w:val="24"/>
          <w:szCs w:val="24"/>
        </w:rPr>
        <w:lastRenderedPageBreak/>
        <w:drawing>
          <wp:inline distT="0" distB="0" distL="0" distR="0">
            <wp:extent cx="5943600" cy="2603500"/>
            <wp:effectExtent l="19050" t="0" r="0" b="0"/>
            <wp:docPr id="3" name="Picture 2" descr="Kinematic Variables Boxplots (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matic Variables Boxplots (Fig 3).jpg"/>
                    <pic:cNvPicPr/>
                  </pic:nvPicPr>
                  <pic:blipFill>
                    <a:blip r:embed="rId10" cstate="print"/>
                    <a:stretch>
                      <a:fillRect/>
                    </a:stretch>
                  </pic:blipFill>
                  <pic:spPr>
                    <a:xfrm>
                      <a:off x="0" y="0"/>
                      <a:ext cx="5943600" cy="2603500"/>
                    </a:xfrm>
                    <a:prstGeom prst="rect">
                      <a:avLst/>
                    </a:prstGeom>
                  </pic:spPr>
                </pic:pic>
              </a:graphicData>
            </a:graphic>
          </wp:inline>
        </w:drawing>
      </w:r>
    </w:p>
    <w:p w:rsidR="00AE67A1" w:rsidRPr="00AE67A1" w:rsidRDefault="0018309E" w:rsidP="00AE67A1">
      <w:pPr>
        <w:spacing w:line="360" w:lineRule="auto"/>
        <w:jc w:val="both"/>
        <w:rPr>
          <w:rFonts w:ascii="Arial" w:hAnsi="Arial" w:cs="Arial"/>
          <w:sz w:val="24"/>
          <w:szCs w:val="24"/>
        </w:rPr>
      </w:pPr>
      <w:r w:rsidRPr="0018309E">
        <w:rPr>
          <w:rStyle w:val="Thesis3Char"/>
        </w:rPr>
        <w:t>Figure</w:t>
      </w:r>
      <w:r w:rsidR="00AE67A1" w:rsidRPr="0018309E">
        <w:rPr>
          <w:rStyle w:val="Thesis3Char"/>
        </w:rPr>
        <w:t xml:space="preserve"> 3.</w:t>
      </w:r>
      <w:r w:rsidR="00AE67A1" w:rsidRPr="00AE67A1">
        <w:rPr>
          <w:rFonts w:ascii="Arial" w:hAnsi="Arial" w:cs="Arial"/>
          <w:b/>
          <w:sz w:val="24"/>
          <w:szCs w:val="24"/>
        </w:rPr>
        <w:t xml:space="preserve"> Shows the box plots for body angle (A), gape size (B) and bite rate (C). </w:t>
      </w:r>
      <w:r w:rsidR="00AE67A1" w:rsidRPr="00AE67A1">
        <w:rPr>
          <w:rFonts w:ascii="Arial" w:hAnsi="Arial" w:cs="Arial"/>
          <w:sz w:val="24"/>
          <w:szCs w:val="24"/>
        </w:rPr>
        <w:t>The labels on the x-axis designate the species (P, M or L) and the orientation of the feeding surface (T, S or B). The post hoc analyses supporting</w:t>
      </w:r>
      <w:bookmarkStart w:id="51" w:name="_GoBack"/>
      <w:bookmarkEnd w:id="51"/>
      <w:r w:rsidR="00AE67A1" w:rsidRPr="00AE67A1">
        <w:rPr>
          <w:rFonts w:ascii="Arial" w:hAnsi="Arial" w:cs="Arial"/>
          <w:sz w:val="24"/>
          <w:szCs w:val="24"/>
        </w:rPr>
        <w:t xml:space="preserve"> intraspecific differences are designated by the letters above the error bars. </w:t>
      </w:r>
    </w:p>
    <w:p w:rsidR="00AE67A1" w:rsidRDefault="00AE67A1" w:rsidP="00AE67A1">
      <w:pPr>
        <w:spacing w:line="360" w:lineRule="auto"/>
        <w:jc w:val="both"/>
        <w:rPr>
          <w:rFonts w:ascii="Arial" w:hAnsi="Arial" w:cs="Arial"/>
          <w:sz w:val="24"/>
          <w:szCs w:val="24"/>
        </w:rPr>
      </w:pPr>
    </w:p>
    <w:p w:rsidR="00B45974" w:rsidRDefault="00B45974">
      <w:pPr>
        <w:rPr>
          <w:rFonts w:ascii="Arial" w:hAnsi="Arial" w:cs="Arial"/>
          <w:b/>
          <w:i/>
          <w:sz w:val="28"/>
          <w:szCs w:val="28"/>
        </w:rPr>
      </w:pPr>
      <w:r>
        <w:br w:type="page"/>
      </w:r>
    </w:p>
    <w:p w:rsidR="00287091" w:rsidRDefault="00287091" w:rsidP="00287091">
      <w:pPr>
        <w:pStyle w:val="Thesis2"/>
      </w:pPr>
      <w:r>
        <w:lastRenderedPageBreak/>
        <w:t>Tables</w:t>
      </w:r>
    </w:p>
    <w:p w:rsidR="00287091" w:rsidRDefault="00287091" w:rsidP="00287091">
      <w:pPr>
        <w:pStyle w:val="Thesis2"/>
      </w:pPr>
    </w:p>
    <w:tbl>
      <w:tblPr>
        <w:tblW w:w="9540" w:type="dxa"/>
        <w:tblInd w:w="93" w:type="dxa"/>
        <w:tblLook w:val="04A0"/>
      </w:tblPr>
      <w:tblGrid>
        <w:gridCol w:w="2878"/>
        <w:gridCol w:w="1618"/>
        <w:gridCol w:w="1542"/>
        <w:gridCol w:w="1533"/>
        <w:gridCol w:w="1969"/>
      </w:tblGrid>
      <w:tr w:rsidR="00AE67A1" w:rsidRPr="00AE67A1" w:rsidTr="00AE67A1">
        <w:trPr>
          <w:trHeight w:val="330"/>
        </w:trPr>
        <w:tc>
          <w:tcPr>
            <w:tcW w:w="9540" w:type="dxa"/>
            <w:gridSpan w:val="5"/>
            <w:tcBorders>
              <w:top w:val="nil"/>
              <w:left w:val="nil"/>
              <w:bottom w:val="single" w:sz="12" w:space="0" w:color="auto"/>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color w:val="000000"/>
                <w:sz w:val="24"/>
                <w:szCs w:val="24"/>
              </w:rPr>
            </w:pPr>
            <w:r w:rsidRPr="00287091">
              <w:rPr>
                <w:rStyle w:val="Thesis3Char"/>
              </w:rPr>
              <w:t>Table 1</w:t>
            </w:r>
            <w:r w:rsidRPr="00AE67A1">
              <w:rPr>
                <w:rFonts w:ascii="Arial" w:eastAsia="Times New Roman" w:hAnsi="Arial" w:cs="Arial"/>
                <w:color w:val="000000"/>
                <w:sz w:val="24"/>
                <w:szCs w:val="24"/>
              </w:rPr>
              <w:t>. Kinematic variables that do not exhibit intraspecific differences.</w:t>
            </w:r>
          </w:p>
        </w:tc>
      </w:tr>
      <w:tr w:rsidR="00AE67A1" w:rsidRPr="00AE67A1" w:rsidTr="00AE67A1">
        <w:trPr>
          <w:trHeight w:val="330"/>
        </w:trPr>
        <w:tc>
          <w:tcPr>
            <w:tcW w:w="2878" w:type="dxa"/>
            <w:tcBorders>
              <w:top w:val="nil"/>
              <w:left w:val="nil"/>
              <w:bottom w:val="single" w:sz="4" w:space="0" w:color="auto"/>
              <w:right w:val="nil"/>
            </w:tcBorders>
            <w:shd w:val="clear" w:color="auto" w:fill="auto"/>
            <w:noWrap/>
            <w:vAlign w:val="bottom"/>
            <w:hideMark/>
          </w:tcPr>
          <w:p w:rsidR="00AE67A1" w:rsidRPr="00AE67A1" w:rsidRDefault="00AE67A1" w:rsidP="00AE67A1">
            <w:pPr>
              <w:spacing w:after="0" w:line="240" w:lineRule="auto"/>
              <w:rPr>
                <w:rFonts w:ascii="Arial" w:eastAsia="Times New Roman" w:hAnsi="Arial" w:cs="Arial"/>
                <w:color w:val="000000"/>
              </w:rPr>
            </w:pPr>
            <w:r w:rsidRPr="00AE67A1">
              <w:rPr>
                <w:rFonts w:ascii="Arial" w:eastAsia="Times New Roman" w:hAnsi="Arial" w:cs="Arial"/>
                <w:color w:val="000000"/>
              </w:rPr>
              <w:t>Kinematic Variable</w:t>
            </w:r>
          </w:p>
        </w:tc>
        <w:tc>
          <w:tcPr>
            <w:tcW w:w="1618" w:type="dxa"/>
            <w:tcBorders>
              <w:top w:val="nil"/>
              <w:left w:val="nil"/>
              <w:bottom w:val="single" w:sz="4" w:space="0" w:color="auto"/>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i/>
                <w:iCs/>
                <w:color w:val="000000"/>
              </w:rPr>
            </w:pPr>
            <w:r w:rsidRPr="00AE67A1">
              <w:rPr>
                <w:rFonts w:ascii="Arial" w:eastAsia="Times New Roman" w:hAnsi="Arial" w:cs="Arial"/>
                <w:i/>
                <w:iCs/>
                <w:color w:val="000000"/>
              </w:rPr>
              <w:t>P. chitimba</w:t>
            </w:r>
          </w:p>
        </w:tc>
        <w:tc>
          <w:tcPr>
            <w:tcW w:w="1542" w:type="dxa"/>
            <w:tcBorders>
              <w:top w:val="nil"/>
              <w:left w:val="nil"/>
              <w:bottom w:val="single" w:sz="4" w:space="0" w:color="auto"/>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i/>
                <w:iCs/>
                <w:color w:val="000000"/>
              </w:rPr>
            </w:pPr>
            <w:r w:rsidRPr="00AE67A1">
              <w:rPr>
                <w:rFonts w:ascii="Arial" w:eastAsia="Times New Roman" w:hAnsi="Arial" w:cs="Arial"/>
                <w:i/>
                <w:iCs/>
                <w:color w:val="000000"/>
              </w:rPr>
              <w:t>M. patricki</w:t>
            </w:r>
          </w:p>
        </w:tc>
        <w:tc>
          <w:tcPr>
            <w:tcW w:w="1533" w:type="dxa"/>
            <w:tcBorders>
              <w:top w:val="nil"/>
              <w:left w:val="nil"/>
              <w:bottom w:val="single" w:sz="4" w:space="0" w:color="auto"/>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i/>
                <w:iCs/>
                <w:color w:val="000000"/>
              </w:rPr>
            </w:pPr>
            <w:r w:rsidRPr="00AE67A1">
              <w:rPr>
                <w:rFonts w:ascii="Arial" w:eastAsia="Times New Roman" w:hAnsi="Arial" w:cs="Arial"/>
                <w:i/>
                <w:iCs/>
                <w:color w:val="000000"/>
              </w:rPr>
              <w:t>L. trewavasae</w:t>
            </w:r>
          </w:p>
        </w:tc>
        <w:tc>
          <w:tcPr>
            <w:tcW w:w="1969" w:type="dxa"/>
            <w:tcBorders>
              <w:top w:val="nil"/>
              <w:left w:val="nil"/>
              <w:bottom w:val="single" w:sz="4" w:space="0" w:color="auto"/>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color w:val="000000"/>
              </w:rPr>
            </w:pPr>
            <w:r w:rsidRPr="00AE67A1">
              <w:rPr>
                <w:rFonts w:ascii="Arial" w:eastAsia="Times New Roman" w:hAnsi="Arial" w:cs="Arial"/>
                <w:color w:val="000000"/>
              </w:rPr>
              <w:t>P-value</w:t>
            </w:r>
          </w:p>
        </w:tc>
      </w:tr>
      <w:tr w:rsidR="00AE67A1" w:rsidRPr="00AE67A1" w:rsidTr="005F616B">
        <w:trPr>
          <w:trHeight w:val="375"/>
        </w:trPr>
        <w:tc>
          <w:tcPr>
            <w:tcW w:w="2878" w:type="dxa"/>
            <w:tcBorders>
              <w:top w:val="nil"/>
              <w:left w:val="nil"/>
              <w:right w:val="nil"/>
            </w:tcBorders>
            <w:shd w:val="clear" w:color="auto" w:fill="auto"/>
            <w:noWrap/>
            <w:vAlign w:val="bottom"/>
            <w:hideMark/>
          </w:tcPr>
          <w:p w:rsidR="00AE67A1" w:rsidRPr="00AE67A1" w:rsidRDefault="00AE67A1" w:rsidP="00AE67A1">
            <w:pPr>
              <w:spacing w:after="0" w:line="240" w:lineRule="auto"/>
              <w:rPr>
                <w:rFonts w:ascii="Arial" w:eastAsia="Times New Roman" w:hAnsi="Arial" w:cs="Arial"/>
                <w:color w:val="000000"/>
              </w:rPr>
            </w:pPr>
            <w:r w:rsidRPr="00AE67A1">
              <w:rPr>
                <w:rFonts w:ascii="Arial" w:eastAsia="Times New Roman" w:hAnsi="Arial" w:cs="Arial"/>
                <w:color w:val="000000"/>
              </w:rPr>
              <w:t>Protrusion Distance (% SL)</w:t>
            </w:r>
          </w:p>
        </w:tc>
        <w:tc>
          <w:tcPr>
            <w:tcW w:w="1618" w:type="dxa"/>
            <w:tcBorders>
              <w:top w:val="nil"/>
              <w:left w:val="nil"/>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-0.006 ± 0.004</w:t>
            </w:r>
            <w:r w:rsidRPr="00AE67A1">
              <w:rPr>
                <w:rFonts w:ascii="Arial" w:eastAsia="Times New Roman" w:hAnsi="Arial" w:cs="Arial"/>
                <w:color w:val="000000"/>
                <w:sz w:val="20"/>
                <w:szCs w:val="20"/>
                <w:vertAlign w:val="superscript"/>
              </w:rPr>
              <w:t>a</w:t>
            </w:r>
          </w:p>
        </w:tc>
        <w:tc>
          <w:tcPr>
            <w:tcW w:w="1542" w:type="dxa"/>
            <w:tcBorders>
              <w:top w:val="nil"/>
              <w:left w:val="nil"/>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0.013 ± 0.003</w:t>
            </w:r>
            <w:r w:rsidRPr="00AE67A1">
              <w:rPr>
                <w:rFonts w:ascii="Arial" w:eastAsia="Times New Roman" w:hAnsi="Arial" w:cs="Arial"/>
                <w:color w:val="000000"/>
                <w:sz w:val="20"/>
                <w:szCs w:val="20"/>
                <w:vertAlign w:val="superscript"/>
              </w:rPr>
              <w:t>b</w:t>
            </w:r>
          </w:p>
        </w:tc>
        <w:tc>
          <w:tcPr>
            <w:tcW w:w="1533" w:type="dxa"/>
            <w:tcBorders>
              <w:top w:val="nil"/>
              <w:left w:val="nil"/>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0.017 ± 0.002</w:t>
            </w:r>
            <w:r w:rsidRPr="00AE67A1">
              <w:rPr>
                <w:rFonts w:ascii="Arial" w:eastAsia="Times New Roman" w:hAnsi="Arial" w:cs="Arial"/>
                <w:color w:val="000000"/>
                <w:sz w:val="20"/>
                <w:szCs w:val="20"/>
                <w:vertAlign w:val="superscript"/>
              </w:rPr>
              <w:t>c</w:t>
            </w:r>
          </w:p>
        </w:tc>
        <w:tc>
          <w:tcPr>
            <w:tcW w:w="1969" w:type="dxa"/>
            <w:tcBorders>
              <w:top w:val="nil"/>
              <w:left w:val="nil"/>
              <w:right w:val="nil"/>
            </w:tcBorders>
            <w:shd w:val="clear" w:color="auto" w:fill="auto"/>
            <w:noWrap/>
            <w:vAlign w:val="bottom"/>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&lt; 0.001 (&lt; 0.001)*</w:t>
            </w:r>
          </w:p>
        </w:tc>
      </w:tr>
      <w:tr w:rsidR="00AE67A1" w:rsidRPr="00AE67A1" w:rsidTr="005F616B">
        <w:trPr>
          <w:trHeight w:val="450"/>
        </w:trPr>
        <w:tc>
          <w:tcPr>
            <w:tcW w:w="2878" w:type="dxa"/>
            <w:tcBorders>
              <w:top w:val="nil"/>
              <w:left w:val="nil"/>
              <w:bottom w:val="single" w:sz="4" w:space="0" w:color="auto"/>
              <w:right w:val="nil"/>
            </w:tcBorders>
            <w:shd w:val="clear" w:color="auto" w:fill="auto"/>
            <w:noWrap/>
            <w:vAlign w:val="center"/>
            <w:hideMark/>
          </w:tcPr>
          <w:p w:rsidR="00AE67A1" w:rsidRPr="00AE67A1" w:rsidRDefault="00AE67A1" w:rsidP="00AE67A1">
            <w:pPr>
              <w:spacing w:after="0" w:line="240" w:lineRule="auto"/>
              <w:rPr>
                <w:rFonts w:ascii="Arial" w:eastAsia="Times New Roman" w:hAnsi="Arial" w:cs="Arial"/>
                <w:color w:val="000000"/>
              </w:rPr>
            </w:pPr>
            <w:r w:rsidRPr="00AE67A1">
              <w:rPr>
                <w:rFonts w:ascii="Arial" w:eastAsia="Times New Roman" w:hAnsi="Arial" w:cs="Arial"/>
                <w:color w:val="000000"/>
              </w:rPr>
              <w:t>Gape Width (% SL)</w:t>
            </w:r>
          </w:p>
        </w:tc>
        <w:tc>
          <w:tcPr>
            <w:tcW w:w="1618" w:type="dxa"/>
            <w:tcBorders>
              <w:top w:val="nil"/>
              <w:left w:val="nil"/>
              <w:bottom w:val="single" w:sz="4" w:space="0" w:color="auto"/>
              <w:right w:val="nil"/>
            </w:tcBorders>
            <w:shd w:val="clear" w:color="auto" w:fill="auto"/>
            <w:noWrap/>
            <w:vAlign w:val="center"/>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0.187 ± 0.005</w:t>
            </w:r>
            <w:r w:rsidRPr="00AE67A1">
              <w:rPr>
                <w:rFonts w:ascii="Arial" w:eastAsia="Times New Roman" w:hAnsi="Arial" w:cs="Arial"/>
                <w:color w:val="000000"/>
                <w:sz w:val="20"/>
                <w:szCs w:val="20"/>
                <w:vertAlign w:val="superscript"/>
              </w:rPr>
              <w:t>d</w:t>
            </w:r>
          </w:p>
        </w:tc>
        <w:tc>
          <w:tcPr>
            <w:tcW w:w="1542" w:type="dxa"/>
            <w:tcBorders>
              <w:top w:val="nil"/>
              <w:left w:val="nil"/>
              <w:bottom w:val="single" w:sz="4" w:space="0" w:color="auto"/>
              <w:right w:val="nil"/>
            </w:tcBorders>
            <w:shd w:val="clear" w:color="auto" w:fill="auto"/>
            <w:noWrap/>
            <w:vAlign w:val="center"/>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0.111 ± 0.007</w:t>
            </w:r>
            <w:r w:rsidRPr="00AE67A1">
              <w:rPr>
                <w:rFonts w:ascii="Arial" w:eastAsia="Times New Roman" w:hAnsi="Arial" w:cs="Arial"/>
                <w:color w:val="000000"/>
                <w:sz w:val="20"/>
                <w:szCs w:val="20"/>
                <w:vertAlign w:val="superscript"/>
              </w:rPr>
              <w:t>e</w:t>
            </w:r>
          </w:p>
        </w:tc>
        <w:tc>
          <w:tcPr>
            <w:tcW w:w="1533" w:type="dxa"/>
            <w:tcBorders>
              <w:top w:val="nil"/>
              <w:left w:val="nil"/>
              <w:bottom w:val="single" w:sz="4" w:space="0" w:color="auto"/>
              <w:right w:val="nil"/>
            </w:tcBorders>
            <w:shd w:val="clear" w:color="auto" w:fill="auto"/>
            <w:noWrap/>
            <w:vAlign w:val="center"/>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0.052 ± 0.003</w:t>
            </w:r>
            <w:r w:rsidRPr="00AE67A1">
              <w:rPr>
                <w:rFonts w:ascii="Arial" w:eastAsia="Times New Roman" w:hAnsi="Arial" w:cs="Arial"/>
                <w:color w:val="000000"/>
                <w:sz w:val="20"/>
                <w:szCs w:val="20"/>
                <w:vertAlign w:val="superscript"/>
              </w:rPr>
              <w:t>f</w:t>
            </w:r>
          </w:p>
        </w:tc>
        <w:tc>
          <w:tcPr>
            <w:tcW w:w="1969" w:type="dxa"/>
            <w:tcBorders>
              <w:top w:val="nil"/>
              <w:left w:val="nil"/>
              <w:bottom w:val="single" w:sz="4" w:space="0" w:color="auto"/>
              <w:right w:val="nil"/>
            </w:tcBorders>
            <w:shd w:val="clear" w:color="auto" w:fill="auto"/>
            <w:noWrap/>
            <w:vAlign w:val="center"/>
            <w:hideMark/>
          </w:tcPr>
          <w:p w:rsidR="00AE67A1" w:rsidRPr="00AE67A1" w:rsidRDefault="00AE67A1" w:rsidP="00AE67A1">
            <w:pPr>
              <w:spacing w:after="0" w:line="240" w:lineRule="auto"/>
              <w:jc w:val="center"/>
              <w:rPr>
                <w:rFonts w:ascii="Arial" w:eastAsia="Times New Roman" w:hAnsi="Arial" w:cs="Arial"/>
                <w:color w:val="000000"/>
                <w:sz w:val="20"/>
                <w:szCs w:val="20"/>
              </w:rPr>
            </w:pPr>
            <w:r w:rsidRPr="00AE67A1">
              <w:rPr>
                <w:rFonts w:ascii="Arial" w:eastAsia="Times New Roman" w:hAnsi="Arial" w:cs="Arial"/>
                <w:color w:val="000000"/>
                <w:sz w:val="20"/>
                <w:szCs w:val="20"/>
              </w:rPr>
              <w:t>&lt; 0.001 (&lt; 0.001)*</w:t>
            </w:r>
          </w:p>
        </w:tc>
      </w:tr>
    </w:tbl>
    <w:p w:rsidR="00287091" w:rsidRDefault="004A69BE" w:rsidP="00AE67A1">
      <w:pPr>
        <w:spacing w:line="360" w:lineRule="auto"/>
        <w:jc w:val="both"/>
        <w:rPr>
          <w:rFonts w:ascii="Arial" w:hAnsi="Arial" w:cs="Arial"/>
          <w:sz w:val="24"/>
          <w:szCs w:val="24"/>
        </w:rPr>
      </w:pPr>
      <w:r>
        <w:rPr>
          <w:rFonts w:ascii="Arial" w:hAnsi="Arial" w:cs="Arial"/>
          <w:sz w:val="24"/>
          <w:szCs w:val="24"/>
        </w:rPr>
        <w:br/>
      </w:r>
      <w:r w:rsidR="005F616B" w:rsidRPr="005F616B">
        <w:rPr>
          <w:rFonts w:ascii="Arial" w:hAnsi="Arial" w:cs="Arial"/>
          <w:sz w:val="24"/>
          <w:szCs w:val="24"/>
        </w:rPr>
        <w:t>Due to the number of comparisons being made, we have included the Holm's test corrected p-values in parentheses in addition to the raw p-values. Significant values are denoted with an asterisk, and superscripts denote the results of the post-hoc test.</w:t>
      </w:r>
    </w:p>
    <w:p w:rsidR="00287091" w:rsidRDefault="00287091" w:rsidP="00AE67A1">
      <w:pPr>
        <w:spacing w:line="360" w:lineRule="auto"/>
        <w:jc w:val="both"/>
        <w:rPr>
          <w:rFonts w:ascii="Arial" w:hAnsi="Arial" w:cs="Arial"/>
          <w:sz w:val="24"/>
          <w:szCs w:val="24"/>
        </w:rPr>
      </w:pPr>
    </w:p>
    <w:p w:rsidR="00B45974" w:rsidRDefault="00B45974">
      <w:pPr>
        <w:rPr>
          <w:rFonts w:ascii="Arial" w:hAnsi="Arial" w:cs="Arial"/>
          <w:sz w:val="24"/>
          <w:szCs w:val="24"/>
        </w:rPr>
      </w:pPr>
      <w:r>
        <w:rPr>
          <w:rFonts w:ascii="Arial" w:hAnsi="Arial" w:cs="Arial"/>
          <w:sz w:val="24"/>
          <w:szCs w:val="24"/>
        </w:rPr>
        <w:br w:type="page"/>
      </w:r>
    </w:p>
    <w:tbl>
      <w:tblPr>
        <w:tblW w:w="9600" w:type="dxa"/>
        <w:tblInd w:w="87" w:type="dxa"/>
        <w:tblLook w:val="04A0"/>
      </w:tblPr>
      <w:tblGrid>
        <w:gridCol w:w="2830"/>
        <w:gridCol w:w="1703"/>
        <w:gridCol w:w="1791"/>
        <w:gridCol w:w="1669"/>
        <w:gridCol w:w="1607"/>
      </w:tblGrid>
      <w:tr w:rsidR="00287091" w:rsidRPr="00287091" w:rsidTr="00287091">
        <w:trPr>
          <w:trHeight w:val="330"/>
        </w:trPr>
        <w:tc>
          <w:tcPr>
            <w:tcW w:w="9600" w:type="dxa"/>
            <w:gridSpan w:val="5"/>
            <w:tcBorders>
              <w:top w:val="nil"/>
              <w:left w:val="nil"/>
              <w:bottom w:val="single" w:sz="12"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4"/>
                <w:szCs w:val="24"/>
              </w:rPr>
            </w:pPr>
            <w:r w:rsidRPr="005F616B">
              <w:rPr>
                <w:rStyle w:val="Thesis3Char"/>
              </w:rPr>
              <w:lastRenderedPageBreak/>
              <w:t>Table 2</w:t>
            </w:r>
            <w:r w:rsidRPr="005F616B">
              <w:rPr>
                <w:rFonts w:ascii="Arial" w:eastAsia="Times New Roman" w:hAnsi="Arial" w:cs="Arial"/>
                <w:color w:val="000000"/>
                <w:sz w:val="24"/>
                <w:szCs w:val="24"/>
              </w:rPr>
              <w:t xml:space="preserve">. Kinematic variables that do exhibit intraspecific differences. </w:t>
            </w:r>
          </w:p>
        </w:tc>
      </w:tr>
      <w:tr w:rsidR="00287091" w:rsidRPr="00287091" w:rsidTr="00287091">
        <w:trPr>
          <w:trHeight w:val="330"/>
        </w:trPr>
        <w:tc>
          <w:tcPr>
            <w:tcW w:w="2830"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Body angle (degrees)</w:t>
            </w:r>
          </w:p>
        </w:tc>
        <w:tc>
          <w:tcPr>
            <w:tcW w:w="1703"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rPr>
            </w:pPr>
            <w:r w:rsidRPr="005F616B">
              <w:rPr>
                <w:rFonts w:ascii="Arial" w:eastAsia="Times New Roman" w:hAnsi="Arial" w:cs="Arial"/>
                <w:color w:val="000000"/>
              </w:rPr>
              <w:t>Top</w:t>
            </w:r>
          </w:p>
        </w:tc>
        <w:tc>
          <w:tcPr>
            <w:tcW w:w="1791"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rPr>
            </w:pPr>
            <w:r w:rsidRPr="005F616B">
              <w:rPr>
                <w:rFonts w:ascii="Arial" w:eastAsia="Times New Roman" w:hAnsi="Arial" w:cs="Arial"/>
                <w:color w:val="000000"/>
              </w:rPr>
              <w:t>Side</w:t>
            </w:r>
          </w:p>
        </w:tc>
        <w:tc>
          <w:tcPr>
            <w:tcW w:w="1669"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rPr>
            </w:pPr>
            <w:r w:rsidRPr="005F616B">
              <w:rPr>
                <w:rFonts w:ascii="Arial" w:eastAsia="Times New Roman" w:hAnsi="Arial" w:cs="Arial"/>
                <w:color w:val="000000"/>
              </w:rPr>
              <w:t>Bottom</w:t>
            </w:r>
          </w:p>
        </w:tc>
        <w:tc>
          <w:tcPr>
            <w:tcW w:w="1607"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rPr>
            </w:pPr>
            <w:r w:rsidRPr="005F616B">
              <w:rPr>
                <w:rFonts w:ascii="Arial" w:eastAsia="Times New Roman" w:hAnsi="Arial" w:cs="Arial"/>
                <w:color w:val="000000"/>
              </w:rPr>
              <w:t>P-value</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P. chitimba</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78.81 ± 2.42 </w:t>
            </w:r>
            <w:r w:rsidRPr="005F616B">
              <w:rPr>
                <w:rFonts w:ascii="Arial" w:eastAsia="Times New Roman" w:hAnsi="Arial" w:cs="Arial"/>
                <w:color w:val="000000"/>
                <w:sz w:val="20"/>
                <w:szCs w:val="20"/>
                <w:vertAlign w:val="superscript"/>
              </w:rPr>
              <w:t>a /x</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81.72 ± 1.56 </w:t>
            </w:r>
            <w:r w:rsidRPr="005F616B">
              <w:rPr>
                <w:rFonts w:ascii="Arial" w:eastAsia="Times New Roman" w:hAnsi="Arial" w:cs="Arial"/>
                <w:color w:val="000000"/>
                <w:sz w:val="20"/>
                <w:szCs w:val="20"/>
                <w:vertAlign w:val="superscript"/>
              </w:rPr>
              <w:t>a,b/x</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85.85 ± 1.85 </w:t>
            </w:r>
            <w:r w:rsidRPr="005F616B">
              <w:rPr>
                <w:rFonts w:ascii="Arial" w:eastAsia="Times New Roman" w:hAnsi="Arial" w:cs="Arial"/>
                <w:color w:val="000000"/>
                <w:sz w:val="20"/>
                <w:szCs w:val="20"/>
                <w:vertAlign w:val="superscript"/>
              </w:rPr>
              <w:t>b/x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0.009 (0.118)</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M. patricki</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67.79 ± 4.71 </w:t>
            </w:r>
            <w:r w:rsidRPr="005F616B">
              <w:rPr>
                <w:rFonts w:ascii="Arial" w:eastAsia="Times New Roman" w:hAnsi="Arial" w:cs="Arial"/>
                <w:color w:val="000000"/>
                <w:sz w:val="20"/>
                <w:szCs w:val="20"/>
                <w:vertAlign w:val="superscript"/>
              </w:rPr>
              <w:t>d,y</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75.23 ± 2.62 </w:t>
            </w:r>
            <w:r w:rsidRPr="005F616B">
              <w:rPr>
                <w:rFonts w:ascii="Arial" w:eastAsia="Times New Roman" w:hAnsi="Arial" w:cs="Arial"/>
                <w:color w:val="000000"/>
                <w:sz w:val="20"/>
                <w:szCs w:val="20"/>
                <w:vertAlign w:val="superscript"/>
              </w:rPr>
              <w:t>e/y</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82.30 ± 2.38 </w:t>
            </w:r>
            <w:r w:rsidRPr="005F616B">
              <w:rPr>
                <w:rFonts w:ascii="Arial" w:eastAsia="Times New Roman" w:hAnsi="Arial" w:cs="Arial"/>
                <w:color w:val="000000"/>
                <w:sz w:val="20"/>
                <w:szCs w:val="20"/>
                <w:vertAlign w:val="superscript"/>
              </w:rPr>
              <w:t>f/x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0.001 (0.013)*</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L. trewavasae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48.90 ± 3.44 </w:t>
            </w:r>
            <w:r w:rsidRPr="005F616B">
              <w:rPr>
                <w:rFonts w:ascii="Arial" w:eastAsia="Times New Roman" w:hAnsi="Arial" w:cs="Arial"/>
                <w:color w:val="000000"/>
                <w:sz w:val="20"/>
                <w:szCs w:val="20"/>
                <w:vertAlign w:val="superscript"/>
              </w:rPr>
              <w:t>g/z</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57.60 ± 2.13 </w:t>
            </w:r>
            <w:r w:rsidRPr="005F616B">
              <w:rPr>
                <w:rFonts w:ascii="Arial" w:eastAsia="Times New Roman" w:hAnsi="Arial" w:cs="Arial"/>
                <w:color w:val="000000"/>
                <w:sz w:val="20"/>
                <w:szCs w:val="20"/>
                <w:vertAlign w:val="superscript"/>
              </w:rPr>
              <w:t>h/z</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62.76 ± 2.46 </w:t>
            </w:r>
            <w:r w:rsidRPr="005F616B">
              <w:rPr>
                <w:rFonts w:ascii="Arial" w:eastAsia="Times New Roman" w:hAnsi="Arial" w:cs="Arial"/>
                <w:color w:val="000000"/>
                <w:sz w:val="20"/>
                <w:szCs w:val="20"/>
                <w:vertAlign w:val="superscript"/>
              </w:rPr>
              <w:t>i/y</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0.001 (0.012)*</w:t>
            </w:r>
          </w:p>
        </w:tc>
      </w:tr>
      <w:tr w:rsidR="00287091" w:rsidRPr="00287091" w:rsidTr="00287091">
        <w:trPr>
          <w:trHeight w:val="31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right"/>
              <w:rPr>
                <w:rFonts w:ascii="Arial" w:eastAsia="Times New Roman" w:hAnsi="Arial" w:cs="Arial"/>
                <w:color w:val="000000"/>
              </w:rPr>
            </w:pPr>
            <w:r w:rsidRPr="005F616B">
              <w:rPr>
                <w:rFonts w:ascii="Arial" w:eastAsia="Times New Roman" w:hAnsi="Arial" w:cs="Arial"/>
                <w:color w:val="000000"/>
              </w:rPr>
              <w:t>P-value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r>
      <w:tr w:rsidR="00287091" w:rsidRPr="00287091" w:rsidTr="00287091">
        <w:trPr>
          <w:trHeight w:val="330"/>
        </w:trPr>
        <w:tc>
          <w:tcPr>
            <w:tcW w:w="2830"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 </w:t>
            </w:r>
          </w:p>
        </w:tc>
        <w:tc>
          <w:tcPr>
            <w:tcW w:w="1703"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791"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669"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607"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r>
      <w:tr w:rsidR="00287091" w:rsidRPr="00287091" w:rsidTr="00287091">
        <w:trPr>
          <w:trHeight w:val="315"/>
        </w:trPr>
        <w:tc>
          <w:tcPr>
            <w:tcW w:w="2830"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Protrusion angle (degrees)</w:t>
            </w:r>
          </w:p>
        </w:tc>
        <w:tc>
          <w:tcPr>
            <w:tcW w:w="1703"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Top</w:t>
            </w:r>
          </w:p>
        </w:tc>
        <w:tc>
          <w:tcPr>
            <w:tcW w:w="1791"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Side</w:t>
            </w:r>
          </w:p>
        </w:tc>
        <w:tc>
          <w:tcPr>
            <w:tcW w:w="1669"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Bottom</w:t>
            </w:r>
          </w:p>
        </w:tc>
        <w:tc>
          <w:tcPr>
            <w:tcW w:w="1607"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P-value</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P. chitimba</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26.83 ± 3.29 </w:t>
            </w:r>
            <w:r w:rsidRPr="005F616B">
              <w:rPr>
                <w:rFonts w:ascii="Arial" w:eastAsia="Times New Roman" w:hAnsi="Arial" w:cs="Arial"/>
                <w:color w:val="000000"/>
                <w:sz w:val="20"/>
                <w:szCs w:val="20"/>
                <w:vertAlign w:val="superscript"/>
              </w:rPr>
              <w:t>a/x</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22.30 ± 3.15 </w:t>
            </w:r>
            <w:r w:rsidRPr="005F616B">
              <w:rPr>
                <w:rFonts w:ascii="Arial" w:eastAsia="Times New Roman" w:hAnsi="Arial" w:cs="Arial"/>
                <w:color w:val="000000"/>
                <w:sz w:val="20"/>
                <w:szCs w:val="20"/>
                <w:vertAlign w:val="superscript"/>
              </w:rPr>
              <w:t>a/x</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22.38 ± 2.48 </w:t>
            </w:r>
            <w:r w:rsidRPr="005F616B">
              <w:rPr>
                <w:rFonts w:ascii="Arial" w:eastAsia="Times New Roman" w:hAnsi="Arial" w:cs="Arial"/>
                <w:color w:val="000000"/>
                <w:sz w:val="20"/>
                <w:szCs w:val="20"/>
                <w:vertAlign w:val="superscript"/>
              </w:rPr>
              <w:t>a/x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0.093 (0.588)</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M. patricki</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40.54 ± 3.38 </w:t>
            </w:r>
            <w:r w:rsidRPr="005F616B">
              <w:rPr>
                <w:rFonts w:ascii="Arial" w:eastAsia="Times New Roman" w:hAnsi="Arial" w:cs="Arial"/>
                <w:color w:val="000000"/>
                <w:sz w:val="20"/>
                <w:szCs w:val="20"/>
                <w:vertAlign w:val="superscript"/>
              </w:rPr>
              <w:t>d/y</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36.16 ± 3.18 </w:t>
            </w:r>
            <w:r w:rsidRPr="005F616B">
              <w:rPr>
                <w:rFonts w:ascii="Arial" w:eastAsia="Times New Roman" w:hAnsi="Arial" w:cs="Arial"/>
                <w:color w:val="000000"/>
                <w:sz w:val="20"/>
                <w:szCs w:val="20"/>
                <w:vertAlign w:val="superscript"/>
              </w:rPr>
              <w:t>e/y</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35.20 ± 2.10 </w:t>
            </w:r>
            <w:r w:rsidRPr="005F616B">
              <w:rPr>
                <w:rFonts w:ascii="Arial" w:eastAsia="Times New Roman" w:hAnsi="Arial" w:cs="Arial"/>
                <w:color w:val="000000"/>
                <w:sz w:val="20"/>
                <w:szCs w:val="20"/>
                <w:vertAlign w:val="superscript"/>
              </w:rPr>
              <w:t>e/y</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0.019 (0.202)</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L. trewavasae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55.36 ± 2.57 </w:t>
            </w:r>
            <w:r w:rsidRPr="005F616B">
              <w:rPr>
                <w:rFonts w:ascii="Arial" w:eastAsia="Times New Roman" w:hAnsi="Arial" w:cs="Arial"/>
                <w:color w:val="000000"/>
                <w:sz w:val="20"/>
                <w:szCs w:val="20"/>
                <w:vertAlign w:val="superscript"/>
              </w:rPr>
              <w:t>g/z</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51.56 ± 2.48 </w:t>
            </w:r>
            <w:r w:rsidRPr="005F616B">
              <w:rPr>
                <w:rFonts w:ascii="Arial" w:eastAsia="Times New Roman" w:hAnsi="Arial" w:cs="Arial"/>
                <w:color w:val="000000"/>
                <w:sz w:val="20"/>
                <w:szCs w:val="20"/>
                <w:vertAlign w:val="superscript"/>
              </w:rPr>
              <w:t>g/z</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51.43 ± 2.96 </w:t>
            </w:r>
            <w:r w:rsidRPr="005F616B">
              <w:rPr>
                <w:rFonts w:ascii="Arial" w:eastAsia="Times New Roman" w:hAnsi="Arial" w:cs="Arial"/>
                <w:color w:val="000000"/>
                <w:sz w:val="20"/>
                <w:szCs w:val="20"/>
                <w:vertAlign w:val="superscript"/>
              </w:rPr>
              <w:t>g/z</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0.286 (1.000)</w:t>
            </w:r>
          </w:p>
        </w:tc>
      </w:tr>
      <w:tr w:rsidR="00287091" w:rsidRPr="00287091" w:rsidTr="00287091">
        <w:trPr>
          <w:trHeight w:val="31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right"/>
              <w:rPr>
                <w:rFonts w:ascii="Arial" w:eastAsia="Times New Roman" w:hAnsi="Arial" w:cs="Arial"/>
                <w:color w:val="000000"/>
              </w:rPr>
            </w:pPr>
            <w:r w:rsidRPr="005F616B">
              <w:rPr>
                <w:rFonts w:ascii="Arial" w:eastAsia="Times New Roman" w:hAnsi="Arial" w:cs="Arial"/>
                <w:color w:val="000000"/>
              </w:rPr>
              <w:t>P-value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r>
      <w:tr w:rsidR="00287091" w:rsidRPr="00287091" w:rsidTr="00287091">
        <w:trPr>
          <w:trHeight w:val="330"/>
        </w:trPr>
        <w:tc>
          <w:tcPr>
            <w:tcW w:w="2830"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 </w:t>
            </w:r>
          </w:p>
        </w:tc>
        <w:tc>
          <w:tcPr>
            <w:tcW w:w="1703"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791"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669"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607"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r>
      <w:tr w:rsidR="00287091" w:rsidRPr="00287091" w:rsidTr="00287091">
        <w:trPr>
          <w:trHeight w:val="315"/>
        </w:trPr>
        <w:tc>
          <w:tcPr>
            <w:tcW w:w="2830"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Fin beat rate (beats/s)</w:t>
            </w:r>
          </w:p>
        </w:tc>
        <w:tc>
          <w:tcPr>
            <w:tcW w:w="1703"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Top</w:t>
            </w:r>
          </w:p>
        </w:tc>
        <w:tc>
          <w:tcPr>
            <w:tcW w:w="1791"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Side</w:t>
            </w:r>
          </w:p>
        </w:tc>
        <w:tc>
          <w:tcPr>
            <w:tcW w:w="1669"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Bottom</w:t>
            </w:r>
          </w:p>
        </w:tc>
        <w:tc>
          <w:tcPr>
            <w:tcW w:w="1607"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P-value</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P. chitimba</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3.89 ± 0.21 </w:t>
            </w:r>
            <w:r w:rsidRPr="005F616B">
              <w:rPr>
                <w:rFonts w:ascii="Arial" w:eastAsia="Times New Roman" w:hAnsi="Arial" w:cs="Arial"/>
                <w:color w:val="000000"/>
                <w:sz w:val="20"/>
                <w:szCs w:val="20"/>
                <w:vertAlign w:val="superscript"/>
              </w:rPr>
              <w:t>a/x</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4.05 ± 0.32 </w:t>
            </w:r>
            <w:r w:rsidRPr="005F616B">
              <w:rPr>
                <w:rFonts w:ascii="Arial" w:eastAsia="Times New Roman" w:hAnsi="Arial" w:cs="Arial"/>
                <w:color w:val="000000"/>
                <w:sz w:val="20"/>
                <w:szCs w:val="20"/>
                <w:vertAlign w:val="superscript"/>
              </w:rPr>
              <w:t>a/x</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3.89 ± 0.25 </w:t>
            </w:r>
            <w:r w:rsidRPr="005F616B">
              <w:rPr>
                <w:rFonts w:ascii="Arial" w:eastAsia="Times New Roman" w:hAnsi="Arial" w:cs="Arial"/>
                <w:color w:val="000000"/>
                <w:sz w:val="20"/>
                <w:szCs w:val="20"/>
                <w:vertAlign w:val="superscript"/>
              </w:rPr>
              <w:t>a/x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0.542 (1.000)</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M. patricki</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4.35 ± 0.46 </w:t>
            </w:r>
            <w:r w:rsidRPr="005F616B">
              <w:rPr>
                <w:rFonts w:ascii="Arial" w:eastAsia="Times New Roman" w:hAnsi="Arial" w:cs="Arial"/>
                <w:color w:val="000000"/>
                <w:sz w:val="20"/>
                <w:szCs w:val="20"/>
                <w:vertAlign w:val="superscript"/>
              </w:rPr>
              <w:t>d/x</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4.04 ± 0.46 </w:t>
            </w:r>
            <w:r w:rsidRPr="005F616B">
              <w:rPr>
                <w:rFonts w:ascii="Arial" w:eastAsia="Times New Roman" w:hAnsi="Arial" w:cs="Arial"/>
                <w:color w:val="000000"/>
                <w:sz w:val="20"/>
                <w:szCs w:val="20"/>
                <w:vertAlign w:val="superscript"/>
              </w:rPr>
              <w:t>d,e/x</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3.89 ± 0.49 </w:t>
            </w:r>
            <w:r w:rsidRPr="005F616B">
              <w:rPr>
                <w:rFonts w:ascii="Arial" w:eastAsia="Times New Roman" w:hAnsi="Arial" w:cs="Arial"/>
                <w:color w:val="000000"/>
                <w:sz w:val="20"/>
                <w:szCs w:val="20"/>
                <w:vertAlign w:val="superscript"/>
              </w:rPr>
              <w:t>e/x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0.055 (0.423)</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L. trewavasae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5.86 ± 0.35 </w:t>
            </w:r>
            <w:r w:rsidRPr="005F616B">
              <w:rPr>
                <w:rFonts w:ascii="Arial" w:eastAsia="Times New Roman" w:hAnsi="Arial" w:cs="Arial"/>
                <w:color w:val="000000"/>
                <w:sz w:val="20"/>
                <w:szCs w:val="20"/>
                <w:vertAlign w:val="superscript"/>
              </w:rPr>
              <w:t>g/y</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5.30 ± 0.24 </w:t>
            </w:r>
            <w:r w:rsidRPr="005F616B">
              <w:rPr>
                <w:rFonts w:ascii="Arial" w:eastAsia="Times New Roman" w:hAnsi="Arial" w:cs="Arial"/>
                <w:color w:val="000000"/>
                <w:sz w:val="20"/>
                <w:szCs w:val="20"/>
                <w:vertAlign w:val="superscript"/>
              </w:rPr>
              <w:t>h/y</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5.52 ± 0.34 </w:t>
            </w:r>
            <w:r w:rsidRPr="005F616B">
              <w:rPr>
                <w:rFonts w:ascii="Arial" w:eastAsia="Times New Roman" w:hAnsi="Arial" w:cs="Arial"/>
                <w:color w:val="000000"/>
                <w:sz w:val="20"/>
                <w:szCs w:val="20"/>
                <w:vertAlign w:val="superscript"/>
              </w:rPr>
              <w:t>h/y</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0.011 (0.133)</w:t>
            </w:r>
          </w:p>
        </w:tc>
      </w:tr>
      <w:tr w:rsidR="00287091" w:rsidRPr="00287091" w:rsidTr="00287091">
        <w:trPr>
          <w:trHeight w:val="31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right"/>
              <w:rPr>
                <w:rFonts w:ascii="Arial" w:eastAsia="Times New Roman" w:hAnsi="Arial" w:cs="Arial"/>
                <w:color w:val="000000"/>
              </w:rPr>
            </w:pPr>
            <w:r w:rsidRPr="005F616B">
              <w:rPr>
                <w:rFonts w:ascii="Arial" w:eastAsia="Times New Roman" w:hAnsi="Arial" w:cs="Arial"/>
                <w:color w:val="000000"/>
              </w:rPr>
              <w:t>P-value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0.001</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0.005</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0.003</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r>
      <w:tr w:rsidR="00287091" w:rsidRPr="00287091" w:rsidTr="00287091">
        <w:trPr>
          <w:trHeight w:val="330"/>
        </w:trPr>
        <w:tc>
          <w:tcPr>
            <w:tcW w:w="2830"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 </w:t>
            </w:r>
          </w:p>
        </w:tc>
        <w:tc>
          <w:tcPr>
            <w:tcW w:w="1703"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791"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669"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c>
          <w:tcPr>
            <w:tcW w:w="1607" w:type="dxa"/>
            <w:tcBorders>
              <w:top w:val="nil"/>
              <w:left w:val="nil"/>
              <w:bottom w:val="single" w:sz="8"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r>
      <w:tr w:rsidR="00287091" w:rsidRPr="00287091" w:rsidTr="00287091">
        <w:trPr>
          <w:trHeight w:val="315"/>
        </w:trPr>
        <w:tc>
          <w:tcPr>
            <w:tcW w:w="2830"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Bite rate (bites/s)</w:t>
            </w:r>
          </w:p>
        </w:tc>
        <w:tc>
          <w:tcPr>
            <w:tcW w:w="1703"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Top</w:t>
            </w:r>
          </w:p>
        </w:tc>
        <w:tc>
          <w:tcPr>
            <w:tcW w:w="1791"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Side</w:t>
            </w:r>
          </w:p>
        </w:tc>
        <w:tc>
          <w:tcPr>
            <w:tcW w:w="1669"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Bottom</w:t>
            </w:r>
          </w:p>
        </w:tc>
        <w:tc>
          <w:tcPr>
            <w:tcW w:w="1607" w:type="dxa"/>
            <w:tcBorders>
              <w:top w:val="nil"/>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P-value</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P. chitimba</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2.94 ± 0.18 </w:t>
            </w:r>
            <w:r w:rsidRPr="005F616B">
              <w:rPr>
                <w:rFonts w:ascii="Arial" w:eastAsia="Times New Roman" w:hAnsi="Arial" w:cs="Arial"/>
                <w:color w:val="000000"/>
                <w:sz w:val="20"/>
                <w:szCs w:val="20"/>
                <w:vertAlign w:val="superscript"/>
              </w:rPr>
              <w:t>a/x</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2.92 ± 0.19 </w:t>
            </w:r>
            <w:r w:rsidRPr="005F616B">
              <w:rPr>
                <w:rFonts w:ascii="Arial" w:eastAsia="Times New Roman" w:hAnsi="Arial" w:cs="Arial"/>
                <w:color w:val="000000"/>
                <w:sz w:val="20"/>
                <w:szCs w:val="20"/>
                <w:vertAlign w:val="superscript"/>
              </w:rPr>
              <w:t>a/x</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2.67 ± 0.17 </w:t>
            </w:r>
            <w:r w:rsidRPr="005F616B">
              <w:rPr>
                <w:rFonts w:ascii="Arial" w:eastAsia="Times New Roman" w:hAnsi="Arial" w:cs="Arial"/>
                <w:color w:val="000000"/>
                <w:sz w:val="20"/>
                <w:szCs w:val="20"/>
                <w:vertAlign w:val="superscript"/>
              </w:rPr>
              <w:t>b/x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0.021 (0.202)</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M. patricki</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3.91 ± 0.43 </w:t>
            </w:r>
            <w:r w:rsidRPr="005F616B">
              <w:rPr>
                <w:rFonts w:ascii="Arial" w:eastAsia="Times New Roman" w:hAnsi="Arial" w:cs="Arial"/>
                <w:color w:val="000000"/>
                <w:sz w:val="20"/>
                <w:szCs w:val="20"/>
                <w:vertAlign w:val="superscript"/>
              </w:rPr>
              <w:t>d/y</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3.72 ± 0.45 </w:t>
            </w:r>
            <w:r w:rsidRPr="005F616B">
              <w:rPr>
                <w:rFonts w:ascii="Arial" w:eastAsia="Times New Roman" w:hAnsi="Arial" w:cs="Arial"/>
                <w:color w:val="000000"/>
                <w:sz w:val="20"/>
                <w:szCs w:val="20"/>
                <w:vertAlign w:val="superscript"/>
              </w:rPr>
              <w:t>d/y</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3.63 ± 0.45 </w:t>
            </w:r>
            <w:r w:rsidRPr="005F616B">
              <w:rPr>
                <w:rFonts w:ascii="Arial" w:eastAsia="Times New Roman" w:hAnsi="Arial" w:cs="Arial"/>
                <w:color w:val="000000"/>
                <w:sz w:val="20"/>
                <w:szCs w:val="20"/>
                <w:vertAlign w:val="superscript"/>
              </w:rPr>
              <w:t>d/y</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0.161 (0.805)</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L. trewavasae</w:t>
            </w:r>
          </w:p>
        </w:tc>
        <w:tc>
          <w:tcPr>
            <w:tcW w:w="1703"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5.54 ± 0.25 </w:t>
            </w:r>
            <w:r w:rsidRPr="005F616B">
              <w:rPr>
                <w:rFonts w:ascii="Arial" w:eastAsia="Times New Roman" w:hAnsi="Arial" w:cs="Arial"/>
                <w:color w:val="000000"/>
                <w:sz w:val="20"/>
                <w:szCs w:val="20"/>
                <w:vertAlign w:val="superscript"/>
              </w:rPr>
              <w:t>g/z</w:t>
            </w:r>
          </w:p>
        </w:tc>
        <w:tc>
          <w:tcPr>
            <w:tcW w:w="1791"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5.16 ± 0.24 </w:t>
            </w:r>
            <w:r w:rsidRPr="005F616B">
              <w:rPr>
                <w:rFonts w:ascii="Arial" w:eastAsia="Times New Roman" w:hAnsi="Arial" w:cs="Arial"/>
                <w:color w:val="000000"/>
                <w:sz w:val="20"/>
                <w:szCs w:val="20"/>
                <w:vertAlign w:val="superscript"/>
              </w:rPr>
              <w:t>h/z</w:t>
            </w:r>
          </w:p>
        </w:tc>
        <w:tc>
          <w:tcPr>
            <w:tcW w:w="1669"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5.34 ± 0.24 </w:t>
            </w:r>
            <w:r w:rsidRPr="005F616B">
              <w:rPr>
                <w:rFonts w:ascii="Arial" w:eastAsia="Times New Roman" w:hAnsi="Arial" w:cs="Arial"/>
                <w:color w:val="000000"/>
                <w:sz w:val="20"/>
                <w:szCs w:val="20"/>
                <w:vertAlign w:val="superscript"/>
              </w:rPr>
              <w:t>g,h/z</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0.018 (0.202)</w:t>
            </w:r>
          </w:p>
        </w:tc>
      </w:tr>
      <w:tr w:rsidR="00287091" w:rsidRPr="00287091" w:rsidTr="00287091">
        <w:trPr>
          <w:trHeight w:val="375"/>
        </w:trPr>
        <w:tc>
          <w:tcPr>
            <w:tcW w:w="2830"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right"/>
              <w:rPr>
                <w:rFonts w:ascii="Arial" w:eastAsia="Times New Roman" w:hAnsi="Arial" w:cs="Arial"/>
                <w:color w:val="000000"/>
              </w:rPr>
            </w:pPr>
            <w:r w:rsidRPr="005F616B">
              <w:rPr>
                <w:rFonts w:ascii="Arial" w:eastAsia="Times New Roman" w:hAnsi="Arial" w:cs="Arial"/>
                <w:color w:val="000000"/>
              </w:rPr>
              <w:t>P-value</w:t>
            </w:r>
          </w:p>
        </w:tc>
        <w:tc>
          <w:tcPr>
            <w:tcW w:w="1703"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791"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69"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r>
      <w:tr w:rsidR="00287091" w:rsidRPr="00287091" w:rsidTr="00287091">
        <w:trPr>
          <w:trHeight w:val="375"/>
        </w:trPr>
        <w:tc>
          <w:tcPr>
            <w:tcW w:w="2830"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right"/>
              <w:rPr>
                <w:rFonts w:ascii="Arial" w:eastAsia="Times New Roman" w:hAnsi="Arial" w:cs="Arial"/>
                <w:color w:val="000000"/>
              </w:rPr>
            </w:pPr>
          </w:p>
        </w:tc>
        <w:tc>
          <w:tcPr>
            <w:tcW w:w="1703"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c>
          <w:tcPr>
            <w:tcW w:w="1791"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c>
          <w:tcPr>
            <w:tcW w:w="1669"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p>
        </w:tc>
      </w:tr>
      <w:tr w:rsidR="00287091" w:rsidRPr="00287091" w:rsidTr="00287091">
        <w:trPr>
          <w:trHeight w:val="375"/>
        </w:trPr>
        <w:tc>
          <w:tcPr>
            <w:tcW w:w="2830" w:type="dxa"/>
            <w:tcBorders>
              <w:top w:val="single" w:sz="8" w:space="0" w:color="auto"/>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color w:val="000000"/>
              </w:rPr>
            </w:pPr>
            <w:r w:rsidRPr="005F616B">
              <w:rPr>
                <w:rFonts w:ascii="Arial" w:eastAsia="Times New Roman" w:hAnsi="Arial" w:cs="Arial"/>
                <w:color w:val="000000"/>
              </w:rPr>
              <w:t>Bites Per Beat (bites/beat)</w:t>
            </w:r>
          </w:p>
        </w:tc>
        <w:tc>
          <w:tcPr>
            <w:tcW w:w="1703" w:type="dxa"/>
            <w:tcBorders>
              <w:top w:val="single" w:sz="8" w:space="0" w:color="auto"/>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Top</w:t>
            </w:r>
          </w:p>
        </w:tc>
        <w:tc>
          <w:tcPr>
            <w:tcW w:w="1791" w:type="dxa"/>
            <w:tcBorders>
              <w:top w:val="single" w:sz="8" w:space="0" w:color="auto"/>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Side</w:t>
            </w:r>
          </w:p>
        </w:tc>
        <w:tc>
          <w:tcPr>
            <w:tcW w:w="1669" w:type="dxa"/>
            <w:tcBorders>
              <w:top w:val="single" w:sz="8" w:space="0" w:color="auto"/>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Bottom</w:t>
            </w:r>
          </w:p>
        </w:tc>
        <w:tc>
          <w:tcPr>
            <w:tcW w:w="1607" w:type="dxa"/>
            <w:tcBorders>
              <w:top w:val="single" w:sz="8" w:space="0" w:color="auto"/>
              <w:left w:val="nil"/>
              <w:bottom w:val="single" w:sz="4"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P-value</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P. chitimba</w:t>
            </w:r>
          </w:p>
        </w:tc>
        <w:tc>
          <w:tcPr>
            <w:tcW w:w="1703"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0.76 ± 0.05 </w:t>
            </w:r>
            <w:r w:rsidRPr="005F616B">
              <w:rPr>
                <w:rFonts w:ascii="Arial" w:eastAsia="Times New Roman" w:hAnsi="Arial" w:cs="Arial"/>
                <w:color w:val="000000"/>
                <w:sz w:val="20"/>
                <w:szCs w:val="20"/>
                <w:vertAlign w:val="superscript"/>
              </w:rPr>
              <w:t>a/x</w:t>
            </w:r>
          </w:p>
        </w:tc>
        <w:tc>
          <w:tcPr>
            <w:tcW w:w="1791"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0.74 ± 0.07 </w:t>
            </w:r>
            <w:r w:rsidRPr="005F616B">
              <w:rPr>
                <w:rFonts w:ascii="Arial" w:eastAsia="Times New Roman" w:hAnsi="Arial" w:cs="Arial"/>
                <w:color w:val="000000"/>
                <w:sz w:val="20"/>
                <w:szCs w:val="20"/>
                <w:vertAlign w:val="superscript"/>
              </w:rPr>
              <w:t>a,b/x</w:t>
            </w:r>
          </w:p>
        </w:tc>
        <w:tc>
          <w:tcPr>
            <w:tcW w:w="1669"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0.69 ± 0.05 </w:t>
            </w:r>
            <w:r w:rsidRPr="005F616B">
              <w:rPr>
                <w:rFonts w:ascii="Arial" w:eastAsia="Times New Roman" w:hAnsi="Arial" w:cs="Arial"/>
                <w:color w:val="000000"/>
                <w:sz w:val="20"/>
                <w:szCs w:val="20"/>
                <w:vertAlign w:val="superscript"/>
              </w:rPr>
              <w:t>b/x</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0.053 (0.423)</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M. patricki</w:t>
            </w:r>
          </w:p>
        </w:tc>
        <w:tc>
          <w:tcPr>
            <w:tcW w:w="1703"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0.90 ± 0.04 </w:t>
            </w:r>
            <w:r w:rsidRPr="005F616B">
              <w:rPr>
                <w:rFonts w:ascii="Arial" w:eastAsia="Times New Roman" w:hAnsi="Arial" w:cs="Arial"/>
                <w:color w:val="000000"/>
                <w:sz w:val="20"/>
                <w:szCs w:val="20"/>
                <w:vertAlign w:val="superscript"/>
              </w:rPr>
              <w:t>d/y</w:t>
            </w:r>
          </w:p>
        </w:tc>
        <w:tc>
          <w:tcPr>
            <w:tcW w:w="1791"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0.92 ± 0.04 </w:t>
            </w:r>
            <w:r w:rsidRPr="005F616B">
              <w:rPr>
                <w:rFonts w:ascii="Arial" w:eastAsia="Times New Roman" w:hAnsi="Arial" w:cs="Arial"/>
                <w:color w:val="000000"/>
                <w:sz w:val="20"/>
                <w:szCs w:val="20"/>
                <w:vertAlign w:val="superscript"/>
              </w:rPr>
              <w:t>d/y</w:t>
            </w:r>
          </w:p>
        </w:tc>
        <w:tc>
          <w:tcPr>
            <w:tcW w:w="1669"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0.94 ± 0.04 </w:t>
            </w:r>
            <w:r w:rsidRPr="005F616B">
              <w:rPr>
                <w:rFonts w:ascii="Arial" w:eastAsia="Times New Roman" w:hAnsi="Arial" w:cs="Arial"/>
                <w:color w:val="000000"/>
                <w:sz w:val="20"/>
                <w:szCs w:val="20"/>
                <w:vertAlign w:val="superscript"/>
              </w:rPr>
              <w:t>d/y</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0.257 (1.000)</w:t>
            </w:r>
          </w:p>
        </w:tc>
      </w:tr>
      <w:tr w:rsidR="00287091" w:rsidRPr="00287091" w:rsidTr="00287091">
        <w:trPr>
          <w:trHeight w:val="375"/>
        </w:trPr>
        <w:tc>
          <w:tcPr>
            <w:tcW w:w="2830"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rPr>
                <w:rFonts w:ascii="Arial" w:eastAsia="Times New Roman" w:hAnsi="Arial" w:cs="Arial"/>
                <w:i/>
                <w:iCs/>
                <w:color w:val="000000"/>
              </w:rPr>
            </w:pPr>
            <w:r w:rsidRPr="005F616B">
              <w:rPr>
                <w:rFonts w:ascii="Arial" w:eastAsia="Times New Roman" w:hAnsi="Arial" w:cs="Arial"/>
                <w:i/>
                <w:iCs/>
                <w:color w:val="000000"/>
              </w:rPr>
              <w:t>L. trewavasae</w:t>
            </w:r>
          </w:p>
        </w:tc>
        <w:tc>
          <w:tcPr>
            <w:tcW w:w="1703"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0.95 ± 0.03 </w:t>
            </w:r>
            <w:r w:rsidRPr="005F616B">
              <w:rPr>
                <w:rFonts w:ascii="Arial" w:eastAsia="Times New Roman" w:hAnsi="Arial" w:cs="Arial"/>
                <w:color w:val="000000"/>
                <w:sz w:val="20"/>
                <w:szCs w:val="20"/>
                <w:vertAlign w:val="superscript"/>
              </w:rPr>
              <w:t>g/y</w:t>
            </w:r>
          </w:p>
        </w:tc>
        <w:tc>
          <w:tcPr>
            <w:tcW w:w="1791"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0.97 ± 0.03 </w:t>
            </w:r>
            <w:r w:rsidRPr="005F616B">
              <w:rPr>
                <w:rFonts w:ascii="Arial" w:eastAsia="Times New Roman" w:hAnsi="Arial" w:cs="Arial"/>
                <w:color w:val="000000"/>
                <w:sz w:val="20"/>
                <w:szCs w:val="20"/>
                <w:vertAlign w:val="superscript"/>
              </w:rPr>
              <w:t>g/y</w:t>
            </w:r>
          </w:p>
        </w:tc>
        <w:tc>
          <w:tcPr>
            <w:tcW w:w="1669" w:type="dxa"/>
            <w:tcBorders>
              <w:top w:val="nil"/>
              <w:left w:val="nil"/>
              <w:bottom w:val="nil"/>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xml:space="preserve">0.98 ± 0.04 </w:t>
            </w:r>
            <w:r w:rsidRPr="005F616B">
              <w:rPr>
                <w:rFonts w:ascii="Arial" w:eastAsia="Times New Roman" w:hAnsi="Arial" w:cs="Arial"/>
                <w:color w:val="000000"/>
                <w:sz w:val="20"/>
                <w:szCs w:val="20"/>
                <w:vertAlign w:val="superscript"/>
              </w:rPr>
              <w:t>g/y</w:t>
            </w:r>
          </w:p>
        </w:tc>
        <w:tc>
          <w:tcPr>
            <w:tcW w:w="1607" w:type="dxa"/>
            <w:tcBorders>
              <w:top w:val="nil"/>
              <w:left w:val="nil"/>
              <w:bottom w:val="nil"/>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0.463 (1.000)</w:t>
            </w:r>
          </w:p>
        </w:tc>
      </w:tr>
      <w:tr w:rsidR="00287091" w:rsidRPr="00287091" w:rsidTr="00287091">
        <w:trPr>
          <w:trHeight w:val="390"/>
        </w:trPr>
        <w:tc>
          <w:tcPr>
            <w:tcW w:w="2830" w:type="dxa"/>
            <w:tcBorders>
              <w:top w:val="nil"/>
              <w:left w:val="nil"/>
              <w:bottom w:val="single" w:sz="12" w:space="0" w:color="auto"/>
              <w:right w:val="nil"/>
            </w:tcBorders>
            <w:shd w:val="clear" w:color="auto" w:fill="auto"/>
            <w:noWrap/>
            <w:vAlign w:val="center"/>
            <w:hideMark/>
          </w:tcPr>
          <w:p w:rsidR="00287091" w:rsidRPr="005F616B" w:rsidRDefault="00287091" w:rsidP="00287091">
            <w:pPr>
              <w:spacing w:after="0" w:line="240" w:lineRule="auto"/>
              <w:jc w:val="right"/>
              <w:rPr>
                <w:rFonts w:ascii="Arial" w:eastAsia="Times New Roman" w:hAnsi="Arial" w:cs="Arial"/>
                <w:color w:val="000000"/>
              </w:rPr>
            </w:pPr>
            <w:r w:rsidRPr="005F616B">
              <w:rPr>
                <w:rFonts w:ascii="Arial" w:eastAsia="Times New Roman" w:hAnsi="Arial" w:cs="Arial"/>
                <w:color w:val="000000"/>
              </w:rPr>
              <w:t>P-value</w:t>
            </w:r>
          </w:p>
        </w:tc>
        <w:tc>
          <w:tcPr>
            <w:tcW w:w="1703" w:type="dxa"/>
            <w:tcBorders>
              <w:top w:val="nil"/>
              <w:left w:val="nil"/>
              <w:bottom w:val="single" w:sz="12" w:space="0" w:color="auto"/>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0.001</w:t>
            </w:r>
          </w:p>
        </w:tc>
        <w:tc>
          <w:tcPr>
            <w:tcW w:w="1791" w:type="dxa"/>
            <w:tcBorders>
              <w:top w:val="nil"/>
              <w:left w:val="nil"/>
              <w:bottom w:val="single" w:sz="12" w:space="0" w:color="auto"/>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69" w:type="dxa"/>
            <w:tcBorders>
              <w:top w:val="nil"/>
              <w:left w:val="nil"/>
              <w:bottom w:val="single" w:sz="12" w:space="0" w:color="auto"/>
              <w:right w:val="nil"/>
            </w:tcBorders>
            <w:shd w:val="clear" w:color="auto" w:fill="auto"/>
            <w:noWrap/>
            <w:vAlign w:val="center"/>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&lt; 0.001</w:t>
            </w:r>
          </w:p>
        </w:tc>
        <w:tc>
          <w:tcPr>
            <w:tcW w:w="1607" w:type="dxa"/>
            <w:tcBorders>
              <w:top w:val="nil"/>
              <w:left w:val="nil"/>
              <w:bottom w:val="single" w:sz="12" w:space="0" w:color="auto"/>
              <w:right w:val="nil"/>
            </w:tcBorders>
            <w:shd w:val="clear" w:color="auto" w:fill="auto"/>
            <w:noWrap/>
            <w:vAlign w:val="bottom"/>
            <w:hideMark/>
          </w:tcPr>
          <w:p w:rsidR="00287091" w:rsidRPr="005F616B" w:rsidRDefault="00287091" w:rsidP="00287091">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 </w:t>
            </w:r>
          </w:p>
        </w:tc>
      </w:tr>
    </w:tbl>
    <w:p w:rsidR="00287091" w:rsidRDefault="004A69BE" w:rsidP="00AE67A1">
      <w:pPr>
        <w:spacing w:line="360" w:lineRule="auto"/>
        <w:jc w:val="both"/>
        <w:rPr>
          <w:rFonts w:ascii="Arial" w:hAnsi="Arial" w:cs="Arial"/>
          <w:sz w:val="24"/>
          <w:szCs w:val="24"/>
        </w:rPr>
      </w:pPr>
      <w:r>
        <w:rPr>
          <w:rFonts w:ascii="Arial" w:hAnsi="Arial" w:cs="Arial"/>
          <w:sz w:val="24"/>
          <w:szCs w:val="24"/>
        </w:rPr>
        <w:br/>
      </w:r>
      <w:r w:rsidR="005F616B" w:rsidRPr="005F616B">
        <w:rPr>
          <w:rFonts w:ascii="Arial" w:hAnsi="Arial" w:cs="Arial"/>
          <w:sz w:val="24"/>
          <w:szCs w:val="24"/>
        </w:rPr>
        <w:t xml:space="preserve">Due to the number of comparisons being made, we have included the Holm's test corrected p-values in parentheses in addition to the raw p-values for tests of intraspecific significance. Significant intraspecific p-values are marked with an asterisk. All interspecific p-values remained significant. Intraspecific comparisons are shown </w:t>
      </w:r>
      <w:r w:rsidR="005F616B" w:rsidRPr="005F616B">
        <w:rPr>
          <w:rFonts w:ascii="Arial" w:hAnsi="Arial" w:cs="Arial"/>
          <w:sz w:val="24"/>
          <w:szCs w:val="24"/>
        </w:rPr>
        <w:lastRenderedPageBreak/>
        <w:t xml:space="preserve">horizontally. Superscripts denote the results of the post-hoc test for kinematic differences on each of the different feeding surface orientations for each individual species: </w:t>
      </w:r>
      <w:r w:rsidR="005F616B" w:rsidRPr="005F616B">
        <w:rPr>
          <w:rFonts w:ascii="Arial" w:hAnsi="Arial" w:cs="Arial"/>
          <w:i/>
          <w:sz w:val="24"/>
          <w:szCs w:val="24"/>
        </w:rPr>
        <w:t>P. chitimba</w:t>
      </w:r>
      <w:r w:rsidR="005F616B" w:rsidRPr="005F616B">
        <w:rPr>
          <w:rFonts w:ascii="Arial" w:hAnsi="Arial" w:cs="Arial"/>
          <w:sz w:val="24"/>
          <w:szCs w:val="24"/>
        </w:rPr>
        <w:t xml:space="preserve"> (a, b, c), </w:t>
      </w:r>
      <w:r w:rsidR="005F616B" w:rsidRPr="005F616B">
        <w:rPr>
          <w:rFonts w:ascii="Arial" w:hAnsi="Arial" w:cs="Arial"/>
          <w:i/>
          <w:sz w:val="24"/>
          <w:szCs w:val="24"/>
        </w:rPr>
        <w:t>M. patricki</w:t>
      </w:r>
      <w:r w:rsidR="005F616B" w:rsidRPr="005F616B">
        <w:rPr>
          <w:rFonts w:ascii="Arial" w:hAnsi="Arial" w:cs="Arial"/>
          <w:sz w:val="24"/>
          <w:szCs w:val="24"/>
        </w:rPr>
        <w:t xml:space="preserve"> (d, e, f ), and </w:t>
      </w:r>
      <w:r w:rsidR="005F616B" w:rsidRPr="005F616B">
        <w:rPr>
          <w:rFonts w:ascii="Arial" w:hAnsi="Arial" w:cs="Arial"/>
          <w:i/>
          <w:sz w:val="24"/>
          <w:szCs w:val="24"/>
        </w:rPr>
        <w:t>L. trewavasae</w:t>
      </w:r>
      <w:r w:rsidR="005F616B" w:rsidRPr="005F616B">
        <w:rPr>
          <w:rFonts w:ascii="Arial" w:hAnsi="Arial" w:cs="Arial"/>
          <w:sz w:val="24"/>
          <w:szCs w:val="24"/>
        </w:rPr>
        <w:t xml:space="preserve"> (g, h, i). Interspecific comparisons are shown vertically. Superscripts (x, y and z) denote the results of the post-hoc test for kinematic differences on each of the different feeding surface orientations.</w:t>
      </w:r>
    </w:p>
    <w:p w:rsidR="005F616B" w:rsidRDefault="005F616B" w:rsidP="00AE67A1">
      <w:pPr>
        <w:spacing w:line="360" w:lineRule="auto"/>
        <w:jc w:val="both"/>
        <w:rPr>
          <w:rFonts w:ascii="Arial" w:hAnsi="Arial" w:cs="Arial"/>
          <w:sz w:val="24"/>
          <w:szCs w:val="24"/>
        </w:rPr>
      </w:pPr>
    </w:p>
    <w:p w:rsidR="008F0A1A" w:rsidRDefault="008F0A1A" w:rsidP="00AE67A1">
      <w:pPr>
        <w:spacing w:line="360" w:lineRule="auto"/>
        <w:jc w:val="both"/>
        <w:rPr>
          <w:rFonts w:ascii="Arial" w:hAnsi="Arial" w:cs="Arial"/>
          <w:sz w:val="24"/>
          <w:szCs w:val="24"/>
        </w:rPr>
      </w:pPr>
    </w:p>
    <w:p w:rsidR="008F0A1A" w:rsidRDefault="008F0A1A" w:rsidP="00AE67A1">
      <w:pPr>
        <w:spacing w:line="360" w:lineRule="auto"/>
        <w:jc w:val="both"/>
        <w:rPr>
          <w:rFonts w:ascii="Arial" w:hAnsi="Arial" w:cs="Arial"/>
          <w:sz w:val="24"/>
          <w:szCs w:val="24"/>
        </w:rPr>
      </w:pPr>
    </w:p>
    <w:p w:rsidR="008F0A1A" w:rsidRDefault="008F0A1A" w:rsidP="00AE67A1">
      <w:pPr>
        <w:spacing w:line="360" w:lineRule="auto"/>
        <w:jc w:val="both"/>
        <w:rPr>
          <w:rFonts w:ascii="Arial" w:hAnsi="Arial" w:cs="Arial"/>
          <w:sz w:val="24"/>
          <w:szCs w:val="24"/>
        </w:rPr>
      </w:pPr>
    </w:p>
    <w:p w:rsidR="008F0A1A" w:rsidRDefault="008F0A1A" w:rsidP="00AE67A1">
      <w:pPr>
        <w:spacing w:line="360" w:lineRule="auto"/>
        <w:jc w:val="both"/>
        <w:rPr>
          <w:rFonts w:ascii="Arial" w:hAnsi="Arial" w:cs="Arial"/>
          <w:sz w:val="24"/>
          <w:szCs w:val="24"/>
        </w:rPr>
      </w:pPr>
    </w:p>
    <w:p w:rsidR="008F0A1A" w:rsidRDefault="008F0A1A" w:rsidP="00AE67A1">
      <w:pPr>
        <w:spacing w:line="360" w:lineRule="auto"/>
        <w:jc w:val="both"/>
        <w:rPr>
          <w:rFonts w:ascii="Arial" w:hAnsi="Arial" w:cs="Arial"/>
          <w:sz w:val="24"/>
          <w:szCs w:val="24"/>
        </w:rPr>
      </w:pPr>
    </w:p>
    <w:p w:rsidR="00B45974" w:rsidRDefault="00B45974">
      <w:pPr>
        <w:rPr>
          <w:rFonts w:ascii="Arial" w:hAnsi="Arial" w:cs="Arial"/>
          <w:sz w:val="24"/>
          <w:szCs w:val="24"/>
        </w:rPr>
      </w:pPr>
      <w:r>
        <w:rPr>
          <w:rFonts w:ascii="Arial" w:hAnsi="Arial" w:cs="Arial"/>
          <w:sz w:val="24"/>
          <w:szCs w:val="24"/>
        </w:rPr>
        <w:br w:type="page"/>
      </w:r>
    </w:p>
    <w:tbl>
      <w:tblPr>
        <w:tblW w:w="9250" w:type="dxa"/>
        <w:tblInd w:w="87" w:type="dxa"/>
        <w:tblLook w:val="04A0"/>
      </w:tblPr>
      <w:tblGrid>
        <w:gridCol w:w="681"/>
        <w:gridCol w:w="1305"/>
        <w:gridCol w:w="1172"/>
        <w:gridCol w:w="1172"/>
        <w:gridCol w:w="1172"/>
        <w:gridCol w:w="1305"/>
        <w:gridCol w:w="1305"/>
        <w:gridCol w:w="1138"/>
      </w:tblGrid>
      <w:tr w:rsidR="005F616B" w:rsidRPr="005F616B" w:rsidTr="005F616B">
        <w:trPr>
          <w:trHeight w:val="300"/>
        </w:trPr>
        <w:tc>
          <w:tcPr>
            <w:tcW w:w="9250" w:type="dxa"/>
            <w:gridSpan w:val="8"/>
            <w:tcBorders>
              <w:top w:val="nil"/>
              <w:left w:val="nil"/>
              <w:bottom w:val="nil"/>
              <w:right w:val="nil"/>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4"/>
                <w:szCs w:val="24"/>
              </w:rPr>
            </w:pPr>
            <w:r w:rsidRPr="005F616B">
              <w:rPr>
                <w:rStyle w:val="Thesis3Char"/>
              </w:rPr>
              <w:lastRenderedPageBreak/>
              <w:t>Table 3</w:t>
            </w:r>
            <w:r w:rsidRPr="005F616B">
              <w:rPr>
                <w:rFonts w:ascii="Arial" w:eastAsia="Times New Roman" w:hAnsi="Arial" w:cs="Arial"/>
                <w:color w:val="000000"/>
                <w:sz w:val="24"/>
                <w:szCs w:val="24"/>
              </w:rPr>
              <w:t xml:space="preserve">. Matrix of pairwise correlations between the seven kinematic variables. </w:t>
            </w:r>
          </w:p>
        </w:tc>
      </w:tr>
      <w:tr w:rsidR="005F616B" w:rsidRPr="005F616B" w:rsidTr="005F616B">
        <w:trPr>
          <w:trHeight w:val="465"/>
        </w:trPr>
        <w:tc>
          <w:tcPr>
            <w:tcW w:w="681" w:type="dxa"/>
            <w:tcBorders>
              <w:top w:val="nil"/>
              <w:left w:val="nil"/>
              <w:bottom w:val="nil"/>
              <w:right w:val="nil"/>
            </w:tcBorders>
            <w:shd w:val="clear" w:color="auto" w:fill="auto"/>
            <w:noWrap/>
            <w:vAlign w:val="bottom"/>
            <w:hideMark/>
          </w:tcPr>
          <w:p w:rsidR="005F616B" w:rsidRPr="005F616B" w:rsidRDefault="005F616B" w:rsidP="005F616B">
            <w:pPr>
              <w:spacing w:after="0" w:line="240" w:lineRule="auto"/>
              <w:rPr>
                <w:rFonts w:eastAsia="Times New Roman"/>
                <w:color w:val="000000"/>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BA</w:t>
            </w:r>
          </w:p>
        </w:tc>
        <w:tc>
          <w:tcPr>
            <w:tcW w:w="1172" w:type="dxa"/>
            <w:tcBorders>
              <w:top w:val="single" w:sz="4" w:space="0" w:color="auto"/>
              <w:left w:val="nil"/>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PA</w:t>
            </w:r>
          </w:p>
        </w:tc>
        <w:tc>
          <w:tcPr>
            <w:tcW w:w="1172" w:type="dxa"/>
            <w:tcBorders>
              <w:top w:val="single" w:sz="4" w:space="0" w:color="auto"/>
              <w:left w:val="nil"/>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PD</w:t>
            </w:r>
          </w:p>
        </w:tc>
        <w:tc>
          <w:tcPr>
            <w:tcW w:w="1172" w:type="dxa"/>
            <w:tcBorders>
              <w:top w:val="single" w:sz="4" w:space="0" w:color="auto"/>
              <w:left w:val="nil"/>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GS</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FBR</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BR</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BPB</w:t>
            </w:r>
          </w:p>
        </w:tc>
      </w:tr>
      <w:tr w:rsidR="005F616B" w:rsidRPr="005F616B" w:rsidTr="005F616B">
        <w:trPr>
          <w:trHeight w:val="465"/>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BA</w:t>
            </w:r>
          </w:p>
        </w:tc>
        <w:tc>
          <w:tcPr>
            <w:tcW w:w="1305" w:type="dxa"/>
            <w:vMerge w:val="restart"/>
            <w:tcBorders>
              <w:top w:val="nil"/>
              <w:left w:val="nil"/>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-0.31</w:t>
            </w:r>
          </w:p>
        </w:tc>
        <w:tc>
          <w:tcPr>
            <w:tcW w:w="1172" w:type="dxa"/>
            <w:tcBorders>
              <w:top w:val="nil"/>
              <w:left w:val="nil"/>
              <w:bottom w:val="nil"/>
              <w:right w:val="nil"/>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-0.06</w:t>
            </w:r>
          </w:p>
        </w:tc>
        <w:tc>
          <w:tcPr>
            <w:tcW w:w="1172" w:type="dxa"/>
            <w:tcBorders>
              <w:top w:val="nil"/>
              <w:left w:val="single" w:sz="4" w:space="0" w:color="auto"/>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-0.19</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-0.45</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-0.09</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0.24</w:t>
            </w:r>
          </w:p>
        </w:tc>
      </w:tr>
      <w:tr w:rsidR="005F616B" w:rsidRPr="005F616B" w:rsidTr="005F616B">
        <w:trPr>
          <w:trHeight w:val="315"/>
        </w:trPr>
        <w:tc>
          <w:tcPr>
            <w:tcW w:w="681" w:type="dxa"/>
            <w:vMerge/>
            <w:tcBorders>
              <w:top w:val="single" w:sz="4" w:space="0" w:color="auto"/>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vMerge/>
            <w:tcBorders>
              <w:top w:val="nil"/>
              <w:left w:val="nil"/>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-0.82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0.68</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-0.24</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-0.29</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-0.21</w:t>
            </w:r>
          </w:p>
        </w:tc>
      </w:tr>
      <w:tr w:rsidR="005F616B" w:rsidRPr="005F616B" w:rsidTr="005F616B">
        <w:trPr>
          <w:trHeight w:val="465"/>
        </w:trPr>
        <w:tc>
          <w:tcPr>
            <w:tcW w:w="681" w:type="dxa"/>
            <w:vMerge/>
            <w:tcBorders>
              <w:top w:val="single" w:sz="4" w:space="0" w:color="auto"/>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vMerge/>
            <w:tcBorders>
              <w:top w:val="nil"/>
              <w:left w:val="nil"/>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-0.57</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0.35</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-0.31</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0.22</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0.14</w:t>
            </w:r>
          </w:p>
        </w:tc>
        <w:tc>
          <w:tcPr>
            <w:tcW w:w="1138"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-0.12</w:t>
            </w:r>
          </w:p>
        </w:tc>
      </w:tr>
      <w:tr w:rsidR="005F616B" w:rsidRPr="005F616B" w:rsidTr="005F616B">
        <w:trPr>
          <w:trHeight w:val="465"/>
        </w:trPr>
        <w:tc>
          <w:tcPr>
            <w:tcW w:w="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PA</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0.218</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-0.11</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-0.23</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0.26</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-0.16</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-0.27</w:t>
            </w:r>
          </w:p>
        </w:tc>
      </w:tr>
      <w:tr w:rsidR="005F616B" w:rsidRPr="005F616B" w:rsidTr="005F616B">
        <w:trPr>
          <w:trHeight w:val="31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&lt; 0.001</w:t>
            </w:r>
          </w:p>
        </w:tc>
        <w:tc>
          <w:tcPr>
            <w:tcW w:w="1172"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-0.03</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-0.65</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0.30</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0.37</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0.33</w:t>
            </w:r>
          </w:p>
        </w:tc>
      </w:tr>
      <w:tr w:rsidR="005F616B" w:rsidRPr="005F616B" w:rsidTr="005F616B">
        <w:trPr>
          <w:trHeight w:val="46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0.019</w:t>
            </w:r>
          </w:p>
        </w:tc>
        <w:tc>
          <w:tcPr>
            <w:tcW w:w="1172"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-0.07</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-0.14</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0.16</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0.42</w:t>
            </w:r>
          </w:p>
        </w:tc>
        <w:tc>
          <w:tcPr>
            <w:tcW w:w="1138"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0.20</w:t>
            </w:r>
          </w:p>
        </w:tc>
      </w:tr>
      <w:tr w:rsidR="005F616B" w:rsidRPr="005F616B" w:rsidTr="005F616B">
        <w:trPr>
          <w:trHeight w:val="465"/>
        </w:trPr>
        <w:tc>
          <w:tcPr>
            <w:tcW w:w="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PD</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0.818</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0.652</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-0.36</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0.26</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-0.17</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-0.32</w:t>
            </w:r>
          </w:p>
        </w:tc>
      </w:tr>
      <w:tr w:rsidR="005F616B" w:rsidRPr="005F616B" w:rsidTr="005F616B">
        <w:trPr>
          <w:trHeight w:val="31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0.935</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0.914</w:t>
            </w:r>
          </w:p>
        </w:tc>
        <w:tc>
          <w:tcPr>
            <w:tcW w:w="1172"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0.02</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0.13</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0.08</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-0.14</w:t>
            </w:r>
          </w:p>
        </w:tc>
      </w:tr>
      <w:tr w:rsidR="005F616B" w:rsidRPr="005F616B" w:rsidTr="005F616B">
        <w:trPr>
          <w:trHeight w:val="46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0.162</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0.701</w:t>
            </w:r>
          </w:p>
        </w:tc>
        <w:tc>
          <w:tcPr>
            <w:tcW w:w="1172"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-0.67</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0.37</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0.45</w:t>
            </w:r>
          </w:p>
        </w:tc>
        <w:tc>
          <w:tcPr>
            <w:tcW w:w="1138"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0.00</w:t>
            </w:r>
          </w:p>
        </w:tc>
      </w:tr>
      <w:tr w:rsidR="005F616B" w:rsidRPr="005F616B" w:rsidTr="005F616B">
        <w:trPr>
          <w:trHeight w:val="465"/>
        </w:trPr>
        <w:tc>
          <w:tcPr>
            <w:tcW w:w="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GS</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0.459</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0.368</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0.140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0.01</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0.04</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0.06</w:t>
            </w:r>
          </w:p>
        </w:tc>
      </w:tr>
      <w:tr w:rsidR="005F616B" w:rsidRPr="005F616B" w:rsidTr="005F616B">
        <w:trPr>
          <w:trHeight w:val="31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0.002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0.003</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0.933</w:t>
            </w:r>
          </w:p>
        </w:tc>
        <w:tc>
          <w:tcPr>
            <w:tcW w:w="1172"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-0.46</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-0.55</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-0.51</w:t>
            </w:r>
          </w:p>
        </w:tc>
      </w:tr>
      <w:tr w:rsidR="005F616B" w:rsidRPr="005F616B" w:rsidTr="005F616B">
        <w:trPr>
          <w:trHeight w:val="46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0.261</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0.630</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0.007</w:t>
            </w:r>
          </w:p>
        </w:tc>
        <w:tc>
          <w:tcPr>
            <w:tcW w:w="1172"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-0.40</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-0.43</w:t>
            </w:r>
          </w:p>
        </w:tc>
        <w:tc>
          <w:tcPr>
            <w:tcW w:w="1138"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0.16</w:t>
            </w:r>
          </w:p>
        </w:tc>
      </w:tr>
      <w:tr w:rsidR="005F616B" w:rsidRPr="005F616B" w:rsidTr="005F616B">
        <w:trPr>
          <w:trHeight w:val="465"/>
        </w:trPr>
        <w:tc>
          <w:tcPr>
            <w:tcW w:w="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FBR</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0.061</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0.302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0.297</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0.975</w:t>
            </w:r>
          </w:p>
        </w:tc>
        <w:tc>
          <w:tcPr>
            <w:tcW w:w="130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-0.10</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-0.73</w:t>
            </w:r>
          </w:p>
        </w:tc>
      </w:tr>
      <w:tr w:rsidR="005F616B" w:rsidRPr="005F616B" w:rsidTr="005F616B">
        <w:trPr>
          <w:trHeight w:val="31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0.336</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0.222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0.602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0.058</w:t>
            </w:r>
          </w:p>
        </w:tc>
        <w:tc>
          <w:tcPr>
            <w:tcW w:w="1305"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0.97</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0.11</w:t>
            </w:r>
          </w:p>
        </w:tc>
      </w:tr>
      <w:tr w:rsidR="005F616B" w:rsidRPr="005F616B" w:rsidTr="005F616B">
        <w:trPr>
          <w:trHeight w:val="46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0.694</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0.316</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0.408</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0.139</w:t>
            </w:r>
          </w:p>
        </w:tc>
        <w:tc>
          <w:tcPr>
            <w:tcW w:w="1305"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0.79</w:t>
            </w:r>
          </w:p>
        </w:tc>
        <w:tc>
          <w:tcPr>
            <w:tcW w:w="1138"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-0.67</w:t>
            </w:r>
          </w:p>
        </w:tc>
      </w:tr>
      <w:tr w:rsidR="005F616B" w:rsidRPr="005F616B" w:rsidTr="005F616B">
        <w:trPr>
          <w:trHeight w:val="465"/>
        </w:trPr>
        <w:tc>
          <w:tcPr>
            <w:tcW w:w="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BR</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0.720</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0.536</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0.495</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0.872</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0.704</w:t>
            </w:r>
          </w:p>
        </w:tc>
        <w:tc>
          <w:tcPr>
            <w:tcW w:w="130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0.74</w:t>
            </w:r>
          </w:p>
        </w:tc>
      </w:tr>
      <w:tr w:rsidR="005F616B" w:rsidRPr="005F616B" w:rsidTr="005F616B">
        <w:trPr>
          <w:trHeight w:val="31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0.236</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0.133</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0.742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0.018</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&lt; 0.001</w:t>
            </w:r>
          </w:p>
        </w:tc>
        <w:tc>
          <w:tcPr>
            <w:tcW w:w="1305"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38"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0.34</w:t>
            </w:r>
          </w:p>
        </w:tc>
      </w:tr>
      <w:tr w:rsidR="005F616B" w:rsidRPr="005F616B" w:rsidTr="005F616B">
        <w:trPr>
          <w:trHeight w:val="46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0.902</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0.064</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0.302</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0.114</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&lt; 0.001</w:t>
            </w:r>
          </w:p>
        </w:tc>
        <w:tc>
          <w:tcPr>
            <w:tcW w:w="1305"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0"/>
                <w:szCs w:val="20"/>
              </w:rPr>
            </w:pPr>
          </w:p>
        </w:tc>
        <w:tc>
          <w:tcPr>
            <w:tcW w:w="1138"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-0.09</w:t>
            </w:r>
          </w:p>
        </w:tc>
      </w:tr>
      <w:tr w:rsidR="005F616B" w:rsidRPr="005F616B" w:rsidTr="005F616B">
        <w:trPr>
          <w:trHeight w:val="465"/>
        </w:trPr>
        <w:tc>
          <w:tcPr>
            <w:tcW w:w="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b/>
                <w:bCs/>
                <w:color w:val="000000"/>
              </w:rPr>
            </w:pPr>
            <w:r w:rsidRPr="005F616B">
              <w:rPr>
                <w:rFonts w:ascii="Arial" w:eastAsia="Times New Roman" w:hAnsi="Arial" w:cs="Arial"/>
                <w:b/>
                <w:bCs/>
                <w:color w:val="000000"/>
              </w:rPr>
              <w:t>BPB</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0.328</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0.286</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0.202</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0.824</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0.001</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&lt; 0.001</w:t>
            </w:r>
          </w:p>
        </w:tc>
        <w:tc>
          <w:tcPr>
            <w:tcW w:w="11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w:t>
            </w:r>
          </w:p>
        </w:tc>
      </w:tr>
      <w:tr w:rsidR="005F616B" w:rsidRPr="005F616B" w:rsidTr="005F616B">
        <w:trPr>
          <w:trHeight w:val="31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0.397</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0.184</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0.574</w:t>
            </w:r>
          </w:p>
        </w:tc>
        <w:tc>
          <w:tcPr>
            <w:tcW w:w="1172"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0.574</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0.668</w:t>
            </w:r>
          </w:p>
        </w:tc>
        <w:tc>
          <w:tcPr>
            <w:tcW w:w="1305" w:type="dxa"/>
            <w:tcBorders>
              <w:top w:val="nil"/>
              <w:left w:val="nil"/>
              <w:bottom w:val="nil"/>
              <w:right w:val="single" w:sz="4" w:space="0" w:color="auto"/>
            </w:tcBorders>
            <w:shd w:val="clear" w:color="auto" w:fill="auto"/>
            <w:noWrap/>
            <w:vAlign w:val="bottom"/>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0.163</w:t>
            </w:r>
          </w:p>
        </w:tc>
        <w:tc>
          <w:tcPr>
            <w:tcW w:w="1138"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4"/>
                <w:szCs w:val="24"/>
              </w:rPr>
            </w:pPr>
          </w:p>
        </w:tc>
      </w:tr>
      <w:tr w:rsidR="005F616B" w:rsidRPr="005F616B" w:rsidTr="005F616B">
        <w:trPr>
          <w:trHeight w:val="465"/>
        </w:trPr>
        <w:tc>
          <w:tcPr>
            <w:tcW w:w="681" w:type="dxa"/>
            <w:vMerge/>
            <w:tcBorders>
              <w:top w:val="nil"/>
              <w:left w:val="single" w:sz="4" w:space="0" w:color="auto"/>
              <w:bottom w:val="single" w:sz="4" w:space="0" w:color="auto"/>
              <w:right w:val="single" w:sz="4" w:space="0" w:color="auto"/>
            </w:tcBorders>
            <w:vAlign w:val="center"/>
            <w:hideMark/>
          </w:tcPr>
          <w:p w:rsidR="005F616B" w:rsidRPr="005F616B" w:rsidRDefault="005F616B" w:rsidP="005F616B">
            <w:pPr>
              <w:spacing w:after="0" w:line="240" w:lineRule="auto"/>
              <w:rPr>
                <w:rFonts w:ascii="Arial" w:eastAsia="Times New Roman" w:hAnsi="Arial" w:cs="Arial"/>
                <w:b/>
                <w:bCs/>
                <w:color w:val="000000"/>
              </w:rPr>
            </w:pP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0.733</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0.602</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0.926</w:t>
            </w:r>
          </w:p>
        </w:tc>
        <w:tc>
          <w:tcPr>
            <w:tcW w:w="1172"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0.569</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b/>
                <w:bCs/>
                <w:color w:val="000000"/>
                <w:sz w:val="20"/>
                <w:szCs w:val="20"/>
              </w:rPr>
            </w:pPr>
            <w:r w:rsidRPr="005F616B">
              <w:rPr>
                <w:rFonts w:ascii="Arial" w:eastAsia="Times New Roman" w:hAnsi="Arial" w:cs="Arial"/>
                <w:b/>
                <w:bCs/>
                <w:color w:val="000000"/>
                <w:sz w:val="20"/>
                <w:szCs w:val="20"/>
              </w:rPr>
              <w:t>0.004</w:t>
            </w:r>
          </w:p>
        </w:tc>
        <w:tc>
          <w:tcPr>
            <w:tcW w:w="1305" w:type="dxa"/>
            <w:tcBorders>
              <w:top w:val="nil"/>
              <w:left w:val="nil"/>
              <w:bottom w:val="single" w:sz="4" w:space="0" w:color="auto"/>
              <w:right w:val="single" w:sz="4" w:space="0" w:color="auto"/>
            </w:tcBorders>
            <w:shd w:val="clear" w:color="auto" w:fill="auto"/>
            <w:noWrap/>
            <w:hideMark/>
          </w:tcPr>
          <w:p w:rsidR="005F616B" w:rsidRPr="005F616B" w:rsidRDefault="005F616B" w:rsidP="005F616B">
            <w:pPr>
              <w:spacing w:after="0" w:line="240" w:lineRule="auto"/>
              <w:jc w:val="center"/>
              <w:rPr>
                <w:rFonts w:ascii="Arial" w:eastAsia="Times New Roman" w:hAnsi="Arial" w:cs="Arial"/>
                <w:color w:val="000000"/>
                <w:sz w:val="20"/>
                <w:szCs w:val="20"/>
              </w:rPr>
            </w:pPr>
            <w:r w:rsidRPr="005F616B">
              <w:rPr>
                <w:rFonts w:ascii="Arial" w:eastAsia="Times New Roman" w:hAnsi="Arial" w:cs="Arial"/>
                <w:color w:val="000000"/>
                <w:sz w:val="20"/>
                <w:szCs w:val="20"/>
              </w:rPr>
              <w:t>0.406</w:t>
            </w:r>
          </w:p>
        </w:tc>
        <w:tc>
          <w:tcPr>
            <w:tcW w:w="1138" w:type="dxa"/>
            <w:vMerge/>
            <w:tcBorders>
              <w:top w:val="nil"/>
              <w:left w:val="single" w:sz="4" w:space="0" w:color="auto"/>
              <w:bottom w:val="single" w:sz="4" w:space="0" w:color="000000"/>
              <w:right w:val="single" w:sz="4" w:space="0" w:color="auto"/>
            </w:tcBorders>
            <w:vAlign w:val="center"/>
            <w:hideMark/>
          </w:tcPr>
          <w:p w:rsidR="005F616B" w:rsidRPr="005F616B" w:rsidRDefault="005F616B" w:rsidP="005F616B">
            <w:pPr>
              <w:spacing w:after="0" w:line="240" w:lineRule="auto"/>
              <w:rPr>
                <w:rFonts w:ascii="Arial" w:eastAsia="Times New Roman" w:hAnsi="Arial" w:cs="Arial"/>
                <w:color w:val="000000"/>
                <w:sz w:val="24"/>
                <w:szCs w:val="24"/>
              </w:rPr>
            </w:pPr>
          </w:p>
        </w:tc>
      </w:tr>
    </w:tbl>
    <w:p w:rsidR="000968E5" w:rsidRDefault="004A69BE" w:rsidP="00AE67A1">
      <w:pPr>
        <w:spacing w:line="360" w:lineRule="auto"/>
        <w:jc w:val="both"/>
        <w:rPr>
          <w:rFonts w:ascii="Arial" w:hAnsi="Arial" w:cs="Arial"/>
          <w:sz w:val="24"/>
          <w:szCs w:val="24"/>
        </w:rPr>
      </w:pPr>
      <w:r>
        <w:rPr>
          <w:rFonts w:ascii="Arial" w:hAnsi="Arial" w:cs="Arial"/>
          <w:sz w:val="24"/>
          <w:szCs w:val="24"/>
        </w:rPr>
        <w:br/>
      </w:r>
      <w:r w:rsidR="005F616B" w:rsidRPr="005F616B">
        <w:rPr>
          <w:rFonts w:ascii="Arial" w:hAnsi="Arial" w:cs="Arial"/>
          <w:sz w:val="24"/>
          <w:szCs w:val="24"/>
        </w:rPr>
        <w:t xml:space="preserve">The abbreviations in row and column headings are as follows: BA = body angle, PA = protrusion angle, PD = protrusion distance, GS = gape size, FBR = fin beat rate, BR = bite rate, BPB = bites per beat. All three species values are present in each cell with </w:t>
      </w:r>
      <w:r w:rsidR="005F616B" w:rsidRPr="005F616B">
        <w:rPr>
          <w:rFonts w:ascii="Arial" w:hAnsi="Arial" w:cs="Arial"/>
          <w:i/>
          <w:sz w:val="24"/>
          <w:szCs w:val="24"/>
        </w:rPr>
        <w:t>P. chitimba</w:t>
      </w:r>
      <w:r w:rsidR="005F616B" w:rsidRPr="005F616B">
        <w:rPr>
          <w:rFonts w:ascii="Arial" w:hAnsi="Arial" w:cs="Arial"/>
          <w:sz w:val="24"/>
          <w:szCs w:val="24"/>
        </w:rPr>
        <w:t xml:space="preserve"> being the top value, </w:t>
      </w:r>
      <w:r w:rsidR="005F616B" w:rsidRPr="005F616B">
        <w:rPr>
          <w:rFonts w:ascii="Arial" w:hAnsi="Arial" w:cs="Arial"/>
          <w:i/>
          <w:sz w:val="24"/>
          <w:szCs w:val="24"/>
        </w:rPr>
        <w:t>M. patricki</w:t>
      </w:r>
      <w:r w:rsidR="005F616B" w:rsidRPr="005F616B">
        <w:rPr>
          <w:rFonts w:ascii="Arial" w:hAnsi="Arial" w:cs="Arial"/>
          <w:sz w:val="24"/>
          <w:szCs w:val="24"/>
        </w:rPr>
        <w:t xml:space="preserve"> being the middle value, and </w:t>
      </w:r>
      <w:r w:rsidR="005F616B" w:rsidRPr="005F616B">
        <w:rPr>
          <w:rFonts w:ascii="Arial" w:hAnsi="Arial" w:cs="Arial"/>
          <w:i/>
          <w:sz w:val="24"/>
          <w:szCs w:val="24"/>
        </w:rPr>
        <w:t>L. trewavasae</w:t>
      </w:r>
      <w:r w:rsidR="005F616B" w:rsidRPr="005F616B">
        <w:rPr>
          <w:rFonts w:ascii="Arial" w:hAnsi="Arial" w:cs="Arial"/>
          <w:sz w:val="24"/>
          <w:szCs w:val="24"/>
        </w:rPr>
        <w:t xml:space="preserve"> being the bottom value. Corresponding p-values can be found below the diagonal and are ordered in the same format as the correlation coefficients. Significant p-values are in bold.</w:t>
      </w:r>
    </w:p>
    <w:p w:rsidR="005F616B" w:rsidRDefault="002317BF" w:rsidP="002317BF">
      <w:pPr>
        <w:pStyle w:val="Thesis1"/>
      </w:pPr>
      <w:r>
        <w:lastRenderedPageBreak/>
        <w:t>VITA</w:t>
      </w:r>
    </w:p>
    <w:p w:rsidR="002317BF" w:rsidRPr="002317BF" w:rsidRDefault="002317BF" w:rsidP="002317BF">
      <w:pPr>
        <w:jc w:val="center"/>
        <w:rPr>
          <w:rFonts w:ascii="Arial" w:hAnsi="Arial" w:cs="Arial"/>
          <w:sz w:val="24"/>
          <w:szCs w:val="24"/>
        </w:rPr>
      </w:pPr>
      <w:r>
        <w:rPr>
          <w:rFonts w:ascii="Arial" w:hAnsi="Arial" w:cs="Arial"/>
          <w:sz w:val="24"/>
          <w:szCs w:val="24"/>
        </w:rPr>
        <w:t>Maxwell F. Rupp was born April 23rd, 1988. He attended Soddy Daisy high school from 2002 – 2006 and was accepted to the University of Tennessee in 2006. He graduated with his bachelor’s degree in December 2010, and obtained his master’s degree in Ecology and Evolutionary Biology in May 2014.</w:t>
      </w:r>
    </w:p>
    <w:sectPr w:rsidR="002317BF" w:rsidRPr="002317BF" w:rsidSect="00F52D20">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673" w:rsidRDefault="00CC2673" w:rsidP="00882645">
      <w:pPr>
        <w:spacing w:after="0" w:line="240" w:lineRule="auto"/>
      </w:pPr>
      <w:r>
        <w:separator/>
      </w:r>
    </w:p>
  </w:endnote>
  <w:endnote w:type="continuationSeparator" w:id="0">
    <w:p w:rsidR="00CC2673" w:rsidRDefault="00CC2673" w:rsidP="00882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65602"/>
      <w:docPartObj>
        <w:docPartGallery w:val="Page Numbers (Bottom of Page)"/>
        <w:docPartUnique/>
      </w:docPartObj>
    </w:sdtPr>
    <w:sdtContent>
      <w:p w:rsidR="009D5E23" w:rsidRDefault="001178EE">
        <w:pPr>
          <w:pStyle w:val="Footer"/>
          <w:jc w:val="center"/>
        </w:pPr>
        <w:fldSimple w:instr=" PAGE   \* MERGEFORMAT ">
          <w:r w:rsidR="00F52D20">
            <w:rPr>
              <w:noProof/>
            </w:rPr>
            <w:t>30</w:t>
          </w:r>
        </w:fldSimple>
      </w:p>
    </w:sdtContent>
  </w:sdt>
  <w:p w:rsidR="00882645" w:rsidRDefault="008826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23" w:rsidRDefault="009D5E23">
    <w:pPr>
      <w:pStyle w:val="Footer"/>
      <w:jc w:val="center"/>
    </w:pPr>
  </w:p>
  <w:p w:rsidR="009D5E23" w:rsidRDefault="009D5E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673" w:rsidRDefault="00CC2673" w:rsidP="00882645">
      <w:pPr>
        <w:spacing w:after="0" w:line="240" w:lineRule="auto"/>
      </w:pPr>
      <w:r>
        <w:separator/>
      </w:r>
    </w:p>
  </w:footnote>
  <w:footnote w:type="continuationSeparator" w:id="0">
    <w:p w:rsidR="00CC2673" w:rsidRDefault="00CC2673" w:rsidP="008826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76F72"/>
    <w:rsid w:val="000020FF"/>
    <w:rsid w:val="00002DE2"/>
    <w:rsid w:val="000031F1"/>
    <w:rsid w:val="0000458A"/>
    <w:rsid w:val="000046FE"/>
    <w:rsid w:val="000049C8"/>
    <w:rsid w:val="00004F79"/>
    <w:rsid w:val="00011384"/>
    <w:rsid w:val="00014714"/>
    <w:rsid w:val="00014DA0"/>
    <w:rsid w:val="00016F54"/>
    <w:rsid w:val="00017113"/>
    <w:rsid w:val="000213A1"/>
    <w:rsid w:val="00024761"/>
    <w:rsid w:val="0002680C"/>
    <w:rsid w:val="00031EB6"/>
    <w:rsid w:val="00033714"/>
    <w:rsid w:val="00034804"/>
    <w:rsid w:val="00034E2E"/>
    <w:rsid w:val="00051237"/>
    <w:rsid w:val="0005194B"/>
    <w:rsid w:val="0005313D"/>
    <w:rsid w:val="00054BEB"/>
    <w:rsid w:val="00055289"/>
    <w:rsid w:val="00056870"/>
    <w:rsid w:val="00056EFB"/>
    <w:rsid w:val="0006144B"/>
    <w:rsid w:val="00062776"/>
    <w:rsid w:val="00064BDC"/>
    <w:rsid w:val="00065015"/>
    <w:rsid w:val="0006552A"/>
    <w:rsid w:val="0006559F"/>
    <w:rsid w:val="00066A46"/>
    <w:rsid w:val="00067E75"/>
    <w:rsid w:val="0007052B"/>
    <w:rsid w:val="0007079C"/>
    <w:rsid w:val="0007261F"/>
    <w:rsid w:val="00073951"/>
    <w:rsid w:val="0007446A"/>
    <w:rsid w:val="000744B9"/>
    <w:rsid w:val="00074AFF"/>
    <w:rsid w:val="00076701"/>
    <w:rsid w:val="00077A91"/>
    <w:rsid w:val="0008035F"/>
    <w:rsid w:val="00082F7D"/>
    <w:rsid w:val="00083258"/>
    <w:rsid w:val="000834EC"/>
    <w:rsid w:val="00084C0B"/>
    <w:rsid w:val="00086B68"/>
    <w:rsid w:val="0008737A"/>
    <w:rsid w:val="00090EA7"/>
    <w:rsid w:val="00091904"/>
    <w:rsid w:val="000968E5"/>
    <w:rsid w:val="000A0175"/>
    <w:rsid w:val="000A26C3"/>
    <w:rsid w:val="000A305C"/>
    <w:rsid w:val="000A47A1"/>
    <w:rsid w:val="000A50AA"/>
    <w:rsid w:val="000A73CF"/>
    <w:rsid w:val="000A7C48"/>
    <w:rsid w:val="000B0EA3"/>
    <w:rsid w:val="000B0FDA"/>
    <w:rsid w:val="000B3777"/>
    <w:rsid w:val="000B4D6A"/>
    <w:rsid w:val="000B7400"/>
    <w:rsid w:val="000C0533"/>
    <w:rsid w:val="000C33F9"/>
    <w:rsid w:val="000C4A0F"/>
    <w:rsid w:val="000D0413"/>
    <w:rsid w:val="000D3787"/>
    <w:rsid w:val="000D3CDB"/>
    <w:rsid w:val="000D3FDE"/>
    <w:rsid w:val="000D7753"/>
    <w:rsid w:val="000E11C5"/>
    <w:rsid w:val="000E4E86"/>
    <w:rsid w:val="000E7C73"/>
    <w:rsid w:val="000F02A7"/>
    <w:rsid w:val="000F5597"/>
    <w:rsid w:val="000F69DB"/>
    <w:rsid w:val="000F7760"/>
    <w:rsid w:val="00102B30"/>
    <w:rsid w:val="0011105F"/>
    <w:rsid w:val="00112038"/>
    <w:rsid w:val="00112573"/>
    <w:rsid w:val="001133D7"/>
    <w:rsid w:val="00114F5E"/>
    <w:rsid w:val="001178EE"/>
    <w:rsid w:val="00120042"/>
    <w:rsid w:val="00120BC6"/>
    <w:rsid w:val="00121548"/>
    <w:rsid w:val="001215AA"/>
    <w:rsid w:val="00121890"/>
    <w:rsid w:val="001222CC"/>
    <w:rsid w:val="0012329D"/>
    <w:rsid w:val="0012539A"/>
    <w:rsid w:val="00125BD3"/>
    <w:rsid w:val="00126441"/>
    <w:rsid w:val="00126F7C"/>
    <w:rsid w:val="00132117"/>
    <w:rsid w:val="00132CD1"/>
    <w:rsid w:val="00135E19"/>
    <w:rsid w:val="00136B35"/>
    <w:rsid w:val="0014177D"/>
    <w:rsid w:val="0014681C"/>
    <w:rsid w:val="00147A4A"/>
    <w:rsid w:val="00150AE5"/>
    <w:rsid w:val="001511B9"/>
    <w:rsid w:val="00151D2F"/>
    <w:rsid w:val="0015296D"/>
    <w:rsid w:val="00152B7E"/>
    <w:rsid w:val="001546C8"/>
    <w:rsid w:val="00154CC6"/>
    <w:rsid w:val="00160D69"/>
    <w:rsid w:val="001610B0"/>
    <w:rsid w:val="001616D8"/>
    <w:rsid w:val="001623F6"/>
    <w:rsid w:val="00163F2A"/>
    <w:rsid w:val="0016593E"/>
    <w:rsid w:val="00166BEE"/>
    <w:rsid w:val="00170D1F"/>
    <w:rsid w:val="0017110B"/>
    <w:rsid w:val="001731D0"/>
    <w:rsid w:val="00173977"/>
    <w:rsid w:val="00174935"/>
    <w:rsid w:val="00176891"/>
    <w:rsid w:val="00180C9D"/>
    <w:rsid w:val="0018309E"/>
    <w:rsid w:val="001832D4"/>
    <w:rsid w:val="00184BCE"/>
    <w:rsid w:val="00187649"/>
    <w:rsid w:val="001876FF"/>
    <w:rsid w:val="0019147D"/>
    <w:rsid w:val="00191B89"/>
    <w:rsid w:val="001948AC"/>
    <w:rsid w:val="00194C17"/>
    <w:rsid w:val="00196889"/>
    <w:rsid w:val="001A0B8F"/>
    <w:rsid w:val="001A36C4"/>
    <w:rsid w:val="001A3BA0"/>
    <w:rsid w:val="001A58E4"/>
    <w:rsid w:val="001A7B5C"/>
    <w:rsid w:val="001B2E3F"/>
    <w:rsid w:val="001B349C"/>
    <w:rsid w:val="001B361E"/>
    <w:rsid w:val="001B69AF"/>
    <w:rsid w:val="001C0292"/>
    <w:rsid w:val="001C1871"/>
    <w:rsid w:val="001C2387"/>
    <w:rsid w:val="001C37DD"/>
    <w:rsid w:val="001C4D53"/>
    <w:rsid w:val="001C5B75"/>
    <w:rsid w:val="001C781E"/>
    <w:rsid w:val="001D08FB"/>
    <w:rsid w:val="001D0C6C"/>
    <w:rsid w:val="001D3DBD"/>
    <w:rsid w:val="001D643C"/>
    <w:rsid w:val="001D7427"/>
    <w:rsid w:val="001E137D"/>
    <w:rsid w:val="001E1543"/>
    <w:rsid w:val="001E1740"/>
    <w:rsid w:val="001E243B"/>
    <w:rsid w:val="001E4998"/>
    <w:rsid w:val="001E4D8D"/>
    <w:rsid w:val="001E71D0"/>
    <w:rsid w:val="001E7217"/>
    <w:rsid w:val="001F330C"/>
    <w:rsid w:val="001F3943"/>
    <w:rsid w:val="002015B1"/>
    <w:rsid w:val="00204BDA"/>
    <w:rsid w:val="00205B86"/>
    <w:rsid w:val="002111D8"/>
    <w:rsid w:val="00212935"/>
    <w:rsid w:val="00212B8F"/>
    <w:rsid w:val="002137F6"/>
    <w:rsid w:val="00215499"/>
    <w:rsid w:val="00215813"/>
    <w:rsid w:val="00215EF9"/>
    <w:rsid w:val="00216212"/>
    <w:rsid w:val="00216672"/>
    <w:rsid w:val="00217965"/>
    <w:rsid w:val="00221461"/>
    <w:rsid w:val="00221898"/>
    <w:rsid w:val="00222D72"/>
    <w:rsid w:val="00222E32"/>
    <w:rsid w:val="00224AB6"/>
    <w:rsid w:val="002258FD"/>
    <w:rsid w:val="00230271"/>
    <w:rsid w:val="00230CA4"/>
    <w:rsid w:val="002317BF"/>
    <w:rsid w:val="00232751"/>
    <w:rsid w:val="002337FB"/>
    <w:rsid w:val="00240969"/>
    <w:rsid w:val="00241491"/>
    <w:rsid w:val="00242C50"/>
    <w:rsid w:val="0024469D"/>
    <w:rsid w:val="00244B8E"/>
    <w:rsid w:val="00246F24"/>
    <w:rsid w:val="00247E09"/>
    <w:rsid w:val="002509F7"/>
    <w:rsid w:val="002512D2"/>
    <w:rsid w:val="00254CE3"/>
    <w:rsid w:val="00255032"/>
    <w:rsid w:val="00255068"/>
    <w:rsid w:val="00256F16"/>
    <w:rsid w:val="0025756E"/>
    <w:rsid w:val="00262B45"/>
    <w:rsid w:val="00262E3B"/>
    <w:rsid w:val="002670B1"/>
    <w:rsid w:val="002714A9"/>
    <w:rsid w:val="0027221D"/>
    <w:rsid w:val="00274F19"/>
    <w:rsid w:val="00280C70"/>
    <w:rsid w:val="00281FA0"/>
    <w:rsid w:val="00283CC9"/>
    <w:rsid w:val="00287091"/>
    <w:rsid w:val="00287CAC"/>
    <w:rsid w:val="00290472"/>
    <w:rsid w:val="00291859"/>
    <w:rsid w:val="00292500"/>
    <w:rsid w:val="00295650"/>
    <w:rsid w:val="00295A87"/>
    <w:rsid w:val="00296CD0"/>
    <w:rsid w:val="002A23E9"/>
    <w:rsid w:val="002A249F"/>
    <w:rsid w:val="002A2EB9"/>
    <w:rsid w:val="002A568F"/>
    <w:rsid w:val="002A78DA"/>
    <w:rsid w:val="002B14EF"/>
    <w:rsid w:val="002B2E03"/>
    <w:rsid w:val="002B3D99"/>
    <w:rsid w:val="002B3EEC"/>
    <w:rsid w:val="002B3FB5"/>
    <w:rsid w:val="002B58B8"/>
    <w:rsid w:val="002B6B77"/>
    <w:rsid w:val="002B6D22"/>
    <w:rsid w:val="002C33B5"/>
    <w:rsid w:val="002C3A8C"/>
    <w:rsid w:val="002C3B25"/>
    <w:rsid w:val="002C4712"/>
    <w:rsid w:val="002C7BF8"/>
    <w:rsid w:val="002D10D6"/>
    <w:rsid w:val="002D3939"/>
    <w:rsid w:val="002D39CB"/>
    <w:rsid w:val="002D4C4D"/>
    <w:rsid w:val="002D5882"/>
    <w:rsid w:val="002D76AD"/>
    <w:rsid w:val="002D7C5A"/>
    <w:rsid w:val="002E0D9D"/>
    <w:rsid w:val="002E1A91"/>
    <w:rsid w:val="002E3851"/>
    <w:rsid w:val="002E7F33"/>
    <w:rsid w:val="002F051D"/>
    <w:rsid w:val="002F0F5A"/>
    <w:rsid w:val="002F4F23"/>
    <w:rsid w:val="002F4FE3"/>
    <w:rsid w:val="002F5813"/>
    <w:rsid w:val="002F59E1"/>
    <w:rsid w:val="002F62A6"/>
    <w:rsid w:val="002F79D6"/>
    <w:rsid w:val="003000D2"/>
    <w:rsid w:val="00300665"/>
    <w:rsid w:val="00301CFF"/>
    <w:rsid w:val="00302939"/>
    <w:rsid w:val="003031F0"/>
    <w:rsid w:val="003040D7"/>
    <w:rsid w:val="00310A8A"/>
    <w:rsid w:val="00312405"/>
    <w:rsid w:val="00312E19"/>
    <w:rsid w:val="00313C65"/>
    <w:rsid w:val="0031556D"/>
    <w:rsid w:val="00320A0F"/>
    <w:rsid w:val="00320A30"/>
    <w:rsid w:val="00321D01"/>
    <w:rsid w:val="00321D0A"/>
    <w:rsid w:val="00324108"/>
    <w:rsid w:val="0032431C"/>
    <w:rsid w:val="00326942"/>
    <w:rsid w:val="003271AA"/>
    <w:rsid w:val="00327541"/>
    <w:rsid w:val="003355FA"/>
    <w:rsid w:val="00335BCF"/>
    <w:rsid w:val="0033660F"/>
    <w:rsid w:val="00337588"/>
    <w:rsid w:val="003401B6"/>
    <w:rsid w:val="00341A96"/>
    <w:rsid w:val="00343426"/>
    <w:rsid w:val="0034438F"/>
    <w:rsid w:val="00345938"/>
    <w:rsid w:val="003527DE"/>
    <w:rsid w:val="0035289A"/>
    <w:rsid w:val="00353DB6"/>
    <w:rsid w:val="003550A8"/>
    <w:rsid w:val="0036053A"/>
    <w:rsid w:val="00361F58"/>
    <w:rsid w:val="00370337"/>
    <w:rsid w:val="00370846"/>
    <w:rsid w:val="00371125"/>
    <w:rsid w:val="00373551"/>
    <w:rsid w:val="00375532"/>
    <w:rsid w:val="00376410"/>
    <w:rsid w:val="003775E5"/>
    <w:rsid w:val="00377C34"/>
    <w:rsid w:val="003849D4"/>
    <w:rsid w:val="00391582"/>
    <w:rsid w:val="003A0F9E"/>
    <w:rsid w:val="003A2F8D"/>
    <w:rsid w:val="003A3606"/>
    <w:rsid w:val="003A7147"/>
    <w:rsid w:val="003A74E1"/>
    <w:rsid w:val="003A79A4"/>
    <w:rsid w:val="003B0604"/>
    <w:rsid w:val="003B0AC1"/>
    <w:rsid w:val="003B1840"/>
    <w:rsid w:val="003B3A3E"/>
    <w:rsid w:val="003B7CE1"/>
    <w:rsid w:val="003C0E36"/>
    <w:rsid w:val="003C2BDB"/>
    <w:rsid w:val="003C3D31"/>
    <w:rsid w:val="003C56D1"/>
    <w:rsid w:val="003C59AD"/>
    <w:rsid w:val="003C6418"/>
    <w:rsid w:val="003D2411"/>
    <w:rsid w:val="003D362F"/>
    <w:rsid w:val="003D36C4"/>
    <w:rsid w:val="003D37CF"/>
    <w:rsid w:val="003D435A"/>
    <w:rsid w:val="003D4A38"/>
    <w:rsid w:val="003D50DA"/>
    <w:rsid w:val="003D656F"/>
    <w:rsid w:val="003E433D"/>
    <w:rsid w:val="003E56B5"/>
    <w:rsid w:val="003E5709"/>
    <w:rsid w:val="003E5FD5"/>
    <w:rsid w:val="003E7476"/>
    <w:rsid w:val="003F1B21"/>
    <w:rsid w:val="003F285D"/>
    <w:rsid w:val="003F30A4"/>
    <w:rsid w:val="003F321C"/>
    <w:rsid w:val="003F42A9"/>
    <w:rsid w:val="003F52A4"/>
    <w:rsid w:val="003F586F"/>
    <w:rsid w:val="003F5AE0"/>
    <w:rsid w:val="003F67EB"/>
    <w:rsid w:val="003F7216"/>
    <w:rsid w:val="003F7CB5"/>
    <w:rsid w:val="00401C0E"/>
    <w:rsid w:val="00402FC3"/>
    <w:rsid w:val="00405B44"/>
    <w:rsid w:val="004124D7"/>
    <w:rsid w:val="00414D1F"/>
    <w:rsid w:val="00422106"/>
    <w:rsid w:val="0042292A"/>
    <w:rsid w:val="00423740"/>
    <w:rsid w:val="00425E7E"/>
    <w:rsid w:val="0042684E"/>
    <w:rsid w:val="00427F79"/>
    <w:rsid w:val="00431C85"/>
    <w:rsid w:val="00433BDC"/>
    <w:rsid w:val="0043418F"/>
    <w:rsid w:val="004358F4"/>
    <w:rsid w:val="00436123"/>
    <w:rsid w:val="00436A1E"/>
    <w:rsid w:val="00436C3B"/>
    <w:rsid w:val="00440408"/>
    <w:rsid w:val="00441FDA"/>
    <w:rsid w:val="0044333B"/>
    <w:rsid w:val="00445C31"/>
    <w:rsid w:val="004528A2"/>
    <w:rsid w:val="00452DCB"/>
    <w:rsid w:val="00452F45"/>
    <w:rsid w:val="004576EF"/>
    <w:rsid w:val="004631F5"/>
    <w:rsid w:val="00465586"/>
    <w:rsid w:val="0046590A"/>
    <w:rsid w:val="00466CD1"/>
    <w:rsid w:val="004712A8"/>
    <w:rsid w:val="00471983"/>
    <w:rsid w:val="00471E17"/>
    <w:rsid w:val="00472312"/>
    <w:rsid w:val="00472E95"/>
    <w:rsid w:val="00474E7B"/>
    <w:rsid w:val="00477408"/>
    <w:rsid w:val="004811BA"/>
    <w:rsid w:val="00483756"/>
    <w:rsid w:val="004838AE"/>
    <w:rsid w:val="004851F9"/>
    <w:rsid w:val="00491729"/>
    <w:rsid w:val="0049411D"/>
    <w:rsid w:val="0049770F"/>
    <w:rsid w:val="004A0FB1"/>
    <w:rsid w:val="004A28DE"/>
    <w:rsid w:val="004A44C1"/>
    <w:rsid w:val="004A69BE"/>
    <w:rsid w:val="004B164E"/>
    <w:rsid w:val="004B6DD1"/>
    <w:rsid w:val="004C11AD"/>
    <w:rsid w:val="004C24C1"/>
    <w:rsid w:val="004C3195"/>
    <w:rsid w:val="004C4EF0"/>
    <w:rsid w:val="004C7791"/>
    <w:rsid w:val="004D0D24"/>
    <w:rsid w:val="004D3E37"/>
    <w:rsid w:val="004D60E3"/>
    <w:rsid w:val="004D69B0"/>
    <w:rsid w:val="004E02D1"/>
    <w:rsid w:val="004E1EF6"/>
    <w:rsid w:val="004E4BF5"/>
    <w:rsid w:val="004E553E"/>
    <w:rsid w:val="004E639D"/>
    <w:rsid w:val="004E78C9"/>
    <w:rsid w:val="004F2324"/>
    <w:rsid w:val="004F32D0"/>
    <w:rsid w:val="004F3573"/>
    <w:rsid w:val="004F5DAF"/>
    <w:rsid w:val="004F654E"/>
    <w:rsid w:val="0050016D"/>
    <w:rsid w:val="00502D1C"/>
    <w:rsid w:val="00503DC3"/>
    <w:rsid w:val="00505A7D"/>
    <w:rsid w:val="00510BBF"/>
    <w:rsid w:val="00512883"/>
    <w:rsid w:val="00517839"/>
    <w:rsid w:val="00520371"/>
    <w:rsid w:val="005238E9"/>
    <w:rsid w:val="00525103"/>
    <w:rsid w:val="005277C0"/>
    <w:rsid w:val="005314D8"/>
    <w:rsid w:val="005323F2"/>
    <w:rsid w:val="00532422"/>
    <w:rsid w:val="00532C47"/>
    <w:rsid w:val="00534934"/>
    <w:rsid w:val="005370A5"/>
    <w:rsid w:val="00541481"/>
    <w:rsid w:val="00542204"/>
    <w:rsid w:val="00545216"/>
    <w:rsid w:val="00545CA3"/>
    <w:rsid w:val="00545EEF"/>
    <w:rsid w:val="005466A4"/>
    <w:rsid w:val="005475EE"/>
    <w:rsid w:val="00550B66"/>
    <w:rsid w:val="00555FEF"/>
    <w:rsid w:val="00560BA4"/>
    <w:rsid w:val="005627A5"/>
    <w:rsid w:val="0056358D"/>
    <w:rsid w:val="005658EC"/>
    <w:rsid w:val="005668A6"/>
    <w:rsid w:val="005700EF"/>
    <w:rsid w:val="00570905"/>
    <w:rsid w:val="00573A3A"/>
    <w:rsid w:val="0057427B"/>
    <w:rsid w:val="0057630E"/>
    <w:rsid w:val="005812A6"/>
    <w:rsid w:val="005828EE"/>
    <w:rsid w:val="0058506F"/>
    <w:rsid w:val="00585B50"/>
    <w:rsid w:val="00586AB6"/>
    <w:rsid w:val="00592AA3"/>
    <w:rsid w:val="00592D4A"/>
    <w:rsid w:val="00593AB1"/>
    <w:rsid w:val="005A089F"/>
    <w:rsid w:val="005A2B9C"/>
    <w:rsid w:val="005A40C8"/>
    <w:rsid w:val="005A45B4"/>
    <w:rsid w:val="005A7596"/>
    <w:rsid w:val="005B013D"/>
    <w:rsid w:val="005B27F5"/>
    <w:rsid w:val="005B282C"/>
    <w:rsid w:val="005B5322"/>
    <w:rsid w:val="005B5852"/>
    <w:rsid w:val="005B5E11"/>
    <w:rsid w:val="005B638B"/>
    <w:rsid w:val="005B656F"/>
    <w:rsid w:val="005B7B53"/>
    <w:rsid w:val="005C13A0"/>
    <w:rsid w:val="005C17D3"/>
    <w:rsid w:val="005C4710"/>
    <w:rsid w:val="005C5F96"/>
    <w:rsid w:val="005C7DD0"/>
    <w:rsid w:val="005D0FE4"/>
    <w:rsid w:val="005D1B2D"/>
    <w:rsid w:val="005D207E"/>
    <w:rsid w:val="005D3596"/>
    <w:rsid w:val="005D3664"/>
    <w:rsid w:val="005D3990"/>
    <w:rsid w:val="005D54D3"/>
    <w:rsid w:val="005E2F28"/>
    <w:rsid w:val="005E4C77"/>
    <w:rsid w:val="005E57C1"/>
    <w:rsid w:val="005E5B33"/>
    <w:rsid w:val="005E5D06"/>
    <w:rsid w:val="005E62F7"/>
    <w:rsid w:val="005E75ED"/>
    <w:rsid w:val="005F0B2B"/>
    <w:rsid w:val="005F3FFE"/>
    <w:rsid w:val="005F50E4"/>
    <w:rsid w:val="005F616B"/>
    <w:rsid w:val="0060087B"/>
    <w:rsid w:val="00600AEC"/>
    <w:rsid w:val="0060166D"/>
    <w:rsid w:val="00603D78"/>
    <w:rsid w:val="00604611"/>
    <w:rsid w:val="00605B9D"/>
    <w:rsid w:val="00605CA4"/>
    <w:rsid w:val="00607420"/>
    <w:rsid w:val="006078E9"/>
    <w:rsid w:val="00616198"/>
    <w:rsid w:val="0062080E"/>
    <w:rsid w:val="00621CED"/>
    <w:rsid w:val="00622AF0"/>
    <w:rsid w:val="00622CC7"/>
    <w:rsid w:val="006236B4"/>
    <w:rsid w:val="00624A18"/>
    <w:rsid w:val="00627C4D"/>
    <w:rsid w:val="006320D1"/>
    <w:rsid w:val="0063262B"/>
    <w:rsid w:val="00634B87"/>
    <w:rsid w:val="00636688"/>
    <w:rsid w:val="006371FB"/>
    <w:rsid w:val="00637947"/>
    <w:rsid w:val="00641286"/>
    <w:rsid w:val="00641640"/>
    <w:rsid w:val="00641CED"/>
    <w:rsid w:val="00641EA9"/>
    <w:rsid w:val="00642D87"/>
    <w:rsid w:val="0064557B"/>
    <w:rsid w:val="006508B6"/>
    <w:rsid w:val="0065115D"/>
    <w:rsid w:val="00651603"/>
    <w:rsid w:val="00652AA0"/>
    <w:rsid w:val="00654280"/>
    <w:rsid w:val="006557FC"/>
    <w:rsid w:val="00655A18"/>
    <w:rsid w:val="00660DFE"/>
    <w:rsid w:val="00661605"/>
    <w:rsid w:val="00662770"/>
    <w:rsid w:val="00665E20"/>
    <w:rsid w:val="0066658E"/>
    <w:rsid w:val="00667A24"/>
    <w:rsid w:val="00670759"/>
    <w:rsid w:val="00672587"/>
    <w:rsid w:val="00672D5A"/>
    <w:rsid w:val="00673211"/>
    <w:rsid w:val="00675581"/>
    <w:rsid w:val="006768F9"/>
    <w:rsid w:val="00676F72"/>
    <w:rsid w:val="0068011A"/>
    <w:rsid w:val="00682F92"/>
    <w:rsid w:val="00683D13"/>
    <w:rsid w:val="0068422D"/>
    <w:rsid w:val="00685193"/>
    <w:rsid w:val="00686D5B"/>
    <w:rsid w:val="00692835"/>
    <w:rsid w:val="00693B20"/>
    <w:rsid w:val="00694486"/>
    <w:rsid w:val="006945CA"/>
    <w:rsid w:val="006947B0"/>
    <w:rsid w:val="0069699D"/>
    <w:rsid w:val="00696CBA"/>
    <w:rsid w:val="00697739"/>
    <w:rsid w:val="00697DAE"/>
    <w:rsid w:val="006A16B8"/>
    <w:rsid w:val="006A243A"/>
    <w:rsid w:val="006A2756"/>
    <w:rsid w:val="006A32AC"/>
    <w:rsid w:val="006A443C"/>
    <w:rsid w:val="006A6975"/>
    <w:rsid w:val="006A74FA"/>
    <w:rsid w:val="006B24E0"/>
    <w:rsid w:val="006B3132"/>
    <w:rsid w:val="006B4C31"/>
    <w:rsid w:val="006B6314"/>
    <w:rsid w:val="006B6E3B"/>
    <w:rsid w:val="006B705A"/>
    <w:rsid w:val="006B7DE7"/>
    <w:rsid w:val="006C0FEC"/>
    <w:rsid w:val="006C36E1"/>
    <w:rsid w:val="006C38BA"/>
    <w:rsid w:val="006C58A2"/>
    <w:rsid w:val="006C6168"/>
    <w:rsid w:val="006C6C59"/>
    <w:rsid w:val="006C6DB0"/>
    <w:rsid w:val="006D0505"/>
    <w:rsid w:val="006D07D6"/>
    <w:rsid w:val="006D2EAD"/>
    <w:rsid w:val="006D4099"/>
    <w:rsid w:val="006D51DC"/>
    <w:rsid w:val="006D6367"/>
    <w:rsid w:val="006E03B3"/>
    <w:rsid w:val="006E12E9"/>
    <w:rsid w:val="006E12EA"/>
    <w:rsid w:val="006E3071"/>
    <w:rsid w:val="006E30A6"/>
    <w:rsid w:val="006E4CE7"/>
    <w:rsid w:val="006E54B4"/>
    <w:rsid w:val="006F2A98"/>
    <w:rsid w:val="006F5004"/>
    <w:rsid w:val="006F5DD4"/>
    <w:rsid w:val="006F6060"/>
    <w:rsid w:val="006F76CE"/>
    <w:rsid w:val="007001B0"/>
    <w:rsid w:val="00701ADA"/>
    <w:rsid w:val="00702D3F"/>
    <w:rsid w:val="007046CE"/>
    <w:rsid w:val="00705505"/>
    <w:rsid w:val="007058CF"/>
    <w:rsid w:val="00705DEB"/>
    <w:rsid w:val="00711308"/>
    <w:rsid w:val="00711727"/>
    <w:rsid w:val="007129FE"/>
    <w:rsid w:val="00713A45"/>
    <w:rsid w:val="00715CE7"/>
    <w:rsid w:val="00716AC1"/>
    <w:rsid w:val="00721778"/>
    <w:rsid w:val="00721FEC"/>
    <w:rsid w:val="00722963"/>
    <w:rsid w:val="0072339D"/>
    <w:rsid w:val="00723D21"/>
    <w:rsid w:val="00726266"/>
    <w:rsid w:val="00726FE3"/>
    <w:rsid w:val="0073017B"/>
    <w:rsid w:val="0073131D"/>
    <w:rsid w:val="00734A33"/>
    <w:rsid w:val="00735908"/>
    <w:rsid w:val="00735BBA"/>
    <w:rsid w:val="00736251"/>
    <w:rsid w:val="00737D79"/>
    <w:rsid w:val="00740407"/>
    <w:rsid w:val="00740A4D"/>
    <w:rsid w:val="0074290A"/>
    <w:rsid w:val="00745B56"/>
    <w:rsid w:val="0075544F"/>
    <w:rsid w:val="0075754A"/>
    <w:rsid w:val="00761AFA"/>
    <w:rsid w:val="007625E8"/>
    <w:rsid w:val="00763C62"/>
    <w:rsid w:val="0076419C"/>
    <w:rsid w:val="00771099"/>
    <w:rsid w:val="0077159C"/>
    <w:rsid w:val="007828CB"/>
    <w:rsid w:val="007850F9"/>
    <w:rsid w:val="00786AE5"/>
    <w:rsid w:val="00786BDF"/>
    <w:rsid w:val="00787733"/>
    <w:rsid w:val="007900D3"/>
    <w:rsid w:val="007903E7"/>
    <w:rsid w:val="007913C7"/>
    <w:rsid w:val="00793728"/>
    <w:rsid w:val="007964B2"/>
    <w:rsid w:val="0079652A"/>
    <w:rsid w:val="00797813"/>
    <w:rsid w:val="007A06BA"/>
    <w:rsid w:val="007A1B58"/>
    <w:rsid w:val="007A246C"/>
    <w:rsid w:val="007A31B9"/>
    <w:rsid w:val="007A5BE2"/>
    <w:rsid w:val="007A5C3B"/>
    <w:rsid w:val="007A6373"/>
    <w:rsid w:val="007A744F"/>
    <w:rsid w:val="007A762F"/>
    <w:rsid w:val="007B0C0A"/>
    <w:rsid w:val="007B1202"/>
    <w:rsid w:val="007B174F"/>
    <w:rsid w:val="007B1D51"/>
    <w:rsid w:val="007B2715"/>
    <w:rsid w:val="007B44D4"/>
    <w:rsid w:val="007B6AC8"/>
    <w:rsid w:val="007B6BEF"/>
    <w:rsid w:val="007C1708"/>
    <w:rsid w:val="007C1A15"/>
    <w:rsid w:val="007C2F52"/>
    <w:rsid w:val="007C3C2C"/>
    <w:rsid w:val="007C4A4E"/>
    <w:rsid w:val="007C4E87"/>
    <w:rsid w:val="007C5A8B"/>
    <w:rsid w:val="007D05C1"/>
    <w:rsid w:val="007D4890"/>
    <w:rsid w:val="007D69F6"/>
    <w:rsid w:val="007D6DDF"/>
    <w:rsid w:val="007E0114"/>
    <w:rsid w:val="007E035D"/>
    <w:rsid w:val="007E0B85"/>
    <w:rsid w:val="007E2A85"/>
    <w:rsid w:val="007E3008"/>
    <w:rsid w:val="007E4BB4"/>
    <w:rsid w:val="007E55FE"/>
    <w:rsid w:val="007F0C26"/>
    <w:rsid w:val="007F117B"/>
    <w:rsid w:val="007F13E6"/>
    <w:rsid w:val="007F2516"/>
    <w:rsid w:val="007F530F"/>
    <w:rsid w:val="007F554B"/>
    <w:rsid w:val="007F63AC"/>
    <w:rsid w:val="007F6D4A"/>
    <w:rsid w:val="007F78A8"/>
    <w:rsid w:val="007F7EC4"/>
    <w:rsid w:val="00800BA4"/>
    <w:rsid w:val="00812E00"/>
    <w:rsid w:val="00820793"/>
    <w:rsid w:val="00821E7A"/>
    <w:rsid w:val="00822C9A"/>
    <w:rsid w:val="00827934"/>
    <w:rsid w:val="00827B50"/>
    <w:rsid w:val="00827F19"/>
    <w:rsid w:val="0083025D"/>
    <w:rsid w:val="0083270B"/>
    <w:rsid w:val="00834241"/>
    <w:rsid w:val="00836625"/>
    <w:rsid w:val="00836C6C"/>
    <w:rsid w:val="00840771"/>
    <w:rsid w:val="00840854"/>
    <w:rsid w:val="008432AF"/>
    <w:rsid w:val="008530E3"/>
    <w:rsid w:val="00854ACB"/>
    <w:rsid w:val="00854C37"/>
    <w:rsid w:val="00855D4F"/>
    <w:rsid w:val="008563CE"/>
    <w:rsid w:val="008629D3"/>
    <w:rsid w:val="0086311C"/>
    <w:rsid w:val="008706BF"/>
    <w:rsid w:val="00870843"/>
    <w:rsid w:val="008741EF"/>
    <w:rsid w:val="00874B03"/>
    <w:rsid w:val="00875EFE"/>
    <w:rsid w:val="00881481"/>
    <w:rsid w:val="00882645"/>
    <w:rsid w:val="00884D4F"/>
    <w:rsid w:val="008872B1"/>
    <w:rsid w:val="00890698"/>
    <w:rsid w:val="00892859"/>
    <w:rsid w:val="00893925"/>
    <w:rsid w:val="00894419"/>
    <w:rsid w:val="00895CC1"/>
    <w:rsid w:val="00896212"/>
    <w:rsid w:val="00896B4F"/>
    <w:rsid w:val="008A0AAC"/>
    <w:rsid w:val="008A1098"/>
    <w:rsid w:val="008A4D01"/>
    <w:rsid w:val="008A512E"/>
    <w:rsid w:val="008A6917"/>
    <w:rsid w:val="008A7EBF"/>
    <w:rsid w:val="008B0D64"/>
    <w:rsid w:val="008B0D81"/>
    <w:rsid w:val="008B1A1D"/>
    <w:rsid w:val="008B2F0B"/>
    <w:rsid w:val="008B3F3B"/>
    <w:rsid w:val="008B6227"/>
    <w:rsid w:val="008C05B2"/>
    <w:rsid w:val="008C1174"/>
    <w:rsid w:val="008C1D20"/>
    <w:rsid w:val="008C259C"/>
    <w:rsid w:val="008C7319"/>
    <w:rsid w:val="008D2D6D"/>
    <w:rsid w:val="008D3842"/>
    <w:rsid w:val="008D7CEB"/>
    <w:rsid w:val="008E1E42"/>
    <w:rsid w:val="008E3B38"/>
    <w:rsid w:val="008E444F"/>
    <w:rsid w:val="008E488D"/>
    <w:rsid w:val="008E4ED9"/>
    <w:rsid w:val="008E7393"/>
    <w:rsid w:val="008E77AC"/>
    <w:rsid w:val="008F0915"/>
    <w:rsid w:val="008F0A1A"/>
    <w:rsid w:val="008F1A86"/>
    <w:rsid w:val="008F2961"/>
    <w:rsid w:val="008F2D6B"/>
    <w:rsid w:val="008F2E48"/>
    <w:rsid w:val="00901E89"/>
    <w:rsid w:val="0090285C"/>
    <w:rsid w:val="00902A0E"/>
    <w:rsid w:val="0090355F"/>
    <w:rsid w:val="00903821"/>
    <w:rsid w:val="009048B5"/>
    <w:rsid w:val="00905F29"/>
    <w:rsid w:val="009063BE"/>
    <w:rsid w:val="00906BE7"/>
    <w:rsid w:val="00913E9A"/>
    <w:rsid w:val="009149F3"/>
    <w:rsid w:val="009149F6"/>
    <w:rsid w:val="0091549F"/>
    <w:rsid w:val="00915CF3"/>
    <w:rsid w:val="00916C2A"/>
    <w:rsid w:val="0091756B"/>
    <w:rsid w:val="00917CAD"/>
    <w:rsid w:val="0092368B"/>
    <w:rsid w:val="0092441F"/>
    <w:rsid w:val="0092562E"/>
    <w:rsid w:val="00925CC0"/>
    <w:rsid w:val="009270FE"/>
    <w:rsid w:val="00927D1A"/>
    <w:rsid w:val="00930C41"/>
    <w:rsid w:val="00931F87"/>
    <w:rsid w:val="00932787"/>
    <w:rsid w:val="00932C45"/>
    <w:rsid w:val="00932CF7"/>
    <w:rsid w:val="00933AE1"/>
    <w:rsid w:val="00936913"/>
    <w:rsid w:val="00937E67"/>
    <w:rsid w:val="00944031"/>
    <w:rsid w:val="00944237"/>
    <w:rsid w:val="009470EE"/>
    <w:rsid w:val="00952557"/>
    <w:rsid w:val="00952B1C"/>
    <w:rsid w:val="00953371"/>
    <w:rsid w:val="0095479A"/>
    <w:rsid w:val="009564F0"/>
    <w:rsid w:val="0096070F"/>
    <w:rsid w:val="00961D3F"/>
    <w:rsid w:val="00962987"/>
    <w:rsid w:val="0096735B"/>
    <w:rsid w:val="00971300"/>
    <w:rsid w:val="00972AA2"/>
    <w:rsid w:val="00976A22"/>
    <w:rsid w:val="00976E64"/>
    <w:rsid w:val="00980A5A"/>
    <w:rsid w:val="0098351C"/>
    <w:rsid w:val="00983B04"/>
    <w:rsid w:val="00986BC2"/>
    <w:rsid w:val="00986EDB"/>
    <w:rsid w:val="00987AE4"/>
    <w:rsid w:val="00987F11"/>
    <w:rsid w:val="009906A7"/>
    <w:rsid w:val="00991977"/>
    <w:rsid w:val="00992732"/>
    <w:rsid w:val="00992B55"/>
    <w:rsid w:val="009A1857"/>
    <w:rsid w:val="009A3044"/>
    <w:rsid w:val="009B2F3A"/>
    <w:rsid w:val="009B582F"/>
    <w:rsid w:val="009C13F9"/>
    <w:rsid w:val="009C2AEE"/>
    <w:rsid w:val="009C3367"/>
    <w:rsid w:val="009C4968"/>
    <w:rsid w:val="009C6527"/>
    <w:rsid w:val="009C6E5A"/>
    <w:rsid w:val="009D01D4"/>
    <w:rsid w:val="009D0EDC"/>
    <w:rsid w:val="009D3833"/>
    <w:rsid w:val="009D5607"/>
    <w:rsid w:val="009D5AAE"/>
    <w:rsid w:val="009D5E23"/>
    <w:rsid w:val="009D7114"/>
    <w:rsid w:val="009E3E3E"/>
    <w:rsid w:val="009E4E52"/>
    <w:rsid w:val="009E5B12"/>
    <w:rsid w:val="009E7FFA"/>
    <w:rsid w:val="009F101D"/>
    <w:rsid w:val="009F416B"/>
    <w:rsid w:val="009F4C7D"/>
    <w:rsid w:val="009F5784"/>
    <w:rsid w:val="00A00127"/>
    <w:rsid w:val="00A0131E"/>
    <w:rsid w:val="00A04C76"/>
    <w:rsid w:val="00A102F6"/>
    <w:rsid w:val="00A113B9"/>
    <w:rsid w:val="00A11718"/>
    <w:rsid w:val="00A120E2"/>
    <w:rsid w:val="00A13CCE"/>
    <w:rsid w:val="00A13D87"/>
    <w:rsid w:val="00A17638"/>
    <w:rsid w:val="00A2286E"/>
    <w:rsid w:val="00A251ED"/>
    <w:rsid w:val="00A260D7"/>
    <w:rsid w:val="00A27F89"/>
    <w:rsid w:val="00A30886"/>
    <w:rsid w:val="00A30CD7"/>
    <w:rsid w:val="00A30F17"/>
    <w:rsid w:val="00A30F9F"/>
    <w:rsid w:val="00A32839"/>
    <w:rsid w:val="00A3315A"/>
    <w:rsid w:val="00A35DE2"/>
    <w:rsid w:val="00A374E8"/>
    <w:rsid w:val="00A4456F"/>
    <w:rsid w:val="00A502CC"/>
    <w:rsid w:val="00A5261C"/>
    <w:rsid w:val="00A526BB"/>
    <w:rsid w:val="00A532A5"/>
    <w:rsid w:val="00A54178"/>
    <w:rsid w:val="00A557E7"/>
    <w:rsid w:val="00A56E22"/>
    <w:rsid w:val="00A570C8"/>
    <w:rsid w:val="00A61801"/>
    <w:rsid w:val="00A62B30"/>
    <w:rsid w:val="00A65B25"/>
    <w:rsid w:val="00A669FC"/>
    <w:rsid w:val="00A711BF"/>
    <w:rsid w:val="00A71C5B"/>
    <w:rsid w:val="00A7392F"/>
    <w:rsid w:val="00A741FA"/>
    <w:rsid w:val="00A745B6"/>
    <w:rsid w:val="00A7527F"/>
    <w:rsid w:val="00A75DAA"/>
    <w:rsid w:val="00A77434"/>
    <w:rsid w:val="00A77732"/>
    <w:rsid w:val="00A80F3D"/>
    <w:rsid w:val="00A8171B"/>
    <w:rsid w:val="00A828DD"/>
    <w:rsid w:val="00A8345A"/>
    <w:rsid w:val="00A83E21"/>
    <w:rsid w:val="00A84213"/>
    <w:rsid w:val="00A845C9"/>
    <w:rsid w:val="00A92950"/>
    <w:rsid w:val="00A95082"/>
    <w:rsid w:val="00A96559"/>
    <w:rsid w:val="00AA1BF4"/>
    <w:rsid w:val="00AA3203"/>
    <w:rsid w:val="00AA3F4F"/>
    <w:rsid w:val="00AA48DD"/>
    <w:rsid w:val="00AA5248"/>
    <w:rsid w:val="00AA57CA"/>
    <w:rsid w:val="00AA738D"/>
    <w:rsid w:val="00AB2E75"/>
    <w:rsid w:val="00AB3C2A"/>
    <w:rsid w:val="00AB6981"/>
    <w:rsid w:val="00AC0A23"/>
    <w:rsid w:val="00AC341D"/>
    <w:rsid w:val="00AC6B59"/>
    <w:rsid w:val="00AD1207"/>
    <w:rsid w:val="00AD2212"/>
    <w:rsid w:val="00AD284A"/>
    <w:rsid w:val="00AD2DF3"/>
    <w:rsid w:val="00AD4F4D"/>
    <w:rsid w:val="00AD751C"/>
    <w:rsid w:val="00AE1356"/>
    <w:rsid w:val="00AE275C"/>
    <w:rsid w:val="00AE49D5"/>
    <w:rsid w:val="00AE5D5F"/>
    <w:rsid w:val="00AE67A1"/>
    <w:rsid w:val="00AE7E62"/>
    <w:rsid w:val="00AF22E6"/>
    <w:rsid w:val="00AF2C9B"/>
    <w:rsid w:val="00AF6313"/>
    <w:rsid w:val="00AF78D9"/>
    <w:rsid w:val="00AF7B2B"/>
    <w:rsid w:val="00B00570"/>
    <w:rsid w:val="00B022DD"/>
    <w:rsid w:val="00B02682"/>
    <w:rsid w:val="00B035DE"/>
    <w:rsid w:val="00B05ACB"/>
    <w:rsid w:val="00B1274F"/>
    <w:rsid w:val="00B132A5"/>
    <w:rsid w:val="00B14581"/>
    <w:rsid w:val="00B15BEF"/>
    <w:rsid w:val="00B20AB9"/>
    <w:rsid w:val="00B21F67"/>
    <w:rsid w:val="00B222FE"/>
    <w:rsid w:val="00B34D61"/>
    <w:rsid w:val="00B368CB"/>
    <w:rsid w:val="00B41350"/>
    <w:rsid w:val="00B4308F"/>
    <w:rsid w:val="00B44EB6"/>
    <w:rsid w:val="00B45974"/>
    <w:rsid w:val="00B45CC6"/>
    <w:rsid w:val="00B46A99"/>
    <w:rsid w:val="00B47239"/>
    <w:rsid w:val="00B54A7E"/>
    <w:rsid w:val="00B56665"/>
    <w:rsid w:val="00B5768D"/>
    <w:rsid w:val="00B607B0"/>
    <w:rsid w:val="00B6170B"/>
    <w:rsid w:val="00B6264F"/>
    <w:rsid w:val="00B637AD"/>
    <w:rsid w:val="00B641FF"/>
    <w:rsid w:val="00B64974"/>
    <w:rsid w:val="00B6525F"/>
    <w:rsid w:val="00B666AD"/>
    <w:rsid w:val="00B67E68"/>
    <w:rsid w:val="00B70429"/>
    <w:rsid w:val="00B73467"/>
    <w:rsid w:val="00B746BF"/>
    <w:rsid w:val="00B75952"/>
    <w:rsid w:val="00B767D5"/>
    <w:rsid w:val="00B77EFC"/>
    <w:rsid w:val="00B80586"/>
    <w:rsid w:val="00B805DF"/>
    <w:rsid w:val="00B80EA1"/>
    <w:rsid w:val="00B80FBA"/>
    <w:rsid w:val="00B82BCC"/>
    <w:rsid w:val="00B871E8"/>
    <w:rsid w:val="00B87625"/>
    <w:rsid w:val="00B901B0"/>
    <w:rsid w:val="00B904F2"/>
    <w:rsid w:val="00B90EF5"/>
    <w:rsid w:val="00B91694"/>
    <w:rsid w:val="00B95A40"/>
    <w:rsid w:val="00B96DD8"/>
    <w:rsid w:val="00BA72E3"/>
    <w:rsid w:val="00BB1041"/>
    <w:rsid w:val="00BB30EC"/>
    <w:rsid w:val="00BB3CF5"/>
    <w:rsid w:val="00BB4025"/>
    <w:rsid w:val="00BC0556"/>
    <w:rsid w:val="00BC1C93"/>
    <w:rsid w:val="00BC2031"/>
    <w:rsid w:val="00BC20DD"/>
    <w:rsid w:val="00BC23EF"/>
    <w:rsid w:val="00BC5C18"/>
    <w:rsid w:val="00BC6C65"/>
    <w:rsid w:val="00BD109E"/>
    <w:rsid w:val="00BD35BE"/>
    <w:rsid w:val="00BD44A6"/>
    <w:rsid w:val="00BD70EE"/>
    <w:rsid w:val="00BD7810"/>
    <w:rsid w:val="00BE0D52"/>
    <w:rsid w:val="00BE23F8"/>
    <w:rsid w:val="00BE2F79"/>
    <w:rsid w:val="00BE3ABE"/>
    <w:rsid w:val="00BE623F"/>
    <w:rsid w:val="00BE756D"/>
    <w:rsid w:val="00BF13E2"/>
    <w:rsid w:val="00BF40EA"/>
    <w:rsid w:val="00BF683C"/>
    <w:rsid w:val="00C008B3"/>
    <w:rsid w:val="00C01B46"/>
    <w:rsid w:val="00C045EE"/>
    <w:rsid w:val="00C053CE"/>
    <w:rsid w:val="00C07237"/>
    <w:rsid w:val="00C077B4"/>
    <w:rsid w:val="00C07A99"/>
    <w:rsid w:val="00C106AD"/>
    <w:rsid w:val="00C126ED"/>
    <w:rsid w:val="00C13E86"/>
    <w:rsid w:val="00C149A4"/>
    <w:rsid w:val="00C15D7F"/>
    <w:rsid w:val="00C175F3"/>
    <w:rsid w:val="00C212E8"/>
    <w:rsid w:val="00C2242A"/>
    <w:rsid w:val="00C22825"/>
    <w:rsid w:val="00C25740"/>
    <w:rsid w:val="00C25B5E"/>
    <w:rsid w:val="00C30B12"/>
    <w:rsid w:val="00C31038"/>
    <w:rsid w:val="00C35C10"/>
    <w:rsid w:val="00C361E4"/>
    <w:rsid w:val="00C3794B"/>
    <w:rsid w:val="00C402D3"/>
    <w:rsid w:val="00C40E7B"/>
    <w:rsid w:val="00C417D3"/>
    <w:rsid w:val="00C42470"/>
    <w:rsid w:val="00C443CE"/>
    <w:rsid w:val="00C44A70"/>
    <w:rsid w:val="00C45293"/>
    <w:rsid w:val="00C508AC"/>
    <w:rsid w:val="00C510C5"/>
    <w:rsid w:val="00C512E6"/>
    <w:rsid w:val="00C531A6"/>
    <w:rsid w:val="00C53A11"/>
    <w:rsid w:val="00C55AA1"/>
    <w:rsid w:val="00C56B5B"/>
    <w:rsid w:val="00C614CB"/>
    <w:rsid w:val="00C61AF2"/>
    <w:rsid w:val="00C711A0"/>
    <w:rsid w:val="00C713F8"/>
    <w:rsid w:val="00C736C1"/>
    <w:rsid w:val="00C73DF0"/>
    <w:rsid w:val="00C75008"/>
    <w:rsid w:val="00C75063"/>
    <w:rsid w:val="00C768CB"/>
    <w:rsid w:val="00C8096C"/>
    <w:rsid w:val="00C80FAA"/>
    <w:rsid w:val="00C815E0"/>
    <w:rsid w:val="00C81820"/>
    <w:rsid w:val="00C8233C"/>
    <w:rsid w:val="00C83A1D"/>
    <w:rsid w:val="00C83E88"/>
    <w:rsid w:val="00C84931"/>
    <w:rsid w:val="00C85EE9"/>
    <w:rsid w:val="00C86DFF"/>
    <w:rsid w:val="00C9604D"/>
    <w:rsid w:val="00C962CB"/>
    <w:rsid w:val="00C9643A"/>
    <w:rsid w:val="00CA0341"/>
    <w:rsid w:val="00CA3AA3"/>
    <w:rsid w:val="00CA4699"/>
    <w:rsid w:val="00CA5053"/>
    <w:rsid w:val="00CA5280"/>
    <w:rsid w:val="00CA63C6"/>
    <w:rsid w:val="00CB07A8"/>
    <w:rsid w:val="00CB145C"/>
    <w:rsid w:val="00CB2324"/>
    <w:rsid w:val="00CB2603"/>
    <w:rsid w:val="00CB7FB6"/>
    <w:rsid w:val="00CC1972"/>
    <w:rsid w:val="00CC1EF0"/>
    <w:rsid w:val="00CC2673"/>
    <w:rsid w:val="00CC3857"/>
    <w:rsid w:val="00CD0CF7"/>
    <w:rsid w:val="00CD1E07"/>
    <w:rsid w:val="00CD3728"/>
    <w:rsid w:val="00CD4BF4"/>
    <w:rsid w:val="00CD5EE6"/>
    <w:rsid w:val="00CD61FC"/>
    <w:rsid w:val="00CD6726"/>
    <w:rsid w:val="00CE2411"/>
    <w:rsid w:val="00CE2590"/>
    <w:rsid w:val="00CE426F"/>
    <w:rsid w:val="00CE430F"/>
    <w:rsid w:val="00CE4BAC"/>
    <w:rsid w:val="00CE56C4"/>
    <w:rsid w:val="00CE719D"/>
    <w:rsid w:val="00CF0591"/>
    <w:rsid w:val="00CF4BD2"/>
    <w:rsid w:val="00CF5989"/>
    <w:rsid w:val="00CF6469"/>
    <w:rsid w:val="00D0149F"/>
    <w:rsid w:val="00D04920"/>
    <w:rsid w:val="00D04E86"/>
    <w:rsid w:val="00D05ECF"/>
    <w:rsid w:val="00D06237"/>
    <w:rsid w:val="00D0674A"/>
    <w:rsid w:val="00D104EA"/>
    <w:rsid w:val="00D10C87"/>
    <w:rsid w:val="00D117C8"/>
    <w:rsid w:val="00D11F1A"/>
    <w:rsid w:val="00D14964"/>
    <w:rsid w:val="00D14A2C"/>
    <w:rsid w:val="00D15767"/>
    <w:rsid w:val="00D15992"/>
    <w:rsid w:val="00D15F8B"/>
    <w:rsid w:val="00D20F0B"/>
    <w:rsid w:val="00D22831"/>
    <w:rsid w:val="00D22E53"/>
    <w:rsid w:val="00D22EA9"/>
    <w:rsid w:val="00D23000"/>
    <w:rsid w:val="00D259C1"/>
    <w:rsid w:val="00D33879"/>
    <w:rsid w:val="00D33D87"/>
    <w:rsid w:val="00D34F19"/>
    <w:rsid w:val="00D376E6"/>
    <w:rsid w:val="00D4098A"/>
    <w:rsid w:val="00D45C33"/>
    <w:rsid w:val="00D47571"/>
    <w:rsid w:val="00D50EF9"/>
    <w:rsid w:val="00D519DE"/>
    <w:rsid w:val="00D5200D"/>
    <w:rsid w:val="00D52D8F"/>
    <w:rsid w:val="00D53E9A"/>
    <w:rsid w:val="00D54D0A"/>
    <w:rsid w:val="00D55276"/>
    <w:rsid w:val="00D55B99"/>
    <w:rsid w:val="00D55D4C"/>
    <w:rsid w:val="00D561F1"/>
    <w:rsid w:val="00D56692"/>
    <w:rsid w:val="00D5681D"/>
    <w:rsid w:val="00D56B75"/>
    <w:rsid w:val="00D56C5D"/>
    <w:rsid w:val="00D602FA"/>
    <w:rsid w:val="00D61494"/>
    <w:rsid w:val="00D62DC4"/>
    <w:rsid w:val="00D669C4"/>
    <w:rsid w:val="00D702C3"/>
    <w:rsid w:val="00D72D9E"/>
    <w:rsid w:val="00D74456"/>
    <w:rsid w:val="00D7458C"/>
    <w:rsid w:val="00D74F43"/>
    <w:rsid w:val="00D75CEA"/>
    <w:rsid w:val="00D83916"/>
    <w:rsid w:val="00D87623"/>
    <w:rsid w:val="00D90A99"/>
    <w:rsid w:val="00D90BBF"/>
    <w:rsid w:val="00D939E4"/>
    <w:rsid w:val="00D94505"/>
    <w:rsid w:val="00D96234"/>
    <w:rsid w:val="00D96A2B"/>
    <w:rsid w:val="00D9779E"/>
    <w:rsid w:val="00D97EB2"/>
    <w:rsid w:val="00DA1D23"/>
    <w:rsid w:val="00DA2CB6"/>
    <w:rsid w:val="00DA3105"/>
    <w:rsid w:val="00DA3FA3"/>
    <w:rsid w:val="00DA524D"/>
    <w:rsid w:val="00DA614B"/>
    <w:rsid w:val="00DA65A4"/>
    <w:rsid w:val="00DA7B40"/>
    <w:rsid w:val="00DB329D"/>
    <w:rsid w:val="00DB3BD7"/>
    <w:rsid w:val="00DB5D2C"/>
    <w:rsid w:val="00DB617A"/>
    <w:rsid w:val="00DB61CF"/>
    <w:rsid w:val="00DB6E8B"/>
    <w:rsid w:val="00DB7323"/>
    <w:rsid w:val="00DB757C"/>
    <w:rsid w:val="00DC3E46"/>
    <w:rsid w:val="00DC4109"/>
    <w:rsid w:val="00DC5A62"/>
    <w:rsid w:val="00DC74A0"/>
    <w:rsid w:val="00DC77D0"/>
    <w:rsid w:val="00DC78BA"/>
    <w:rsid w:val="00DD0A71"/>
    <w:rsid w:val="00DE4586"/>
    <w:rsid w:val="00DE7843"/>
    <w:rsid w:val="00DE786A"/>
    <w:rsid w:val="00DF01E1"/>
    <w:rsid w:val="00DF2141"/>
    <w:rsid w:val="00DF24CD"/>
    <w:rsid w:val="00DF2B55"/>
    <w:rsid w:val="00DF5463"/>
    <w:rsid w:val="00DF7839"/>
    <w:rsid w:val="00DF7E8F"/>
    <w:rsid w:val="00E027B8"/>
    <w:rsid w:val="00E03D51"/>
    <w:rsid w:val="00E064DC"/>
    <w:rsid w:val="00E12F39"/>
    <w:rsid w:val="00E13495"/>
    <w:rsid w:val="00E1422E"/>
    <w:rsid w:val="00E15E8C"/>
    <w:rsid w:val="00E228D6"/>
    <w:rsid w:val="00E24059"/>
    <w:rsid w:val="00E30182"/>
    <w:rsid w:val="00E30647"/>
    <w:rsid w:val="00E32C98"/>
    <w:rsid w:val="00E32CDC"/>
    <w:rsid w:val="00E32CDF"/>
    <w:rsid w:val="00E332A7"/>
    <w:rsid w:val="00E34016"/>
    <w:rsid w:val="00E34D25"/>
    <w:rsid w:val="00E36809"/>
    <w:rsid w:val="00E368FB"/>
    <w:rsid w:val="00E426BF"/>
    <w:rsid w:val="00E43AE5"/>
    <w:rsid w:val="00E45171"/>
    <w:rsid w:val="00E454FD"/>
    <w:rsid w:val="00E500C4"/>
    <w:rsid w:val="00E50302"/>
    <w:rsid w:val="00E526D6"/>
    <w:rsid w:val="00E53642"/>
    <w:rsid w:val="00E60A5F"/>
    <w:rsid w:val="00E629F5"/>
    <w:rsid w:val="00E65F93"/>
    <w:rsid w:val="00E70CA3"/>
    <w:rsid w:val="00E74057"/>
    <w:rsid w:val="00E746F6"/>
    <w:rsid w:val="00E7782E"/>
    <w:rsid w:val="00E80B7F"/>
    <w:rsid w:val="00E80E99"/>
    <w:rsid w:val="00E816D9"/>
    <w:rsid w:val="00E819BF"/>
    <w:rsid w:val="00E81FCB"/>
    <w:rsid w:val="00E86562"/>
    <w:rsid w:val="00E90A03"/>
    <w:rsid w:val="00E92091"/>
    <w:rsid w:val="00E94318"/>
    <w:rsid w:val="00E96A1F"/>
    <w:rsid w:val="00EA0ABC"/>
    <w:rsid w:val="00EA52F0"/>
    <w:rsid w:val="00EA62FE"/>
    <w:rsid w:val="00EA71DA"/>
    <w:rsid w:val="00EA79C9"/>
    <w:rsid w:val="00EA79DA"/>
    <w:rsid w:val="00EB0CA8"/>
    <w:rsid w:val="00EB10C7"/>
    <w:rsid w:val="00EB1530"/>
    <w:rsid w:val="00EB3E8F"/>
    <w:rsid w:val="00EB4548"/>
    <w:rsid w:val="00EB4DAF"/>
    <w:rsid w:val="00EB53EA"/>
    <w:rsid w:val="00EB5A5F"/>
    <w:rsid w:val="00EB5F62"/>
    <w:rsid w:val="00EB6C13"/>
    <w:rsid w:val="00EB6FCD"/>
    <w:rsid w:val="00EB7913"/>
    <w:rsid w:val="00EC4318"/>
    <w:rsid w:val="00EC497D"/>
    <w:rsid w:val="00ED15AD"/>
    <w:rsid w:val="00ED2104"/>
    <w:rsid w:val="00ED30C5"/>
    <w:rsid w:val="00ED33DC"/>
    <w:rsid w:val="00ED37DC"/>
    <w:rsid w:val="00EE0ECF"/>
    <w:rsid w:val="00EE26B8"/>
    <w:rsid w:val="00EE377B"/>
    <w:rsid w:val="00EE42BC"/>
    <w:rsid w:val="00EE443B"/>
    <w:rsid w:val="00EE4D07"/>
    <w:rsid w:val="00EE5F1B"/>
    <w:rsid w:val="00EF0442"/>
    <w:rsid w:val="00EF5563"/>
    <w:rsid w:val="00F00048"/>
    <w:rsid w:val="00F01051"/>
    <w:rsid w:val="00F02A93"/>
    <w:rsid w:val="00F0510D"/>
    <w:rsid w:val="00F05890"/>
    <w:rsid w:val="00F05E4B"/>
    <w:rsid w:val="00F0625F"/>
    <w:rsid w:val="00F1026F"/>
    <w:rsid w:val="00F12B80"/>
    <w:rsid w:val="00F12F35"/>
    <w:rsid w:val="00F150A7"/>
    <w:rsid w:val="00F17321"/>
    <w:rsid w:val="00F200BE"/>
    <w:rsid w:val="00F248BD"/>
    <w:rsid w:val="00F3135C"/>
    <w:rsid w:val="00F31B23"/>
    <w:rsid w:val="00F33D26"/>
    <w:rsid w:val="00F34A13"/>
    <w:rsid w:val="00F35129"/>
    <w:rsid w:val="00F35842"/>
    <w:rsid w:val="00F35F91"/>
    <w:rsid w:val="00F41A1F"/>
    <w:rsid w:val="00F41EC8"/>
    <w:rsid w:val="00F45FF6"/>
    <w:rsid w:val="00F51DC2"/>
    <w:rsid w:val="00F52D20"/>
    <w:rsid w:val="00F53B2A"/>
    <w:rsid w:val="00F5535F"/>
    <w:rsid w:val="00F55EB4"/>
    <w:rsid w:val="00F56534"/>
    <w:rsid w:val="00F56625"/>
    <w:rsid w:val="00F602F0"/>
    <w:rsid w:val="00F60C8D"/>
    <w:rsid w:val="00F60E31"/>
    <w:rsid w:val="00F61E3D"/>
    <w:rsid w:val="00F62386"/>
    <w:rsid w:val="00F642DD"/>
    <w:rsid w:val="00F64BD2"/>
    <w:rsid w:val="00F66BCE"/>
    <w:rsid w:val="00F67F38"/>
    <w:rsid w:val="00F70431"/>
    <w:rsid w:val="00F7053F"/>
    <w:rsid w:val="00F74D5D"/>
    <w:rsid w:val="00F765A5"/>
    <w:rsid w:val="00F76FDC"/>
    <w:rsid w:val="00F8110E"/>
    <w:rsid w:val="00F826BF"/>
    <w:rsid w:val="00F85FF1"/>
    <w:rsid w:val="00F87CCE"/>
    <w:rsid w:val="00F93725"/>
    <w:rsid w:val="00F95D08"/>
    <w:rsid w:val="00F976F2"/>
    <w:rsid w:val="00F97743"/>
    <w:rsid w:val="00F97A68"/>
    <w:rsid w:val="00FA07B9"/>
    <w:rsid w:val="00FA26CB"/>
    <w:rsid w:val="00FA60B1"/>
    <w:rsid w:val="00FA7146"/>
    <w:rsid w:val="00FB4819"/>
    <w:rsid w:val="00FB486C"/>
    <w:rsid w:val="00FB7110"/>
    <w:rsid w:val="00FC0044"/>
    <w:rsid w:val="00FC2322"/>
    <w:rsid w:val="00FC2377"/>
    <w:rsid w:val="00FC38D5"/>
    <w:rsid w:val="00FC5E63"/>
    <w:rsid w:val="00FD45B0"/>
    <w:rsid w:val="00FD52CE"/>
    <w:rsid w:val="00FD6202"/>
    <w:rsid w:val="00FD65E6"/>
    <w:rsid w:val="00FE00C1"/>
    <w:rsid w:val="00FE0B71"/>
    <w:rsid w:val="00FE0F5B"/>
    <w:rsid w:val="00FE223C"/>
    <w:rsid w:val="00FE75A1"/>
    <w:rsid w:val="00FF1F07"/>
    <w:rsid w:val="00FF3295"/>
    <w:rsid w:val="00FF35D6"/>
    <w:rsid w:val="00FF3742"/>
    <w:rsid w:val="00FF42DC"/>
    <w:rsid w:val="00FF5EB3"/>
    <w:rsid w:val="00FF621D"/>
    <w:rsid w:val="00FF7543"/>
    <w:rsid w:val="00FF7AAA"/>
    <w:rsid w:val="00FF7C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F72"/>
    <w:rPr>
      <w:rFonts w:ascii="Calibri" w:eastAsia="Calibri" w:hAnsi="Calibri" w:cs="Times New Roman"/>
    </w:rPr>
  </w:style>
  <w:style w:type="paragraph" w:styleId="Heading1">
    <w:name w:val="heading 1"/>
    <w:basedOn w:val="Normal"/>
    <w:next w:val="Normal"/>
    <w:link w:val="Heading1Char"/>
    <w:uiPriority w:val="9"/>
    <w:qFormat/>
    <w:rsid w:val="007C2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76F72"/>
  </w:style>
  <w:style w:type="paragraph" w:customStyle="1" w:styleId="Thesis1">
    <w:name w:val="Thesis 1"/>
    <w:basedOn w:val="Normal"/>
    <w:link w:val="Thesis1Char"/>
    <w:qFormat/>
    <w:rsid w:val="003B0AC1"/>
    <w:pPr>
      <w:spacing w:after="0" w:line="360" w:lineRule="auto"/>
      <w:jc w:val="center"/>
    </w:pPr>
    <w:rPr>
      <w:rFonts w:ascii="Arial" w:hAnsi="Arial" w:cs="Arial"/>
      <w:b/>
      <w:sz w:val="28"/>
      <w:szCs w:val="28"/>
    </w:rPr>
  </w:style>
  <w:style w:type="character" w:customStyle="1" w:styleId="Heading1Char">
    <w:name w:val="Heading 1 Char"/>
    <w:basedOn w:val="DefaultParagraphFont"/>
    <w:link w:val="Heading1"/>
    <w:uiPriority w:val="9"/>
    <w:rsid w:val="007C2F52"/>
    <w:rPr>
      <w:rFonts w:asciiTheme="majorHAnsi" w:eastAsiaTheme="majorEastAsia" w:hAnsiTheme="majorHAnsi" w:cstheme="majorBidi"/>
      <w:b/>
      <w:bCs/>
      <w:color w:val="365F91" w:themeColor="accent1" w:themeShade="BF"/>
      <w:sz w:val="28"/>
      <w:szCs w:val="28"/>
    </w:rPr>
  </w:style>
  <w:style w:type="character" w:customStyle="1" w:styleId="Thesis1Char">
    <w:name w:val="Thesis 1 Char"/>
    <w:basedOn w:val="DefaultParagraphFont"/>
    <w:link w:val="Thesis1"/>
    <w:rsid w:val="003B0AC1"/>
    <w:rPr>
      <w:rFonts w:ascii="Arial" w:eastAsia="Calibri" w:hAnsi="Arial" w:cs="Arial"/>
      <w:b/>
      <w:sz w:val="28"/>
      <w:szCs w:val="28"/>
    </w:rPr>
  </w:style>
  <w:style w:type="paragraph" w:styleId="TOCHeading">
    <w:name w:val="TOC Heading"/>
    <w:basedOn w:val="Heading1"/>
    <w:next w:val="Normal"/>
    <w:uiPriority w:val="39"/>
    <w:semiHidden/>
    <w:unhideWhenUsed/>
    <w:qFormat/>
    <w:rsid w:val="007C2F52"/>
    <w:pPr>
      <w:outlineLvl w:val="9"/>
    </w:pPr>
  </w:style>
  <w:style w:type="paragraph" w:styleId="TOC1">
    <w:name w:val="toc 1"/>
    <w:basedOn w:val="Normal"/>
    <w:next w:val="Normal"/>
    <w:autoRedefine/>
    <w:uiPriority w:val="39"/>
    <w:unhideWhenUsed/>
    <w:qFormat/>
    <w:rsid w:val="007C2F52"/>
    <w:pPr>
      <w:spacing w:after="100"/>
    </w:pPr>
  </w:style>
  <w:style w:type="character" w:styleId="Hyperlink">
    <w:name w:val="Hyperlink"/>
    <w:basedOn w:val="DefaultParagraphFont"/>
    <w:uiPriority w:val="99"/>
    <w:unhideWhenUsed/>
    <w:rsid w:val="007C2F52"/>
    <w:rPr>
      <w:color w:val="0000FF" w:themeColor="hyperlink"/>
      <w:u w:val="single"/>
    </w:rPr>
  </w:style>
  <w:style w:type="paragraph" w:styleId="BalloonText">
    <w:name w:val="Balloon Text"/>
    <w:basedOn w:val="Normal"/>
    <w:link w:val="BalloonTextChar"/>
    <w:uiPriority w:val="99"/>
    <w:semiHidden/>
    <w:unhideWhenUsed/>
    <w:rsid w:val="007C2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F52"/>
    <w:rPr>
      <w:rFonts w:ascii="Tahoma" w:eastAsia="Calibri" w:hAnsi="Tahoma" w:cs="Tahoma"/>
      <w:sz w:val="16"/>
      <w:szCs w:val="16"/>
    </w:rPr>
  </w:style>
  <w:style w:type="paragraph" w:styleId="TOC2">
    <w:name w:val="toc 2"/>
    <w:basedOn w:val="Normal"/>
    <w:next w:val="Normal"/>
    <w:autoRedefine/>
    <w:uiPriority w:val="39"/>
    <w:unhideWhenUsed/>
    <w:qFormat/>
    <w:rsid w:val="007C2F52"/>
    <w:pPr>
      <w:spacing w:after="100"/>
      <w:ind w:left="220"/>
    </w:pPr>
    <w:rPr>
      <w:rFonts w:asciiTheme="minorHAnsi" w:eastAsiaTheme="minorEastAsia" w:hAnsiTheme="minorHAnsi" w:cstheme="minorBidi"/>
    </w:rPr>
  </w:style>
  <w:style w:type="paragraph" w:styleId="TOC3">
    <w:name w:val="toc 3"/>
    <w:basedOn w:val="Normal"/>
    <w:next w:val="Normal"/>
    <w:autoRedefine/>
    <w:uiPriority w:val="39"/>
    <w:semiHidden/>
    <w:unhideWhenUsed/>
    <w:qFormat/>
    <w:rsid w:val="007C2F52"/>
    <w:pPr>
      <w:spacing w:after="100"/>
      <w:ind w:left="440"/>
    </w:pPr>
    <w:rPr>
      <w:rFonts w:asciiTheme="minorHAnsi" w:eastAsiaTheme="minorEastAsia" w:hAnsiTheme="minorHAnsi" w:cstheme="minorBidi"/>
    </w:rPr>
  </w:style>
  <w:style w:type="paragraph" w:customStyle="1" w:styleId="Thesis2">
    <w:name w:val="Thesis 2"/>
    <w:basedOn w:val="Normal"/>
    <w:link w:val="Thesis2Char"/>
    <w:qFormat/>
    <w:rsid w:val="00ED2104"/>
    <w:pPr>
      <w:spacing w:line="240" w:lineRule="auto"/>
      <w:jc w:val="center"/>
    </w:pPr>
    <w:rPr>
      <w:rFonts w:ascii="Arial" w:hAnsi="Arial" w:cs="Arial"/>
      <w:b/>
      <w:i/>
      <w:sz w:val="28"/>
      <w:szCs w:val="28"/>
    </w:rPr>
  </w:style>
  <w:style w:type="paragraph" w:customStyle="1" w:styleId="Thesis3">
    <w:name w:val="Thesis 3"/>
    <w:basedOn w:val="Normal"/>
    <w:link w:val="Thesis3Char"/>
    <w:qFormat/>
    <w:rsid w:val="00287091"/>
    <w:pPr>
      <w:spacing w:line="360" w:lineRule="auto"/>
      <w:jc w:val="both"/>
    </w:pPr>
    <w:rPr>
      <w:rFonts w:ascii="Arial" w:hAnsi="Arial" w:cs="Arial"/>
      <w:b/>
      <w:sz w:val="24"/>
      <w:szCs w:val="24"/>
    </w:rPr>
  </w:style>
  <w:style w:type="character" w:customStyle="1" w:styleId="Thesis2Char">
    <w:name w:val="Thesis 2 Char"/>
    <w:basedOn w:val="DefaultParagraphFont"/>
    <w:link w:val="Thesis2"/>
    <w:rsid w:val="00ED2104"/>
    <w:rPr>
      <w:rFonts w:ascii="Arial" w:eastAsia="Calibri" w:hAnsi="Arial" w:cs="Arial"/>
      <w:b/>
      <w:i/>
      <w:sz w:val="28"/>
      <w:szCs w:val="28"/>
    </w:rPr>
  </w:style>
  <w:style w:type="character" w:customStyle="1" w:styleId="Thesis3Char">
    <w:name w:val="Thesis 3 Char"/>
    <w:basedOn w:val="DefaultParagraphFont"/>
    <w:link w:val="Thesis3"/>
    <w:rsid w:val="00287091"/>
    <w:rPr>
      <w:rFonts w:ascii="Arial" w:eastAsia="Calibri" w:hAnsi="Arial" w:cs="Arial"/>
      <w:b/>
      <w:sz w:val="24"/>
      <w:szCs w:val="24"/>
    </w:rPr>
  </w:style>
  <w:style w:type="paragraph" w:styleId="Header">
    <w:name w:val="header"/>
    <w:basedOn w:val="Normal"/>
    <w:link w:val="HeaderChar"/>
    <w:uiPriority w:val="99"/>
    <w:semiHidden/>
    <w:unhideWhenUsed/>
    <w:rsid w:val="008826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2645"/>
    <w:rPr>
      <w:rFonts w:ascii="Calibri" w:eastAsia="Calibri" w:hAnsi="Calibri" w:cs="Times New Roman"/>
    </w:rPr>
  </w:style>
  <w:style w:type="paragraph" w:styleId="Footer">
    <w:name w:val="footer"/>
    <w:basedOn w:val="Normal"/>
    <w:link w:val="FooterChar"/>
    <w:uiPriority w:val="99"/>
    <w:unhideWhenUsed/>
    <w:rsid w:val="00882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64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20888044">
      <w:bodyDiv w:val="1"/>
      <w:marLeft w:val="0"/>
      <w:marRight w:val="0"/>
      <w:marTop w:val="0"/>
      <w:marBottom w:val="0"/>
      <w:divBdr>
        <w:top w:val="none" w:sz="0" w:space="0" w:color="auto"/>
        <w:left w:val="none" w:sz="0" w:space="0" w:color="auto"/>
        <w:bottom w:val="none" w:sz="0" w:space="0" w:color="auto"/>
        <w:right w:val="none" w:sz="0" w:space="0" w:color="auto"/>
      </w:divBdr>
    </w:div>
    <w:div w:id="853106385">
      <w:bodyDiv w:val="1"/>
      <w:marLeft w:val="0"/>
      <w:marRight w:val="0"/>
      <w:marTop w:val="0"/>
      <w:marBottom w:val="0"/>
      <w:divBdr>
        <w:top w:val="none" w:sz="0" w:space="0" w:color="auto"/>
        <w:left w:val="none" w:sz="0" w:space="0" w:color="auto"/>
        <w:bottom w:val="none" w:sz="0" w:space="0" w:color="auto"/>
        <w:right w:val="none" w:sz="0" w:space="0" w:color="auto"/>
      </w:divBdr>
    </w:div>
    <w:div w:id="873662461">
      <w:bodyDiv w:val="1"/>
      <w:marLeft w:val="0"/>
      <w:marRight w:val="0"/>
      <w:marTop w:val="0"/>
      <w:marBottom w:val="0"/>
      <w:divBdr>
        <w:top w:val="none" w:sz="0" w:space="0" w:color="auto"/>
        <w:left w:val="none" w:sz="0" w:space="0" w:color="auto"/>
        <w:bottom w:val="none" w:sz="0" w:space="0" w:color="auto"/>
        <w:right w:val="none" w:sz="0" w:space="0" w:color="auto"/>
      </w:divBdr>
    </w:div>
    <w:div w:id="1349942715">
      <w:bodyDiv w:val="1"/>
      <w:marLeft w:val="0"/>
      <w:marRight w:val="0"/>
      <w:marTop w:val="0"/>
      <w:marBottom w:val="0"/>
      <w:divBdr>
        <w:top w:val="none" w:sz="0" w:space="0" w:color="auto"/>
        <w:left w:val="none" w:sz="0" w:space="0" w:color="auto"/>
        <w:bottom w:val="none" w:sz="0" w:space="0" w:color="auto"/>
        <w:right w:val="none" w:sz="0" w:space="0" w:color="auto"/>
      </w:divBdr>
    </w:div>
    <w:div w:id="210445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35</Pages>
  <Words>6914</Words>
  <Characters>39416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Maximus</dc:creator>
  <cp:lastModifiedBy>Maximus</cp:lastModifiedBy>
  <cp:revision>6</cp:revision>
  <dcterms:created xsi:type="dcterms:W3CDTF">2014-03-04T20:53:00Z</dcterms:created>
  <dcterms:modified xsi:type="dcterms:W3CDTF">2014-03-06T22:48:00Z</dcterms:modified>
</cp:coreProperties>
</file>